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8" w:lineRule="exact"/>
        <w:rPr>
          <w:sz w:val="24"/>
          <w:szCs w:val="24"/>
          <w:color w:val="auto"/>
        </w:rPr>
      </w:pPr>
    </w:p>
    <w:p>
      <w:pPr>
        <w:ind w:left="1920" w:right="4339" w:hanging="1911"/>
        <w:spacing w:after="0" w:line="258" w:lineRule="auto"/>
        <w:tabs>
          <w:tab w:leader="none" w:pos="131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AND EXCHANGE ACT OF 1934</w:t>
      </w:r>
    </w:p>
    <w:p>
      <w:pPr>
        <w:spacing w:after="0" w:line="160"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4"/>
          <w:szCs w:val="24"/>
          <w:color w:val="auto"/>
        </w:rPr>
      </w:pPr>
    </w:p>
    <w:p>
      <w:pPr>
        <w:ind w:left="1140" w:right="4159" w:hanging="1131"/>
        <w:spacing w:after="0" w:line="258" w:lineRule="auto"/>
        <w:tabs>
          <w:tab w:leader="none" w:pos="-59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AND EXCHANGE ACT OF 1934</w:t>
      </w:r>
    </w:p>
    <w:p>
      <w:pPr>
        <w:spacing w:after="0" w:line="160" w:lineRule="exact"/>
        <w:rPr>
          <w:sz w:val="24"/>
          <w:szCs w:val="24"/>
          <w:color w:val="auto"/>
        </w:rPr>
      </w:pPr>
    </w:p>
    <w:p>
      <w:pPr>
        <w:ind w:left="1140"/>
        <w:spacing w:after="0"/>
        <w:tabs>
          <w:tab w:leader="none" w:pos="468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3"/>
          <w:szCs w:val="13"/>
          <w:color w:val="auto"/>
        </w:rPr>
        <w:t>TO</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COMMISSION FILE NUMBER 1-12154</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309" w:lineRule="exact"/>
        <w:rPr>
          <w:sz w:val="24"/>
          <w:szCs w:val="24"/>
          <w:color w:val="auto"/>
        </w:rPr>
      </w:pPr>
    </w:p>
    <w:tbl>
      <w:tblPr>
        <w:tblLayout w:type="fixed"/>
        <w:tblInd w:w="180" w:type="dxa"/>
        <w:tblCellMar>
          <w:top w:w="0" w:type="dxa"/>
          <w:left w:w="0" w:type="dxa"/>
          <w:bottom w:w="0" w:type="dxa"/>
          <w:right w:w="0" w:type="dxa"/>
        </w:tblCellMar>
      </w:tblPr>
      <w:tr>
        <w:trPr>
          <w:trHeight w:val="162"/>
        </w:trPr>
        <w:tc>
          <w:tcPr>
            <w:tcW w:w="4380" w:type="dxa"/>
            <w:vAlign w:val="bottom"/>
            <w:gridSpan w:val="2"/>
          </w:tcPr>
          <w:p>
            <w:pPr>
              <w:jc w:val="right"/>
              <w:ind w:right="2228"/>
              <w:spacing w:after="0"/>
              <w:rPr>
                <w:sz w:val="20"/>
                <w:szCs w:val="20"/>
                <w:color w:val="auto"/>
              </w:rPr>
            </w:pPr>
            <w:r>
              <w:rPr>
                <w:rFonts w:ascii="Courier New" w:cs="Courier New" w:eastAsia="Courier New" w:hAnsi="Courier New"/>
                <w:sz w:val="14"/>
                <w:szCs w:val="14"/>
                <w:color w:val="auto"/>
              </w:rPr>
              <w:t>DELAWARE</w:t>
            </w:r>
          </w:p>
        </w:tc>
        <w:tc>
          <w:tcPr>
            <w:tcW w:w="256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73-1309529</w:t>
            </w:r>
          </w:p>
        </w:tc>
      </w:tr>
      <w:tr>
        <w:trPr>
          <w:trHeight w:val="167"/>
        </w:trPr>
        <w:tc>
          <w:tcPr>
            <w:tcW w:w="438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(State or other jurisdiction of</w:t>
            </w:r>
          </w:p>
        </w:tc>
        <w:tc>
          <w:tcPr>
            <w:tcW w:w="256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incorporation or</w:t>
            </w:r>
          </w:p>
        </w:tc>
        <w:tc>
          <w:tcPr>
            <w:tcW w:w="252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organization)</w:t>
            </w:r>
          </w:p>
        </w:tc>
        <w:tc>
          <w:tcPr>
            <w:tcW w:w="256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38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1001 FANNIN STREET, SUITE 4000</w:t>
            </w:r>
          </w:p>
        </w:tc>
        <w:tc>
          <w:tcPr>
            <w:tcW w:w="2560" w:type="dxa"/>
            <w:vAlign w:val="bottom"/>
          </w:tcPr>
          <w:p>
            <w:pPr>
              <w:spacing w:after="0"/>
              <w:rPr>
                <w:sz w:val="24"/>
                <w:szCs w:val="24"/>
                <w:color w:val="auto"/>
              </w:rPr>
            </w:pPr>
          </w:p>
        </w:tc>
      </w:tr>
      <w:tr>
        <w:trPr>
          <w:trHeight w:val="167"/>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HOUSTON,</w:t>
            </w:r>
          </w:p>
        </w:tc>
        <w:tc>
          <w:tcPr>
            <w:tcW w:w="2520" w:type="dxa"/>
            <w:vAlign w:val="bottom"/>
          </w:tcPr>
          <w:p>
            <w:pPr>
              <w:ind w:left="60"/>
              <w:spacing w:after="0"/>
              <w:rPr>
                <w:sz w:val="20"/>
                <w:szCs w:val="20"/>
                <w:color w:val="auto"/>
              </w:rPr>
            </w:pPr>
            <w:r>
              <w:rPr>
                <w:rFonts w:ascii="Courier New" w:cs="Courier New" w:eastAsia="Courier New" w:hAnsi="Courier New"/>
                <w:sz w:val="14"/>
                <w:szCs w:val="14"/>
                <w:color w:val="auto"/>
              </w:rPr>
              <w:t>TEXAS</w:t>
            </w:r>
          </w:p>
        </w:tc>
        <w:tc>
          <w:tcPr>
            <w:tcW w:w="2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77002</w:t>
            </w:r>
          </w:p>
        </w:tc>
      </w:tr>
      <w:tr>
        <w:trPr>
          <w:trHeight w:val="167"/>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(Address of principal</w:t>
            </w:r>
          </w:p>
        </w:tc>
        <w:tc>
          <w:tcPr>
            <w:tcW w:w="2520" w:type="dxa"/>
            <w:vAlign w:val="bottom"/>
          </w:tcPr>
          <w:p>
            <w:pPr>
              <w:ind w:left="60"/>
              <w:spacing w:after="0"/>
              <w:rPr>
                <w:sz w:val="20"/>
                <w:szCs w:val="20"/>
                <w:color w:val="auto"/>
              </w:rPr>
            </w:pPr>
            <w:r>
              <w:rPr>
                <w:rFonts w:ascii="Courier New" w:cs="Courier New" w:eastAsia="Courier New" w:hAnsi="Courier New"/>
                <w:sz w:val="14"/>
                <w:szCs w:val="14"/>
                <w:color w:val="auto"/>
              </w:rPr>
              <w:t>executive offices)</w:t>
            </w:r>
          </w:p>
        </w:tc>
        <w:tc>
          <w:tcPr>
            <w:tcW w:w="256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(Zip code)</w:t>
            </w:r>
          </w:p>
        </w:tc>
      </w:tr>
    </w:tbl>
    <w:p>
      <w:pPr>
        <w:spacing w:after="0" w:line="33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(713) 512-6200</w:t>
      </w:r>
    </w:p>
    <w:p>
      <w:pPr>
        <w:spacing w:after="0" w:line="17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159"/>
          </w:cols>
          <w:pgMar w:left="300" w:top="230" w:right="1440" w:bottom="698" w:gutter="0" w:footer="0" w:header="0"/>
        </w:sectPr>
      </w:pPr>
    </w:p>
    <w:p>
      <w:pPr>
        <w:spacing w:after="0" w:line="200" w:lineRule="exact"/>
        <w:rPr>
          <w:sz w:val="24"/>
          <w:szCs w:val="24"/>
          <w:color w:val="auto"/>
        </w:rPr>
      </w:pPr>
    </w:p>
    <w:p>
      <w:pPr>
        <w:spacing w:after="0" w:line="309"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TITLE OF EACH CLASS</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EXCHANGE ON WHICH REGISTERED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240" w:space="720"/>
            <w:col w:w="5199"/>
          </w:cols>
          <w:pgMar w:left="300" w:top="230" w:right="1440" w:bottom="69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$.01 par value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 Convertible Subordinated Debentures due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66" w:lineRule="exact"/>
        <w:rPr>
          <w:sz w:val="24"/>
          <w:szCs w:val="24"/>
          <w:color w:val="auto"/>
        </w:rPr>
      </w:pPr>
    </w:p>
    <w:p>
      <w:pPr>
        <w:sectPr>
          <w:pgSz w:w="11900" w:h="16838" w:orient="portrait"/>
          <w:cols w:equalWidth="0" w:num="2">
            <w:col w:w="4840" w:space="720"/>
            <w:col w:w="4599"/>
          </w:cols>
          <w:pgMar w:left="300" w:top="230" w:right="1440" w:bottom="698" w:gutter="0" w:footer="0" w:header="0"/>
          <w:type w:val="continuous"/>
        </w:sectPr>
      </w:pPr>
    </w:p>
    <w:p>
      <w:pPr>
        <w:spacing w:after="0" w:line="14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5.75% Convertible Subordinated Notes due 2005</w:t>
      </w:r>
    </w:p>
    <w:p>
      <w:pPr>
        <w:spacing w:after="0" w:line="175" w:lineRule="exact"/>
        <w:rPr>
          <w:sz w:val="24"/>
          <w:szCs w:val="24"/>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2" w:lineRule="exact"/>
        <w:rPr>
          <w:sz w:val="24"/>
          <w:szCs w:val="24"/>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 ]</w:t>
      </w:r>
    </w:p>
    <w:p>
      <w:pPr>
        <w:spacing w:after="0" w:line="162" w:lineRule="exact"/>
        <w:rPr>
          <w:sz w:val="24"/>
          <w:szCs w:val="24"/>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at March 15, 2000, was approximately $8,186,801,350. The aggregate market value was computed by using the closing price of the common stock as of that date on the New York Stock Exchange. (For purposes of calculating this amount only, all directors and executive officers of the registrant have been treated as affiliates.)</w:t>
      </w:r>
    </w:p>
    <w:p>
      <w:pPr>
        <w:spacing w:after="0" w:line="165" w:lineRule="exact"/>
        <w:rPr>
          <w:sz w:val="24"/>
          <w:szCs w:val="24"/>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number of shares of Common Stock, $.01 par value, of the registrant outstanding at March 15, 2000, was 619,941,387 (excluding 7,892,612 shares held in the Waste Management, Inc. Employee Stock Benefit Trust and treasury shares of 73,709).</w:t>
      </w:r>
    </w:p>
    <w:p>
      <w:pPr>
        <w:spacing w:after="0" w:line="163"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DOCUMENTS INCORPORATED BY REFERENCE</w:t>
      </w:r>
    </w:p>
    <w:p>
      <w:pPr>
        <w:sectPr>
          <w:pgSz w:w="11900" w:h="16838" w:orient="portrait"/>
          <w:cols w:equalWidth="0" w:num="1">
            <w:col w:w="10159"/>
          </w:cols>
          <w:pgMar w:left="300" w:top="230" w:right="1440" w:bottom="698"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DOCUMENT</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INCORPORATED AS TO</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580" w:space="720"/>
            <w:col w:w="4859"/>
          </w:cols>
          <w:pgMar w:left="300" w:top="230" w:right="1440" w:bottom="698" w:gutter="0" w:footer="0" w:header="0"/>
          <w:type w:val="continuous"/>
        </w:sectPr>
      </w:pPr>
    </w:p>
    <w:p>
      <w:pPr>
        <w:jc w:val="center"/>
        <w:ind w:right="1100"/>
        <w:spacing w:after="0"/>
        <w:rPr>
          <w:sz w:val="20"/>
          <w:szCs w:val="20"/>
          <w:color w:val="auto"/>
        </w:rPr>
      </w:pPr>
      <w:r>
        <w:rPr>
          <w:rFonts w:ascii="Courier New" w:cs="Courier New" w:eastAsia="Courier New" w:hAnsi="Courier New"/>
          <w:sz w:val="14"/>
          <w:szCs w:val="14"/>
          <w:color w:val="auto"/>
        </w:rPr>
        <w:t>Proxy Statement for the</w:t>
      </w:r>
    </w:p>
    <w:p>
      <w:pPr>
        <w:spacing w:after="0" w:line="8" w:lineRule="exact"/>
        <w:rPr>
          <w:sz w:val="24"/>
          <w:szCs w:val="24"/>
          <w:color w:val="auto"/>
        </w:rPr>
      </w:pPr>
    </w:p>
    <w:p>
      <w:pPr>
        <w:jc w:val="center"/>
        <w:ind w:right="1100"/>
        <w:spacing w:after="0"/>
        <w:rPr>
          <w:sz w:val="20"/>
          <w:szCs w:val="20"/>
          <w:color w:val="auto"/>
        </w:rPr>
      </w:pPr>
      <w:r>
        <w:rPr>
          <w:rFonts w:ascii="Courier New" w:cs="Courier New" w:eastAsia="Courier New" w:hAnsi="Courier New"/>
          <w:sz w:val="14"/>
          <w:szCs w:val="14"/>
          <w:color w:val="auto"/>
        </w:rPr>
        <w:t>2000 Annual Meeting of Stockholders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200" w:lineRule="exact"/>
        <w:rPr>
          <w:sz w:val="24"/>
          <w:szCs w:val="24"/>
          <w:color w:val="auto"/>
        </w:rPr>
      </w:pPr>
    </w:p>
    <w:p>
      <w:pPr>
        <w:sectPr>
          <w:pgSz w:w="11900" w:h="16838" w:orient="portrait"/>
          <w:cols w:equalWidth="0" w:num="2">
            <w:col w:w="5020" w:space="720"/>
            <w:col w:w="4419"/>
          </w:cols>
          <w:pgMar w:left="300" w:top="230" w:right="1440" w:bottom="698" w:gutter="0" w:footer="0" w:header="0"/>
          <w:type w:val="continuous"/>
        </w:sectPr>
      </w:pPr>
    </w:p>
    <w:p>
      <w:pPr>
        <w:spacing w:after="0" w:line="142"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30" w:right="1440" w:bottom="698" w:gutter="0" w:footer="0" w:header="0"/>
          <w:type w:val="continuous"/>
        </w:sectPr>
      </w:pPr>
    </w:p>
    <w:bookmarkStart w:id="1" w:name="page2"/>
    <w:bookmarkEnd w:id="1"/>
    <w:p>
      <w:pPr>
        <w:ind w:left="8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5480" w:type="dxa"/>
            <w:vAlign w:val="bottom"/>
          </w:tcPr>
          <w:p>
            <w:pPr>
              <w:ind w:left="1700"/>
              <w:spacing w:after="0"/>
              <w:rPr>
                <w:sz w:val="20"/>
                <w:szCs w:val="20"/>
                <w:color w:val="auto"/>
              </w:rPr>
            </w:pPr>
            <w:r>
              <w:rPr>
                <w:rFonts w:ascii="Courier New" w:cs="Courier New" w:eastAsia="Courier New" w:hAnsi="Courier New"/>
                <w:sz w:val="14"/>
                <w:szCs w:val="14"/>
                <w:color w:val="auto"/>
              </w:rPr>
              <w:t>TABLE OF CONTENTS</w:t>
            </w:r>
          </w:p>
        </w:tc>
        <w:tc>
          <w:tcPr>
            <w:tcW w:w="480" w:type="dxa"/>
            <w:vAlign w:val="bottom"/>
          </w:tcPr>
          <w:p>
            <w:pPr>
              <w:spacing w:after="0"/>
              <w:rPr>
                <w:sz w:val="14"/>
                <w:szCs w:val="14"/>
                <w:color w:val="auto"/>
              </w:rPr>
            </w:pPr>
          </w:p>
        </w:tc>
      </w:tr>
      <w:tr>
        <w:trPr>
          <w:trHeight w:val="668"/>
        </w:trPr>
        <w:tc>
          <w:tcPr>
            <w:tcW w:w="8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8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20" w:type="dxa"/>
            <w:vAlign w:val="bottom"/>
          </w:tcPr>
          <w:p>
            <w:pPr>
              <w:spacing w:after="0"/>
              <w:rPr>
                <w:sz w:val="24"/>
                <w:szCs w:val="24"/>
                <w:color w:val="auto"/>
              </w:rPr>
            </w:pPr>
          </w:p>
        </w:tc>
        <w:tc>
          <w:tcPr>
            <w:tcW w:w="5480" w:type="dxa"/>
            <w:vAlign w:val="bottom"/>
          </w:tcPr>
          <w:p>
            <w:pPr>
              <w:ind w:left="2300"/>
              <w:spacing w:after="0"/>
              <w:rPr>
                <w:sz w:val="20"/>
                <w:szCs w:val="20"/>
                <w:color w:val="auto"/>
              </w:rPr>
            </w:pPr>
            <w:r>
              <w:rPr>
                <w:rFonts w:ascii="Courier New" w:cs="Courier New" w:eastAsia="Courier New" w:hAnsi="Courier New"/>
                <w:sz w:val="14"/>
                <w:szCs w:val="14"/>
                <w:color w:val="auto"/>
              </w:rPr>
              <w:t>PART I</w:t>
            </w:r>
          </w:p>
        </w:tc>
        <w:tc>
          <w:tcPr>
            <w:tcW w:w="480" w:type="dxa"/>
            <w:vAlign w:val="bottom"/>
          </w:tcPr>
          <w:p>
            <w:pPr>
              <w:spacing w:after="0"/>
              <w:rPr>
                <w:sz w:val="24"/>
                <w:szCs w:val="24"/>
                <w:color w:val="auto"/>
              </w:rPr>
            </w:pPr>
          </w:p>
        </w:tc>
      </w:tr>
      <w:tr>
        <w:trPr>
          <w:trHeight w:val="334"/>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Business....................................................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Properties..................................................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Legal Proceedings...........................................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334"/>
        </w:trPr>
        <w:tc>
          <w:tcPr>
            <w:tcW w:w="820" w:type="dxa"/>
            <w:vAlign w:val="bottom"/>
          </w:tcPr>
          <w:p>
            <w:pPr>
              <w:spacing w:after="0"/>
              <w:rPr>
                <w:sz w:val="24"/>
                <w:szCs w:val="24"/>
                <w:color w:val="auto"/>
              </w:rPr>
            </w:pPr>
          </w:p>
        </w:tc>
        <w:tc>
          <w:tcPr>
            <w:tcW w:w="5480" w:type="dxa"/>
            <w:vAlign w:val="bottom"/>
          </w:tcPr>
          <w:p>
            <w:pPr>
              <w:ind w:left="2220"/>
              <w:spacing w:after="0"/>
              <w:rPr>
                <w:sz w:val="20"/>
                <w:szCs w:val="20"/>
                <w:color w:val="auto"/>
              </w:rPr>
            </w:pPr>
            <w:r>
              <w:rPr>
                <w:rFonts w:ascii="Courier New" w:cs="Courier New" w:eastAsia="Courier New" w:hAnsi="Courier New"/>
                <w:sz w:val="14"/>
                <w:szCs w:val="14"/>
                <w:color w:val="auto"/>
              </w:rPr>
              <w:t>PART II</w:t>
            </w:r>
          </w:p>
        </w:tc>
        <w:tc>
          <w:tcPr>
            <w:tcW w:w="480" w:type="dxa"/>
            <w:vAlign w:val="bottom"/>
          </w:tcPr>
          <w:p>
            <w:pPr>
              <w:spacing w:after="0"/>
              <w:rPr>
                <w:sz w:val="24"/>
                <w:szCs w:val="24"/>
                <w:color w:val="auto"/>
              </w:rPr>
            </w:pPr>
          </w:p>
        </w:tc>
      </w:tr>
      <w:tr>
        <w:trPr>
          <w:trHeight w:val="334"/>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480" w:type="dxa"/>
            <w:vAlign w:val="bottom"/>
          </w:tcPr>
          <w:p>
            <w:pPr>
              <w:spacing w:after="0"/>
              <w:rPr>
                <w:sz w:val="24"/>
                <w:szCs w:val="24"/>
                <w:color w:val="auto"/>
              </w:rPr>
            </w:pPr>
          </w:p>
        </w:tc>
      </w:tr>
      <w:tr>
        <w:trPr>
          <w:trHeight w:val="167"/>
        </w:trPr>
        <w:tc>
          <w:tcPr>
            <w:tcW w:w="8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Stockholder Matters.........................................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Selected Financial Data.....................................</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4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and Results of Operations...................................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Quantitative and Qualitative Disclosure About Market Risk...</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Changes in and Disagreements with Accountants on Accounting</w:t>
            </w:r>
          </w:p>
        </w:tc>
        <w:tc>
          <w:tcPr>
            <w:tcW w:w="4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and Financial Disclosure....................................</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w:t>
            </w:r>
          </w:p>
        </w:tc>
      </w:tr>
      <w:tr>
        <w:trPr>
          <w:trHeight w:val="334"/>
        </w:trPr>
        <w:tc>
          <w:tcPr>
            <w:tcW w:w="820" w:type="dxa"/>
            <w:vAlign w:val="bottom"/>
          </w:tcPr>
          <w:p>
            <w:pPr>
              <w:spacing w:after="0"/>
              <w:rPr>
                <w:sz w:val="24"/>
                <w:szCs w:val="24"/>
                <w:color w:val="auto"/>
              </w:rPr>
            </w:pPr>
          </w:p>
        </w:tc>
        <w:tc>
          <w:tcPr>
            <w:tcW w:w="5480" w:type="dxa"/>
            <w:vAlign w:val="bottom"/>
          </w:tcPr>
          <w:p>
            <w:pPr>
              <w:ind w:left="2220"/>
              <w:spacing w:after="0"/>
              <w:rPr>
                <w:sz w:val="20"/>
                <w:szCs w:val="20"/>
                <w:color w:val="auto"/>
              </w:rPr>
            </w:pPr>
            <w:r>
              <w:rPr>
                <w:rFonts w:ascii="Courier New" w:cs="Courier New" w:eastAsia="Courier New" w:hAnsi="Courier New"/>
                <w:sz w:val="14"/>
                <w:szCs w:val="14"/>
                <w:color w:val="auto"/>
              </w:rPr>
              <w:t>PART III</w:t>
            </w:r>
          </w:p>
        </w:tc>
        <w:tc>
          <w:tcPr>
            <w:tcW w:w="480" w:type="dxa"/>
            <w:vAlign w:val="bottom"/>
          </w:tcPr>
          <w:p>
            <w:pPr>
              <w:spacing w:after="0"/>
              <w:rPr>
                <w:sz w:val="24"/>
                <w:szCs w:val="24"/>
                <w:color w:val="auto"/>
              </w:rPr>
            </w:pPr>
          </w:p>
        </w:tc>
      </w:tr>
      <w:tr>
        <w:trPr>
          <w:trHeight w:val="334"/>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Executive Compensation......................................</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Security Ownership of Certain Beneficial Owners and</w:t>
            </w:r>
          </w:p>
        </w:tc>
        <w:tc>
          <w:tcPr>
            <w:tcW w:w="4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Management..................................................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w:t>
            </w:r>
          </w:p>
        </w:tc>
      </w:tr>
      <w:tr>
        <w:trPr>
          <w:trHeight w:val="334"/>
        </w:trPr>
        <w:tc>
          <w:tcPr>
            <w:tcW w:w="820" w:type="dxa"/>
            <w:vAlign w:val="bottom"/>
          </w:tcPr>
          <w:p>
            <w:pPr>
              <w:spacing w:after="0"/>
              <w:rPr>
                <w:sz w:val="24"/>
                <w:szCs w:val="24"/>
                <w:color w:val="auto"/>
              </w:rPr>
            </w:pPr>
          </w:p>
        </w:tc>
        <w:tc>
          <w:tcPr>
            <w:tcW w:w="5480" w:type="dxa"/>
            <w:vAlign w:val="bottom"/>
          </w:tcPr>
          <w:p>
            <w:pPr>
              <w:ind w:left="2220"/>
              <w:spacing w:after="0"/>
              <w:rPr>
                <w:sz w:val="20"/>
                <w:szCs w:val="20"/>
                <w:color w:val="auto"/>
              </w:rPr>
            </w:pPr>
            <w:r>
              <w:rPr>
                <w:rFonts w:ascii="Courier New" w:cs="Courier New" w:eastAsia="Courier New" w:hAnsi="Courier New"/>
                <w:sz w:val="14"/>
                <w:szCs w:val="14"/>
                <w:color w:val="auto"/>
              </w:rPr>
              <w:t>PART IV</w:t>
            </w:r>
          </w:p>
        </w:tc>
        <w:tc>
          <w:tcPr>
            <w:tcW w:w="480" w:type="dxa"/>
            <w:vAlign w:val="bottom"/>
          </w:tcPr>
          <w:p>
            <w:pPr>
              <w:spacing w:after="0"/>
              <w:rPr>
                <w:sz w:val="24"/>
                <w:szCs w:val="24"/>
                <w:color w:val="auto"/>
              </w:rPr>
            </w:pPr>
          </w:p>
        </w:tc>
      </w:tr>
      <w:tr>
        <w:trPr>
          <w:trHeight w:val="334"/>
        </w:trPr>
        <w:tc>
          <w:tcPr>
            <w:tcW w:w="82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Financial Statement Schedules, Exhibits, and Reports on Form</w:t>
            </w:r>
          </w:p>
        </w:tc>
        <w:tc>
          <w:tcPr>
            <w:tcW w:w="480" w:type="dxa"/>
            <w:vAlign w:val="bottom"/>
          </w:tcPr>
          <w:p>
            <w:pPr>
              <w:spacing w:after="0"/>
              <w:rPr>
                <w:sz w:val="24"/>
                <w:szCs w:val="24"/>
                <w:color w:val="auto"/>
              </w:rPr>
            </w:pPr>
          </w:p>
        </w:tc>
      </w:tr>
      <w:tr>
        <w:trPr>
          <w:trHeight w:val="167"/>
        </w:trPr>
        <w:tc>
          <w:tcPr>
            <w:tcW w:w="820" w:type="dxa"/>
            <w:vAlign w:val="bottom"/>
          </w:tcPr>
          <w:p>
            <w:pPr>
              <w:spacing w:after="0"/>
              <w:rPr>
                <w:sz w:val="14"/>
                <w:szCs w:val="14"/>
                <w:color w:val="auto"/>
              </w:rPr>
            </w:pPr>
          </w:p>
        </w:tc>
        <w:tc>
          <w:tcPr>
            <w:tcW w:w="5480" w:type="dxa"/>
            <w:vAlign w:val="bottom"/>
          </w:tcPr>
          <w:p>
            <w:pPr>
              <w:ind w:left="140"/>
              <w:spacing w:after="0"/>
              <w:rPr>
                <w:sz w:val="20"/>
                <w:szCs w:val="20"/>
                <w:color w:val="auto"/>
              </w:rPr>
            </w:pPr>
            <w:r>
              <w:rPr>
                <w:rFonts w:ascii="Courier New" w:cs="Courier New" w:eastAsia="Courier New" w:hAnsi="Courier New"/>
                <w:sz w:val="14"/>
                <w:szCs w:val="14"/>
                <w:color w:val="auto"/>
              </w:rPr>
              <w:t>8-K.........................................................</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w:t>
            </w:r>
          </w:p>
        </w:tc>
      </w:tr>
    </w:tbl>
    <w:p>
      <w:pPr>
        <w:spacing w:after="0" w:line="33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979"/>
          </w:cols>
          <w:pgMar w:left="48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Waste Management, Inc. ("Waste Management" or the "Company") is one of the largest publicly-owned companies providing integrated waste management services in North America and internationally. In North America, the Company provides solid waste management services throughout the United States and Puerto Rico, as well as in Canada and Mexico, including collection, transfer, recycling and resource recovery services, and disposal services. In addition, the Company is a leading developer, operator and owner of waste-to-energy facilities in the United States. The Company also engages in hazardous waste management services throughout North America, as well as low-level and other radioactive waste services.</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Internationally, the Company operates throughout Europe, the Pacific Rim and in South America. Included in the Company's international operations is the collection and transportation of solid, hazardous and medical wastes and recyclable materials and the treatment and disposal of recyclable materials. The Company also operates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w:t>
      </w:r>
    </w:p>
    <w:p>
      <w:pPr>
        <w:spacing w:after="0" w:line="331"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Company's diversified customer base for its North American solid waste ("NASW") operations was approximately 27 million customers as of December 31, 1999. This customer base includes commercial, industrial, municipal and residential customers, other waste management companies, governmental entities and independent power markets, with no single customer accounting for more than 5% of the Company's operating revenues during 1999. The Company employed approximately 75,000 people as of December 31, 1999 of which, approximately 55,000 related to its NASW operations.</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August 1999, the Company's Board of Directors adopted a strategic plan intended to enhance value for its shareholders, customers, and employees. The plan's major elements are to:</w:t>
      </w:r>
    </w:p>
    <w:p>
      <w:pPr>
        <w:spacing w:after="0" w:line="162" w:lineRule="exact"/>
        <w:rPr>
          <w:sz w:val="20"/>
          <w:szCs w:val="20"/>
          <w:color w:val="auto"/>
        </w:rPr>
      </w:pPr>
    </w:p>
    <w:p>
      <w:pPr>
        <w:ind w:left="620" w:right="3299" w:hanging="177"/>
        <w:spacing w:after="0" w:line="255"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Dispose of the Company's non-strategic and under-performing assets, including the Company's international assets, its non-core assets and up to 10% of its NASW operations.</w:t>
      </w:r>
    </w:p>
    <w:p>
      <w:pPr>
        <w:spacing w:after="0" w:line="161" w:lineRule="exact"/>
        <w:rPr>
          <w:rFonts w:ascii="Courier New" w:cs="Courier New" w:eastAsia="Courier New" w:hAnsi="Courier New"/>
          <w:sz w:val="14"/>
          <w:szCs w:val="14"/>
          <w:color w:val="auto"/>
        </w:rPr>
      </w:pPr>
    </w:p>
    <w:p>
      <w:pPr>
        <w:ind w:left="620" w:right="3639" w:hanging="177"/>
        <w:spacing w:after="0" w:line="255"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or improve the Company's long-term investment grade characteristics while using disposition proceeds for debt repayment, repurchases of shares and selected tuck-in acquisitions.</w:t>
      </w:r>
    </w:p>
    <w:p>
      <w:pPr>
        <w:spacing w:after="0" w:line="161" w:lineRule="exact"/>
        <w:rPr>
          <w:rFonts w:ascii="Courier New" w:cs="Courier New" w:eastAsia="Courier New" w:hAnsi="Courier New"/>
          <w:sz w:val="14"/>
          <w:szCs w:val="14"/>
          <w:color w:val="auto"/>
        </w:rPr>
      </w:pPr>
    </w:p>
    <w:p>
      <w:pPr>
        <w:ind w:left="620" w:right="3899" w:hanging="177"/>
        <w:spacing w:after="0" w:line="255"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Bring more discipline and accountability to the enterprise while continuing the Company's decentralized business model, which puts authority close to the customer.</w:t>
      </w:r>
    </w:p>
    <w:p>
      <w:pPr>
        <w:spacing w:after="0" w:line="161"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Restore a disciplined capital allocation philosophy that focuses on profits as opposed to growth.</w:t>
      </w:r>
    </w:p>
    <w:p>
      <w:pPr>
        <w:spacing w:after="0" w:line="159"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employees the tools they need to do their jobs, including updated and more efficient information systems.</w:t>
      </w:r>
    </w:p>
    <w:p>
      <w:pPr>
        <w:spacing w:after="0" w:line="160"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As part of the strategic plan, the Company announced in January 2000 that one of its subsidiaries reached an agreement to sell its waste services operations in Finland to Lassila &amp; Tikanoja plc for approximately $100 million. The transaction is subject to the approval of the Finnish Competition Authority. Additionally, in February 2000, the Company announced that one of its subsidiaries intends to sell the 60.5% interest in Waste Management New Zealand Limited that it owns. The sale is to be by way of a public and institutional offering in New Zealand and an institutional offering in selected overseas markets. The shares will not be or have not been registered under the United States Securities Act of 1933, as amended, and may not be offered and sold in the United States without registration thereof. Also, in March 2000, the Company announced that one of its subsidiaries has reached an agreement to sell its waste services operations in The Netherlands to Shanks Group plc for approximately $328 million. The sale is subject to the Shanks Group's raising capital and obtaining financing. The Company expects each of these transactions to be completed in the second quarter of 2000. See "Business -- WM International."</w:t>
      </w:r>
    </w:p>
    <w:p>
      <w:pPr>
        <w:spacing w:after="0" w:line="33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Additionally, in March 2000, the Company announced that one of its subsidiaries reached an agreement to sell its nuclear services business to GTS Duratek, Inc. for up to $65 million in cash, consisting of $55 million at closing and up to $10 million in additional cash consideration upon the satisfaction of certain post-closing conditions. The sale, which is subject to regulatory approvals and other customary conditions, is expected to occur in the second quarter of 2000.</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Company's operations are subject to extensive governmental regulation and legislative initiative, such as environmental regulation, mandatory recycling laws, preclusion of certain waste from landfills and restrictions on the flow of solid waste. Due to public awareness and influence regarding waste and the environment, and uncertainty with respect to the enactment and enforcement of future laws, the Company can not always accurately project the impact any future regulation or legislative initiatives may have on its operations. See "-- Regulation" and "Legal Proceedings" for additional information.</w:t>
      </w:r>
    </w:p>
    <w:p>
      <w:pPr>
        <w:spacing w:after="0" w:line="164"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On July 16, 1998, the Company, then known as USA Waste Services, Inc., completed a merger with Waste Management Holdings, Inc. ("WM Holdings") (the "WM Holdings Merger"). At the effective time of the WM Holdings Merger, the Company changed its name to "Waste Management, Inc."</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terms "Waste Management" and the "Company" refer to Waste Management, Inc., a Delaware corporation incorporated on April 28, 1995, and include its predecessors, subsidiaries, and affiliates, unless the context requires otherwise. Waste Management's executive offices are located at 1001 Fannin Street, Suite 4000, Houston, Texas 77002, and its telephone number is (713) 512-6200. The Company's common stock is listed on the New York Stock Exchange under the trading symbol "WMI."</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following table reflects the Company's operating revenues for each of the three years in the period ended December 31, 1999 for each of the Company's principal lines of business, which are as follows: (i) the Company's NASW operations, which include integrated waste management services consisting of collection, transfer, disposal (solid waste landfill, hazardous waste landfill and waste-to-energy facilities), recycling, and other services in the United States and Puerto Rico, Canada and Mexico, (ii) the Company's operations outside of North America ("WM International") and (iii) the Company's hazardous waste management, waste-to-energy facilities and other non-solid waste services ("non-solid waste"). Certain reclassifications have been made to prior year amounts in the financial statements in order to conform to the current year presentation. Additional information regarding the results of operations for the Company's business lines is included in Note 14 to the Company's financial statements included elsewhere herein (in millions).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YEARS</w:t>
            </w:r>
          </w:p>
        </w:tc>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ENDED DECEMBER 31,</w:t>
            </w:r>
          </w:p>
        </w:tc>
      </w:tr>
      <w:tr>
        <w:trPr>
          <w:trHeight w:val="167"/>
        </w:trPr>
        <w:tc>
          <w:tcPr>
            <w:tcW w:w="4600" w:type="dxa"/>
            <w:vAlign w:val="bottom"/>
          </w:tcPr>
          <w:p>
            <w:pPr>
              <w:spacing w:after="0"/>
              <w:rPr>
                <w:sz w:val="14"/>
                <w:szCs w:val="14"/>
                <w:color w:val="auto"/>
              </w:rPr>
            </w:pPr>
          </w:p>
        </w:tc>
        <w:tc>
          <w:tcPr>
            <w:tcW w:w="30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600" w:type="dxa"/>
            <w:vAlign w:val="bottom"/>
          </w:tcPr>
          <w:p>
            <w:pPr>
              <w:spacing w:after="0"/>
              <w:rPr>
                <w:sz w:val="14"/>
                <w:szCs w:val="14"/>
                <w:color w:val="auto"/>
              </w:rPr>
            </w:pP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NASW:</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Collection........................................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7,553.6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$ 6,963.6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$ 6,071.2</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Disposal..........................................</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3,266.9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3,169.4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2,811.9</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Transfer..........................................</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1,195.0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814.5</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Recycling and other...............................</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720.0</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Intercompany......................................</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(1,985.2)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(1,685.1)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(1,172.7)</w:t>
            </w:r>
          </w:p>
        </w:tc>
      </w:tr>
      <w:tr>
        <w:trPr>
          <w:trHeight w:val="167"/>
        </w:trPr>
        <w:tc>
          <w:tcPr>
            <w:tcW w:w="4600" w:type="dxa"/>
            <w:vAlign w:val="bottom"/>
          </w:tcPr>
          <w:p>
            <w:pPr>
              <w:spacing w:after="0"/>
              <w:rPr>
                <w:sz w:val="14"/>
                <w:szCs w:val="14"/>
                <w:color w:val="auto"/>
              </w:rPr>
            </w:pP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10,689.1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10,142.8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9,244.9</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WM International....................................</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1,790.0</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Non-solid waste.....................................</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787.0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949.4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937.6</w:t>
            </w:r>
          </w:p>
        </w:tc>
      </w:tr>
      <w:tr>
        <w:trPr>
          <w:trHeight w:val="167"/>
        </w:trPr>
        <w:tc>
          <w:tcPr>
            <w:tcW w:w="4600" w:type="dxa"/>
            <w:vAlign w:val="bottom"/>
          </w:tcPr>
          <w:p>
            <w:pPr>
              <w:spacing w:after="0"/>
              <w:rPr>
                <w:sz w:val="14"/>
                <w:szCs w:val="14"/>
                <w:color w:val="auto"/>
              </w:rPr>
            </w:pP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13,126.9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$12,625.8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$11,972.5</w:t>
            </w:r>
          </w:p>
        </w:tc>
      </w:tr>
      <w:tr>
        <w:trPr>
          <w:trHeight w:val="167"/>
        </w:trPr>
        <w:tc>
          <w:tcPr>
            <w:tcW w:w="4600" w:type="dxa"/>
            <w:vAlign w:val="bottom"/>
          </w:tcPr>
          <w:p>
            <w:pPr>
              <w:spacing w:after="0"/>
              <w:rPr>
                <w:sz w:val="14"/>
                <w:szCs w:val="14"/>
                <w:color w:val="auto"/>
              </w:rPr>
            </w:pP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North American Solid Waste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6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Management of the Company's NASW operations is primarily achieved through</w:t>
            </w:r>
          </w:p>
        </w:tc>
        <w:tc>
          <w:tcPr>
            <w:tcW w:w="860" w:type="dxa"/>
            <w:vAlign w:val="bottom"/>
          </w:tcPr>
          <w:p>
            <w:pPr>
              <w:spacing w:after="0"/>
              <w:rPr>
                <w:sz w:val="24"/>
                <w:szCs w:val="24"/>
                <w:color w:val="auto"/>
              </w:rPr>
            </w:pPr>
          </w:p>
        </w:tc>
      </w:tr>
      <w:tr>
        <w:trPr>
          <w:trHeight w:val="167"/>
        </w:trPr>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an alignment that currently includes six geographic areas. Each</w:t>
            </w:r>
          </w:p>
        </w:tc>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area is directed</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by a senior Company officer who is responsible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1" w:lineRule="exact"/>
        <w:rPr>
          <w:sz w:val="20"/>
          <w:szCs w:val="20"/>
          <w:color w:val="auto"/>
        </w:rPr>
      </w:pPr>
    </w:p>
    <w:p>
      <w:pPr>
        <w:sectPr>
          <w:pgSz w:w="11900" w:h="16838" w:orient="portrait"/>
          <w:cols w:equalWidth="0" w:num="1">
            <w:col w:w="10159"/>
          </w:cols>
          <w:pgMar w:left="300" w:top="286" w:right="1440" w:bottom="1440" w:gutter="0" w:footer="0" w:header="0"/>
        </w:sectPr>
      </w:pPr>
    </w:p>
    <w:p>
      <w:pPr>
        <w:ind w:left="348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159"/>
          </w:cols>
          <w:pgMar w:left="300" w:top="286"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for oversight of the area's sales and marketing, administration and finance, operations, and maintenance functions and who typically has staff that work interactively with the corporate office to provide regulatory compliance and reporting, legal, engineering, internal and external development, and strategic planning services. Areas are organized into regions, each of which is managed by a Company vice-president. Regions are further organized into divisions and districts which are led by local managers. Geographically, an area encompasses several states or provinces and may have up to nine regions, each of which is responsible for the oversight of several divisions and districts. The division or district manager is responsible for the day-to-day oversight of that local operation, with direct responsibility for customer satisfaction, employee motivation, labor and equipment productivity, internal growth, financial budgets, and profit and loss activity.</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Collection. The Company provides different types of solid waste collection services depending on the customer serviced. Commercial and industrial collection services are generally performed under one to five-year service agreements, and fees are determined by such factors as collection frequency, type of collection equipment furnished by the Company, type and volume or weight of the waste collected, the distance to the disposal facility, labor cost, and cost of disposal. Most residential solid waste collection services are performed under contracts with, or franchises granted by, municipalities or regional authorities that have granted the Company exclusive rights to service all or a portion of the homes in their respective jurisdictions. Such contracts or franchises usually range in duration from one to five years, however, in certain cases, they have significantly longer terms. Residential collection fees are either paid by the municipalities from their tax revenues or service charges, or are paid directly by the residents receiving the service.</w:t>
      </w:r>
    </w:p>
    <w:p>
      <w:pPr>
        <w:spacing w:after="0" w:line="17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part of its services, the Company provides steel containers to most of its commercial and industrial customers to store solid waste. These containers, ranging in size from one to 45 cubic yards, are designed to be lifted mechanically and either emptied into a collection vehicle's compaction hopper or directly into a disposal site in the case of industrial customers. The use of containers enables the Company to service most of its commercial and industrial customers with collection vehicles operated by a single employee.</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often obtains waste collection accounts through acquisitions. Once a collection operation is acquired, the Company implements programs designed to improve equipment utilization, employee productivity, operating efficiencies, and overall profitability. The Company also solicits commercial and industrial customers in areas surrounding acquired residential collection markets as a means of further improving operating efficiencies and increasing solid waste collection volumes.</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cost of transporting solid waste to a disposal location effectively constrains where the Company chooses to operate its businesses. In addition, the Company believes that it is generally preferable for its collection operations to utilize disposal facilities owned or operated by affiliated parties so that access can be assured on reasonable terms. In the remaining areas, waste is collected and delivered to a municipal, county or privately-owned unaffiliated landfill or transfer station.</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Disposal. Landfills are the primary depository for solid waste. A solid waste landfill site must have geological and hydrological properties and design features which limit the possibility of water pollution, directly or by leaching. Solid waste landfill operations, which include carefully planned excavation, construction of liners and final caps, continuous spreading, compacting and covering of solid waste, are designed to maintain sanitary conditions, insure optimum utilization of the airspace and prepare the site for ultimate use for other purposes. Solid waste landfill operations are required to be conducted in accordance with the terms of permits obtained from various regulatory authorities, which typically incorporate the requirements of federal environmental laws or applicable state requirements, whichever are more stringent. These requirements address such matters as daily volume limitations, placement of daily, interim and final site cover materials on waste disposed at the site, construction and operation of methane gas and leachate management systems, periodic groundwater monitoring activity and final closure requirements and post-closure monitoring and maintenance activities.</w:t>
      </w:r>
    </w:p>
    <w:p>
      <w:pPr>
        <w:spacing w:after="0" w:line="17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Solid waste landfill customers are charged disposal charges, known as "tipping fees," based on market factors and the type and volume of solid waste deposited and the type and size of vehicles used in the conveyance of solid waste. The ownership or lease of a solid waste landfill enables the Company to dispose of</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waste without payment of tipping fees to unaffiliated parties. The Company's solid waste landfills are also used by unaffiliated waste collection companies and government agencies.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Company operates five secure hazardous waste land disposal facilities</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in the United States, all of which have been issued permits under the Resource</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Conservative and Recovery Act ("RCRA"). See "Regulation -- RCRA." In general,</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the Company's hazardous waste land disposal facilities have received the</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necessary permits and approvals to accept hazardous wastes, although some of</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such sites may accept only certain hazardous wastes. Only hazardous waste in a</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stable, solid form which meets applicable regulatory requirements may be</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deposited in the Company's secure disposal cells. These land disposal facilities</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are sited, constructed and operated in a manner designed to provide long-term</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containment of such waste. Hazardous wastes may be treated prior to disposal.</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Physical treatment methods include distillation, evaporation and separation, all</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of which effectively result in the separation or removal of solid materials from</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liquids. Chemical treatment methods include chemical oxidation and reduction,</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chemical precipitation of heavy metals, hydrolysis and neutralization of acid</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and alkaline wastes and essentially involve the transformation of wastes into</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inert materials through one or more chemical reaction processes. At two</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facilities, the Company isolates treated hazardous wastes in liquid form by</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injection into deep wells. Deep well technology involves drilling wells in</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suitable rock formations far below the base of fresh water to a point that is</w:t>
            </w:r>
          </w:p>
        </w:tc>
        <w:tc>
          <w:tcPr>
            <w:tcW w:w="700" w:type="dxa"/>
            <w:vAlign w:val="bottom"/>
          </w:tcPr>
          <w:p>
            <w:pPr>
              <w:spacing w:after="0"/>
              <w:rPr>
                <w:sz w:val="14"/>
                <w:szCs w:val="14"/>
                <w:color w:val="auto"/>
              </w:rPr>
            </w:pPr>
          </w:p>
        </w:tc>
      </w:tr>
      <w:tr>
        <w:trPr>
          <w:trHeight w:val="167"/>
        </w:trPr>
        <w:tc>
          <w:tcPr>
            <w:tcW w:w="6000" w:type="dxa"/>
            <w:vAlign w:val="bottom"/>
            <w:gridSpan w:val="2"/>
          </w:tcPr>
          <w:p>
            <w:pPr>
              <w:spacing w:after="0"/>
              <w:rPr>
                <w:sz w:val="20"/>
                <w:szCs w:val="20"/>
                <w:color w:val="auto"/>
              </w:rPr>
            </w:pPr>
            <w:r>
              <w:rPr>
                <w:rFonts w:ascii="Courier New" w:cs="Courier New" w:eastAsia="Courier New" w:hAnsi="Courier New"/>
                <w:sz w:val="14"/>
                <w:szCs w:val="14"/>
                <w:color w:val="auto"/>
              </w:rPr>
              <w:t>separated by other substantial geological confining layers.</w:t>
            </w: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70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Excluding landfills that the Company has held for sale as of December 31,</w:t>
            </w:r>
          </w:p>
        </w:tc>
        <w:tc>
          <w:tcPr>
            <w:tcW w:w="700" w:type="dxa"/>
            <w:vAlign w:val="bottom"/>
          </w:tcPr>
          <w:p>
            <w:pPr>
              <w:spacing w:after="0"/>
              <w:rPr>
                <w:sz w:val="24"/>
                <w:szCs w:val="2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1999, the average landfill volume of the Company's North American active sites</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for 1999 was approximately 421,000 tons per day. The average remaining life for</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these landfills was approximately 18 years based on remaining permitted capacity</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as of December 31, 1999 and projected annual disposal volumes. The average</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remaining life for these sites was approximately 31 years based on remaining</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permitted capacity and probable expansion capacity. The expected remaining</w:t>
            </w:r>
          </w:p>
        </w:tc>
        <w:tc>
          <w:tcPr>
            <w:tcW w:w="700" w:type="dxa"/>
            <w:vAlign w:val="bottom"/>
          </w:tcPr>
          <w:p>
            <w:pPr>
              <w:spacing w:after="0"/>
              <w:rPr>
                <w:sz w:val="14"/>
                <w:szCs w:val="14"/>
                <w:color w:val="auto"/>
              </w:rPr>
            </w:pPr>
          </w:p>
        </w:tc>
      </w:tr>
      <w:tr>
        <w:trPr>
          <w:trHeight w:val="167"/>
        </w:trPr>
        <w:tc>
          <w:tcPr>
            <w:tcW w:w="7040" w:type="dxa"/>
            <w:vAlign w:val="bottom"/>
            <w:gridSpan w:val="3"/>
          </w:tcPr>
          <w:p>
            <w:pPr>
              <w:spacing w:after="0"/>
              <w:rPr>
                <w:sz w:val="20"/>
                <w:szCs w:val="20"/>
                <w:color w:val="auto"/>
              </w:rPr>
            </w:pPr>
            <w:r>
              <w:rPr>
                <w:rFonts w:ascii="Courier New" w:cs="Courier New" w:eastAsia="Courier New" w:hAnsi="Courier New"/>
                <w:sz w:val="14"/>
                <w:szCs w:val="14"/>
                <w:color w:val="auto"/>
              </w:rPr>
              <w:t>airspace capacity in cubic yards and the remaining landfill gate tons of the</w:t>
            </w:r>
          </w:p>
        </w:tc>
        <w:tc>
          <w:tcPr>
            <w:tcW w:w="700" w:type="dxa"/>
            <w:vAlign w:val="bottom"/>
          </w:tcPr>
          <w:p>
            <w:pPr>
              <w:spacing w:after="0"/>
              <w:rPr>
                <w:sz w:val="14"/>
                <w:szCs w:val="14"/>
                <w:color w:val="auto"/>
              </w:rPr>
            </w:pPr>
          </w:p>
        </w:tc>
      </w:tr>
      <w:tr>
        <w:trPr>
          <w:trHeight w:val="167"/>
        </w:trPr>
        <w:tc>
          <w:tcPr>
            <w:tcW w:w="6000" w:type="dxa"/>
            <w:vAlign w:val="bottom"/>
            <w:gridSpan w:val="2"/>
          </w:tcPr>
          <w:p>
            <w:pPr>
              <w:spacing w:after="0"/>
              <w:rPr>
                <w:sz w:val="20"/>
                <w:szCs w:val="20"/>
                <w:color w:val="auto"/>
              </w:rPr>
            </w:pPr>
            <w:r>
              <w:rPr>
                <w:rFonts w:ascii="Courier New" w:cs="Courier New" w:eastAsia="Courier New" w:hAnsi="Courier New"/>
                <w:sz w:val="14"/>
                <w:szCs w:val="14"/>
                <w:color w:val="auto"/>
              </w:rPr>
              <w:t>Company's active sites, excluding sites that are held for sale as of</w:t>
            </w: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December 31, 1999, is as follows (in millions):</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496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PERMITTED</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EXPANSION</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TOTAL</w:t>
            </w:r>
          </w:p>
        </w:tc>
      </w:tr>
      <w:tr>
        <w:trPr>
          <w:trHeight w:val="167"/>
        </w:trPr>
        <w:tc>
          <w:tcPr>
            <w:tcW w:w="496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Remaining cubic yards...................................</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2,607.8</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1,844.1</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4,451.9</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Remaining tonnage.......................................</w:t>
            </w:r>
          </w:p>
        </w:tc>
        <w:tc>
          <w:tcPr>
            <w:tcW w:w="10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2,115.9</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1,461.7</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3,577.6</w:t>
            </w:r>
          </w:p>
        </w:tc>
      </w:tr>
    </w:tbl>
    <w:p>
      <w:pPr>
        <w:spacing w:after="0" w:line="338"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In areas where additional airspace is required, the Company may attempt to develop a new disposal facility or seek the required permits to expand an existing site. An expansion of an existing site may include either a lateral expansion onto property not previously permitted for landfill use or a vertical expansion by increasing the height of the landfill beyond the current permitted height.</w:t>
      </w:r>
    </w:p>
    <w:p>
      <w:pPr>
        <w:spacing w:after="0" w:line="16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Suitable solid waste landfill facilities and permission to expand existing facilities may be difficult to obtain in some areas because of land scarcity, local resident opposition and governmental regulation. As its existing facilities become filled in such areas, the Company's solid waste disposal operations are and will continue to be materially dependent on its ability to purchase, lease or otherwise obtain operating rights for additional sites or expansion of existing sites and to obtain the necessary permits from regulatory authorities to construct and operate them. In addition, there can be no assurance that additional sites can be obtained or that existing facilities can continue to be expanded or operated.</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To develop a new disposal facility or obtain approval for the expansion of an existing site, the Company must expend significant time and capital resources without any certainty that the necessary permits will ultimately be issued for such facility or that the Company will be able to achieve and maintain the desired disposal volume at such facility. If the inability to obtain and retain necessary permits, the failure of a facility to achieve the desired disposal volume or other factors cause the Company to abandon development efforts for a facility, the capitalized development costs of the facility are charged to expense.</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Transfer Stations. A transfer station is a facility located near residential and commercial collection routes where solid waste is received from collection vehicles and then transferred to and compacted in large, specially-constructed trailers for transportation to disposal facilities. This consolidation reduces costs by improving the utilization of collection personnel and equipment. Fees are generally based on such factors as the type and volume of the waste transferred and the transportation distance to disposal sites. Transfer stations</w:t>
      </w:r>
    </w:p>
    <w:p>
      <w:pPr>
        <w:sectPr>
          <w:pgSz w:w="11900" w:h="16838" w:orient="portrait"/>
          <w:cols w:equalWidth="0" w:num="1">
            <w:col w:w="10159"/>
          </w:cols>
          <w:pgMar w:left="300" w:top="286" w:right="1440" w:bottom="1440" w:gutter="0" w:footer="0" w:header="0"/>
        </w:sectPr>
      </w:pP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159"/>
          </w:cols>
          <w:pgMar w:left="300" w:top="286"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can also be used to facilitate internalizing disposal costs by giving Company collection operations more cost-effective access to disposal facilities owned or operated by the Company.</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Recycling. The Company provides recycling services in the United States and Canada through its Recycle America(R), Recycle Canada(R) and other programs. Recycling involves the removal of reusable materials from the waste stream for processing and sale or other disposition for use in various applications. Participating commercial and industrial operations use containers to separate recyclable paper, glass, plastic and metal wastes for collection, processing and sale by the Company. Fees are determined by such considerations as competition, frequency of collection, type and volume or weight of the recyclable material, degree of processing required, distance the recyclable material must be transported and value of the recyclable material.</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part of its residential solid waste collection services, the Company engages in curbside collection of recyclable materials from residences in the United States and Canada. Curbside recycling services generally involve the collection of recyclable paper, glass, plastic and metal waste materials, which may be separated by residents into different waste containers or commingled with other recyclable materials. The recyclable materials are then typically deposited at a local materials recovery facility ("MRF") where they are sorted and processed for sale. The Company operates over 170 MRFs for the receipt and processing of recyclable materials. Such processing consists of separating recyclable materials according to type and baling or otherwise preparing the separated materials for sale.</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prices received by the Company for recyclable materials fluctuate substantially from quarter to quarter and year to year depending upon domestic and foreign demand for such materials, the quality of such materials, prices for new materials and other factors. In some instances, the Company enters into agreements with customers or the local governments of municipalities in which it provides recycling services whereby the customers or the governments share in the gains and losses resulting from fluctuation in prices of recyclable commodities. These agreements can reduce both the Company's gains and losses from such fluctuations.</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Energy Recovery. The Company develops, operates, and owns waste-to-energy facilities in the United States. The Company's waste-to-energy projects are capable of processing up to 23,750 tons of solid waste per day. The heat from this combustion process is converted into high-pressure steam, which typically is used to generate electricity for sale to public utility companies under long-term contracts.</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At 70 Company-owned or Company-operated solid waste landfill facilities, the Company is engaged in methane gas recovery operations. These operations involve the installation of a gas collection system into a solid waste landfill facility. Through the gas collection system, gas generated by decomposing solid waste is collected and transported to a gas-processing facility at the landfill site. Through physical and chemical processes, methane gas is separated from contaminants. The processed methane gas is then generally either sold directly to industrial users or to an affiliate of the Company which uses it as a fuel to power electricity generators. Electricity generated by these facilities is sold, usually to public utilities under long-term sales contracts, often under terms or conditions which are subject to approval by regulatory authorities.</w:t>
      </w:r>
    </w:p>
    <w:p>
      <w:pPr>
        <w:spacing w:after="0" w:line="163"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Portable Sanitation Services. The Company also provides portable sanitation services to municipalities and commercial customers.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WM International</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August 1999, the Board of Directors of the Company announced its strategic plan, one element of which is to sell its WM International operations. In the first quarter of 2000, the Company announced that certain of its subsidiaries had signed definitive agreements to sell its operations in Finland and The Netherlands and intend to sell its interest in Waste Management New Zealand Limited. The Company expects to complete the sales of its WM International operations pursuant to the strategic plan in the year 2000.</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Company's WM International operations, which include all of the Company's operations outside of North America, may broadly be characterized into two areas of activity, collection services and treatment and disposal services.</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While the Company has considerable experience in mobilizing operations internationally and managing foreign projects, its operations continue to be subject generally to such risks as currency fluctuations and exchange controls, the need to recruit and retain suitable local labor forces and to control and coordinate operations in different jurisdictions, changes in foreign laws or governmental policies or attitudes concerning their enforcement, political changes, local economic conditions and international tensions. In addition, price adjustment provisions based on certain formulas or indices may not accurately reflect the actual impact of inflation on the cost of performance.</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Collection. Internationally, collection services include collection and transportation of solid, hazardous and medical wastes and recyclable material from residential, commercial and industrial customers. The residential solid waste collection process, as well as the commercial and industrial solid and hazardous waste collection process, is similar to that utilized by the Company in its North American operations. Business is obtained through public bids or tenders, negotiated contracts, and, in the case of commercial and industrial customers, direct contracts.</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Residential solid waste collection is typically performed internationally pursuant to municipal contracts. The scope, specifications, services provided and duration of such contracts vary substantially, with some contracts encompassing landfill disposal of collected waste, street sweeping and other related municipal services. Pricing for municipal contracts is generally based on volume of waste, number and frequency of collection pick-ups, and disposal arrangements. Longer-term contracts typically have formulas for periodic price increases or adjustments. The Company's WM International operations also include providing curbside recycling services similar to those provided by the Company's North American operations.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International commercial and industrial solid and hazardous waste collection services are generally contracted for by individual establishments. In addition to solid waste collection customers, the Company provides services to small quantity waste generators, as well as larger petrochemical, pharmaceutical and other industrial customers, including collection of hazardous, chemical or medical wastes or residues. Contract terms and prices vary substantially among jurisdictions and types of customers. Commercial and industrial recycling services are also provided as part of the Company's WM International operations.</w:t>
      </w:r>
    </w:p>
    <w:p>
      <w:pPr>
        <w:spacing w:after="0" w:line="164"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Treatment and Disposal. Treatment and disposal services include processing of recyclable materials, operation of both solid and hazardous waste landfills, operation of municipal and hazardous waste incinerators, operation of water and wastewater treatment facilities, operation of hazardous waste treatment facilities and construction of treatment or disposal facilities for third parties. Treatment and disposal services are provided under contracts which may be obtained through public bid or tender or by direct negotiation, and are also provided directly to other waste service companies.</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Once collected, solid waste processed in a MRF may be sold, utilized or disposed of in various applications. Unprocessed solid wastes, or the portion of the waste stream remaining after recovery of recyclable materials, require disposal, which may be accomplished through incineration (in which the energy value may be recovered in a waste-to-energy facility) or through disposal in a solid waste landfill. The relative use of landfills versus incinerators differs from country to country and will depend on many factors, including the availability of land, geological and hydrogeological conditions, the availability and cost of technology and capital, and the regulatory environment. The main determinants of the disposal method are the disposal costs at local landfills, as incineration is generally more expensive, community preferences and regulatory provisions.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At present, in most countries in which the Company has WM International operations, landfilling is the predominant disposal method employed. Through its international subsidiaries, the Company owns or operates solid waste landfills in Argentina, Australia, Brazil, Denmark, Germany, Hong Kong, Italy, New Zealand, Sweden and the United Kingdom. Landfill disposal agreements may be separate contracts or an integrated portion of collection or treatment contracts.</w:t>
      </w:r>
    </w:p>
    <w:p>
      <w:pPr>
        <w:spacing w:after="0" w:line="332"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Through its international subsidiaries, the Company owns or operates hazardous waste treatment facilities in Australia, Brazil, Brunei, Denmark, Finland, Germany, Hong Kong, Indonesia, The Netherlands, Sweden, and the United Kingdom.</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right="3299" w:firstLine="434"/>
        <w:spacing w:after="0" w:line="256" w:lineRule="auto"/>
        <w:rPr>
          <w:sz w:val="20"/>
          <w:szCs w:val="20"/>
          <w:color w:val="auto"/>
        </w:rPr>
      </w:pPr>
      <w:r>
        <w:rPr>
          <w:rFonts w:ascii="Courier New" w:cs="Courier New" w:eastAsia="Courier New" w:hAnsi="Courier New"/>
          <w:sz w:val="14"/>
          <w:szCs w:val="14"/>
          <w:color w:val="auto"/>
        </w:rPr>
        <w:t>Other. Industrial premises, office, street and parking lot cleaning services are also part of the Company's WM International operations, along with portable sanitation services for occasions such as outdoor concerts and special events.</w:t>
      </w:r>
    </w:p>
    <w:p>
      <w:pPr>
        <w:spacing w:after="0" w:line="32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Non-Solid Waste Services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Hazardous Waste Management Services. Hazardous wastes handled by the Company include industrial by-products and residues that have been identified as "hazardous" pursuant to RCRA, as well as other materials contaminated with a wide variety of chemical substances. Hazardous waste may be collected from customers and transported by the Company or contractors retained by the Company or delivered by customers to the facilities. Hazardous waste is transported primarily in specially constructed tankers and semi-trailers, including stainless steel and rubber or epoxy-lined tankers and vacuum trucks, or in containers or drums on trailers designed to comply with applicable regulations and specifications of the United States Department of Transportation ("DOT") relating to the transportation of hazardous materials. The Company also operates several facilities at which waste collected from or delivered by customers may be analyzed and consolidated prior to further shipment.</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the United States, most hazardous wastes generated by industrial processes are handled "on-site" at the generators' facilities. Since the mid-1970's, public awareness of the harmful effects of unregulated disposal of hazardous wastes on the environment and health has led to extensive and evolving federal, state and local regulation of hazardous waste management activities. The major federal statutes regulating the management of hazardous wastes or substances include RCRA, the Toxic Substances Control Act ("TSCA") and the Comprehensive Environmental Response, Compensation and Liabilities Act of 1980, as amended ("CERCLA" or "Superfund"), all primarily administered by the EPA. The hazardous waste management business is heavily dependent upon the extent to which regulations promulgated under these or similar state statutes and their enforcement over time effectively require wastes to be specially handled or managed and disposed of in facilities of the type owned and operated by the Company. See "Regulation -- Hazardous Waste," "-- RCRA" and "-- Superfund." The hazardous waste services industry currently has substantial excess capacity caused by a number of factors, including a decline in environmental remediation projects generating hazardous waste for off-site treatment and disposal, continuing efforts by hazardous waste generators to reduce volume and to manage the wastes on-site, and the uncertain regulatory environment regarding hazardous waste management and remediation requirements. These factors have led to reduced demand and increased pressure on pricing for hazardous waste management services, conditions which the Company expects to continue for the foreseeable future.</w:t>
      </w:r>
    </w:p>
    <w:p>
      <w:pPr>
        <w:spacing w:after="0" w:line="34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Low-Level and Other Radioactive Waste Services. Radioactive wastes with varying degrees of radioactivity are generated by nuclear reactors and by medical, industrial, research and governmental users of radioactive material. Radioactive wastes are generally classified as either high-level or low-level. High-level radioactive waste, such as spent nuclear fuel and waste generated during the reprocessing of spent fuel from nuclear reactors, contains substantial quantities of long-lived radionuclides and is the ultimate responsibility of the federal government. Low-level radioactive waste, which decays more quickly than high-level waste, largely consists of dry compressible wastes (such as contaminated gloves, paper, tools and clothing), resins and filters which have removed radioactive contaminants from nuclear reactor cooling water, and solidified wastes from power plants which have become contaminated with radioactive substances and irradiated hardware.</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Company announced in March 2000 that, pursuant to its strategic plan, one of its subsidiaries has entered into an agreement to sell all of its low-level and other radioactive waste service operations. The Company expects that the sale of these operations, which are described below, will be completed during the second quarter of 2000. See "Business -- General."</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Chem-Nuclear Systems LLC subsidiary ("Chem-Nuclear") provides comprehensive low-level radioactive waste management services in the United States, consisting of disposal, processing and various other special services. To a lesser extent, it provides services with respect to radioactive waste that has become mixed with regulated hazardous waste. Its Barnwell, South Carolina facility, which has been in operation since 1971, is one of three licensed commercial low-level radioactive waste disposal facilities in the</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United States. A trust has been established and funded to pay the estimated cost of decommissioning the Barnwell facility. A second trust, for the extended care of the facility, is funded by a surcharge on each cubic foot of waste received. Chem-Nuclear may be liable for additional costs if the extra charges collected to restore and maintain the facility are insufficient to cover the cost of restoring or maintaining the site during and after its closure. The Company does not expect this to have a material adverse impact on future operating results.</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Under state legislation enacted in 1995, the Barnwell site is authorized to operate until its current permitted disposal activity is fully utilized. However, that legislation was attached to a state appropriations bill that included a provision for a state tax of $235 to be imposed on every cubic foot of waste disposed of at the Barnwell facility. As a result of decreased disposal volume and a shortfall in anticipated tax revenue, in June 1997, the state of South Carolina enacted new legislation requiring that Chem-Nuclear guarantee certain portions of anticipated tax revenues from the facility. Such reduced disposal volume and the requirement that Chem-Nuclear fund such tax payments have caused Chem-Nuclear to review its alternatives with respect to the Barnwell facility.</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Chem-Nuclear also processes low-level radioactive waste at its customers' plants to enable such waste to be shipped in dry matter rather than liquid form to meet the requirements for receipt at disposal facilities and to reduce the volume of waste that must be transported. Processing operations include solidification, demineralization, dewatering and filtration. Other services offered by Chem-Nuclear include providing electro-chemical, abrasive and chemical removal of radioactive contamination, providing management services for spent nuclear fuel storage pools and storing and incinerating liquid radioactive organic wastes.</w:t>
      </w:r>
    </w:p>
    <w:p>
      <w:pPr>
        <w:spacing w:after="0" w:line="331"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Through its Waste Management Federal Services, Inc. subsidiary, the Company provides hazardous, radioactive and mixed waste program and facilities management services, primarily to the United States Department of Energy and other federal government agencies. Such services include waste treatment, storage, characterization and disposal, and privatization services.</w:t>
      </w:r>
    </w:p>
    <w:p>
      <w:pPr>
        <w:spacing w:after="0" w:line="162"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Independent Power Projects. The Company also operates and, in some cases, owns independent power projects which either cogenerate electricity and thermal energy or generate electricity alone for sale to customers, including utilities and private customers.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North American solid waste industry, despite recent consolidation, is still highly competitive. The Company encounters intense competition, primarily in the pricing and rendering of services, from various sources in all phases of its operations. The competition encountered by the Company in its North American solid waste operations is primarily from numerous publicly-held companies, locally-owned private solid waste services companies, municipalities and other regional or multi-governmental authorities, and large commercial and industrial companies handling their own waste collection or disposal operations. Local governmental entities are at times able to offer lower direct charges to the customer for the same service by subsidizing the cost of such services through the use of tax revenues and tax-exempt financing. Generally, however, municipalities do not provide significant commercial and industrial waste collection or waste disposal.</w:t>
      </w:r>
    </w:p>
    <w:p>
      <w:pPr>
        <w:spacing w:after="0" w:line="33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Operating costs, disposal costs, and collection fees vary widely throughout the geographic areas in which the Company operates. The prices that the Company charges are determined locally, and typically vary by the volume, type of waste collected, treatment requirements, risks involved in the handling or disposing of waste, frequency of collections, distance to final disposal sites, labor costs and amount and type of equipment furnished to the customer. Long-term solid waste collection contracts typically contain a formula, generally based on published price indices, for automatic adjustment of fees.</w:t>
      </w:r>
    </w:p>
    <w:p>
      <w:pPr>
        <w:spacing w:after="0" w:line="164"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Company competes for landfill business on the basis of tipping fees, geographical location, and quality of operations. The Company's ability to obtain landfill volume may be limited by the fact that some major collection companies also own or operate landfills to which they internalize their waste. The Company competes for collection accounts primarily based on price and the quality of its services. Intense competition is encountered for both quality of service and pricing. From time to time, competitors may reduce the price of</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their services and accept lower profit margins in an effort to expand or maintain market share or to successfully obtain competitively bid contracts.</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provides residential collection services under a number of municipal contracts. Such contracts are subject to periodic competitive bidding, and there is no assurance that the Company will be the successful bidder and will be able to retain such contracts. If the Company is unable to replace certain contracts lost through the competitive bidding process with comparable contracts within a reasonable time period, the earnings of the Company could be adversely affected.</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Increased public environmental awareness and certain mandated state regulations have resulted in increased recycling, composting and waste reduction efforts in many different areas of North America. Such efforts tend to reduce the amount of solid waste directed to landfills and waste-to-energy facilities. Although the Company believes that landfills and waste-to-energy facilities will continue to be the primary depository for solid waste well into the future, there can be no assurance that recycling, composting, and waste reduction efforts will not affect future disposal volumes. The effect, if any, on such volumes could also vary between different geographic regions as well as within individual market areas in each region.</w:t>
      </w:r>
    </w:p>
    <w:p>
      <w:pPr>
        <w:spacing w:after="0" w:line="164"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The Company also encounters intense competition in pricing and rendering of services in its portable sanitation service business, from numerous large and small competitors. In addition, the Company's program and facilities management business encounters intense competition, primarily in pricing, quality and reliability of services, from various sources in all aspects of its business.</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its hazardous waste management operations, the Company encounters competition from a number of sources, including several national or regional firms specializing primarily in hazardous waste management, local waste management concerns and, to a much greater extent, generators of hazardous wastes which seek to reduce the volume of or otherwise process and dispose of such wastes themselves. The basis of competition is primarily technical expertise and the price, quality and reliability of service.</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Similarly, the Company encounters intense competition in its WM International operations from local companies and governmental entities in particular countries, as well as from major international companies. Pricing, quality of service and type of equipment utilized are the primary methods of competition for collection services, and proximity of suitable treatment or disposal facilities, technical expertise, price, quality and reliability of services are the primary methods of competition for treatment and disposal services.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At December 31, 1999, the Company had approximately 75,000 full-time employees, of which approximately 10,000 were employed in clerical, administrative, and sales positions, 3,000 in management, and the balance in collection, disposal, transfer station and other operations. Approximately 13,000 of the Company's employees are covered by collective bargaining agreements. Of the Company's 75,000 full-time employees, there are approximately 55,000 related to its NASW operations at December 31, 1999. The Company has not experienced a significant work stoppage, and management considers its employee relations to be good.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AND FINANCIAL ASSURANCE OBLIGATIONS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carries a broad range of insurance coverages, which management considers prudent for the protection of the Company's assets and operations, including general liability, automobile liability, real and personal property, workers' compensation, directors' and officers' liability, and such other coverages as management deems necessary. Some of these coverages are subject to varying retentions of risk by the Company. At December 31, 1999, the Company's casualty policies provided for $2 million per occurrence coverage for primary commercial general liability and $1 million per accident coverage for primary automobile liability (including coverage for pollution exposure arising out of trucking operations) supported by $500 million in umbrella insurance protection. At December 31, 1999, the Company's property policy provided insurance coverage for all of the Company's real and personal property on a replacement cost basis, including California earthquake perils. At December 31, 1999, the Company also carried $200 million in aircraft liability</w:t>
      </w:r>
    </w:p>
    <w:p>
      <w:pPr>
        <w:spacing w:after="0" w:line="17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protection. The Company believes these are appropriate levels for its operations and that such levels meet applicable requirements of the various states and countries in which it operates, however, various factors, including cost and coverage availability, could cause the Company to change its levels of coverage.</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maintains workers' compensation insurance in accordance with laws of the various states and countries in which it has employees. At December 31, 1999, the Company's ongoing workers' compensation insurance program had a deductible per incident of $250,000. Through the second quarter of 1999, the Company estimated its insurance-related liabilities for the ongoing programs mainly related to workers' compensation, based on an analysis of insurance claims submitted for reimbursement, plus an estimate for liabilities incurred as of the balance sheet date, but not yet reported to the Company. In the third quarter of 1999, the Company began estimating these liabilities based on actuarially determined estimates of ultimate losses. These estimates are generally within a range of potential ultimate outcomes.</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At December 31, 1999, this policy provided $10 million of coverage per loss with a $20 million aggregate limit.</w:t>
      </w:r>
    </w:p>
    <w:p>
      <w:pPr>
        <w:spacing w:after="0" w:line="16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64"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Municipal and governmental waste management contracts typically require performance bonds or bank letters of credit to secure performance. In addition, the Company is required to provide financial assurance for final closure and post-closure obligations with respect to its landfills. The Company uses different mechanisms for establishing financial assurance depending on the jurisdiction, including escrow-type accounts funded by revenues during the operational life of a facility, letters of credit from third parties, corporate guarantees, surety bonds and traditional insurance. However, the Company also establishes financial assurance through "captive insurance" which is insurance provided by the Company's wholly-owned, but independent, regulated insurance company subsidiary, National Guaranty Insurance Company ("NGIC"). NGIC is authorized to write up to $1.1 billion in insurance policies or surety bond limits for the Company's final closure and post-closure requirements. In those instances where the use of NGIC or captive insurance is not acceptable, the Company has available alternative bonding mechanisms. The Company has not experienced difficulty in obtaining performance bonds or letters of credit for its current operations. As of December 31, 1999, the Company had provided letters of credit of approximately $1.5 billion, and surety bonds of approximately $3.0 billion to municipalities and other customers and other regulatory authorities supporting tax-exempt bonds, performance of landfill final closure and post-closure requirements, insurance contracts, and other contracts. Continued availability of surety bonds and letters of credit in sufficient amounts at acceptable rates is an important aspect of obtaining additional municipal collection contracts and obtaining or retaining disposal site operating permits.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General -- Potential Adverse Effect of Government Regulations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principal business activities are subject to extensive and evolving federal, state, local and foreign environmental, health, safety, and transportation laws and regulations. These regulations are administered by the EPA in the United States, various other federal, state, and local environmental, zoning, health, and safety agencies in the United States and elsewhere, including the European Environmental Agency in Europe and various other national agencies outside of Europe. Many of these agencies periodically examine the Company's operations to monitor compliance with such laws and regulations.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Generally, the regulatory process requires the Company, and other companies in the industry, to obtain and retain numerous governmental permits to conduct various aspects of its operations, any of which may be subject to revocation, modification or denial. Particularly, the development, expansion, and operation of landfills and transfer stations are subject to extensive regulations governing siting, design, operations, monitoring, site maintenance, corrective action, financial assurance, and final closure and post-closure obligations. In order to construct, expand, and operate a landfill or transfer station, the Company must obtain and maintain one or more construction or operating permits and licenses and, in certain instances, applicable zoning approvals. Obtaining the necessary permits and approvals in connection with the acquisition, development, or expansion of a landfill or transfer station is difficult, time-consuming (often taking two to three years or more), and expensive, and is frequently opposed by local citizens as well as environmental groups. Many agencies require public hearings prior to issuance of such permits giving such opposition an opportunity to be heard. In addition, many agencies consider the compliance history of the applicant as well as any parent, subsidiary or affiliated company as a factor in the permit approval process. Once obtained, operating permits are subject to modification and revocation by the issuing agency. The Company is also subject to the licensing requirements of the Federal Communications Commission ("FCC") with respect to two-way radio communications. Compliance with current and future regulatory requirements may require the Company, as well as others in the waste management industry, from time to time, to make significant capital and operating expenditures.</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For collection operations, regulation takes such forms as licensing collection vehicles, health and safety requirements, vehicular weight limitations, and, in certain localities, limitations on weight, area, time, and frequency of collection.</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Federal, state, local and foreign governments have, from time to time, proposed or adopted other types of laws, regulations, or initiatives with respect to the environmental services industry, including laws, regulations, and initiatives to ban or restrict the international, interstate, or intrastate shipment of wastes, impose higher taxes on out-of-state waste shipments than on in-state shipments, limit the types of wastes that may be disposed of at existing landfills, mandate waste minimization initiatives, require recycling and yard waste composting, reclassify certain categories of nonhazardous waste as hazardous, and regulate disposal facilities as public utilities. Congress has, from time to time, considered legislation that would enable or facilitate such bans, restrictions, taxes, and regulations, many of which could adversely affect the demand for the Company's services. Similar types of laws, regulations, and initiatives have also, from time to time, been proposed or adjusted in other jurisdictions in which the Company operates. The effect of these and similar laws could be a reduction of the volume of waste that would otherwise be disposed of in the Company's landfills. The Company makes a continuing effort to anticipate regulatory, political, and legal developments that might affect its operations, but it is not always able to do so. The Company cannot predict the extent to which any legislation or regulation that may be enacted, amended, repealed, reinterpreted, or enforced in the future may affect its operations. Such actions could adversely affect the Company's operations or impact the Company's future financial condition or earnings.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Also, in May 1994, the United States Supreme Court ruled that state and local governments may not constitutionally restrict the free movement of waste in interstate commerce through the use of flow control laws. Such laws typically involve a local government specifying a jurisdictional disposal site for all solid waste generated within its borders. Since the ruling, several decisions of state or federal courts have invalidated regulatory flow control schemes in a number of jurisdictions. Other judicial decisions have upheld non-regulatory means by which municipalities may effectively control the flow of municipal solid waste. In addition, federal legislation has been proposed, but not yet enacted, to effectively grandfather existing flow control mandates. There can be no assurance that such alternatives to regulatory flow control will in every case be found lawful or that such legislation will be enacted into law. However, the Supreme Court's 1994 ruling and subsequent court decisions have not to date had a material adverse effect on any of the Company's operations. In the event that such legislation is not adopted, the Company believes that affected municipalities will endeavor to implement alternative lawful means to continue controlling the flow of waste. In view of the uncertain state of the law at this time, however, the Company is unable to predict whether such efforts would be successful or what impact, if any, this matter might have on the Company's operations.</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1997, the EPA released guidance interpreting the Civil Rights Act to require federal, state, or local permitting authorities receiving money from the EPA to consider the discriminatory effects that may result from permit issuances, renewals or modifications. The EPA will entertain challenges to any such permits on the grounds that the permitted activities, alone or in conjunction with other permitted activities, subject minority communities to disparate exposure to pollution. The lack of specific standards in the EPA's guidance creates some uncertainty about the effects any such challenges could have on the Company's ability to obtain or renew necessary permits.</w:t>
      </w:r>
    </w:p>
    <w:p>
      <w:pPr>
        <w:spacing w:after="0" w:line="164"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demand for certain of the services provided by the Company, particularly its hazardous waste management services, is dependent in part on the existence and enforcement of federal, state, local and foreign laws and regulations which govern the discharge of hazardous substances into the environment and on the funding of agencies and programs under such laws and regulations. Such businesses will be adversely affected to the extent that such laws or regulations are amended or repealed, with the effect of reducing the regulation of, or liability for, such activity, that the enforcement of such laws and regulations is lessened or that funding of agencies and programs under such laws and regulations is delayed or reduced. In particular, the EPA continues to consider proposals under RCRA to redefine the term "hazardous waste" for regulatory purposes. Under some such proposals, wastes containing minimal concentrations of hazardous substances would no longer be subject to the stringent record-keeping, handling, treatment and disposal rules applied to hazardous wastes under RCRA. These proposals would, if adopted, reduce the volume of wastes for which the Company's hazardous waste management services are needed.</w:t>
      </w:r>
    </w:p>
    <w:p>
      <w:pPr>
        <w:spacing w:after="0" w:line="339"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addition to environmental laws and regulations, federal government contractors, including the Company, are subject to extensive regulation under the United States Federal Acquisition Regulation and numerous statutes which deal with the accuracy of cost and pricing information furnished to the United States government, the allowability of costs charged to the United States government, the conditions under which contracts may be modified or terminated, and other similar matters. Various aspects of the Company's operations are subject to audit by agencies of the United States government in connection with its performance of work under such contracts as well as its submission of bids or proposals to the United States government. Failure to comply with contract provisions or other applicable requirements may result in termination of the contract, the imposition of civil and criminal penalties against the Company, or the suspension or debarment of all or a part of the Company from performing services for the United States government, which could have a material adverse impact upon the Company's financial condition or earnings for one or more fiscal quarters or years. Among the reasons for debarment are violations of various statutes, including those related to employment practices, the protection of the environment, the accuracy of records and the recording of costs. Other governmental authorities have similar suspension and debarment laws or regulations which are applicable to their respective jurisdictions.</w:t>
      </w:r>
    </w:p>
    <w:p>
      <w:pPr>
        <w:spacing w:after="0" w:line="17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Governmental authorities have the power to enforce compliance with regulations and permit conditions and to obtain injunctions or impose fines in case of violations. During the ordinary course of its operations, the Company may, from time to time, receive citations or notices from such authorities that a facility is not in full compliance with applicable environmental or health and safety regulations. Upon receipt of such citations or notices, the Company will work with the authorities to address their concerns. Failure to correct the problems to the satisfaction of the authorities could lead to monetary penalties, curtailed operations, jail terms, facility closure, or an inability to obtain permits for additional sites.</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a result of changing government and public attitudes in the area of environmental regulation and enforcement, management anticipates that continually changing requirements in health, safety, and environmental protection laws will require the Company and others engaged in the waste management industry to continually modify or replace various facilities and alter methods of operation at costs that may be substantial. The Company's significant expenditures incurred in the operation of its disposal facilities relate to complying with the requirements of laws concerning the environment. These expenditures relate to facility upgrades, corrective actions, and facility final closure and post-closure care. The majority of these expenditures are made in the normal course of the Company's business and neither materially adversely affect the Company's earnings nor place the Company at any competitive disadvantage. Although the Company, to its knowledge, is currently in compliance in all material respects with all applicable federal, state, and local laws, permits,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regulations, and orders affecting its operations where noncompliance would result in a material adverse effect on the Company's financial condition, results of operations or cash flows, there is no assurance that the Company will not have to expend substantial amounts for such actions in the future.</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expects to grow in part by acquiring existing landfills, transfer stations, and collection operations. Although the Company conducts environmental due diligence investigations associated with the past waste management practices of the businesses that it acquires, it can have no assurance that, through its investigation, it will identify all potential environmental problems or risks. As a result, the Company may have acquired, or may in the future acquire, landfills or other properties or businesses that have unknown environmental problems and related liabilities. The Company will be subject to similar risks and uncertainties in connection with the acquisition of closed facilities that had been previously operated by businesses acquired by the Company. The Company seeks to mitigate the foregoing risks by obtaining environmental representations and indemnities from the sellers of the businesses that it acquires. However, there can be no assurance that the Company will be able to rely on any such indemnities if an environmental liability exists.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Solid Waste</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Operating permits are generally required at the state and local level for landfills, transfer stations and collection vehicles. Operating permits need to be renewed periodically and may be subject to revocation, modification, denial or non-renewal for various reasons, including failure of the Company to satisfy regulatory concerns. With respect to solid waste collection, regulation takes such forms as licensing of collection vehicles, truck safety requirements, radio communication licensing, vehicular weight limitations and, in certain localities, limitations on rates, area, time and frequency of collection. With respect to solid waste disposal, regulation covers various matters, including landfill location and design, groundwater monitoring, gas control, liquid runoff and rodent, pest, litter and traffic control. Zoning and land use requirements and limitations are encountered in the solid waste collection, transfer, recycling, energy recovery and disposal phases of the Company's business. In almost all cases the Company is required to obtain conditional use permits or zoning law changes in order to develop transfer station, resource recovery or disposal facilities. In addition, the Company's disposal facilities are subject to water and air pollution laws and regulations. Noise pollution laws and regulations may also affect the Company's operations. Governmental authorities have the power to enforce compliance with these various laws and regulations and violators are subject to injunctions, fines and revocation of permits. Private individuals may also have the right to sue to enforce compliance. Safety standards under the Occupational Safety and Health Act ("OSHA") are also applicable to the Company's solid waste and related services operations.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EPA and various states acting pursuant to EPA-delegated authority have promulgated rules pursuant to RCRA which serve as minimum requirements for land disposal of municipal wastes. The rules establish requirements applicable to the siting, construction, operations, final closure and post-closure monitoring and maintenance of all but the smallest municipal waste landfill facilities. The Company does not believe that continued compliance with the more stringent minimum requirements will have a material adverse effect on the Company's operations. See also "-- RCRA" and "-- Superfund" below for additional regulatory information.</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March 1996, the EPA issued regulations that require large, municipal solid waste landfills to install and monitor systems to collect and control landfill gas. The regulations apply to landfills that are designed to accommodate 2.5 million cubic meters or more of municipal solid waste and that accepted waste for disposal after November 8, 1987, regardless of whether the site is active or closed. The date by which each affected landfill must have such a gas collection and control system depends on whether the landfill began operation before or after May 30, 1991. In the United States, landfills constructed, reconstructed, modified or first accepting waste after May 30, 1991, generally must have had systems in place by late 1998. Older landfills are generally regulated by states and will be required to have landfill gas systems in place within approximately 30 months of EPA's approval of the state program. Many state solid waste regulations already require collection and control systems. Compliance with the new regulations is not expected to have a material adverse effect on the Company.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Hazardous Waste</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is required to obtain federal, state, local and foreign governmental permits for its hazardous waste treatment, storage and disposal facilities. Such permits are difficult to obtain, and in most instances extensive geological studies, tests and public hearings are required before permits may be issued. The Company's hazardous waste treatment, storage and disposal facilities are also subject to siting, zoning and land use restrictions, as well as to regulations (including certain requirements pursuant to federal statutes) which may govern operating procedures and water and air pollution, among other matters. In particular, the Company's operations in the United States are subject to the Safe Drinking Water Act (which regulates deep well injection), TSCA (pursuant to which the EPA has promulgated regulations concerning the disposal of polychlorinated biphenyls ("PCBs")), the Clean Water Act (which regulates the discharge of pollutants into surface waters and sewers by municipal, industrial and other sources) and the Clean Air Act (which regulates emissions into the air of certain potentially harmful substances). In transportation operations, the Company is subject to the jurisdiction of the Interstate Commerce Commission and regulated by the DOT and by regulatory agencies in each state. Employee safety and health standards under OSHA are also applicable. The Company is also subject to the licensing requirements of the FCC with respect to two-way radio communications.</w:t>
      </w:r>
    </w:p>
    <w:p>
      <w:pPr>
        <w:spacing w:after="0" w:line="17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All of the Company's hazardous waste treatment, storage or disposal facilities in the United States have been issued permits under RCRA. The regulations governing issuance of permits contain detailed standards for hazardous waste facilities on matters such as construction, waste analysis, security, inspections, training, preparedness and prevention, emergency procedures, reporting and recordkeeping, final closure and post-closure monitoring and maintenance. Once issued, a final permit has a maximum fixed term of ten years, and such permits for land disposal facilities are required to be reviewed five years from the date of issuance. The issuing agency (either the EPA or an authorized state) may review or modify a permit at any time during its term.</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believes that it maintains each of its operating treatment, storage or disposal facilities in substantial compliance with the applicable requirements promulgated pursuant to RCRA. It is possible, however, that the issuance or renewal of a permit could be made conditional upon the initiation or completion of modifications or corrective actions at facilities, which might involve substantial additional capital expenditures. Although the Company anticipates the reauthorization of each permit at the end of its term if the facility's operations are in compliance with applicable requirements, there can be no assurance that such will be the case.</w:t>
      </w:r>
    </w:p>
    <w:p>
      <w:pPr>
        <w:spacing w:after="0" w:line="164"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radioactive waste services of Chem-Nuclear are also subject to extensive governmental regulation. Due to the extensive geological and hydrogeological testing and environmental data required, and the complex political environment, it is difficult to obtain permits for radioactive waste disposal facilities. Various phases of Chem-Nuclear's low-level radioactive waste management services are regulated by various state agencies, the United States Nuclear Regulatory Commission (the "NRC") and the DOT. Regulations applicable to Chem-Nuclear's operations include those dealing with packaging, handling, labeling and routing of radioactive materials, and prescribe detailed safety and equipment standards and requirements for training, quality control and insurance, among other matters. Employee safety and health standards under OSHA are also applicable, as well as radio communication licensing by the FCC.</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Waste-to-Energy and Related Services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provides waste-to-energy and related services through its wholly-owned subsidiary Wheelabrator Technologies Inc. ("WTI"), which is now managed as part of the NASW operations. WTI's business activities are subject to environmental regulation under federal, state and local laws and regulations. These regulations include the Clean Air Act, the Clean Water Act and RCRA. The Company believes that this business is conducted in material compliance with applicable laws and regulations. There can be no assurance, however, that such requirements will not change to the extent that it would materially affect the Company's consolidated financial statements. The Company believes that the air pollution control systems at certain waste-to-energy facilities owned or leased for use in these operations most likely will be required to be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modified to comply with more stringent air pollution control standards adopted by the EPA in December 1995 for large municipal waste combusters. The compliance dates have varied by facility, but all affected facilities will be required to be in compliance with the standards by the end of the year 2000. Currently available technologies are adequate to meet the new standards. Although the total expenditures required for such modifications are approximately $75.2 million, they are not expected to have a material adverse effect on the Company's liquidity or results of operations because provisions in the impacted facilities' long-term waste supply agreements generally allow the Company to recover from customers the majority of incremental capital and operating costs. The customer's share of capital and financing costs is typically recovered over the remaining life of the waste supply agreements, and pro rata operating costs are recovered in the period incurred. There can be no assurance, however, the Company will be able to recover, for each project, all such increased costs from its customers. Moreover, it is possible that future developments, such as increasingly strict requirements of environmental laws, and enforcement policies thereunder, could affect the manner in which the Company operates its waste-to-energy projects and conducts its business, including the handling, processing or disposal of the wastes, by-products and residues generated thereby.</w:t>
      </w:r>
    </w:p>
    <w:p>
      <w:pPr>
        <w:spacing w:after="0" w:line="340"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Company's Gloucester County, New Jersey waste-to-energy facility historically relied on a disposal franchise for substantially all of its supply of municipal solid waste. On May 1, 1997, the Third Circuit Court of Appeals (the "Third Circuit") permanently enjoined the State of New Jersey from enforcing its franchise system as a form of unconstitutional solid waste flow control, but stayed the injunction for so long as any appeals were pending. On November 10, 1997, the United States Supreme Court announced its decision not to review the Third Circuit decision, thereby ending the stay and, effectively, the facility's disposal franchise. In response, the Gloucester facility lowered its prices. In early 1999, the Company entered into an agreement pursuant to which the Company will operate the Gloucester facility and provide disposal services under a new service agreement for the next ten years. As part of the agreement, Gloucester County agreed to cooperate in a refinancing of the existing project debt. The refinancing, which closed in the fourth quarter of 1999, settled all disputes and released the existing letter of credit. As a result of the agreement and refinancing, the Company expects the Gloucester project to operate profitably, albeit at reduced levels, in the absence of regulatory control.</w:t>
      </w:r>
    </w:p>
    <w:p>
      <w:pPr>
        <w:spacing w:after="0" w:line="17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Company's energy facilities in the United States are also subject to the provisions of various energy-related laws and regulations, including the Public Utility Regulatory Policies Act of 1978 ("PURPA"). The ability of the Company's waste-to-energy and small power production facilities to sell power to electric utilities on advantageous terms and conditions and to avoid burdensome public utility regulation has historically depended, in part, upon the applicability of certain provisions of PURPA, which generally exempts the Company from state and federal regulatory control over electricity prices charged by, and the finances of, the Company and its energy-producing subsidiaries. As state legislatures and the United States Congress have accelerated their consideration of the manner in which economic efficiencies can be gained by deregulating the electric generation industry, utilities and others have taken the position that power sales agreements entered into pursuant to PURPA which provide for rates in excess of current market rates should be voidable as "stranded assets." The Company's power production facilities are qualifying facilities under PURPA and depend on the sanctity of their power sales agreements for their economic viability. Although a repeal or modification of PURPA is possible within the next two years, the Company believes that federal law offers strong protection to the PURPA contracts and recent state and federal agency and court decisions have unanimously upheld the inviolate nature of these contracts. In addition, state legislative actions to date have not attempted to abrogate these contracts. While there is some risk that future utility restructurings, court decisions and/or legislative or administrative action in this area could have an adverse effect on the business of the Company, in light of recent developments, the Company currently believes such risk is remote. In addition, the passage of the Energy Policy Act of 1992 created an alternative ownership mechanism by which the Company's future independent power projects would be able to participate in the electricity generation industry without the burdens of traditional public utility regulation. For those reasons, the operations of existing waste-to-energy and other small power production facilities business are not currently expected to be materially and adversely affected if the various benefits of PURPA are repealed or substantially reduced on a prospective basis. However, the Company can give no assurances that future utility restructurings, court</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decisions or legislative or administrative action in this area will not have a material adverse impact on its consolidated financial statements.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RCRA</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Pursuant to RCRA, the EPA has established and administers a comprehensive "cradle-to-grave" system for the management of a wide range of industrial by-products and residues identified as "hazardous" wastes. States that have adopted hazardous waste management programs with standards at least as stringent as those promulgated by the EPA may be authorized by the EPA to administer their programs in lieu of RCRA.</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Under RCRA and federal transportation laws, a transporter must deliver hazardous waste in accordance with a manifest prepared by the generator of the waste and only to a treatment, storage or disposal facility having a RCRA permit or interim status under RCRA. Every facility that treats or disposes of hazardous wastes must obtain a RCRA permit from the EPA or an authorized state and must comply with certain operating standards. The RCRA permitting process involves applying for interim status and also for a final permit. Under RCRA and the implementing regulations, facilities which have obtained interim status are allowed to continue operating by complying with certain minimum standards pending issuance of a permit.</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RCRA also imposes restrictions on land disposal of certain hazardous wastes and prescribes standards for hazardous waste land disposal facilities. Under RCRA, land disposal of certain types of untreated hazardous wastes has been banned, except where the EPA has determined that land disposal of such wastes and treatment residuals should be permitted. The disposal of liquids in hazardous waste land disposal facilities is also prohibited.</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EPA, from time to time, considers fundamental changes to its regulations under RCRA that could facilitate exemptions from hazardous waste management requirements, including policies and regulations that could implement the following changes: redefine the criteria for determining whether wastes are hazardous; prescribe treatment levels which, if achieved, could render wastes nonhazardous; encourage further recycling and waste immunization; and indirectly encourage on-site remediation. To the extent such changes are adopted, they can be expected to adversely affect the demand for the Company's hazardous waste management disposal facilities. In this regard, the EPA has recently proposed regulations which would have the effect of reducing the volume of waste classified as hazardous for RCRA regulatory purposes.</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addition to the foregoing provisions, RCRA regulations require the Company to demonstrate financial responsibility for possible bodily injury and property damage to third parties caused by both sudden and nonsudden accidental occurrences. Also, RCRA regulations require the Company to provide financial assurance that funds will be available when needed for final closure and post-closure care at its waste treatment, storage and disposal facilities, the costs of which could be substantial. See "Business -- Insurance and Financial Assurance Obligations." Such regulations allow the financial assurance requirements to be satisfied by various means, including letters of credit, surety bonds, trust funds, a financial (net worth) test and a guarantee by a parent corporation. Under RCRA regulations, a company must pay the closure costs for a waste treatment, storage or disposal facility owned by it upon the closure of the facility and thereafter pay post-closure care costs. If such a facility is closed prior to its originally anticipated time, it is unlikely that sufficient funds or reserves will have been accrued over the life of the facility to provide for such costs, and the owner of the facility could suffer a material adverse impact as a result. Consequently, it may be difficult to close such facilities to reduce operating costs at times when, as is currently the case in the hazardous waste services industry, excess treatment, storage or disposal capacity exists.</w:t>
      </w: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Superfund</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Among other things, Superfund generally provides for the remediation of sites from which there has been a release or threatened release of a hazardous substance into the environment. Superfund imposes joint and several liability for the costs of remediation and for damages to natural resources upon the present and former owners or operators of facilities or sites from which there is a release or threatened release of hazardous substances. Waste generators and waste transporters are also strictly liable. Under the authority of CERCLA,</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detailed requirements apply to the manner and degree of remediation of facilities and sites where hazardous substances have been or are threatened to be released into the environment.</w:t>
      </w:r>
    </w:p>
    <w:p>
      <w:pPr>
        <w:spacing w:after="0" w:line="16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Liability under CERCLA is not dependent upon the intentional disposal of "hazardous wastes," as defined under RCRA. It can be founded upon a release or threatened release, even as a result of lawful, unintentional, and non-negligent action, of any one of more than 750 "hazardous substances," including very small quantities of such substances. CERCLA requires the EPA to establish a National Priorities List ("NPL") of sites at which hazardous substances have been or are threatened to be released and which require investigation or remediation. The EPA's primary way of determining whether a site is to be included on the NPL is the Hazard Ranking System, which evaluates the relative potential for a release of hazardous substances to pose a threat to human health or the environment pursuant to a scoring system based on factors grouped into three categories: (1) likelihood of release, (2) hazardous substance characteristics, and (3) receptors. To date, approximately 31,000 sites have been reviewed. These sites are compiled on the Comprehensive Environmental Response, Compensation, and Liability Information System ("CERCLIS") list. The identification of a site on the CERCLIS list indicates only that the site has been brought to the attention of the EPA and will undergo an assessment of environmental conditions thereon, but it does not necessarily mean that an actual health or environmental threat currently exists or has ever existed.</w:t>
      </w:r>
    </w:p>
    <w:p>
      <w:pPr>
        <w:spacing w:after="0" w:line="174"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Of the 1405 NPL sites, 250 of the sites are solid waste landfills. Thus, even if the Company's landfills have never received "hazardous wastes" as such, one or more hazardous substances may have come to be located at its landfills. Because of the extremely broad definition of "hazardous substances," the same is true of other industrial properties with which the Company or its predecessors has been, or with which the Company may become, associated as an owner or operator. Consequently, if there is a release or threatened release of such substances into the environment from a site currently or previously owned or operated by the Company, the Company could be liable under CERCLA for the cost of removing such hazardous substances at the site, remediation of contaminated soil or groundwater, and for damages to natural resources, even if those substances were deposited at the Company's facilities before the Company acquired or operated them. A finding of such liability could have a material adverse impact on the Company's business and financial condition. See "Business -- Insurance and Financial Assurance Obligations."</w:t>
      </w:r>
    </w:p>
    <w:p>
      <w:pPr>
        <w:spacing w:after="0" w:line="17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Under CERCLA, the Company may not be liable for the remediation of a disposal site that was never owned or operated by the Company ("third party site") containing hazardous substances transported to such site by the Company if the site was selected by the generator of the hazardous substance. However, the Company would be responsible for any hazardous substances during actual transportation. Also, the Company could be liable under CERCLA for environmental contamination at a third party site caused by the release of hazardous substances transported by the Company where the Company selected the disposal site. CERCLA imposes liability for certain environmental response measures upon transporters who selected the disposal site at which a release or threatened release of hazardous substances occurs. It therefore is common in the solid waste transport business to receive information requests from the EPA about transporting activities to disposal sites. The Company has received information requests regarding transporting activities to its own disposal sites as well as third party sites. The environmental agencies or other potentially responsible parties could assert that the Company is liable for environmental response measures arising out of disposal at a third party site that was selected by the Company, a waste transporter acquired by the Company, or a waste transporter with whom the Company contracted.</w:t>
      </w:r>
    </w:p>
    <w:p>
      <w:pPr>
        <w:spacing w:after="0" w:line="17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Traditionally, in most states, purchasers of assets have not acquired the liabilities of the seller unless explicitly agreeing to do so. A trend developing in federal courts is the expansion of the number of entities liable under Superfund. Some Federal courts have ruled that because of the "broad remedial purposes" of Superfund, asset purchasers should be liable for the activities of the seller. Over the years, the Company has acquired assets from a significant number of sellers whose liabilities were not considered at the time of the transaction. This developing trend could materially increase the Company's Superfund exposure. The Company is vigorously resisting this change both judicially and legislatively.</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Several bills have been introduced in the United States Congress to reauthorize and substantially amend CERCLA. In addition to possible changes in the statute's funding mechanisms and provisions for allocating</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cleanup responsibility, Congress may also fundamentally alter the statute's provisions governing the selection of appropriate site remedial action. In this regard, new approaches to cleanup, removal, treatment, and remediation of hazardous substance releases may be adopted which rely on nationally or site-specific risk based standards. These types of policy changes could significantly affect the stringency and extent of site remediation, the types of remediation techniques employed, and the types of waste management facilities that may be used for the treatment and disposal of hazardous substances. Congress may additionally consider revision of the liability imposed by CERCLA on current owners of property for contamination caused prior to a party's acquisition of a site. This consideration could potentially reduce responsibility for remediation obligations under CERCLA that the Company could otherwise incur.</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WM International</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Company's WM International operations are subject to the general business, liability, land-use planning and other environmental laws and regulations of the countries where the services are performed and, in Europe, to European Union ("EU") regulations and directives. The degree of local enforcement of applicable laws and regulations varies substantially between, and even within, the various countries where the Company has WM International operations. The Company has WM International operations in many countries that are members of the EU, which has issued and continues to issue environmental directives and regulations covering a broad range of environmental matters and has created a European Environmental Agency responsible for monitoring and collating member state environmental data. The Single European Act, passed in 1987, established three fundamental principles to guide the development of future EU environmental law: (i) the need for preventative action; (ii) the correction of environmental problems at the source; and (iii) the polluter's liability for environmental damage.</w:t>
      </w:r>
    </w:p>
    <w:p>
      <w:pPr>
        <w:spacing w:after="0" w:line="172"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Treaty on European Union, signed in December 1991, came into force in November 1993. Revised in Amsterdam in June 1997, the Treaty now regards "sustainable development" as a key component of EU policy-making and requires that environmental protection be integrated into the definition and application of all EU laws.</w:t>
      </w:r>
    </w:p>
    <w:p>
      <w:pPr>
        <w:spacing w:after="0" w:line="162"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impact of current and future EU legislation will vary from country to country according to the degree to which existing national requirements already meet or fall short of the new EU standards and, in some jurisdictions, may require extensive public and private sector investment and the development and provision of the necessary technology, expertise, administrative procedures and regulatory structures. These extensive laws and regulations are continually evolving in response to technological advances and heightened public and political concern.</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Outside Europe, continuing industrialization, population expansion and urbanization have caused increased levels of pollution with all of the resultant social and economic implications. The desire to sustain economic growth and address historical pollution problems is being accompanied by investments in environmental infrastructure and the introduction of regulatory standards to further control industrial activities.</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believes that its WM International operations are conducted in material compliance with applicable laws and regulations and does not anticipate that maintaining such compliance will adversely affect the Company's consolidated financial statements or operations. There can be no assurance, however, that such requirements will not change so as to require significant additional expenditures or operating costs.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 and Local Regulation</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states in which the Company operates have their own laws and regulations that may be more strict than comparable federal laws and regulations governing hazardous and nonhazardous solid waste disposal, water and air pollution, releases and cleanup of hazardous substances and liability for such matters. The states also have adopted regulations governing the siting, design, operation, maintenance, final closure, and post-closure maintenance of landfills and transfer stations. The Company's facilities and operations are likely to be subject to many, if not all, of these types of requirements. In addition, the Company's collection and landfill operations may be affected by the trend in many states toward requiring the development of waste reduction and recycling programs. For example, several states have enacted laws that require counties to adopt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comprehensive plans to reduce, through waste planning, composting, recycling, or other programs, the volume of solid waste deposited in landfills. Additionally, the disposal of yard waste in solid waste landfills has been banned in several states. Legislative and regulatory measures to mandate or encourage waste reduction at the source and waste recycling have also been considered from time to time by the United States Congress and the EPA.</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Various states have enacted, or are considering enacting, laws that restrict the disposal within the state of hazardous and nonhazardous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disposal sites. In May 1994, the United States Supreme Court ruled that a flow control ordinance was unconstitutional. However, from time to time, the United States Congress has considered legislation authorizing states to adopt regulations, restrictions, or taxes on the importation of extraterritorial waste, and granting states and local governments authority to enact partial flow control legislation. To date, such congressional efforts have been unsuccessful. The United States Congress' adoption of such legislation allowing for restrictions on importation of extraterritorial waste or certain types of flow control, or the adoption of legislation affecting interstate transportation of waste at the federal or state level, could adversely affect the Company's solid waste management services, including collection, transfer, disposal, and recycling operations, and in particular the Company's ability to expand landfill operations acquired in certain areas.</w:t>
      </w:r>
    </w:p>
    <w:p>
      <w:pPr>
        <w:spacing w:after="0" w:line="34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Many states and local jurisdictions in which the Company operates have enacted "fitness" laws that allow agencies having jurisdiction over waste services contracts or permits to deny or revoke such contracts or permits on the basis of an applicant's (or permit holder's) compliance history. Some states and local jurisdictions go further and consider the compliance history of the parent, subsidiaries or affiliated companies, in addition to the applicant. These laws authorize the agencies to make determinations of an applicant's fitness to be awarded a contract or to operate and to deny or revoke a contract or permit because of unfitness absent a showing that the applicant has been rehabilitated through the adoption of various operating policies and procedures put in place to assure future compliance with applicable laws and regulations.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INFLUENCING FUTURE RESULTS AND ACCURACY OF FORWARD-LOOKING STATEMENTS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the normal course of its business, the Company, in an effort to help keep its stockholders and the public informed about the Company's operations, may from time to time issue or make certain statements, either in writing or orally, that are or contain forward-looking statements, as that term is defined in the United States federal securities laws. Generally, these statements relate to business plans or strategies, projected or anticipated benefits or other consequences of such plans or strategies, projected or anticipated benefits from acquisitions made by or to be made by the Company, or projections involving anticipated revenues, earnings, or other aspects of operating results. The words "may," "should," "expect," "believe," "anticipate," "project," "estimate," their opposites and similar expressions are intended to identify forward-looking statements. The Company cautions readers that such statements are not guarantees of future performance or events and are subject to a number of factors that may tend to influence the accuracy of the statements and the projections upon which the statements are based, including but not limited to those discussed below. As noted elsewhere in this report, all phases of the Company's operations are subject to a number of uncertainties, risks, and other influences, many of which are outside the control of the Company, and any one of which, or a combination of which, could materially affect the Company's financial statements and operations and whether forward-looking statements made by the Company ultimately prove to be accurate.</w:t>
      </w:r>
    </w:p>
    <w:p>
      <w:pPr>
        <w:spacing w:after="0" w:line="34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following discussion outlines certain factors that could affect the Company's financial statements for 2000 and beyond and cause them to differ materially from those that may be set forth in forward-looking statements made by or on behalf of the Company.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Uncertainties Relating to Pending Litigation and Investigations</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Company faces uncertainties relating to pending litigation and investigations. See "Legal Proceedings." The Company is unable to predict the outcome or impact of these matters and there can be no assurance that they will not have a material adverse effect on the Company and its operations.</w:t>
      </w:r>
    </w:p>
    <w:p>
      <w:pPr>
        <w:spacing w:after="0" w:line="163" w:lineRule="exact"/>
        <w:rPr>
          <w:sz w:val="20"/>
          <w:szCs w:val="20"/>
          <w:color w:val="auto"/>
        </w:rPr>
      </w:pPr>
    </w:p>
    <w:p>
      <w:pPr>
        <w:ind w:left="180" w:right="3379"/>
        <w:spacing w:after="0" w:line="255" w:lineRule="auto"/>
        <w:rPr>
          <w:sz w:val="20"/>
          <w:szCs w:val="20"/>
          <w:color w:val="auto"/>
        </w:rPr>
      </w:pPr>
      <w:r>
        <w:rPr>
          <w:rFonts w:ascii="Courier New" w:cs="Courier New" w:eastAsia="Courier New" w:hAnsi="Courier New"/>
          <w:sz w:val="14"/>
          <w:szCs w:val="14"/>
          <w:color w:val="auto"/>
        </w:rPr>
        <w:t>Accounting Charges Have Negatively Impacted Reported Financial Results, Have Resulted in the Charges Related to the Impairment of the Value of Certain Assets and May Reflect Decreases in Future Cash Flows</w:t>
      </w:r>
    </w:p>
    <w:p>
      <w:pPr>
        <w:spacing w:after="0" w:line="16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During 1999, the Company initiated a comprehensive internal review of its accounting records, systems, processes and controls at the direction of the Board of Directors. As a result of this review, the Company recorded certain charges and adjustments in the third quarter of 1999 totaling $1.23 billion after tax. Because of the size of the charges, generally accepted accounting principles require the Company to attempt to determine whether portions of the charges apply to prior periods. While the Company believes that certain of these charges may have related to prior periods, it does not have sufficient information to identify all specific charges attributable to prior periods. Producing the information required to identify these charges would be cost prohibitive and disruptive to the Company's operations. Additionally, the Company concluded, based on its quantitative and qualitative analysis of available information, after consultation with its independent public accountants, that it did not have, nor was it able to obtain, sufficient information to conclude what amount of the charges relate to any individual prior year, although qualitative analysis indicates that these charges are principally related to 1999. Accordingly, the Company has concluded that these charges are appropriately reflected in the 1999 annual financial statements.</w:t>
      </w:r>
    </w:p>
    <w:p>
      <w:pPr>
        <w:spacing w:after="0" w:line="340"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Some of the charges and adjustments recorded in 1999, such as certain increases in insurance reserves, environmental reserves, loss contract provisions and adjustments resulting from completing account reconciliations, are recurring in nature, and should therefore be expected to occur in future periods. Additionally, certain of these charges and adjustments, including receivables-related adjustments and insurance reserves, could have an impact on future cash flows.</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Because some of the charges discussed above affect account balances applicable to periods prior to the third quarter 1999, the Company concluded, after consultation with its independent public accountants, that its internal controls for the preparation of interim financial information did not provide an adequate basis for its independent public accountants to complete reviews of the quarterly financial data for the quarters in 1999.</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has taken steps to stabilize its accounting systems and its internal control environment. However, there can be no assurances that there will not be any additional material adjustments based on future events or that the Company will be able to successfully stabilize its accounting systems and procedures; any such failure could result in additional material charges and adjustments in the future. See "Management's Discussion and Analysis -- 1999 Accounting Charges and Adjustments."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Company May Encounter Difficulties in Implementing its Strategic Plan</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ability to successfully implement its strategic plan may be affected by the willingness of prospective purchasers to purchase the 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transactions. The success of the strategic plan could also be affected by the availability of financing and uncertainties relating to the impact of the proposed strategic plan on the Company's credit ratings and, consequently, the availability and cost of debt and equity financing to the Company.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Potential Difficulties in Continuing to Manage Growth</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has experienced rapid growth, primarily through acquisitions. The Company's future financial results and prospects depend in large part on its ability to successfully manage and improve the operating efficiencies and productivity of these acquired operations. In particular, whether the anticipated benefits of acquired operations are ultimately achieved will depend on a number of factors, including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ability of the Company to achieve administrative cost savings, rationalization of collection routes, insurance and bonding cost reductions, general economies of scale, and the ability of the Company, generally, to capitalize on its asset base and strategic position. Moreover, the ability of the Company to operate successfully will depend on a number of factors, including competition from other waste management companies, availability of working capital, ability to maintain margins on existing or acquired operations, and the management of costs in a changing regulatory environment. There can be no assurance that the Company will be able to successfully manage its growth or that the historic pace of its growth will not adversely affect its existing or acquired operations.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Potential Risks of Acquisition Strategy</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has regularly pursued opportunities to expand through the acquisition of additional waste management businesses and continues to pursue operations that can be effectively integrated with the Company's existing operations. In addition, the Company has historically pursued mergers and acquisition transactions, several of which have been significant, in new areas where the Company believes that it can successfully become a provider of integrated waste management services.</w:t>
      </w:r>
    </w:p>
    <w:p>
      <w:pPr>
        <w:spacing w:after="0" w:line="16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Company's acquisition strategy involves certain potential risks, which are continuing. These include the risk that the Company may not accurately assess all of the pre-existing liabilities of acquired companies and that the Company may encounter unexpected difficulties in successfully integrating the operations of acquired companies with the Company's existing operations.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International Operations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Operations in foreign countries generally are subject to a number of risks inherent in any business operating in foreign countries, including political, social, economic instability and inflation, general strikes, nationalization of assets, currency restrictions and exchange rate fluctuations, nullification, modification or renegotiation of contracts, and governmental regulation, all of which are beyond the control of the Company. No prediction can be made as to how existing or future foreign governmental regulations in any jurisdiction may affect the Company in particular or the waste management industry in general. As part of its strategic plan, the Company is pursuing the divestiture of its WM International operations. See "Business -- WM International."</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Capital Requirements; Indebtedness Under Credit Facilities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expects to generate sufficient cash flow from its operations in 2000 to cover its anticipated cash needs for capital expenditures and acquisitions. If the Company's cash flow from operations during 2000 is less than currently expected, or if the Company's capital requirements increase, either due to strategic decisions or otherwise, the Company may elect to incur future indebtedness to cover any additional capital needs. However, there can be no assurance that the Company will be successful in obtaining additional capital on acceptable terms through such debt incurrences.</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current credit facilities require the Company to maintain compliance with certain financial ratios. If the Company's cash flows from operations are less than expected or the Company's capital requirements increase, the Company may not be in compliance with such ratios, resulting in a default under the credit agreements. If any such default occurs, the Company may not be able to obtain waivers or secure amendments to the facilities, and the lenders could elect to declare all borrowings outstanding to be due and payable. If the Company's indebtedness under its credit facilities were to be accelerated, there can be no assurances that the Company could repay such indebtedness in full. Since the Company is partially dependent on the credit facilities to fund its borrowing needs, any such default would have a material adverse effect on the Company's financial condition and results of operations.</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There can also be no assurances that the Company will be successful in renewing its existing credit facility, which must be renewed annually, or that any such renewal will be on terms acceptable to the Company. Any failure by the Company to successfully renew its existing credit facility, or to obtain other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financing sources, could have a material adverse effect on the Company's operations and financial statements. See Note 6 to the financial statements included elsewhere herein.</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has historically used variable rate debt under revolving bank credit arrangements as one method of financing. Although recent financings by the Company have reduced the amount of variable rate debt as a percentage of total indebtedness outstanding, the Company intends to continue to use variable rate debt as a financing alternative. To the extent that variable interest rates fluctuate as general interest rates change, an increase in interest rates could have a material adverse effect on the Company's earnings in the future.</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Effect of Competition on Profitability</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waste management industry is highly competitive. In North America, the industry consists of several large national waste management companies, and numerous local and regional companies of varying sizes and financial resources. The Company competes with numerous waste management companies and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Although the Company is a leading provider of waste management and related services outside of North America, the Company does not believe that any non-governmental entity accounts for a material portion of the very decentralized, highly fragmented international business. In some areas, however, the Company competes with substantial, well-capitalized companies which hold significant market shares, particularly in Finland, Germany, The Netherlands, Sweden and the United Kingdom. The international waste management and related services industry is highly competitive and certain aspects require substantial human and capital resources. The Company encounters intense competition from governmental, quasi-governmental and private sources in all aspects of its international operations. However, as part of its strategic plan, the Company has determined to divest its international operations. See "Business -- WM International."</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Capitalized Expenditures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accordance with generally accepted accounting principles, the Company capitalizes certain expenditures and advances relating to acquisitions, pending acquisitions, and disposal site development and expansion projects. The Company expenses indirect acquisition costs, such as executive salaries, general corporate overhead, public affairs and other corporate services, as incurred. The Company's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the Company estimates will be recoverable, through sale or otherwise. In future periods, the Company may be required to incur a charge against earnings in accordance with such policy. Depending on the magnitude of any such charge, it could have a material adverse effect on the Company's financial statements.</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Restrictions and Costs Associated with Government Regulation</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operations are substantially affected by stringent government regulations at the federal, state and local level in the United States and in other countries. These laws, rules, orders and interpretations govern environmental protection, health and safety, land use, zoning, and other matters. They may impose restrictions on operations that could adversely affect the Company's results of operations and financial condition, such as limitations on the expansion of waste disposal, transfer or processing facilities, limitations or bans on disposal of out-of-state waste or certain categories of waste, or mandates regarding the disposal of solid waste. In order to develop, expand or operate a landfill or other waste management facility, the Company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must obtain and maintain in effect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the Company's ability to change the facility.</w:t>
      </w:r>
    </w:p>
    <w:p>
      <w:pPr>
        <w:spacing w:after="0" w:line="33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There can be no assurance that the Company will be successful in obtaining and maintaining in effect permits and approvals required for the successful operation and growth of its business, including permits and approvals for the development of additional disposal capacity needed to replace existing capacity that is exhausted. The siting, design, operation and closure of landfills are also subject to extensive regulations. These regulations could also require the Company to undertake investigatory or remedial activities, to curtail operations or to close a landfill temporarily or permanently. Future changes in these regulations may require the Company to modify, supplement, or replace equipment or facilities at costs which could be substantial.</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the United States, court decisions have ruled that state and local governments may not use regulatory flow control laws constitutionally to restrict the free movement of waste in interstate commerce. The Company cannot predict what impact, if any, these decisions will have on its disposal facilities. See "Regulation."</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Potential Environmental Liability and Insurance</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could be liable if its disposal facilities, transfer stations, and collection operations cause environmental damage to the Company's properties or to nearby landowners, particularly as a result of the contamination of groundwater sources or soil, including damage resulting from conditions existing prior to the acquisition of such assets or operations. Also, the Company could be liable for any off-site environmental contamination caused by hazardous substances, the transportation, disposal or treatment of which was arranged for by the Company or predecessor owners where the Company is liable as a successor to such prior owners. Any substantial liability for environmental damage could materially adversely affect the operating results and financial condition of the Company.</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the ordinary course of its business, the Company may become involved in a variety of legal and administrative proceedings relating to land use and environmental laws and regulations. These may include proceedings by foreign, federal, state or local agencies seeking to impose civil or criminal penalties on the Company for violations of such laws and regulations, or to impose liability on the Company under applicable statutes, or to revoke or deny renewal of a permit; actions brought by citizens groups, adjacent landowners or governmental agencies opposing the issuance of a permit or approval to the Company or alleging violations of the permits pursuant to which the Company operates or laws or regulations to which the Company is subject; and actions seeking to impose liability on the Company for any environmental damage at its owned or operated facilities (or at facilities formerly owned by the Company or its predecessors or facilities at which the Company or its predecessors arranged for the disposal of hazardous substances) or damage that those facilities or other properties may have caused to adjacent landowners or others, including groundwater or soil contamination. The adverse outcome of one or more of these proceedings could have a material adverse effect on the Company's financial position, results of operations or cash flows.</w:t>
      </w:r>
    </w:p>
    <w:p>
      <w:pPr>
        <w:spacing w:after="0" w:line="17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During the ordinary course of operations, the Company has from time to time received, and expects that it may in the future receive, citations or notices from governmental authorities that its operations are not in compliance with its permits or certain applicable environmental or land use laws and regulations. The Company generally seeks to work with the authorities to resolve the issues raised by such citations or notices. There can be no assurance, however, that the Company will always be successful in this regard or that such future citations or notices will not have a materially adverse effect on the Company's financial position, results of operations or cash flows. See "Regulation."</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insurance for environmental liability meets or exceeds statutory requirements. However, because the Company believes that the cost for such insurance is high relative to the coverage it would provide, such coverages are generally maintained at statutorily required levels. Due to the limited nature of such insurance coverage for environmental liability, if the Company were to incur liability for environmental</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damage, such liability could have a material adverse effect on the Company's financial position, results of operations or cash flows.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Alternatives to Landfill Disposal and Waste-to-Energy Facilities</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Alternatives to disposal, such as recycling and composting, are increasingly being used. There also has been an increasing trend to mandate recycling and waste reduction at the source and to prohibit the disposal of certain types of wastes, such as yard wastes, at landfills or waste-to-energy facilities. These developments could reduce the volume of waste going to landfills and waste-to-energy facilities in certain areas, which may affect the Company's ability to operate its landfills and waste-to-energy facilities at full capacity, and the prices that can be charged for landfill disposal and waste-to-energy services.</w:t>
      </w:r>
    </w:p>
    <w:p>
      <w:pPr>
        <w:spacing w:after="0" w:line="33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Dependence on Key Personnel; Changes in Management</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business is partially dependent upon the performance of certain of its executive officers. The Company has entered into employment agreements with its executive officers. Notwithstanding such agreements, there can be no assurance that the Company will be able to retain such officers or that it will be able to enforce non-compete provisions that are contained in such agreements in the event of their departure. The loss of the services of the Company's management could have a material adverse effect upon the Company. There can be no assurance that the Company will be able to attract and retain qualified individuals to serve in senior management positions. The Company is in the process of establishing a formalized management succession plan to prepare itself in the event of an unexpected departure.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Recyclable Materials Price Fluctuations</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Recyclable materials processed by the Company for sale include paper, plastics, aluminum and other commodities which are subject to significant price fluctuations. These fluctuations will affect the Company's future operating revenues and income.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Matters Related to WM Holdings Accounting Practices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United States Securities and Exchange Commission has commenced a formal investigation with respect to WM Holdings' previously filed financial statements (which were subsequently restated) and the related accounting policies, procedures and system of internal controls. The Company is fully cooperating with such investigations. Additionally, several lawsuits and claims have been filed against WM Holdings and several of its former officers and directors in connection with the restatement of WM Holdings' financial statements. The Company is unable to predict the outcome or impact of the investigation, some previously filed lawsuits or any future lawsuits or claims arising out of the restatement at this time. Any such outcome or impact could have a material adverse effect on the Company's financial position, results of operations or cash flows. See "Legal Proceedings."</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Seasonality</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Company's operating revenues are usually lower in the winter months primarily because the volume of waste relating to construction and demolition activities usually increases in the spring and summer months, and the volume of industrial and residential waste in certain regions where the Company operates usually decreases during the winter months. The Company's first and fourth quarter results of operations typically reflect this seasonality.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principal property and equipment of the Company consists of land (primarily disposal sites), buildings, waste treatment or processing facilities (other than disposal sites) and vehicles and equipment. The Company owns or leases real property in most locations in which it is doing business. Excluding the landfills that the Company had held for sale at December 31, 1999, the Company owned and operated through lease agreements 245 active disposal sites in North America, which aggregated approximately 136,100 acres of land,</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including approximately 29,400 permitted acres and 6,800 acres for which the Company considers as probable expansion acreage for landfill use. Additionally, the Company operates 49 disposal sites through agreements with municipalities. At December 31, 1999, the Company had for sale an additional 62 disposal sites, consisting of 28 sites in its NASW operations and 34 sites operated through its WM International operations. The sites in North America which were held for sale at December 31, 1999 aggregated approximately 5,400 total acres, of which approximately 2,100 acres were permitted for landfill use. Furthermore, the Company owned or operated through agreements 23 waste-to-energy facilities in North America as of December 31, 1999.</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Company leases approximately 207,000 square feet of office space in Houston, Texas, for its executive offices under leasing arrangements expiring through 2008. For the year ended December 31, 1999, aggregate annual rental payments were approximately $137.7 million.</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owns approximately 47,000 items of equipment, including waste collection vehicles and related support vehicles, as well as bulldozers, compactors, earth movers, and other related heavy equipment and vehicles used in landfill operations. The Company has approximately 2.7 million steel containers in use, ranging from one to 45 cubic yards, and a number of stationary compactors and self-dumping hoppers.</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believes that its vehicles, equipment, and operating properties are well maintained and adequate for its current operations. However, the Company expects to make substantial investments in additional equipment and property for expansion, for replacement of assets, and in connection with future acquisitions. See "Management's Discussion and Analysis of Financial Condition and Results of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5"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In November and December 1997, several alleged purchasers of WM Holdings securities (including but not limited to common stock), who allegedly bought their securities during 1996 and 1997, brought 14 purported class action lawsuits against WM Holdings and several of its current and former officers and directors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In January 1998, the 14 putative class actions were consolidated before one judge and in February 1998, WM Holdings announced a restatement of prior-period earnings for 1991 and earlier as well as for 1992 through 1996 and the first three quarters of 1997. In July 1998, the class plaintiffs filed an amended complaint against WM Holdings, its outside auditor, and five of WM Holdings' former officers. The amended complaint sought recovery on behalf of a proposed class of all purchasers of WM Holdings' securities between May 29, 1995, and October 30, 1997. The amended complaint alleged, among other things, that WM Holdings filed false and misleading financial statements beginning in 1991 and continuing through October 1997 and sought recovery for alleged violations of the federal securities laws between May 1995 and October 1997.</w:t>
      </w:r>
    </w:p>
    <w:p>
      <w:pPr>
        <w:spacing w:after="0" w:line="17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December 1998, the Company announced an agreement to settle the consolidated action against all defendants and the establishment of a settlement fund of $220 million for the class of open market purchasers of WM Holdings securities between November 3, 1994, and February 24, 1998. On September 17, 1999, the United States District Court for the Northern District of Illinois gave final approval to the settlement after a hearing. There were no objections to the fairness or adequacy of the settlement fund.</w:t>
      </w:r>
    </w:p>
    <w:p>
      <w:pPr>
        <w:spacing w:after="0" w:line="16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In January 2000, the Company settled two actions, one pending in Illinois State court and the other in Florida Federal court, arising out of the same set of facts as the above federal action brought by open market purchasers of WM Holdings' securities.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Additionally, there are several other actions and claims, which arise out of the same set of facts, that have been brought by business owners who received WM Holdings common stock in the sales of their businesses to WM Holdings. These actions and claims allege, among other things, breach of warranty or breach of contract based on WM Holdings' restatement of earnings in February 1998. In April 1999, courts having jurisdiction over two such actions granted summary judgment against WM Holdings and in favor of the individual plaintiffs who brought the respective claims on the issue of breach of contract. Additionally, in October 1999,</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court in one of these actions certified a class consisting of all sellers of business assets to WM Holdings between January 1, 1990, and February 24, 1998, whose purchase agreements with WM Holdings contained express warranties regarding the accuracy of WM Holdings' financial statements. The Company has appealed that decision and the appeal is pending. The extent of damages, if any, in this class action has not yet been determined. The Company, however, has settled or resolved four, separate stock-for-asset disputes that otherwise would have been part of the above class, as currently defined, including the individual action identified above in which summary judgment was entered against WM Holdings.</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February and March 2000, two asset sellers who otherwise would have been included in the above class, as currently defined, brought separate actions against the Company for breach of contract and fraud, among other things. One of the suits arises out of a transaction valued at over $200 million at the time of closing in 1996, while the other involves a transaction in excess of $11 million at its closing in 1995. Both suits are in their early stages and the extent of possible damages, if any, has not yet been determined.</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December 1999, a sole plaintiff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The defendants have removed this action to federal court, where plaintiff is seeking a remand back to the state forum. This action is in its early stages and the extent of possible damages, if any, has not yet been determined.</w:t>
      </w:r>
    </w:p>
    <w:p>
      <w:pPr>
        <w:spacing w:after="0" w:line="331"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Purported derivative actions have also been filed in Delaware Chancery Court by alleged former shareholders of WM Holdings against certain former officers and directors of WM Holdings and nominally against WM Holdings to recover damages caused to WM Holdings as a result of the settled consolidated federal securities class action described above. These actions have been consolidated and plaintiffs have filed a consolidated amended complaint. The plaintiffs seek to recover from the former officers and directors, on behalf of WM Holdings, the amounts paid in the federal class action as well as additional amounts based on alleged harms not at issue in the federal class action.</w:t>
      </w:r>
    </w:p>
    <w:p>
      <w:pPr>
        <w:spacing w:after="0" w:line="164"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6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In March and April 1999, two former officers of WM Holdings sued the Company for retirement and other benefits. These actions are in their early stages and the extent of possible damages, if any, has not yet been determined. Additionally, a third former officer brought a similar claim, that was subsequently dismissed, in March 2000. This newest action included claims related to the decision by the board of WM Holdings to recommend the merger of WM Holdings with the Company.</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and that its reported operating income for the three months ended March 31, 1999 may have included certain unusual pretax income items. More than 20 lawsuits that purport to be based on one or more of these announcements were filed against the Company and certain of its officers and directors in the United States District Court for the Southern District of Texas. These actions have been consolidated into a single action. On September 7, 1999, a lawsuit was filed against the Company and certain of its officers and directors in the United States District Court for the Eastern District of Texas. Pursuant to a joint motion, this case was transferred to the United States District Court for the Southern District of Texas, to be consolidated with the consolidated action pending there. Taken together, the plaintiffs in these lawsuits purport to assert claims on behalf of a class of purchasers of the Company's common stock between June 10, 1998 and August 13,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been material to purchasers of the Company's common stock. The plaintiffs also claim that certain of the Company's officers and directors sold common stock between March 31, 1999 and July 6, 1999 at prices known to be inflated by the alleged material misstatements and omissions. The plaintiffs in these actions seek damages with interest, costs and such other relief as the court deems proper.</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November 1999, an action was filed in Oregon state court by individuals who received Company common stock in the sale of their business to the Company. For reasons similar to those alleged in the class actions described in the preceding paragraph, these individuals allege that the stock they received was overvalued. The case is in an early stage and the extent of possible damages, if any, has not yet been determined.</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addition, three of the Company's shareholders have filed purported derivative lawsuits against certain officers and directors of the Company in connection with the events surrounding the Company's second quarter 1999 earnings projections and July 6, 1999 earnings announcement. Two of these lawsuits were filed in the Court of Chancery of the State of Delaware on July 16, 1999 and August 18, 1999, respectively, and one was filed in the United States District Court for the Southern District of Texas on July 27, 1999. The Delaware cases have been consolidated and the plaintiffs have filed an amended consolidated complaint.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 The defendants have not yet been required to respond to the complaints.</w:t>
      </w:r>
    </w:p>
    <w:p>
      <w:pPr>
        <w:spacing w:after="0" w:line="339"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On December 29, 1999, the Company sued Louis D. Paolino, former President and Chief Executive Officer of Eastern Environmental Services, Inc. ("Eastern"), and others in federal court in Delaware in connection with the Company's merger with Eastern in December 1998 (the "Eastern Merger"). The Company alleges, among other things, that defendants artificially inflated the revenues of Eastern by employing improper accounting practices and usurped Eastern corporate opportunities for personal gain. The Company alleges that the inflated Eastern financials caused the Company to pay substantially more than Eastern was worth. The defendants in this case have not yet filed a response to the complaint.</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a related matter, on December 31, 1999, Louis D. Paolino and others sued the Company and unnamed defendants in Philadelphia for securities fraud in connection with the Eastern Merger. Plaintiffs allege that the Company's stock that they were issued in connection with the Eastern Merger was over-valued because the Company failed to disclose that it was having problems integrating the operations of WM Holdings and the Company after the WM Holdings Merger. As none of the defendants has been served in this action, no responsive pleadings have yet been filed.</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is aware of a lawsuit filed in state court in Houston, Texas by several related shareholders against the Company and three of its former officers.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As neither the Company nor the individual defendants have been served in this action, the defendants have filed no responsive pleadings in the action.</w:t>
      </w:r>
    </w:p>
    <w:p>
      <w:pPr>
        <w:spacing w:after="0" w:line="331"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The Company has also received a letter from participants in the Company's Employee Stock Purchase Plan (the "ESPP") who purchased the Company's common stock on June 30, 1999. The letter demands that the Administrative Committee of the ESPP bring an action against the Company and certain selling officers and directors for losses allegedly sustained by the participants in their stock purchases. These ESPP participants stated in the letter that, absent action by the Administrative Committee of the ESPP, they intended to sue the Company and the directors and officers on behalf of the ESPP and its participants. The Administrative Committee of the ESPP has advised these participants that it cannot file suit, as requested, because the committee is neither a representative of the plan nor a Waste Management shareholder. The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Company has not received any further communication from these participants. However, the Company does not believe that this claim, if pursued, would have a material adverse effect on the Company's financial statements.</w:t>
      </w:r>
    </w:p>
    <w:p>
      <w:pPr>
        <w:spacing w:after="0" w:line="162"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162"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The New York Stock Exchange has notified the Company that its Market Trading Analysis Department is reviewing transactions in the common stock of the Company prior to the July 6, 1999 earnings forecast announcement.</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a former chairman of the SEC and chairman of the Company's Audit Committee, is directing the review.</w:t>
      </w:r>
    </w:p>
    <w:p>
      <w:pPr>
        <w:spacing w:after="0" w:line="33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received a Civil Investigative Demand ("CID") from the Antitrust Division of the United States Department of Justice in July 1999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 with which the Company is fully cooperating.</w:t>
      </w:r>
    </w:p>
    <w:p>
      <w:pPr>
        <w:spacing w:after="0" w:line="331"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Plan. On behalf of the purported class, the plaintiff sought compensatory and punitive damages, costs, restitution with interest, and such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the same attorneys filed another Plan-related putative class action against the Company and various individual defendants in the United States District Court for the Middle District of Alabama, Northern Division. This case, brought by a different putative class representative, alleges that the defendants violated the federal Employee Retirement Income Security Act ("ERISA") by failing to terminate the Plan in accordance with its terms, by failing to manage Plan assets prudently and in the interests of Plan participants, and by delaying the Plan's termination date and the expected distribution of lump-sum pension benefits. On behalf of the purported class, the plaintiff seeks declaratory and injunctive relief, restitution of all losses and expenses allegedly incurred by the Plan, payment of all benefits allegedly owed to Plan participants, attorney's fees and costs, and other "appropriate" relief under the Internal Revenue Code, ERISA and the Plan. Defendants' time to move, answer or otherwise respond to the complaint has been extended, and no proceedings have yet occurred.</w:t>
      </w:r>
    </w:p>
    <w:p>
      <w:pPr>
        <w:spacing w:after="0" w:line="176"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primarily to waste treatment, storage or disposal facilities. As of December 31, 1999, there were six proceedings involving Company subsidiaries where the sanctions involved could potentially exceed $100,000.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331"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339"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or certain of its subsidiaries have been identified as potentially responsible parties in a number of governmental investigations and actions relating to waste disposal facilities which may be subject to remedial action under CERCLA or Superfund, as amended. The majority of these proceedings are based on allegations that certain subsidiaries of the Company (or their predecessors) transported hazardous substances to the sites in question, often prior to acquisition of such subsidiaries by the Company. CERCLA generally provides for joint and several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June 1999, the Company was notified that the EPA is conducting a civil investigation of alleged chlorofluorocarbons ("CFC") disposal violations by Waste Management of Massachusetts, Inc. ("WMMA"), one of the Company's wholly owned subsidiaries,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financial statements.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August 1999, sludge materials from trucks entering the Company's Woodland Meadows Landfill in Michigan were seized by the Federal Bureau of Investigation ("FBI") pursuant to an investigation of the generator of the sludge materials, a company that provides waste treatment services. Subsequently, the Company received two Grand Jury subpoenas as well as requests for information from the Michigan Department of Environmental Quality, seeking information related to the landfill's waste acceptance practices and the Company's business relationship with the generator. According to affidavits attached to the subpoena, the generator's treatment plant was sold by the Company to the generator in May 1998. The Company is cooperating with the pending investigation and believes that the ultimate outcome of this matter will not have a material adverse effect on the Company's financial statements.</w:t>
      </w:r>
    </w:p>
    <w:p>
      <w:pPr>
        <w:spacing w:after="0" w:line="163"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As of December 31, 1999, the Company or its subsidiaries had been notified that they are potentially responsible parties in connection with 84 locations listed on the NPL. Of the 84 NPL sites at which claims have been made against the Company, 17 are sites which the Company has come to own over time. All of the NPL sites owned by the Company were initially developed by others as land disposal facilities. At each of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67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impact on the Company's financial statements.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November 1998, the Company was sued by the estate of Shayne Conner, who died on November 24, 1995 in Greenland, New Hampshire. Plaintiffs allege that Mr. Conner's death was caused by biosolids that were applied to a nearby field by Wheelabrator's BioGro business unit. The litigation is currently in the discovery phase, and the Company is waiting for plaintiff's production of a court-ordered expert on causation. The Company is vigorously defending itself in the litigation.</w:t>
      </w:r>
    </w:p>
    <w:p>
      <w:pPr>
        <w:spacing w:after="0" w:line="33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has been advised by the United States Department of Justice that Laurel Ridge Landfill, Inc., a wholly owned subsidiary of the Company as a result of the merger with United Waste Systems, Inc. ("United") in August 1997 (the "United Merger"), allegedly committed certain violations of the Clean Water Act at the Laurel Ridge Landfill in Kentucky. The alleged activities occurred prior to the United Merger. In May 1999, the Company pleaded guilty to a criminal misdemeanor and was sentenced in November 1999 to pay a fine of $100,000 and perform in kind services valued at $1.0 million.</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financial statements.</w:t>
      </w:r>
    </w:p>
    <w:p>
      <w:pPr>
        <w:spacing w:after="0" w:line="163"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financial statements for potential recoveries.</w:t>
      </w:r>
    </w:p>
    <w:p>
      <w:pPr>
        <w:spacing w:after="0" w:line="17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It is not possible at this time to predict the impact that the above lawsuits, proceedings, investigations and inquiries may have on WM Holdings or the Company, nor is it possible to predict whether any other suits or claims may arise out of these matters in the future. However, it is reasonably possible that the outcome of any present or future litigation, proceedings, investigations or inquiries may have a material adverse impact on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their respective financial conditions or results of operations in one or more future periods. The Company and WM Holdings intend to defend themselves vigorously in all the above matters.</w:t>
      </w:r>
    </w:p>
    <w:p>
      <w:pPr>
        <w:spacing w:after="0" w:line="162"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Company and certain of its subsidiaries are also currently involved in other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right="3559" w:firstLine="434"/>
        <w:spacing w:after="0" w:line="258" w:lineRule="auto"/>
        <w:rPr>
          <w:sz w:val="20"/>
          <w:szCs w:val="20"/>
          <w:color w:val="auto"/>
        </w:rPr>
      </w:pPr>
      <w:r>
        <w:rPr>
          <w:rFonts w:ascii="Courier New" w:cs="Courier New" w:eastAsia="Courier New" w:hAnsi="Courier New"/>
          <w:sz w:val="14"/>
          <w:szCs w:val="14"/>
          <w:color w:val="auto"/>
        </w:rPr>
        <w:t>No matters were submitted to the stockholders of the Company during the fourth quarter of 1999.</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62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Company's common stock is traded on the New York Stock Exchange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("NYSE")</w:t>
            </w:r>
          </w:p>
        </w:tc>
        <w:tc>
          <w:tcPr>
            <w:tcW w:w="62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under the symbol "WMI." The following table sets forth the range of the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high and</w:t>
            </w:r>
          </w:p>
        </w:tc>
        <w:tc>
          <w:tcPr>
            <w:tcW w:w="62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low per share sales prices for the common stock as reported on the NYSE</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Composite Tape.</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8"/>
        </w:trPr>
        <w:tc>
          <w:tcPr>
            <w:tcW w:w="7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HIGH</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7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First Quarter.............................................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$34.44</w:t>
            </w: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Second</w:t>
            </w:r>
          </w:p>
        </w:tc>
        <w:tc>
          <w:tcPr>
            <w:tcW w:w="456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44.69</w:t>
            </w:r>
          </w:p>
        </w:tc>
      </w:tr>
      <w:tr>
        <w:trPr>
          <w:trHeight w:val="167"/>
        </w:trPr>
        <w:tc>
          <w:tcPr>
            <w:tcW w:w="5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Third Quarter.............................................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58.19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42.88</w:t>
            </w: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Fourth</w:t>
            </w:r>
          </w:p>
        </w:tc>
        <w:tc>
          <w:tcPr>
            <w:tcW w:w="456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48.88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35.25</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First Quarter.............................................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$53.50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$41.88</w:t>
            </w: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Second</w:t>
            </w:r>
          </w:p>
        </w:tc>
        <w:tc>
          <w:tcPr>
            <w:tcW w:w="456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44.75</w:t>
            </w:r>
          </w:p>
        </w:tc>
      </w:tr>
      <w:tr>
        <w:trPr>
          <w:trHeight w:val="167"/>
        </w:trPr>
        <w:tc>
          <w:tcPr>
            <w:tcW w:w="5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Third Quarter.............................................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55.44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18.13</w:t>
            </w:r>
          </w:p>
        </w:tc>
      </w:tr>
      <w:tr>
        <w:trPr>
          <w:trHeight w:val="16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Fourth</w:t>
            </w:r>
          </w:p>
        </w:tc>
        <w:tc>
          <w:tcPr>
            <w:tcW w:w="456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14.00</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First Quarter (through March 15, 2000)....................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w:t>
            </w:r>
          </w:p>
        </w:tc>
      </w:tr>
    </w:tbl>
    <w:p>
      <w:pPr>
        <w:spacing w:after="0" w:line="338"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On March 15, 2000, the closing sale price as reported on the NYSE was $13.25 per share. The number of holders of record of common stock based on the transfer records of the Company at March 15, 2000, was 30,543.</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As of December 31, 1999, the Company is limited in its ability to pay dividends pursuant to its current credit agreements to amounts not to exceed $25.0 million per year. The Company declared and paid cash dividends of $0.01 per share, or approximately $6.2 million during 1999. See Note 10 to the financial statements included elsewhere herein.</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effected the following unregistered sale of its securities during the twelve months ended December 31, 1999 that was not previously included in the Company's Quarterly Reports filed for such period. The securities sold in the transaction referred to below were not registered under the Securities Act of 1933, as amended, pursuant to the exemption provided under Section 4(2) thereof for transactions not involving a public offering:</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On September 13, 1999, the Company granted to Roderick M. Hills, a member of the Company's Board of Directors and Chairman of the Board of Directors' Audit Committee, 35,000 shares of restricted stock for extraordinary services performed by Mr. Hills in 1999.</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28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5" w:lineRule="exact"/>
        <w:rPr>
          <w:sz w:val="20"/>
          <w:szCs w:val="20"/>
          <w:color w:val="auto"/>
        </w:rPr>
      </w:pPr>
    </w:p>
    <w:p>
      <w:pPr>
        <w:ind w:right="3540" w:firstLine="434"/>
        <w:spacing w:after="0" w:line="253" w:lineRule="auto"/>
        <w:rPr>
          <w:sz w:val="20"/>
          <w:szCs w:val="20"/>
          <w:color w:val="auto"/>
        </w:rPr>
      </w:pPr>
      <w:r>
        <w:rPr>
          <w:rFonts w:ascii="Courier New" w:cs="Courier New" w:eastAsia="Courier New" w:hAnsi="Courier New"/>
          <w:sz w:val="14"/>
          <w:szCs w:val="14"/>
          <w:color w:val="auto"/>
        </w:rPr>
        <w:t>The following selected financial information as of December 31, 1999 and 1998, and for each of the years in the three year period ended December 31, 1999, has been derived from the audited financial statements of the Company included elsewhere herein. This information should be read in conjunction with such financial statements and related notes thereto. The selected financial information as of December 31, 1997, 1996 and 1995, and for each of the years in the two year period ended December 31, 1996, has been derived from audited financial statements, that have been previously included in the Company's reports under the Securities Exchange Act of 1934 (the "Exchange Act"), restated for certain pooling of interests transactions that are not included herein. See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5"/>
          </w:tcPr>
          <w:p>
            <w:pPr>
              <w:jc w:val="center"/>
              <w:ind w:right="248"/>
              <w:spacing w:after="0"/>
              <w:rPr>
                <w:sz w:val="20"/>
                <w:szCs w:val="20"/>
                <w:color w:val="auto"/>
              </w:rPr>
            </w:pPr>
            <w:r>
              <w:rPr>
                <w:rFonts w:ascii="Courier New" w:cs="Courier New" w:eastAsia="Courier New" w:hAnsi="Courier New"/>
                <w:sz w:val="14"/>
                <w:szCs w:val="14"/>
                <w:color w:val="auto"/>
              </w:rPr>
              <w:t>YEARS ENDED DECEMBER 31,</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spacing w:after="0"/>
              <w:rPr>
                <w:sz w:val="14"/>
                <w:szCs w:val="14"/>
                <w:color w:val="auto"/>
              </w:rPr>
            </w:pPr>
          </w:p>
        </w:tc>
        <w:tc>
          <w:tcPr>
            <w:tcW w:w="598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200" w:type="dxa"/>
            <w:vAlign w:val="bottom"/>
          </w:tcPr>
          <w:p>
            <w:pPr>
              <w:spacing w:after="0"/>
              <w:rPr>
                <w:sz w:val="14"/>
                <w:szCs w:val="14"/>
                <w:color w:val="auto"/>
              </w:rPr>
            </w:pPr>
          </w:p>
        </w:tc>
        <w:tc>
          <w:tcPr>
            <w:tcW w:w="1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80" w:type="dxa"/>
            <w:vAlign w:val="bottom"/>
            <w:gridSpan w:val="6"/>
          </w:tcPr>
          <w:p>
            <w:pPr>
              <w:jc w:val="center"/>
              <w:ind w:right="68"/>
              <w:spacing w:after="0"/>
              <w:rPr>
                <w:sz w:val="20"/>
                <w:szCs w:val="20"/>
                <w:color w:val="auto"/>
              </w:rPr>
            </w:pPr>
            <w:r>
              <w:rPr>
                <w:rFonts w:ascii="Courier New" w:cs="Courier New" w:eastAsia="Courier New" w:hAnsi="Courier New"/>
                <w:sz w:val="14"/>
                <w:szCs w:val="14"/>
                <w:color w:val="auto"/>
              </w:rPr>
              <w:t>(IN THOUSANDS, EXCEPT PER SHARE AMOUNTS)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$13,126,920</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$12,625,769</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$11,972,498</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$10,998,602</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$10,432,775</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Operating (exclusive of depreciation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 shown below)......................</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8,269,021</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7,283,251</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7,482,273</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6,564,234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6,261,745</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1,920,309</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1,332,736</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1,438,501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1,316,480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1,279,719</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1,614,165</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1,498,712</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1,391,810</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1,264,196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1,186,492</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Merger costs and acquisition related.............</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44,634</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1,807,245</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112,748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126,626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26,539</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 impairments and unusual items..............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738,837</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864,063</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1,771,145</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529,768</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394,092</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held for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 net of minority interest...................</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9,930</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(25,110)</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12,586,966</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12,786,158</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12,206,407</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9,800,989</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9,123,477</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operations......................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539,954</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(160,389)</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(233,909)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1,197,613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1,309,298</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(769,655)</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(681,457)</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(555,576)</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(525,340)</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(534,964)</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38,497</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26,829</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45,214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34,603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41,565</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(24, 181)</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(24,254)</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(45,442)</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(41,289)</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(81,367)</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52,653</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139,392</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127,216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108,645</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257,773</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(702,686)</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(539,490)</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(428,588)</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(423,381)</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(316,993)</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(162,732)</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(699,879)</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(662,497)</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774,232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992,305</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232,319</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66,923</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363,341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486,700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493,375</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continuing operations...........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(395,051)</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(766,802)</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(1,025,838)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287,532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498,930</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discontinued operations.........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95,688</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(263,301)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4,863</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(2,513)</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(3,900)</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 change..................................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(397,564)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(770,702)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(938,895)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24,231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503,793</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Basic earnings (loss) per common share: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0.17</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(0.49)</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 change................................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Diluted earnings (loss) per common share: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0.97</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0.17</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(0.49)</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 change................................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0.98</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BALANCE SHEET DATA (AT END OF PERIOD):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 (deficit)..........................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$(1,268,910)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(412,269)</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$(1,967,278)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(258,210)</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$(1,027,093)</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net.............................</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5,356,677</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6,250,324</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4,848,176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4,681,381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4,329,909</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22,681,424</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22,882,164</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20,156,424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20,727,524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19,950,426</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including current maturities.......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11,498,088</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11,732,361</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9,479,961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9,064,566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8,404,034</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4,402,612</w:t>
            </w:r>
          </w:p>
        </w:tc>
        <w:tc>
          <w:tcPr>
            <w:tcW w:w="2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4,372,496</w:t>
            </w:r>
          </w:p>
        </w:tc>
        <w:tc>
          <w:tcPr>
            <w:tcW w:w="1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3,854,929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5,201,610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5,184,104</w:t>
            </w:r>
          </w:p>
        </w:tc>
      </w:tr>
    </w:tbl>
    <w:p>
      <w:pPr>
        <w:spacing w:after="0" w:line="200" w:lineRule="exact"/>
        <w:rPr>
          <w:sz w:val="20"/>
          <w:szCs w:val="20"/>
          <w:color w:val="auto"/>
        </w:rPr>
      </w:pPr>
    </w:p>
    <w:p>
      <w:pPr>
        <w:sectPr>
          <w:pgSz w:w="11900" w:h="16838" w:orient="portrait"/>
          <w:cols w:equalWidth="0" w:num="1">
            <w:col w:w="10500"/>
          </w:cols>
          <w:pgMar w:left="300" w:top="286" w:right="1099" w:bottom="1440"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10500"/>
          </w:cols>
          <w:pgMar w:left="300" w:top="286" w:right="1099"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discussion of the Company's operations for the three years ended December 31, 1999 should be read in conjunction with the Company's financial statements and related notes thereto included elsewhere herein.</w:t>
      </w:r>
    </w:p>
    <w:p>
      <w:pPr>
        <w:spacing w:after="0" w:line="162"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discussion below and elsewhere in this Form 10-K includes statements that are "forward-looking statements" within the meaning of Section 27A of the Securities Act of 1933 and Section 21E of the Exchange Act. These include statements that describe anticipated revenues, capital expenditures and other financial items, statements that describe the Company's business plans and objectives, and statements that describe the expected impact of competition, government regulation, litigation and other factors on the Company's future financial condition and results of operations. The words "may," "should," "expect," "believe," "anticipate," "project," "estimate," and similar expressions are intended to identify forward-looking statements. Such risks and uncertainties, any one of which may cause actual results to differ materially from those described in the forward-looking statements, include or relate to, among other things:</w:t>
      </w:r>
    </w:p>
    <w:p>
      <w:pPr>
        <w:spacing w:after="0" w:line="163" w:lineRule="exact"/>
        <w:rPr>
          <w:sz w:val="20"/>
          <w:szCs w:val="20"/>
          <w:color w:val="auto"/>
        </w:rPr>
      </w:pPr>
    </w:p>
    <w:p>
      <w:pPr>
        <w:ind w:left="620" w:right="3819" w:hanging="177"/>
        <w:spacing w:after="0" w:line="258"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of pending or threatened litigation and/or governmental inquiries and investigation involving the Company.</w:t>
      </w:r>
    </w:p>
    <w:p>
      <w:pPr>
        <w:spacing w:after="0" w:line="159" w:lineRule="exact"/>
        <w:rPr>
          <w:rFonts w:ascii="Courier New" w:cs="Courier New" w:eastAsia="Courier New" w:hAnsi="Courier New"/>
          <w:sz w:val="14"/>
          <w:szCs w:val="14"/>
          <w:color w:val="auto"/>
        </w:rPr>
      </w:pPr>
    </w:p>
    <w:p>
      <w:pPr>
        <w:ind w:left="620" w:right="3299" w:hanging="177"/>
        <w:spacing w:after="0" w:line="258"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stabilize its accounting systems and procedures and maintain stability.</w:t>
      </w:r>
    </w:p>
    <w:p>
      <w:pPr>
        <w:spacing w:after="0" w:line="159" w:lineRule="exact"/>
        <w:rPr>
          <w:rFonts w:ascii="Courier New" w:cs="Courier New" w:eastAsia="Courier New" w:hAnsi="Courier New"/>
          <w:sz w:val="14"/>
          <w:szCs w:val="14"/>
          <w:color w:val="auto"/>
        </w:rPr>
      </w:pPr>
    </w:p>
    <w:p>
      <w:pPr>
        <w:ind w:left="620" w:right="3199" w:hanging="177"/>
        <w:spacing w:after="0" w:line="253"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uncertainties relating to the Company's proposed strategic initiative, including the willingness of prospective purchasers to purchase the 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transactions, including the availability of financing and uncertainties relating to the impact of the proposed strategic initiative on the Company's credit ratings and consequently the availability and cost of debt and equity financing to the Company.</w:t>
      </w:r>
    </w:p>
    <w:p>
      <w:pPr>
        <w:spacing w:after="0" w:line="163" w:lineRule="exact"/>
        <w:rPr>
          <w:rFonts w:ascii="Courier New" w:cs="Courier New" w:eastAsia="Courier New" w:hAnsi="Courier New"/>
          <w:sz w:val="14"/>
          <w:szCs w:val="14"/>
          <w:color w:val="auto"/>
        </w:rPr>
      </w:pPr>
    </w:p>
    <w:p>
      <w:pPr>
        <w:ind w:left="620" w:right="3299" w:hanging="177"/>
        <w:spacing w:after="0" w:line="253"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successfully integrate the operations of acquired companies with its existing operations, including risks and uncertainties relating to its ability to achieve projected earnings estimates, achieve administrative and operating cost savings and anticipated synergies, rationalize collection routes, and generally capitalize on its asset base and strategic position through its strategy of decentralized decision making; and the risks and uncertainties regarding government-forced divestitures.</w:t>
      </w:r>
    </w:p>
    <w:p>
      <w:pPr>
        <w:spacing w:after="0" w:line="164" w:lineRule="exact"/>
        <w:rPr>
          <w:rFonts w:ascii="Courier New" w:cs="Courier New" w:eastAsia="Courier New" w:hAnsi="Courier New"/>
          <w:sz w:val="14"/>
          <w:szCs w:val="14"/>
          <w:color w:val="auto"/>
        </w:rPr>
      </w:pPr>
    </w:p>
    <w:p>
      <w:pPr>
        <w:ind w:left="620" w:right="3199" w:hanging="177"/>
        <w:spacing w:after="0" w:line="253"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continue its expansion through the acquisition of other companies, including, without limitation, risks and uncertainties concerning the availability of desirable acquisition candidates, the availability of debt and equity capital to the Company to finance acquisitions, the ability of the Company to accurately assess the pre-existing liabilities and assets of acquisition candidates and the restraints imposed by federal and state statutes and agencies respecting market concentration and competitive behavior.</w:t>
      </w:r>
    </w:p>
    <w:p>
      <w:pPr>
        <w:spacing w:after="0" w:line="164" w:lineRule="exact"/>
        <w:rPr>
          <w:rFonts w:ascii="Courier New" w:cs="Courier New" w:eastAsia="Courier New" w:hAnsi="Courier New"/>
          <w:sz w:val="14"/>
          <w:szCs w:val="14"/>
          <w:color w:val="auto"/>
        </w:rPr>
      </w:pPr>
    </w:p>
    <w:p>
      <w:pPr>
        <w:ind w:left="620" w:right="3199" w:hanging="177"/>
        <w:spacing w:after="0" w:line="254"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competition on the Company's ability to maintain margins on existing or acquired operations, including uncertainties relating to competition with government owned and operated landfills which enjoy certain competitive advantages from tax-exempt financing and tax revenue subsidies.</w:t>
      </w:r>
    </w:p>
    <w:p>
      <w:pPr>
        <w:spacing w:after="0" w:line="162" w:lineRule="exact"/>
        <w:rPr>
          <w:rFonts w:ascii="Courier New" w:cs="Courier New" w:eastAsia="Courier New" w:hAnsi="Courier New"/>
          <w:sz w:val="14"/>
          <w:szCs w:val="14"/>
          <w:color w:val="auto"/>
        </w:rPr>
      </w:pPr>
    </w:p>
    <w:p>
      <w:pPr>
        <w:ind w:left="620" w:right="3199" w:hanging="177"/>
        <w:spacing w:after="0" w:line="253"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impact of environmental and other regulation on the Company's business, including risks and uncertainties concerning the ultimate cost to the Company of complying with final closure requirements and post-closure liabilities associated with its landfills and other environmental liabilities associated with disposal at third party landfills and the ability to obtain and maintain permits necessary to operate its facilities, which may impact the life, operating capacity and profitability of its landfills and other facilities.</w:t>
      </w:r>
    </w:p>
    <w:p>
      <w:pPr>
        <w:spacing w:after="0" w:line="164" w:lineRule="exact"/>
        <w:rPr>
          <w:rFonts w:ascii="Courier New" w:cs="Courier New" w:eastAsia="Courier New" w:hAnsi="Courier New"/>
          <w:sz w:val="14"/>
          <w:szCs w:val="14"/>
          <w:color w:val="auto"/>
        </w:rPr>
      </w:pPr>
    </w:p>
    <w:p>
      <w:pPr>
        <w:ind w:left="620" w:right="3379" w:hanging="177"/>
        <w:spacing w:after="0" w:line="252"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generate sufficient cash flows from operations to cover its cash needs, the Company's ability to obtain additional capital if needed and the possible default under credit facilities if cash flows are lower than expected or capital expenditures are greater than expected.</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28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jc w:val="both"/>
        <w:ind w:left="620" w:right="3979" w:hanging="177"/>
        <w:spacing w:after="0" w:line="255"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changes in estimates from ongoing analysis of site remediation requirements, final closure and post-closure issues, compliance and other audits and regulatory developments.</w:t>
      </w:r>
    </w:p>
    <w:p>
      <w:pPr>
        <w:spacing w:after="0" w:line="161" w:lineRule="exact"/>
        <w:rPr>
          <w:rFonts w:ascii="Courier New" w:cs="Courier New" w:eastAsia="Courier New" w:hAnsi="Courier New"/>
          <w:sz w:val="14"/>
          <w:szCs w:val="14"/>
          <w:color w:val="auto"/>
        </w:rPr>
      </w:pPr>
    </w:p>
    <w:p>
      <w:pPr>
        <w:ind w:left="620" w:right="3199" w:hanging="177"/>
        <w:spacing w:after="0" w:line="258"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of changes in management and the ability of the Company to retain qualified individuals to serve in senior management positions.</w:t>
      </w:r>
    </w:p>
    <w:p>
      <w:pPr>
        <w:spacing w:after="0" w:line="159" w:lineRule="exact"/>
        <w:rPr>
          <w:rFonts w:ascii="Courier New" w:cs="Courier New" w:eastAsia="Courier New" w:hAnsi="Courier New"/>
          <w:sz w:val="14"/>
          <w:szCs w:val="14"/>
          <w:color w:val="auto"/>
        </w:rPr>
      </w:pPr>
    </w:p>
    <w:p>
      <w:pPr>
        <w:ind w:left="620" w:right="3199" w:hanging="177"/>
        <w:spacing w:after="0" w:line="258"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price fluctuations of recyclable materials processed by the Company.</w:t>
      </w:r>
    </w:p>
    <w:p>
      <w:pPr>
        <w:spacing w:after="0" w:line="159"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risks that are inherent in operating in foreign countries that are beyond the control of the Company, including but not limited to political, social, and economic instability and government regulations.</w:t>
      </w:r>
    </w:p>
    <w:p>
      <w:pPr>
        <w:spacing w:after="0" w:line="161"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impairment charges against earnings related to long-lived assets which may result from possible future business events.</w:t>
      </w:r>
    </w:p>
    <w:p>
      <w:pPr>
        <w:spacing w:after="0" w:line="159" w:lineRule="exact"/>
        <w:rPr>
          <w:rFonts w:ascii="Courier New" w:cs="Courier New" w:eastAsia="Courier New" w:hAnsi="Courier New"/>
          <w:sz w:val="14"/>
          <w:szCs w:val="14"/>
          <w:color w:val="auto"/>
        </w:rPr>
      </w:pPr>
    </w:p>
    <w:p>
      <w:pPr>
        <w:ind w:left="620" w:right="3299" w:hanging="177"/>
        <w:spacing w:after="0" w:line="254"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that recent trends regarding mandating recycling, waste reduction at the source and prohibiting the disposal of certain types of wastes could have on volumes of waste going to landfills and waste-to-energy facilities.</w:t>
      </w:r>
    </w:p>
    <w:p>
      <w:pPr>
        <w:spacing w:after="0" w:line="163" w:lineRule="exact"/>
        <w:rPr>
          <w:rFonts w:ascii="Courier New" w:cs="Courier New" w:eastAsia="Courier New" w:hAnsi="Courier New"/>
          <w:sz w:val="14"/>
          <w:szCs w:val="14"/>
          <w:color w:val="auto"/>
        </w:rPr>
      </w:pPr>
    </w:p>
    <w:p>
      <w:pPr>
        <w:ind w:left="620" w:right="3199" w:hanging="177"/>
        <w:spacing w:after="0" w:line="255"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impact of government regulation on the Company's ability to obtain and maintain necessary permits and approvals required for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Strategic Plan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August 1999, the Company's Board of Directors adopted a strategic plan that is intended to enhance value for its shareholders, customers, and employees. The plan's major elements are to:</w:t>
      </w:r>
    </w:p>
    <w:p>
      <w:pPr>
        <w:spacing w:after="0" w:line="162" w:lineRule="exact"/>
        <w:rPr>
          <w:sz w:val="20"/>
          <w:szCs w:val="20"/>
          <w:color w:val="auto"/>
        </w:rPr>
      </w:pPr>
    </w:p>
    <w:p>
      <w:pPr>
        <w:ind w:left="620" w:right="3299" w:hanging="177"/>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Dispose of the Company's non-strategic and under-performing assets, including the Company's WM International operations, its non-core assets and up to 10% of its NASW assets.</w:t>
      </w:r>
    </w:p>
    <w:p>
      <w:pPr>
        <w:spacing w:after="0" w:line="161" w:lineRule="exact"/>
        <w:rPr>
          <w:rFonts w:ascii="Courier New" w:cs="Courier New" w:eastAsia="Courier New" w:hAnsi="Courier New"/>
          <w:sz w:val="14"/>
          <w:szCs w:val="14"/>
          <w:color w:val="auto"/>
        </w:rPr>
      </w:pPr>
    </w:p>
    <w:p>
      <w:pPr>
        <w:ind w:left="620" w:right="3639" w:hanging="177"/>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or improve the Company's long-term investment grade characteristics while using disposition proceeds for debt repayment, repurchases of shares and selected tuck-in acquisitions.</w:t>
      </w:r>
    </w:p>
    <w:p>
      <w:pPr>
        <w:spacing w:after="0" w:line="161" w:lineRule="exact"/>
        <w:rPr>
          <w:rFonts w:ascii="Courier New" w:cs="Courier New" w:eastAsia="Courier New" w:hAnsi="Courier New"/>
          <w:sz w:val="14"/>
          <w:szCs w:val="14"/>
          <w:color w:val="auto"/>
        </w:rPr>
      </w:pPr>
    </w:p>
    <w:p>
      <w:pPr>
        <w:ind w:left="620" w:right="3899" w:hanging="177"/>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Bring more discipline and accountability to the enterprise while continuing the Company's decentralized business model, which puts authority close to the customer.</w:t>
      </w:r>
    </w:p>
    <w:p>
      <w:pPr>
        <w:spacing w:after="0" w:line="161"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Restore a disciplined capital allocation philosophy that focuses on profits as opposed to growth.</w:t>
      </w:r>
    </w:p>
    <w:p>
      <w:pPr>
        <w:spacing w:after="0" w:line="159"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employees the tools they need to do their jobs, including updated and more efficient information systems.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Waste Management is one of the largest publicly-owned companies providing integrated waste management services in North America and internationally. In North America, the Company provides solid waste management services throughout the United States and Puerto Rico, as well as in Canada and Mexico, including collection, transfer, recycling and resource recovery services, and disposal services. In addition, the Company is a leading developer, operator and owner of waste-to-energy facilities in the United States. The Company also engages in hazardous waste management services throughout North America, as well as low-level and other radioactive waste services.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Internationally, the Company operates throughout Europe, the Pacific Rim, and South America. Included in the Company's International operations is the collection and transportation of solid, hazardous and medical wastes and recyclable materials, and the treatment and disposal of recyclable materials. The Company also operates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diversified customer base for its NASW operations, was approximately 27 million customers as of December 31, 1999. This customer base includes commercial, industrial, municipal and residential customers, other waste management companies, governmental entities and independent power markets, with no single customer accounting for more than 5% of the Company's operating revenues during 1999. The Company employed approximately 75,000 people as of December 31, 1999 of which approximately 55,000 related to its NASW operations.</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waste collected. The Company's operating revenues from its disposal operations consist of disposal fees (known as tipping fees) charged to third parties and are normally billed monthly or semi-monthly. Tipping fees are based on the volume of waste being disposed of at the Company's disposal facilities. Fees are charged at transfer stations based on the volume of waste deposited, taking into account the Company's cost of loading, transporting, and disposing of the solid waste at a disposal site. Intercompany revenues between the Company's operations have been eliminated in the consolidated financial statements presented elsewhere herein.</w:t>
      </w:r>
    </w:p>
    <w:p>
      <w:pPr>
        <w:spacing w:after="0" w:line="34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Operating expenses from waste management operations include direct and indirect labor and the related taxes and benefits, fuel, maintenance and repairs of equipment and facilities, tipping fees paid to third party disposal facilities, and accruals for future landfill final closure and post-closure costs. Certain direct development expenditures are capitalized and amortized over the estimated useful life of a site as capacity is consumed, and include acquisition, engineering, upgrading, construction, capitalized interest, and permitting costs. All indirect expenses, such as administrative salaries and general corporate overhead, are expensed in the period incurred. At times, the Company receives reimbursements from insurance carriers relating to past and future environmentally related remedial, defense and tort claim costs at a number of the Company's sites. Such recoveries are included in operating costs and expenses as an offset to environmental expenses.</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General and administrative costs include management salaries, clerical and administrative costs, professional services, facility rentals, provision for doubtful accounts, and related insurance costs, as well as costs related to the Company's marketing and sales force.</w:t>
      </w:r>
    </w:p>
    <w:p>
      <w:pPr>
        <w:spacing w:after="0" w:line="163"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Depreciation and amortization include (i) amortization of the excess of cost over net assets of acquired businesses on a straight-line basis over a period not greater than 40 years commencing on the dates of the respective acquisitions; (ii) amortization of other intangible assets on a straight-line basis from 3 to 40 years; (iii) depreciation of property and equipment on a straight-line basis from 3 to 40 years; and (iv) amortization of landfill costs on a units-of-consumption method as landfill airspace is consumed over the estimated remaining capacity of a site. The remaining capacity of a site is determined by the unutilized permitted airspace and expansion airspace when the success of obtaining such an expansion is considered probable. Effective as of the third quarter of 1999, the Company applied a newly defined, more stringent set of criteria for evaluating the probability of obtaining an expansion to landfill airspace at existing sites, which are as follows:</w:t>
      </w:r>
    </w:p>
    <w:p>
      <w:pPr>
        <w:spacing w:after="0" w:line="163" w:lineRule="exact"/>
        <w:rPr>
          <w:sz w:val="20"/>
          <w:szCs w:val="20"/>
          <w:color w:val="auto"/>
        </w:rPr>
      </w:pPr>
    </w:p>
    <w:p>
      <w:pPr>
        <w:ind w:left="620" w:right="3819" w:hanging="177"/>
        <w:spacing w:after="0" w:line="258"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are actively working to obtain land use, local and state approvals for an expansion of an existing landfill;</w:t>
      </w:r>
    </w:p>
    <w:p>
      <w:pPr>
        <w:spacing w:after="0" w:line="159" w:lineRule="exact"/>
        <w:rPr>
          <w:rFonts w:ascii="Courier New" w:cs="Courier New" w:eastAsia="Courier New" w:hAnsi="Courier New"/>
          <w:sz w:val="14"/>
          <w:szCs w:val="14"/>
          <w:color w:val="auto"/>
        </w:rPr>
      </w:pPr>
    </w:p>
    <w:p>
      <w:pPr>
        <w:ind w:left="620" w:right="3199" w:hanging="177"/>
        <w:spacing w:after="0" w:line="254"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163" w:lineRule="exact"/>
        <w:rPr>
          <w:rFonts w:ascii="Courier New" w:cs="Courier New" w:eastAsia="Courier New" w:hAnsi="Courier New"/>
          <w:sz w:val="14"/>
          <w:szCs w:val="14"/>
          <w:color w:val="auto"/>
        </w:rPr>
      </w:pPr>
    </w:p>
    <w:p>
      <w:pPr>
        <w:ind w:left="620" w:right="3199" w:hanging="177"/>
        <w:spacing w:after="0" w:line="258"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landfill owners or the Company has a legal right to use or obtain land to be included in the expansion plan;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159"/>
          </w:cols>
          <w:pgMar w:left="300" w:top="286"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ind w:left="620" w:right="3299" w:hanging="177"/>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significant known technical, legal, community, business, or political restrictions or issues that could impair the success of such expansion;</w:t>
      </w:r>
    </w:p>
    <w:p>
      <w:pPr>
        <w:spacing w:after="0" w:line="161"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analysis has been completed, and the results demonstrate that the expansion has a positive financial and operational impact; and</w:t>
      </w:r>
    </w:p>
    <w:p>
      <w:pPr>
        <w:spacing w:after="0" w:line="159"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Airspace and related costs, including additional final closure and post-closure costs, have been estimated based on conceptual design.</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Additionally, to include airspace from an expansion effort, the expansion permit application must generally be expected to be submitted within one year, and the expansion permit must be expected to be received within two to five years. Exceptions to these criteria must be approved through a landfill specific approval process that includes an approval from the Company's Chief Financial Officer and prompt review by the Audit Committee of the Board of Directors. Such exceptions at 34 landfill locations at December 31, 1999 were generally due to permit application processes beyond the one-year limit, which in most cases, were due to state-specific permitting procedures. Generally, the Company has been successful in receiving approvals for expansions pursued; however, there can be no assurance that the Company will be successful in obtaining landfill expansions in the future.</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As disposal volumes are affected by seasonality and competitive factors, airspace amortization varies from period to period due to changes in volumes of waste disposed at the Company's landfills. Airspace amortization is also affected by changes in engineering and cost estimates.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1999 Accounting Charges and Adjustments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During 1999, the Company initiated a comprehensive internal review of its accounting records, systems, processes and controls at the direction of its Board of Directors. As discussed below, and in Note 2 to the financial statements, the Company experienced significant difficulty in the integration and conversion of information and accounting systems subsequent to the WM Holdings Merger, including certain financial systems and its billing systems. As a result of these systems and process issues, and other issues raised during the 1999 accounting review, certain charges and adjustments were recorded, as discussed below. The review was completed in time such that the Company was able to record related adjustments in its financial statements for the quarter ended September 30, 1999. The amounts recorded by the Company as a result of the review had a material effect on its financial statements for the year ended December 31, 1999. The following is a summary of charges attributable to this review which were recorded for the quarter ended September 30, 1999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Held for sale adjustments...................................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414,275</w:t>
            </w:r>
          </w:p>
        </w:tc>
      </w:tr>
      <w:tr>
        <w:trPr>
          <w:trHeight w:val="167"/>
        </w:trPr>
        <w:tc>
          <w:tcPr>
            <w:tcW w:w="5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Increase to allowance for doubtful accounts and other</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receivable adjustments...........................</w:t>
            </w:r>
          </w:p>
        </w:tc>
        <w:tc>
          <w:tcPr>
            <w:tcW w:w="10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211,483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 impairments (excluding held for sale adjustments).....</w:t>
            </w:r>
          </w:p>
        </w:tc>
        <w:tc>
          <w:tcPr>
            <w:tcW w:w="10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178,309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Insurance reserves and other insurance adjustments..........</w:t>
            </w:r>
          </w:p>
        </w:tc>
        <w:tc>
          <w:tcPr>
            <w:tcW w:w="10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147,868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Legal, severance and consulting accruals....................</w:t>
            </w:r>
          </w:p>
        </w:tc>
        <w:tc>
          <w:tcPr>
            <w:tcW w:w="10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141,999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Merger and acquisition related costs........................</w:t>
            </w:r>
          </w:p>
        </w:tc>
        <w:tc>
          <w:tcPr>
            <w:tcW w:w="10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31,568</w:t>
            </w:r>
          </w:p>
        </w:tc>
      </w:tr>
      <w:tr>
        <w:trPr>
          <w:trHeight w:val="167"/>
        </w:trPr>
        <w:tc>
          <w:tcPr>
            <w:tcW w:w="53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Other charges and adjustments, including:</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 reconciliations...................................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347,668</w:t>
            </w:r>
          </w:p>
        </w:tc>
        <w:tc>
          <w:tcPr>
            <w:tcW w:w="8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contract reserve adjustments.........................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49,338</w:t>
            </w:r>
          </w:p>
        </w:tc>
        <w:tc>
          <w:tcPr>
            <w:tcW w:w="8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environmental liabilities.....................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48,983</w:t>
            </w:r>
          </w:p>
        </w:tc>
        <w:tc>
          <w:tcPr>
            <w:tcW w:w="88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191,026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637,015</w:t>
            </w:r>
          </w:p>
        </w:tc>
      </w:tr>
      <w:tr>
        <w:trPr>
          <w:trHeight w:val="167"/>
        </w:trPr>
        <w:tc>
          <w:tcPr>
            <w:tcW w:w="5300" w:type="dxa"/>
            <w:vAlign w:val="bottom"/>
          </w:tcPr>
          <w:p>
            <w:pPr>
              <w:spacing w:after="0"/>
              <w:rPr>
                <w:sz w:val="14"/>
                <w:szCs w:val="14"/>
                <w:color w:val="auto"/>
              </w:rPr>
            </w:pPr>
          </w:p>
        </w:tc>
        <w:tc>
          <w:tcPr>
            <w:tcW w:w="1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Impact of charges before income tax benefit.................</w:t>
            </w:r>
          </w:p>
        </w:tc>
        <w:tc>
          <w:tcPr>
            <w:tcW w:w="10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1,762,517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benefit..........................................</w:t>
            </w:r>
          </w:p>
        </w:tc>
        <w:tc>
          <w:tcPr>
            <w:tcW w:w="10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(536,756)</w:t>
            </w:r>
          </w:p>
        </w:tc>
      </w:tr>
      <w:tr>
        <w:trPr>
          <w:trHeight w:val="167"/>
        </w:trPr>
        <w:tc>
          <w:tcPr>
            <w:tcW w:w="5300" w:type="dxa"/>
            <w:vAlign w:val="bottom"/>
          </w:tcPr>
          <w:p>
            <w:pPr>
              <w:spacing w:after="0"/>
              <w:rPr>
                <w:sz w:val="14"/>
                <w:szCs w:val="14"/>
                <w:color w:val="auto"/>
              </w:rPr>
            </w:pPr>
          </w:p>
        </w:tc>
        <w:tc>
          <w:tcPr>
            <w:tcW w:w="1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After-tax charges...........................................</w:t>
            </w:r>
          </w:p>
        </w:tc>
        <w:tc>
          <w:tcPr>
            <w:tcW w:w="1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$1,225,761</w:t>
            </w:r>
          </w:p>
        </w:tc>
      </w:tr>
      <w:tr>
        <w:trPr>
          <w:trHeight w:val="167"/>
        </w:trPr>
        <w:tc>
          <w:tcPr>
            <w:tcW w:w="5300" w:type="dxa"/>
            <w:vAlign w:val="bottom"/>
          </w:tcPr>
          <w:p>
            <w:pPr>
              <w:spacing w:after="0"/>
              <w:rPr>
                <w:sz w:val="14"/>
                <w:szCs w:val="14"/>
                <w:color w:val="auto"/>
              </w:rPr>
            </w:pPr>
          </w:p>
        </w:tc>
        <w:tc>
          <w:tcPr>
            <w:tcW w:w="1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3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36</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ind w:right="3380" w:firstLine="434"/>
        <w:spacing w:after="0" w:line="254" w:lineRule="auto"/>
        <w:rPr>
          <w:sz w:val="20"/>
          <w:szCs w:val="20"/>
          <w:color w:val="auto"/>
        </w:rPr>
      </w:pPr>
      <w:r>
        <w:rPr>
          <w:rFonts w:ascii="Courier New" w:cs="Courier New" w:eastAsia="Courier New" w:hAnsi="Courier New"/>
          <w:sz w:val="14"/>
          <w:szCs w:val="14"/>
          <w:color w:val="auto"/>
        </w:rPr>
        <w:t>The charges described above, which include both recurring and nonrecurring items that have been aggregated for this presentation, are reflected in the Company's financial statements for the year ended December 31, 1999, as follows (in thousands):</w:t>
      </w:r>
    </w:p>
    <w:p>
      <w:pPr>
        <w:spacing w:after="0" w:line="330"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ALLOWANCE</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FOR DOUBTFUL</w:t>
      </w:r>
    </w:p>
    <w:p>
      <w:pPr>
        <w:spacing w:after="0" w:line="8" w:lineRule="exact"/>
        <w:rPr>
          <w:sz w:val="20"/>
          <w:szCs w:val="20"/>
          <w:color w:val="auto"/>
        </w:rPr>
      </w:pPr>
    </w:p>
    <w:p>
      <w:pPr>
        <w:ind w:left="4600"/>
        <w:spacing w:after="0"/>
        <w:tabs>
          <w:tab w:leader="none" w:pos="7020" w:val="left"/>
          <w:tab w:leader="none" w:pos="8320" w:val="left"/>
        </w:tabs>
        <w:rPr>
          <w:sz w:val="20"/>
          <w:szCs w:val="20"/>
          <w:color w:val="auto"/>
        </w:rPr>
      </w:pPr>
      <w:r>
        <w:rPr>
          <w:rFonts w:ascii="Courier New" w:cs="Courier New" w:eastAsia="Courier New" w:hAnsi="Courier New"/>
          <w:sz w:val="14"/>
          <w:szCs w:val="14"/>
          <w:color w:val="auto"/>
        </w:rPr>
        <w:t>ACCOUNTS</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LEGAL,</w:t>
      </w:r>
    </w:p>
    <w:p>
      <w:pPr>
        <w:spacing w:after="0" w:line="8" w:lineRule="exact"/>
        <w:rPr>
          <w:sz w:val="20"/>
          <w:szCs w:val="20"/>
          <w:color w:val="auto"/>
        </w:rPr>
      </w:pPr>
    </w:p>
    <w:p>
      <w:pPr>
        <w:ind w:left="4520"/>
        <w:spacing w:after="0"/>
        <w:tabs>
          <w:tab w:leader="none" w:pos="7020" w:val="left"/>
          <w:tab w:leader="none" w:pos="8140" w:val="left"/>
          <w:tab w:leader="none" w:pos="9280" w:val="left"/>
        </w:tabs>
        <w:rPr>
          <w:sz w:val="20"/>
          <w:szCs w:val="20"/>
          <w:color w:val="auto"/>
        </w:rPr>
      </w:pPr>
      <w:r>
        <w:rPr>
          <w:rFonts w:ascii="Courier New" w:cs="Courier New" w:eastAsia="Courier New" w:hAnsi="Courier New"/>
          <w:sz w:val="14"/>
          <w:szCs w:val="14"/>
          <w:color w:val="auto"/>
        </w:rPr>
        <w:t>AND OTHER</w:t>
      </w:r>
      <w:r>
        <w:rPr>
          <w:sz w:val="20"/>
          <w:szCs w:val="20"/>
          <w:color w:val="auto"/>
        </w:rPr>
        <w:tab/>
      </w:r>
      <w:r>
        <w:rPr>
          <w:rFonts w:ascii="Courier New" w:cs="Courier New" w:eastAsia="Courier New" w:hAnsi="Courier New"/>
          <w:sz w:val="14"/>
          <w:szCs w:val="14"/>
          <w:color w:val="auto"/>
        </w:rPr>
        <w:t>RESERVES</w:t>
      </w:r>
      <w:r>
        <w:rPr>
          <w:sz w:val="20"/>
          <w:szCs w:val="20"/>
          <w:color w:val="auto"/>
        </w:rPr>
        <w:tab/>
      </w:r>
      <w:r>
        <w:rPr>
          <w:rFonts w:ascii="Courier New" w:cs="Courier New" w:eastAsia="Courier New" w:hAnsi="Courier New"/>
          <w:sz w:val="14"/>
          <w:szCs w:val="14"/>
          <w:color w:val="auto"/>
        </w:rPr>
        <w:t>SEVERANCE</w:t>
      </w:r>
      <w:r>
        <w:rPr>
          <w:sz w:val="20"/>
          <w:szCs w:val="20"/>
          <w:color w:val="auto"/>
        </w:rPr>
        <w:tab/>
      </w:r>
      <w:r>
        <w:rPr>
          <w:rFonts w:ascii="Courier New" w:cs="Courier New" w:eastAsia="Courier New" w:hAnsi="Courier New"/>
          <w:sz w:val="14"/>
          <w:szCs w:val="14"/>
          <w:color w:val="auto"/>
        </w:rPr>
        <w:t>MERGER AND</w:t>
      </w:r>
    </w:p>
    <w:p>
      <w:pPr>
        <w:spacing w:after="0" w:line="8" w:lineRule="exact"/>
        <w:rPr>
          <w:sz w:val="20"/>
          <w:szCs w:val="20"/>
          <w:color w:val="auto"/>
        </w:rPr>
      </w:pPr>
    </w:p>
    <w:p>
      <w:pPr>
        <w:jc w:val="right"/>
        <w:spacing w:after="0"/>
        <w:tabs>
          <w:tab w:leader="none" w:pos="5620" w:val="left"/>
          <w:tab w:leader="none" w:pos="4220" w:val="left"/>
          <w:tab w:leader="none" w:pos="3180" w:val="left"/>
          <w:tab w:leader="none" w:pos="1800" w:val="left"/>
          <w:tab w:leader="none" w:pos="920" w:val="left"/>
        </w:tabs>
        <w:rPr>
          <w:sz w:val="20"/>
          <w:szCs w:val="20"/>
          <w:color w:val="auto"/>
        </w:rPr>
      </w:pPr>
      <w:r>
        <w:rPr>
          <w:rFonts w:ascii="Courier New" w:cs="Courier New" w:eastAsia="Courier New" w:hAnsi="Courier New"/>
          <w:sz w:val="14"/>
          <w:szCs w:val="14"/>
          <w:color w:val="auto"/>
        </w:rPr>
        <w:t>HELD-FOR-</w:t>
      </w:r>
      <w:r>
        <w:rPr>
          <w:sz w:val="20"/>
          <w:szCs w:val="20"/>
          <w:color w:val="auto"/>
        </w:rPr>
        <w:tab/>
      </w:r>
      <w:r>
        <w:rPr>
          <w:rFonts w:ascii="Courier New" w:cs="Courier New" w:eastAsia="Courier New" w:hAnsi="Courier New"/>
          <w:sz w:val="14"/>
          <w:szCs w:val="14"/>
          <w:color w:val="auto"/>
        </w:rPr>
        <w:t>ACCOUNTS</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AND OTHER</w:t>
      </w:r>
      <w:r>
        <w:rPr>
          <w:sz w:val="20"/>
          <w:szCs w:val="20"/>
          <w:color w:val="auto"/>
        </w:rPr>
        <w:tab/>
      </w: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ACQUISITION</w:t>
      </w:r>
    </w:p>
    <w:p>
      <w:pPr>
        <w:spacing w:after="0" w:line="8" w:lineRule="exact"/>
        <w:rPr>
          <w:sz w:val="20"/>
          <w:szCs w:val="20"/>
          <w:color w:val="auto"/>
        </w:rPr>
      </w:pPr>
    </w:p>
    <w:p>
      <w:pPr>
        <w:ind w:left="3480"/>
        <w:spacing w:after="0"/>
        <w:tabs>
          <w:tab w:leader="none" w:pos="4500" w:val="left"/>
          <w:tab w:leader="none" w:pos="5980" w:val="left"/>
          <w:tab w:leader="none" w:pos="7020" w:val="left"/>
          <w:tab w:leader="none" w:pos="8140" w:val="left"/>
          <w:tab w:leader="none" w:pos="9440" w:val="left"/>
        </w:tabs>
        <w:rPr>
          <w:sz w:val="20"/>
          <w:szCs w:val="20"/>
          <w:color w:val="auto"/>
        </w:rPr>
      </w:pPr>
      <w:r>
        <w:rPr>
          <w:rFonts w:ascii="Courier New" w:cs="Courier New" w:eastAsia="Courier New" w:hAnsi="Courier New"/>
          <w:sz w:val="14"/>
          <w:szCs w:val="14"/>
          <w:color w:val="auto"/>
        </w:rPr>
        <w:t>SALE</w:t>
      </w:r>
      <w:r>
        <w:rPr>
          <w:sz w:val="20"/>
          <w:szCs w:val="20"/>
          <w:color w:val="auto"/>
        </w:rPr>
        <w:tab/>
      </w:r>
      <w:r>
        <w:rPr>
          <w:rFonts w:ascii="Courier New" w:cs="Courier New" w:eastAsia="Courier New" w:hAnsi="Courier New"/>
          <w:sz w:val="14"/>
          <w:szCs w:val="14"/>
          <w:color w:val="auto"/>
        </w:rPr>
        <w:t>RECEIVABLE</w:t>
      </w:r>
      <w:r>
        <w:rPr>
          <w:sz w:val="20"/>
          <w:szCs w:val="20"/>
          <w:color w:val="auto"/>
        </w:rPr>
        <w:tab/>
      </w:r>
      <w:r>
        <w:rPr>
          <w:rFonts w:ascii="Courier New" w:cs="Courier New" w:eastAsia="Courier New" w:hAnsi="Courier New"/>
          <w:sz w:val="14"/>
          <w:szCs w:val="14"/>
          <w:color w:val="auto"/>
        </w:rPr>
        <w:t>ASSET</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CONSULTING</w:t>
      </w:r>
      <w:r>
        <w:rPr>
          <w:sz w:val="20"/>
          <w:szCs w:val="20"/>
          <w:color w:val="auto"/>
        </w:rPr>
        <w:tab/>
      </w:r>
      <w:r>
        <w:rPr>
          <w:rFonts w:ascii="Courier New" w:cs="Courier New" w:eastAsia="Courier New" w:hAnsi="Courier New"/>
          <w:sz w:val="14"/>
          <w:szCs w:val="14"/>
          <w:color w:val="auto"/>
        </w:rPr>
        <w:t>RELATED</w:t>
      </w:r>
    </w:p>
    <w:p>
      <w:pPr>
        <w:spacing w:after="0" w:line="8" w:lineRule="exact"/>
        <w:rPr>
          <w:sz w:val="20"/>
          <w:szCs w:val="20"/>
          <w:color w:val="auto"/>
        </w:rPr>
      </w:pPr>
    </w:p>
    <w:p>
      <w:pPr>
        <w:ind w:left="3220"/>
        <w:spacing w:after="0"/>
        <w:tabs>
          <w:tab w:leader="none" w:pos="4420" w:val="left"/>
          <w:tab w:leader="none" w:pos="5720" w:val="left"/>
          <w:tab w:leader="none" w:pos="6940" w:val="left"/>
          <w:tab w:leader="none" w:pos="8240" w:val="left"/>
          <w:tab w:leader="none" w:pos="9540" w:val="left"/>
        </w:tabs>
        <w:rPr>
          <w:sz w:val="20"/>
          <w:szCs w:val="20"/>
          <w:color w:val="auto"/>
        </w:rPr>
      </w:pPr>
      <w:r>
        <w:rPr>
          <w:rFonts w:ascii="Courier New" w:cs="Courier New" w:eastAsia="Courier New" w:hAnsi="Courier New"/>
          <w:sz w:val="14"/>
          <w:szCs w:val="14"/>
          <w:color w:val="auto"/>
        </w:rPr>
        <w:t>ADJUSTMENTS</w:t>
        <w:tab/>
        <w:t>ADJUSTMENTS</w:t>
      </w:r>
      <w:r>
        <w:rPr>
          <w:sz w:val="20"/>
          <w:szCs w:val="20"/>
          <w:color w:val="auto"/>
        </w:rPr>
        <w:tab/>
      </w:r>
      <w:r>
        <w:rPr>
          <w:rFonts w:ascii="Courier New" w:cs="Courier New" w:eastAsia="Courier New" w:hAnsi="Courier New"/>
          <w:sz w:val="14"/>
          <w:szCs w:val="14"/>
          <w:color w:val="auto"/>
        </w:rPr>
        <w:t>IMPAIRMENTS</w:t>
        <w:tab/>
        <w:t>ADJUSTMENTS</w:t>
      </w:r>
      <w:r>
        <w:rPr>
          <w:sz w:val="20"/>
          <w:szCs w:val="20"/>
          <w:color w:val="auto"/>
        </w:rPr>
        <w:tab/>
      </w:r>
      <w:r>
        <w:rPr>
          <w:rFonts w:ascii="Courier New" w:cs="Courier New" w:eastAsia="Courier New" w:hAnsi="Courier New"/>
          <w:sz w:val="14"/>
          <w:szCs w:val="14"/>
          <w:color w:val="auto"/>
        </w:rPr>
        <w:t>ACCRUALS</w:t>
      </w:r>
      <w:r>
        <w:rPr>
          <w:sz w:val="20"/>
          <w:szCs w:val="20"/>
          <w:color w:val="auto"/>
        </w:rPr>
        <w:tab/>
      </w:r>
      <w:r>
        <w:rPr>
          <w:rFonts w:ascii="Courier New" w:cs="Courier New" w:eastAsia="Courier New" w:hAnsi="Courier New"/>
          <w:sz w:val="14"/>
          <w:szCs w:val="14"/>
          <w:color w:val="auto"/>
        </w:rPr>
        <w:t>COSTS</w:t>
      </w:r>
    </w:p>
    <w:p>
      <w:pPr>
        <w:spacing w:after="0" w:line="8" w:lineRule="exact"/>
        <w:rPr>
          <w:sz w:val="20"/>
          <w:szCs w:val="20"/>
          <w:color w:val="auto"/>
        </w:rPr>
      </w:pPr>
    </w:p>
    <w:p>
      <w:pPr>
        <w:ind w:left="3220"/>
        <w:spacing w:after="0"/>
        <w:tabs>
          <w:tab w:leader="none" w:pos="4420" w:val="left"/>
          <w:tab w:leader="none" w:pos="5720" w:val="left"/>
          <w:tab w:leader="none" w:pos="6940" w:val="left"/>
          <w:tab w:leader="none" w:pos="8140" w:val="left"/>
          <w:tab w:leader="none" w:pos="9280" w:val="left"/>
        </w:tabs>
        <w:rPr>
          <w:sz w:val="20"/>
          <w:szCs w:val="20"/>
          <w:color w:val="auto"/>
        </w:rPr>
      </w:pPr>
      <w:r>
        <w:rPr>
          <w:rFonts w:ascii="Courier New" w:cs="Courier New" w:eastAsia="Courier New" w:hAnsi="Courier New"/>
          <w:sz w:val="14"/>
          <w:szCs w:val="14"/>
          <w:color w:val="auto"/>
        </w:rPr>
        <w:t>-----------</w:t>
        <w:tab/>
        <w:t>------------</w:t>
        <w:tab/>
        <w:t>-----------</w:t>
        <w:tab/>
        <w:t>-----------</w:t>
        <w:tab/>
        <w:t>----------</w:t>
        <w:tab/>
        <w:t>-----------</w:t>
      </w:r>
    </w:p>
    <w:p>
      <w:pPr>
        <w:spacing w:after="0" w:line="175" w:lineRule="exact"/>
        <w:rPr>
          <w:sz w:val="20"/>
          <w:szCs w:val="20"/>
          <w:color w:val="auto"/>
        </w:rPr>
      </w:pPr>
    </w:p>
    <w:p>
      <w:pPr>
        <w:spacing w:after="0"/>
        <w:tabs>
          <w:tab w:leader="none" w:pos="3280" w:val="left"/>
          <w:tab w:leader="none" w:pos="3900" w:val="left"/>
          <w:tab w:leader="none" w:pos="4500" w:val="left"/>
          <w:tab w:leader="none" w:pos="5800" w:val="left"/>
          <w:tab w:leader="none" w:pos="6420" w:val="left"/>
          <w:tab w:leader="none" w:pos="7020" w:val="left"/>
          <w:tab w:leader="none" w:pos="7620" w:val="left"/>
          <w:tab w:leader="none" w:pos="8140" w:val="left"/>
          <w:tab w:leader="none" w:pos="8760" w:val="left"/>
          <w:tab w:leader="none" w:pos="9360" w:val="left"/>
          <w:tab w:leader="none" w:pos="9880" w:val="left"/>
        </w:tabs>
        <w:rPr>
          <w:sz w:val="20"/>
          <w:szCs w:val="20"/>
          <w:color w:val="auto"/>
        </w:rPr>
      </w:pPr>
      <w:r>
        <w:rPr>
          <w:rFonts w:ascii="Courier New" w:cs="Courier New" w:eastAsia="Courier New" w:hAnsi="Courier New"/>
          <w:sz w:val="14"/>
          <w:szCs w:val="14"/>
          <w:color w:val="auto"/>
        </w:rPr>
        <w:t>Operating revenues.................</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(44,164)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tabs>
          <w:tab w:leader="none" w:pos="4500" w:val="left"/>
          <w:tab w:leader="none" w:pos="580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and expenses: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Operating (exclusive of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depreciation and amortization</w:t>
      </w:r>
    </w:p>
    <w:p>
      <w:pPr>
        <w:spacing w:after="0" w:line="8" w:lineRule="exact"/>
        <w:rPr>
          <w:sz w:val="20"/>
          <w:szCs w:val="20"/>
          <w:color w:val="auto"/>
        </w:rPr>
      </w:pPr>
    </w:p>
    <w:p>
      <w:pPr>
        <w:ind w:left="260"/>
        <w:spacing w:after="0"/>
        <w:tabs>
          <w:tab w:leader="none" w:pos="3900" w:val="left"/>
          <w:tab w:leader="none" w:pos="5100" w:val="left"/>
          <w:tab w:leader="none" w:pos="6420" w:val="left"/>
          <w:tab w:leader="none" w:pos="7200" w:val="left"/>
          <w:tab w:leader="none" w:pos="8760" w:val="left"/>
          <w:tab w:leader="none" w:pos="9880" w:val="left"/>
        </w:tabs>
        <w:rPr>
          <w:sz w:val="20"/>
          <w:szCs w:val="20"/>
          <w:color w:val="auto"/>
        </w:rPr>
      </w:pPr>
      <w:r>
        <w:rPr>
          <w:rFonts w:ascii="Courier New" w:cs="Courier New" w:eastAsia="Courier New" w:hAnsi="Courier New"/>
          <w:sz w:val="14"/>
          <w:szCs w:val="14"/>
          <w:color w:val="auto"/>
        </w:rPr>
        <w:t>shown below)....................</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143,086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3900" w:val="left"/>
          <w:tab w:leader="none" w:pos="4680" w:val="left"/>
          <w:tab w:leader="none" w:pos="6420" w:val="left"/>
          <w:tab w:leader="none" w:pos="7360" w:val="left"/>
          <w:tab w:leader="none" w:pos="8400" w:val="left"/>
          <w:tab w:leader="none" w:pos="9880" w:val="left"/>
        </w:tabs>
        <w:rPr>
          <w:sz w:val="20"/>
          <w:szCs w:val="20"/>
          <w:color w:val="auto"/>
        </w:rPr>
      </w:pPr>
      <w:r>
        <w:rPr>
          <w:rFonts w:ascii="Courier New" w:cs="Courier New" w:eastAsia="Courier New" w:hAnsi="Courier New"/>
          <w:sz w:val="14"/>
          <w:szCs w:val="14"/>
          <w:color w:val="auto"/>
        </w:rPr>
        <w:t>General and administrative........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167,319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4,782</w:t>
      </w:r>
      <w:r>
        <w:rPr>
          <w:sz w:val="20"/>
          <w:szCs w:val="20"/>
          <w:color w:val="auto"/>
        </w:rPr>
        <w:tab/>
      </w:r>
      <w:r>
        <w:rPr>
          <w:rFonts w:ascii="Courier New" w:cs="Courier New" w:eastAsia="Courier New" w:hAnsi="Courier New"/>
          <w:sz w:val="14"/>
          <w:szCs w:val="14"/>
          <w:color w:val="auto"/>
        </w:rPr>
        <w:t>57,599</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3900" w:val="left"/>
          <w:tab w:leader="none" w:pos="5100" w:val="left"/>
          <w:tab w:leader="none" w:pos="6420" w:val="left"/>
          <w:tab w:leader="none" w:pos="7620" w:val="left"/>
          <w:tab w:leader="none" w:pos="8760" w:val="left"/>
          <w:tab w:leader="none" w:pos="9880" w:val="left"/>
        </w:tabs>
        <w:rPr>
          <w:sz w:val="20"/>
          <w:szCs w:val="20"/>
          <w:color w:val="auto"/>
        </w:rPr>
      </w:pPr>
      <w:r>
        <w:rPr>
          <w:rFonts w:ascii="Courier New" w:cs="Courier New" w:eastAsia="Courier New" w:hAnsi="Courier New"/>
          <w:sz w:val="14"/>
          <w:szCs w:val="14"/>
          <w:color w:val="auto"/>
        </w:rPr>
        <w:t>Depreciation and amortization.....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Merger and acquisition related</w:t>
      </w:r>
    </w:p>
    <w:p>
      <w:pPr>
        <w:spacing w:after="0" w:line="8" w:lineRule="exact"/>
        <w:rPr>
          <w:sz w:val="20"/>
          <w:szCs w:val="20"/>
          <w:color w:val="auto"/>
        </w:rPr>
      </w:pPr>
    </w:p>
    <w:p>
      <w:pPr>
        <w:ind w:left="260"/>
        <w:spacing w:after="0"/>
        <w:tabs>
          <w:tab w:leader="none" w:pos="3900" w:val="left"/>
          <w:tab w:leader="none" w:pos="5100" w:val="left"/>
          <w:tab w:leader="none" w:pos="6420" w:val="left"/>
          <w:tab w:leader="none" w:pos="7620" w:val="left"/>
          <w:tab w:leader="none" w:pos="8760" w:val="left"/>
          <w:tab w:leader="none" w:pos="9540" w:val="left"/>
        </w:tabs>
        <w:rPr>
          <w:sz w:val="20"/>
          <w:szCs w:val="20"/>
          <w:color w:val="auto"/>
        </w:rPr>
      </w:pP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31,568</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Asset impairments and unusual</w:t>
      </w:r>
    </w:p>
    <w:p>
      <w:pPr>
        <w:spacing w:after="0" w:line="8" w:lineRule="exact"/>
        <w:rPr>
          <w:sz w:val="20"/>
          <w:szCs w:val="20"/>
          <w:color w:val="auto"/>
        </w:rPr>
      </w:pPr>
    </w:p>
    <w:p>
      <w:pPr>
        <w:ind w:left="260"/>
        <w:spacing w:after="0"/>
        <w:tabs>
          <w:tab w:leader="none" w:pos="3460" w:val="left"/>
          <w:tab w:leader="none" w:pos="5100" w:val="left"/>
          <w:tab w:leader="none" w:pos="5980" w:val="left"/>
          <w:tab w:leader="none" w:pos="7620" w:val="left"/>
          <w:tab w:leader="none" w:pos="8400" w:val="left"/>
          <w:tab w:leader="none" w:pos="9880" w:val="left"/>
        </w:tabs>
        <w:rPr>
          <w:sz w:val="20"/>
          <w:szCs w:val="20"/>
          <w:color w:val="auto"/>
        </w:rPr>
      </w:pPr>
      <w:r>
        <w:rPr>
          <w:rFonts w:ascii="Courier New" w:cs="Courier New" w:eastAsia="Courier New" w:hAnsi="Courier New"/>
          <w:sz w:val="14"/>
          <w:szCs w:val="14"/>
          <w:color w:val="auto"/>
        </w:rPr>
        <w:t>items...........................</w:t>
      </w:r>
      <w:r>
        <w:rPr>
          <w:sz w:val="20"/>
          <w:szCs w:val="20"/>
          <w:color w:val="auto"/>
        </w:rPr>
        <w:tab/>
      </w:r>
      <w:r>
        <w:rPr>
          <w:rFonts w:ascii="Courier New" w:cs="Courier New" w:eastAsia="Courier New" w:hAnsi="Courier New"/>
          <w:sz w:val="14"/>
          <w:szCs w:val="14"/>
          <w:color w:val="auto"/>
        </w:rPr>
        <w:t>414,275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178,309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84,400</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7540"/>
        <w:spacing w:after="0"/>
        <w:rPr>
          <w:sz w:val="20"/>
          <w:szCs w:val="20"/>
          <w:color w:val="auto"/>
        </w:rPr>
      </w:pPr>
      <w:r>
        <w:rPr>
          <w:rFonts w:ascii="Courier New" w:cs="Courier New" w:eastAsia="Courier New" w:hAnsi="Courier New"/>
          <w:sz w:val="14"/>
          <w:szCs w:val="14"/>
          <w:color w:val="auto"/>
        </w:rPr>
        <w:t>Loss from continuing operations</w:t>
      </w:r>
    </w:p>
    <w:p>
      <w:pPr>
        <w:spacing w:after="0" w:line="8" w:lineRule="exact"/>
        <w:rPr>
          <w:sz w:val="20"/>
          <w:szCs w:val="20"/>
          <w:color w:val="auto"/>
        </w:rPr>
      </w:pPr>
    </w:p>
    <w:p>
      <w:pPr>
        <w:jc w:val="right"/>
        <w:ind w:right="7540"/>
        <w:spacing w:after="0"/>
        <w:rPr>
          <w:sz w:val="20"/>
          <w:szCs w:val="20"/>
          <w:color w:val="auto"/>
        </w:rPr>
      </w:pPr>
      <w:r>
        <w:rPr>
          <w:rFonts w:ascii="Courier New" w:cs="Courier New" w:eastAsia="Courier New" w:hAnsi="Courier New"/>
          <w:sz w:val="14"/>
          <w:szCs w:val="14"/>
          <w:color w:val="auto"/>
        </w:rPr>
        <w:t>held for sale, net of minority</w:t>
      </w:r>
    </w:p>
    <w:p>
      <w:pPr>
        <w:spacing w:after="0" w:line="8" w:lineRule="exact"/>
        <w:rPr>
          <w:sz w:val="20"/>
          <w:szCs w:val="20"/>
          <w:color w:val="auto"/>
        </w:rPr>
      </w:pPr>
    </w:p>
    <w:p>
      <w:pPr>
        <w:ind w:left="100"/>
        <w:spacing w:after="0"/>
        <w:tabs>
          <w:tab w:leader="none" w:pos="3900" w:val="left"/>
          <w:tab w:leader="none" w:pos="5100" w:val="left"/>
          <w:tab w:leader="none" w:pos="6420" w:val="left"/>
          <w:tab w:leader="none" w:pos="7620" w:val="left"/>
          <w:tab w:leader="none" w:pos="8760" w:val="left"/>
          <w:tab w:leader="none" w:pos="9880" w:val="left"/>
        </w:tabs>
        <w:rPr>
          <w:sz w:val="20"/>
          <w:szCs w:val="20"/>
          <w:color w:val="auto"/>
        </w:rPr>
      </w:pP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tabs>
          <w:tab w:leader="none" w:pos="4500" w:val="left"/>
          <w:tab w:leader="none" w:pos="580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tabs>
          <w:tab w:leader="none" w:pos="4680" w:val="left"/>
          <w:tab w:leader="none" w:pos="5980" w:val="left"/>
          <w:tab w:leader="none" w:pos="7200" w:val="left"/>
          <w:tab w:leader="none" w:pos="8320" w:val="left"/>
          <w:tab w:leader="none" w:pos="9540" w:val="left"/>
        </w:tabs>
        <w:rPr>
          <w:sz w:val="20"/>
          <w:szCs w:val="20"/>
          <w:color w:val="auto"/>
        </w:rPr>
      </w:pPr>
      <w:r>
        <w:rPr>
          <w:rFonts w:ascii="Courier New" w:cs="Courier New" w:eastAsia="Courier New" w:hAnsi="Courier New"/>
          <w:sz w:val="14"/>
          <w:szCs w:val="14"/>
          <w:color w:val="auto"/>
        </w:rPr>
        <w:t>414,275...</w:t>
      </w:r>
      <w:r>
        <w:rPr>
          <w:sz w:val="20"/>
          <w:szCs w:val="20"/>
          <w:color w:val="auto"/>
        </w:rPr>
        <w:tab/>
      </w:r>
      <w:r>
        <w:rPr>
          <w:rFonts w:ascii="Courier New" w:cs="Courier New" w:eastAsia="Courier New" w:hAnsi="Courier New"/>
          <w:sz w:val="14"/>
          <w:szCs w:val="14"/>
          <w:color w:val="auto"/>
        </w:rPr>
        <w:t>167,319</w:t>
      </w:r>
      <w:r>
        <w:rPr>
          <w:sz w:val="20"/>
          <w:szCs w:val="20"/>
          <w:color w:val="auto"/>
        </w:rPr>
        <w:tab/>
      </w:r>
      <w:r>
        <w:rPr>
          <w:rFonts w:ascii="Courier New" w:cs="Courier New" w:eastAsia="Courier New" w:hAnsi="Courier New"/>
          <w:sz w:val="14"/>
          <w:szCs w:val="14"/>
          <w:color w:val="auto"/>
        </w:rPr>
        <w:t>178,309</w:t>
      </w:r>
      <w:r>
        <w:rPr>
          <w:sz w:val="20"/>
          <w:szCs w:val="20"/>
          <w:color w:val="auto"/>
        </w:rPr>
        <w:tab/>
      </w:r>
      <w:r>
        <w:rPr>
          <w:rFonts w:ascii="Courier New" w:cs="Courier New" w:eastAsia="Courier New" w:hAnsi="Courier New"/>
          <w:sz w:val="14"/>
          <w:szCs w:val="14"/>
          <w:color w:val="auto"/>
        </w:rPr>
        <w:t>147,868</w:t>
      </w:r>
      <w:r>
        <w:rPr>
          <w:sz w:val="20"/>
          <w:szCs w:val="20"/>
          <w:color w:val="auto"/>
        </w:rPr>
        <w:tab/>
      </w:r>
      <w:r>
        <w:rPr>
          <w:rFonts w:ascii="Courier New" w:cs="Courier New" w:eastAsia="Courier New" w:hAnsi="Courier New"/>
          <w:sz w:val="14"/>
          <w:szCs w:val="14"/>
          <w:color w:val="auto"/>
        </w:rPr>
        <w:t>141,999</w:t>
      </w:r>
      <w:r>
        <w:rPr>
          <w:sz w:val="20"/>
          <w:szCs w:val="20"/>
          <w:color w:val="auto"/>
        </w:rPr>
        <w:tab/>
      </w:r>
      <w:r>
        <w:rPr>
          <w:rFonts w:ascii="Courier New" w:cs="Courier New" w:eastAsia="Courier New" w:hAnsi="Courier New"/>
          <w:sz w:val="14"/>
          <w:szCs w:val="14"/>
          <w:color w:val="auto"/>
        </w:rPr>
        <w:t>31,568</w:t>
      </w:r>
    </w:p>
    <w:p>
      <w:pPr>
        <w:spacing w:after="0" w:line="8" w:lineRule="exact"/>
        <w:rPr>
          <w:sz w:val="20"/>
          <w:szCs w:val="20"/>
          <w:color w:val="auto"/>
        </w:rPr>
      </w:pPr>
    </w:p>
    <w:p>
      <w:pPr>
        <w:ind w:left="3300"/>
        <w:spacing w:after="0"/>
        <w:tabs>
          <w:tab w:leader="none" w:pos="4500" w:val="left"/>
          <w:tab w:leader="none" w:pos="580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380" w:val="left"/>
          <w:tab w:leader="none" w:pos="4580" w:val="left"/>
          <w:tab w:leader="none" w:pos="5880" w:val="left"/>
          <w:tab w:leader="none" w:pos="7100" w:val="left"/>
          <w:tab w:leader="none" w:pos="8240" w:val="left"/>
          <w:tab w:leader="none" w:pos="9440" w:val="left"/>
        </w:tabs>
        <w:rPr>
          <w:sz w:val="20"/>
          <w:szCs w:val="20"/>
          <w:color w:val="auto"/>
        </w:rPr>
      </w:pPr>
      <w:r>
        <w:rPr>
          <w:rFonts w:ascii="Courier New" w:cs="Courier New" w:eastAsia="Courier New" w:hAnsi="Courier New"/>
          <w:sz w:val="14"/>
          <w:szCs w:val="14"/>
          <w:color w:val="auto"/>
        </w:rPr>
        <w:t>Loss from operations...............</w:t>
      </w:r>
      <w:r>
        <w:rPr>
          <w:sz w:val="20"/>
          <w:szCs w:val="20"/>
          <w:color w:val="auto"/>
        </w:rPr>
        <w:tab/>
      </w:r>
      <w:r>
        <w:rPr>
          <w:rFonts w:ascii="Courier New" w:cs="Courier New" w:eastAsia="Courier New" w:hAnsi="Courier New"/>
          <w:sz w:val="14"/>
          <w:szCs w:val="14"/>
          <w:color w:val="auto"/>
        </w:rPr>
        <w:t>(414,275)</w:t>
      </w:r>
      <w:r>
        <w:rPr>
          <w:sz w:val="20"/>
          <w:szCs w:val="20"/>
          <w:color w:val="auto"/>
        </w:rPr>
        <w:tab/>
      </w:r>
      <w:r>
        <w:rPr>
          <w:rFonts w:ascii="Courier New" w:cs="Courier New" w:eastAsia="Courier New" w:hAnsi="Courier New"/>
          <w:sz w:val="14"/>
          <w:szCs w:val="14"/>
          <w:color w:val="auto"/>
        </w:rPr>
        <w:t>(211,483)</w:t>
      </w:r>
      <w:r>
        <w:rPr>
          <w:sz w:val="20"/>
          <w:szCs w:val="20"/>
          <w:color w:val="auto"/>
        </w:rPr>
        <w:tab/>
      </w:r>
      <w:r>
        <w:rPr>
          <w:rFonts w:ascii="Courier New" w:cs="Courier New" w:eastAsia="Courier New" w:hAnsi="Courier New"/>
          <w:sz w:val="14"/>
          <w:szCs w:val="14"/>
          <w:color w:val="auto"/>
        </w:rPr>
        <w:t>(178,309)</w:t>
      </w:r>
      <w:r>
        <w:rPr>
          <w:sz w:val="20"/>
          <w:szCs w:val="20"/>
          <w:color w:val="auto"/>
        </w:rPr>
        <w:tab/>
      </w:r>
      <w:r>
        <w:rPr>
          <w:rFonts w:ascii="Courier New" w:cs="Courier New" w:eastAsia="Courier New" w:hAnsi="Courier New"/>
          <w:sz w:val="14"/>
          <w:szCs w:val="14"/>
          <w:color w:val="auto"/>
        </w:rPr>
        <w:t>(147,868)</w:t>
      </w:r>
      <w:r>
        <w:rPr>
          <w:sz w:val="20"/>
          <w:szCs w:val="20"/>
          <w:color w:val="auto"/>
        </w:rPr>
        <w:tab/>
      </w:r>
      <w:r>
        <w:rPr>
          <w:rFonts w:ascii="Courier New" w:cs="Courier New" w:eastAsia="Courier New" w:hAnsi="Courier New"/>
          <w:sz w:val="14"/>
          <w:szCs w:val="14"/>
          <w:color w:val="auto"/>
        </w:rPr>
        <w:t>(141,999)</w:t>
      </w:r>
      <w:r>
        <w:rPr>
          <w:sz w:val="20"/>
          <w:szCs w:val="20"/>
          <w:color w:val="auto"/>
        </w:rPr>
        <w:tab/>
      </w:r>
      <w:r>
        <w:rPr>
          <w:rFonts w:ascii="Courier New" w:cs="Courier New" w:eastAsia="Courier New" w:hAnsi="Courier New"/>
          <w:sz w:val="14"/>
          <w:szCs w:val="14"/>
          <w:color w:val="auto"/>
        </w:rPr>
        <w:t>(31,568)</w:t>
      </w:r>
    </w:p>
    <w:p>
      <w:pPr>
        <w:spacing w:after="0" w:line="8" w:lineRule="exact"/>
        <w:rPr>
          <w:sz w:val="20"/>
          <w:szCs w:val="20"/>
          <w:color w:val="auto"/>
        </w:rPr>
      </w:pPr>
    </w:p>
    <w:p>
      <w:pPr>
        <w:ind w:left="3300"/>
        <w:spacing w:after="0"/>
        <w:tabs>
          <w:tab w:leader="none" w:pos="4500" w:val="left"/>
          <w:tab w:leader="none" w:pos="580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w:t>
      </w:r>
    </w:p>
    <w:p>
      <w:pPr>
        <w:spacing w:after="0" w:line="8" w:lineRule="exact"/>
        <w:rPr>
          <w:sz w:val="20"/>
          <w:szCs w:val="20"/>
          <w:color w:val="auto"/>
        </w:rPr>
      </w:pPr>
    </w:p>
    <w:p>
      <w:pPr>
        <w:ind w:left="100"/>
        <w:spacing w:after="0"/>
        <w:tabs>
          <w:tab w:leader="none" w:pos="3900" w:val="left"/>
          <w:tab w:leader="none" w:pos="5100" w:val="left"/>
          <w:tab w:leader="none" w:pos="6420" w:val="left"/>
          <w:tab w:leader="none" w:pos="7620" w:val="left"/>
          <w:tab w:leader="none" w:pos="8760" w:val="left"/>
          <w:tab w:leader="none" w:pos="9880" w:val="left"/>
        </w:tabs>
        <w:rPr>
          <w:sz w:val="20"/>
          <w:szCs w:val="20"/>
          <w:color w:val="auto"/>
        </w:rPr>
      </w:pPr>
      <w:r>
        <w:rPr>
          <w:rFonts w:ascii="Courier New" w:cs="Courier New" w:eastAsia="Courier New" w:hAnsi="Courier New"/>
          <w:sz w:val="14"/>
          <w:szCs w:val="14"/>
          <w:color w:val="auto"/>
        </w:rPr>
        <w:t>Interest expense..................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3900" w:val="left"/>
          <w:tab w:leader="none" w:pos="5100" w:val="left"/>
          <w:tab w:leader="none" w:pos="6420" w:val="left"/>
          <w:tab w:leader="none" w:pos="7620" w:val="left"/>
          <w:tab w:leader="none" w:pos="8760" w:val="left"/>
          <w:tab w:leader="none" w:pos="9880" w:val="left"/>
        </w:tabs>
        <w:rPr>
          <w:sz w:val="20"/>
          <w:szCs w:val="20"/>
          <w:color w:val="auto"/>
        </w:rPr>
      </w:pPr>
      <w:r>
        <w:rPr>
          <w:rFonts w:ascii="Courier New" w:cs="Courier New" w:eastAsia="Courier New" w:hAnsi="Courier New"/>
          <w:sz w:val="14"/>
          <w:szCs w:val="14"/>
          <w:color w:val="auto"/>
        </w:rPr>
        <w:t>Interest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3200" w:val="left"/>
          <w:tab w:leader="none" w:pos="5100" w:val="left"/>
          <w:tab w:leader="none" w:pos="6420" w:val="left"/>
          <w:tab w:leader="none" w:pos="7620" w:val="left"/>
          <w:tab w:leader="none" w:pos="8760" w:val="left"/>
          <w:tab w:leader="none" w:pos="9880" w:val="left"/>
        </w:tabs>
        <w:rPr>
          <w:sz w:val="20"/>
          <w:szCs w:val="20"/>
          <w:color w:val="auto"/>
        </w:rPr>
      </w:pPr>
      <w:r>
        <w:rPr>
          <w:rFonts w:ascii="Courier New" w:cs="Courier New" w:eastAsia="Courier New" w:hAnsi="Courier New"/>
          <w:sz w:val="14"/>
          <w:szCs w:val="14"/>
          <w:color w:val="auto"/>
        </w:rPr>
        <w:t>Minority interest.................</w:t>
        <w:tab/>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3900" w:val="left"/>
          <w:tab w:leader="none" w:pos="5100" w:val="left"/>
          <w:tab w:leader="none" w:pos="6420" w:val="left"/>
          <w:tab w:leader="none" w:pos="7620" w:val="left"/>
          <w:tab w:leader="none" w:pos="8760" w:val="left"/>
          <w:tab w:leader="none" w:pos="9880" w:val="left"/>
        </w:tabs>
        <w:rPr>
          <w:sz w:val="20"/>
          <w:szCs w:val="20"/>
          <w:color w:val="auto"/>
        </w:rPr>
      </w:pPr>
      <w:r>
        <w:rPr>
          <w:rFonts w:ascii="Courier New" w:cs="Courier New" w:eastAsia="Courier New" w:hAnsi="Courier New"/>
          <w:sz w:val="14"/>
          <w:szCs w:val="14"/>
          <w:color w:val="auto"/>
        </w:rPr>
        <w:t>Other income (expense)............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tabs>
          <w:tab w:leader="none" w:pos="4500" w:val="left"/>
          <w:tab w:leader="none" w:pos="580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tabs>
          <w:tab w:leader="none" w:pos="5100" w:val="left"/>
          <w:tab w:leader="none" w:pos="6420" w:val="left"/>
          <w:tab w:leader="none" w:pos="7620" w:val="left"/>
          <w:tab w:leader="none" w:pos="8760" w:val="left"/>
          <w:tab w:leader="none" w:pos="98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tabs>
          <w:tab w:leader="none" w:pos="4500" w:val="left"/>
          <w:tab w:leader="none" w:pos="580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before income taxes and</w:t>
      </w:r>
    </w:p>
    <w:p>
      <w:pPr>
        <w:spacing w:after="0" w:line="8" w:lineRule="exact"/>
        <w:rPr>
          <w:sz w:val="20"/>
          <w:szCs w:val="20"/>
          <w:color w:val="auto"/>
        </w:rPr>
      </w:pPr>
    </w:p>
    <w:p>
      <w:pPr>
        <w:ind w:left="100"/>
        <w:spacing w:after="0"/>
        <w:tabs>
          <w:tab w:leader="none" w:pos="3280" w:val="left"/>
          <w:tab w:leader="none" w:pos="4500" w:val="left"/>
          <w:tab w:leader="none" w:pos="580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extraordinary items...............</w:t>
        <w:tab/>
        <w:t>$(414,275)</w:t>
      </w:r>
      <w:r>
        <w:rPr>
          <w:sz w:val="20"/>
          <w:szCs w:val="20"/>
          <w:color w:val="auto"/>
        </w:rPr>
        <w:tab/>
      </w:r>
      <w:r>
        <w:rPr>
          <w:rFonts w:ascii="Courier New" w:cs="Courier New" w:eastAsia="Courier New" w:hAnsi="Courier New"/>
          <w:sz w:val="14"/>
          <w:szCs w:val="14"/>
          <w:color w:val="auto"/>
        </w:rPr>
        <w:t>$(211,483)</w:t>
      </w:r>
      <w:r>
        <w:rPr>
          <w:sz w:val="20"/>
          <w:szCs w:val="20"/>
          <w:color w:val="auto"/>
        </w:rPr>
        <w:tab/>
      </w:r>
      <w:r>
        <w:rPr>
          <w:rFonts w:ascii="Courier New" w:cs="Courier New" w:eastAsia="Courier New" w:hAnsi="Courier New"/>
          <w:sz w:val="14"/>
          <w:szCs w:val="14"/>
          <w:color w:val="auto"/>
        </w:rPr>
        <w:t>$(178,309)</w:t>
      </w:r>
      <w:r>
        <w:rPr>
          <w:sz w:val="20"/>
          <w:szCs w:val="20"/>
          <w:color w:val="auto"/>
        </w:rPr>
        <w:tab/>
      </w:r>
      <w:r>
        <w:rPr>
          <w:rFonts w:ascii="Courier New" w:cs="Courier New" w:eastAsia="Courier New" w:hAnsi="Courier New"/>
          <w:sz w:val="14"/>
          <w:szCs w:val="14"/>
          <w:color w:val="auto"/>
        </w:rPr>
        <w:t>$(147,868)</w:t>
        <w:tab/>
        <w:t>$(141,999)</w:t>
      </w:r>
      <w:r>
        <w:rPr>
          <w:sz w:val="20"/>
          <w:szCs w:val="20"/>
          <w:color w:val="auto"/>
        </w:rPr>
        <w:tab/>
      </w:r>
      <w:r>
        <w:rPr>
          <w:rFonts w:ascii="Courier New" w:cs="Courier New" w:eastAsia="Courier New" w:hAnsi="Courier New"/>
          <w:sz w:val="14"/>
          <w:szCs w:val="14"/>
          <w:color w:val="auto"/>
        </w:rPr>
        <w:t>$(31,568)</w:t>
      </w:r>
    </w:p>
    <w:p>
      <w:pPr>
        <w:spacing w:after="0" w:line="8" w:lineRule="exact"/>
        <w:rPr>
          <w:sz w:val="20"/>
          <w:szCs w:val="20"/>
          <w:color w:val="auto"/>
        </w:rPr>
      </w:pPr>
    </w:p>
    <w:p>
      <w:pPr>
        <w:ind w:left="3300"/>
        <w:spacing w:after="0"/>
        <w:tabs>
          <w:tab w:leader="none" w:pos="4500" w:val="left"/>
          <w:tab w:leader="none" w:pos="5800" w:val="left"/>
          <w:tab w:leader="none" w:pos="7020" w:val="left"/>
          <w:tab w:leader="none" w:pos="8140" w:val="left"/>
          <w:tab w:leader="none" w:pos="9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from income taxes..........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0" w:lineRule="exact"/>
        <w:rPr>
          <w:sz w:val="20"/>
          <w:szCs w:val="20"/>
          <w:color w:val="auto"/>
        </w:rPr>
      </w:pPr>
    </w:p>
    <w:p>
      <w:pPr>
        <w:spacing w:after="0" w:line="30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ind w:left="3480"/>
        <w:spacing w:after="0"/>
        <w:tabs>
          <w:tab w:leader="none" w:pos="458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(INCLUDES</w:t>
      </w:r>
    </w:p>
    <w:p>
      <w:pPr>
        <w:spacing w:after="0" w:line="8" w:lineRule="exact"/>
        <w:rPr>
          <w:sz w:val="20"/>
          <w:szCs w:val="20"/>
          <w:color w:val="auto"/>
        </w:rPr>
      </w:pPr>
    </w:p>
    <w:p>
      <w:pPr>
        <w:ind w:left="3400"/>
        <w:spacing w:after="0"/>
        <w:tabs>
          <w:tab w:leader="none" w:pos="4420" w:val="left"/>
        </w:tabs>
        <w:rPr>
          <w:sz w:val="20"/>
          <w:szCs w:val="20"/>
          <w:color w:val="auto"/>
        </w:rPr>
      </w:pPr>
      <w:r>
        <w:rPr>
          <w:rFonts w:ascii="Courier New" w:cs="Courier New" w:eastAsia="Courier New" w:hAnsi="Courier New"/>
          <w:sz w:val="14"/>
          <w:szCs w:val="14"/>
          <w:color w:val="auto"/>
        </w:rPr>
        <w:t>CHARGES</w:t>
      </w:r>
      <w:r>
        <w:rPr>
          <w:sz w:val="20"/>
          <w:szCs w:val="20"/>
          <w:color w:val="auto"/>
        </w:rPr>
        <w:tab/>
      </w:r>
      <w:r>
        <w:rPr>
          <w:rFonts w:ascii="Courier New" w:cs="Courier New" w:eastAsia="Courier New" w:hAnsi="Courier New"/>
          <w:sz w:val="14"/>
          <w:szCs w:val="14"/>
          <w:color w:val="auto"/>
        </w:rPr>
        <w:t>RECURRING AND</w:t>
      </w:r>
    </w:p>
    <w:p>
      <w:pPr>
        <w:spacing w:after="0" w:line="8" w:lineRule="exact"/>
        <w:rPr>
          <w:sz w:val="20"/>
          <w:szCs w:val="20"/>
          <w:color w:val="auto"/>
        </w:rPr>
      </w:pPr>
    </w:p>
    <w:p>
      <w:pPr>
        <w:ind w:left="3560"/>
        <w:spacing w:after="0"/>
        <w:tabs>
          <w:tab w:leader="none" w:pos="442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NON-RECURRING</w:t>
      </w:r>
    </w:p>
    <w:p>
      <w:pPr>
        <w:spacing w:after="0" w:line="8" w:lineRule="exact"/>
        <w:rPr>
          <w:sz w:val="20"/>
          <w:szCs w:val="20"/>
          <w:color w:val="auto"/>
        </w:rPr>
      </w:pPr>
    </w:p>
    <w:p>
      <w:pPr>
        <w:ind w:left="3220"/>
        <w:spacing w:after="0"/>
        <w:tabs>
          <w:tab w:leader="none" w:pos="4680" w:val="left"/>
        </w:tabs>
        <w:rPr>
          <w:sz w:val="20"/>
          <w:szCs w:val="20"/>
          <w:color w:val="auto"/>
        </w:rPr>
      </w:pPr>
      <w:r>
        <w:rPr>
          <w:rFonts w:ascii="Courier New" w:cs="Courier New" w:eastAsia="Courier New" w:hAnsi="Courier New"/>
          <w:sz w:val="14"/>
          <w:szCs w:val="14"/>
          <w:color w:val="auto"/>
        </w:rPr>
        <w:t>ADJUSTMENTS</w:t>
      </w:r>
      <w:r>
        <w:rPr>
          <w:sz w:val="20"/>
          <w:szCs w:val="20"/>
          <w:color w:val="auto"/>
        </w:rPr>
        <w:tab/>
      </w:r>
      <w:r>
        <w:rPr>
          <w:rFonts w:ascii="Courier New" w:cs="Courier New" w:eastAsia="Courier New" w:hAnsi="Courier New"/>
          <w:sz w:val="14"/>
          <w:szCs w:val="14"/>
          <w:color w:val="auto"/>
        </w:rPr>
        <w:t>ITEMS)</w:t>
      </w:r>
    </w:p>
    <w:p>
      <w:pPr>
        <w:spacing w:after="0" w:line="8" w:lineRule="exact"/>
        <w:rPr>
          <w:sz w:val="20"/>
          <w:szCs w:val="20"/>
          <w:color w:val="auto"/>
        </w:rPr>
      </w:pPr>
    </w:p>
    <w:p>
      <w:pPr>
        <w:ind w:left="3220"/>
        <w:spacing w:after="0"/>
        <w:tabs>
          <w:tab w:leader="none" w:pos="442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tabs>
          <w:tab w:leader="none" w:pos="3280" w:val="left"/>
          <w:tab w:leader="none" w:pos="3540" w:val="left"/>
          <w:tab w:leader="none" w:pos="4500" w:val="left"/>
          <w:tab w:leader="none" w:pos="4840" w:val="left"/>
        </w:tabs>
        <w:rPr>
          <w:sz w:val="20"/>
          <w:szCs w:val="20"/>
          <w:color w:val="auto"/>
        </w:rPr>
      </w:pPr>
      <w:r>
        <w:rPr>
          <w:rFonts w:ascii="Courier New" w:cs="Courier New" w:eastAsia="Courier New" w:hAnsi="Courier New"/>
          <w:sz w:val="14"/>
          <w:szCs w:val="14"/>
          <w:color w:val="auto"/>
        </w:rPr>
        <w:t>Operating revenues.................</w:t>
        <w:tab/>
        <w:t>$</w:t>
        <w:tab/>
        <w:t>13,236</w:t>
      </w:r>
      <w:r>
        <w:rPr>
          <w:sz w:val="20"/>
          <w:szCs w:val="20"/>
          <w:color w:val="auto"/>
        </w:rPr>
        <w:tab/>
      </w:r>
      <w:r>
        <w:rPr>
          <w:rFonts w:ascii="Courier New" w:cs="Courier New" w:eastAsia="Courier New" w:hAnsi="Courier New"/>
          <w:sz w:val="14"/>
          <w:szCs w:val="14"/>
          <w:color w:val="auto"/>
        </w:rPr>
        <w:t>$</w:t>
        <w:tab/>
        <w:t>(30,928)</w:t>
      </w:r>
    </w:p>
    <w:p>
      <w:pPr>
        <w:spacing w:after="0" w:line="8" w:lineRule="exact"/>
        <w:rPr>
          <w:sz w:val="20"/>
          <w:szCs w:val="20"/>
          <w:color w:val="auto"/>
        </w:rPr>
      </w:pPr>
    </w:p>
    <w:p>
      <w:pPr>
        <w:ind w:left="3300"/>
        <w:spacing w:after="0"/>
        <w:tabs>
          <w:tab w:leader="none" w:pos="4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and expenses: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Operating (exclusive of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depreciation and amortization</w:t>
      </w:r>
    </w:p>
    <w:p>
      <w:pPr>
        <w:spacing w:after="0" w:line="8" w:lineRule="exact"/>
        <w:rPr>
          <w:sz w:val="20"/>
          <w:szCs w:val="20"/>
          <w:color w:val="auto"/>
        </w:rPr>
      </w:pPr>
    </w:p>
    <w:p>
      <w:pPr>
        <w:ind w:left="260"/>
        <w:spacing w:after="0"/>
        <w:tabs>
          <w:tab w:leader="none" w:pos="3460" w:val="left"/>
          <w:tab w:leader="none" w:pos="4840" w:val="left"/>
        </w:tabs>
        <w:rPr>
          <w:sz w:val="20"/>
          <w:szCs w:val="20"/>
          <w:color w:val="auto"/>
        </w:rPr>
      </w:pPr>
      <w:r>
        <w:rPr>
          <w:rFonts w:ascii="Courier New" w:cs="Courier New" w:eastAsia="Courier New" w:hAnsi="Courier New"/>
          <w:sz w:val="14"/>
          <w:szCs w:val="14"/>
          <w:color w:val="auto"/>
        </w:rPr>
        <w:t>shown below)....................</w:t>
      </w:r>
      <w:r>
        <w:rPr>
          <w:sz w:val="20"/>
          <w:szCs w:val="20"/>
          <w:color w:val="auto"/>
        </w:rPr>
        <w:tab/>
      </w:r>
      <w:r>
        <w:rPr>
          <w:rFonts w:ascii="Courier New" w:cs="Courier New" w:eastAsia="Courier New" w:hAnsi="Courier New"/>
          <w:sz w:val="14"/>
          <w:szCs w:val="14"/>
          <w:color w:val="auto"/>
        </w:rPr>
        <w:t>423,331</w:t>
      </w:r>
      <w:r>
        <w:rPr>
          <w:sz w:val="20"/>
          <w:szCs w:val="20"/>
          <w:color w:val="auto"/>
        </w:rPr>
        <w:tab/>
      </w:r>
      <w:r>
        <w:rPr>
          <w:rFonts w:ascii="Courier New" w:cs="Courier New" w:eastAsia="Courier New" w:hAnsi="Courier New"/>
          <w:sz w:val="14"/>
          <w:szCs w:val="14"/>
          <w:color w:val="auto"/>
        </w:rPr>
        <w:t>566,417</w:t>
      </w:r>
    </w:p>
    <w:p>
      <w:pPr>
        <w:spacing w:after="0" w:line="8" w:lineRule="exact"/>
        <w:rPr>
          <w:sz w:val="20"/>
          <w:szCs w:val="20"/>
          <w:color w:val="auto"/>
        </w:rPr>
      </w:pPr>
    </w:p>
    <w:p>
      <w:pPr>
        <w:ind w:left="100"/>
        <w:spacing w:after="0"/>
        <w:tabs>
          <w:tab w:leader="none" w:pos="3460" w:val="left"/>
          <w:tab w:leader="none" w:pos="4840" w:val="left"/>
        </w:tabs>
        <w:rPr>
          <w:sz w:val="20"/>
          <w:szCs w:val="20"/>
          <w:color w:val="auto"/>
        </w:rPr>
      </w:pPr>
      <w:r>
        <w:rPr>
          <w:rFonts w:ascii="Courier New" w:cs="Courier New" w:eastAsia="Courier New" w:hAnsi="Courier New"/>
          <w:sz w:val="14"/>
          <w:szCs w:val="14"/>
          <w:color w:val="auto"/>
        </w:rPr>
        <w:t>General and administrative........</w:t>
      </w:r>
      <w:r>
        <w:rPr>
          <w:sz w:val="20"/>
          <w:szCs w:val="20"/>
          <w:color w:val="auto"/>
        </w:rPr>
        <w:tab/>
      </w:r>
      <w:r>
        <w:rPr>
          <w:rFonts w:ascii="Courier New" w:cs="Courier New" w:eastAsia="Courier New" w:hAnsi="Courier New"/>
          <w:sz w:val="14"/>
          <w:szCs w:val="14"/>
          <w:color w:val="auto"/>
        </w:rPr>
        <w:t>172,029</w:t>
      </w:r>
      <w:r>
        <w:rPr>
          <w:sz w:val="20"/>
          <w:szCs w:val="20"/>
          <w:color w:val="auto"/>
        </w:rPr>
        <w:tab/>
      </w:r>
      <w:r>
        <w:rPr>
          <w:rFonts w:ascii="Courier New" w:cs="Courier New" w:eastAsia="Courier New" w:hAnsi="Courier New"/>
          <w:sz w:val="14"/>
          <w:szCs w:val="14"/>
          <w:color w:val="auto"/>
        </w:rPr>
        <w:t>401,729</w:t>
      </w:r>
    </w:p>
    <w:p>
      <w:pPr>
        <w:spacing w:after="0" w:line="8" w:lineRule="exact"/>
        <w:rPr>
          <w:sz w:val="20"/>
          <w:szCs w:val="20"/>
          <w:color w:val="auto"/>
        </w:rPr>
      </w:pPr>
    </w:p>
    <w:p>
      <w:pPr>
        <w:ind w:left="100"/>
        <w:spacing w:after="0"/>
        <w:tabs>
          <w:tab w:leader="none" w:pos="3540" w:val="left"/>
          <w:tab w:leader="none" w:pos="4940" w:val="left"/>
        </w:tabs>
        <w:rPr>
          <w:sz w:val="20"/>
          <w:szCs w:val="20"/>
          <w:color w:val="auto"/>
        </w:rPr>
      </w:pPr>
      <w:r>
        <w:rPr>
          <w:rFonts w:ascii="Courier New" w:cs="Courier New" w:eastAsia="Courier New" w:hAnsi="Courier New"/>
          <w:sz w:val="14"/>
          <w:szCs w:val="14"/>
          <w:color w:val="auto"/>
        </w:rPr>
        <w:t>Depreciation and amortization.....</w:t>
      </w:r>
      <w:r>
        <w:rPr>
          <w:sz w:val="20"/>
          <w:szCs w:val="20"/>
          <w:color w:val="auto"/>
        </w:rPr>
        <w:tab/>
      </w:r>
      <w:r>
        <w:rPr>
          <w:rFonts w:ascii="Courier New" w:cs="Courier New" w:eastAsia="Courier New" w:hAnsi="Courier New"/>
          <w:sz w:val="14"/>
          <w:szCs w:val="14"/>
          <w:color w:val="auto"/>
        </w:rPr>
        <w:t>59,628</w:t>
      </w:r>
      <w:r>
        <w:rPr>
          <w:sz w:val="20"/>
          <w:szCs w:val="20"/>
          <w:color w:val="auto"/>
        </w:rPr>
        <w:tab/>
      </w:r>
      <w:r>
        <w:rPr>
          <w:rFonts w:ascii="Courier New" w:cs="Courier New" w:eastAsia="Courier New" w:hAnsi="Courier New"/>
          <w:sz w:val="14"/>
          <w:szCs w:val="14"/>
          <w:color w:val="auto"/>
        </w:rPr>
        <w:t>59,628</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Merger and acquisition related</w:t>
      </w:r>
    </w:p>
    <w:p>
      <w:pPr>
        <w:spacing w:after="0" w:line="8" w:lineRule="exact"/>
        <w:rPr>
          <w:sz w:val="20"/>
          <w:szCs w:val="20"/>
          <w:color w:val="auto"/>
        </w:rPr>
      </w:pPr>
    </w:p>
    <w:p>
      <w:pPr>
        <w:ind w:left="260"/>
        <w:spacing w:after="0"/>
        <w:tabs>
          <w:tab w:leader="none" w:pos="3900" w:val="left"/>
          <w:tab w:leader="none" w:pos="4940" w:val="left"/>
        </w:tabs>
        <w:rPr>
          <w:sz w:val="20"/>
          <w:szCs w:val="20"/>
          <w:color w:val="auto"/>
        </w:rPr>
      </w:pP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31,568</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Asset impairments and unusual</w:t>
      </w:r>
    </w:p>
    <w:p>
      <w:pPr>
        <w:spacing w:after="0" w:line="8" w:lineRule="exact"/>
        <w:rPr>
          <w:sz w:val="20"/>
          <w:szCs w:val="20"/>
          <w:color w:val="auto"/>
        </w:rPr>
      </w:pPr>
    </w:p>
    <w:p>
      <w:pPr>
        <w:ind w:left="260"/>
        <w:spacing w:after="0"/>
        <w:tabs>
          <w:tab w:leader="none" w:pos="3640" w:val="left"/>
          <w:tab w:leader="none" w:pos="4840" w:val="left"/>
        </w:tabs>
        <w:rPr>
          <w:sz w:val="20"/>
          <w:szCs w:val="20"/>
          <w:color w:val="auto"/>
        </w:rPr>
      </w:pPr>
      <w:r>
        <w:rPr>
          <w:rFonts w:ascii="Courier New" w:cs="Courier New" w:eastAsia="Courier New" w:hAnsi="Courier New"/>
          <w:sz w:val="14"/>
          <w:szCs w:val="14"/>
          <w:color w:val="auto"/>
        </w:rPr>
        <w:t>items...........................</w:t>
      </w:r>
      <w:r>
        <w:rPr>
          <w:sz w:val="20"/>
          <w:szCs w:val="20"/>
          <w:color w:val="auto"/>
        </w:rPr>
        <w:tab/>
      </w:r>
      <w:r>
        <w:rPr>
          <w:rFonts w:ascii="Courier New" w:cs="Courier New" w:eastAsia="Courier New" w:hAnsi="Courier New"/>
          <w:sz w:val="14"/>
          <w:szCs w:val="14"/>
          <w:color w:val="auto"/>
        </w:rPr>
        <w:t>3,300</w:t>
      </w:r>
      <w:r>
        <w:rPr>
          <w:sz w:val="20"/>
          <w:szCs w:val="20"/>
          <w:color w:val="auto"/>
        </w:rPr>
        <w:tab/>
      </w:r>
      <w:r>
        <w:rPr>
          <w:rFonts w:ascii="Courier New" w:cs="Courier New" w:eastAsia="Courier New" w:hAnsi="Courier New"/>
          <w:sz w:val="14"/>
          <w:szCs w:val="14"/>
          <w:color w:val="auto"/>
        </w:rPr>
        <w:t>680,284</w:t>
      </w:r>
    </w:p>
    <w:p>
      <w:pPr>
        <w:spacing w:after="0" w:line="8" w:lineRule="exact"/>
        <w:rPr>
          <w:sz w:val="20"/>
          <w:szCs w:val="20"/>
          <w:color w:val="auto"/>
        </w:rPr>
      </w:pPr>
    </w:p>
    <w:p>
      <w:pPr>
        <w:jc w:val="right"/>
        <w:ind w:right="7540"/>
        <w:spacing w:after="0"/>
        <w:rPr>
          <w:sz w:val="20"/>
          <w:szCs w:val="20"/>
          <w:color w:val="auto"/>
        </w:rPr>
      </w:pPr>
      <w:r>
        <w:rPr>
          <w:rFonts w:ascii="Courier New" w:cs="Courier New" w:eastAsia="Courier New" w:hAnsi="Courier New"/>
          <w:sz w:val="14"/>
          <w:szCs w:val="14"/>
          <w:color w:val="auto"/>
        </w:rPr>
        <w:t>Loss from continuing operations</w:t>
      </w:r>
    </w:p>
    <w:p>
      <w:pPr>
        <w:spacing w:after="0" w:line="8" w:lineRule="exact"/>
        <w:rPr>
          <w:sz w:val="20"/>
          <w:szCs w:val="20"/>
          <w:color w:val="auto"/>
        </w:rPr>
      </w:pPr>
    </w:p>
    <w:p>
      <w:pPr>
        <w:jc w:val="right"/>
        <w:ind w:right="7540"/>
        <w:spacing w:after="0"/>
        <w:rPr>
          <w:sz w:val="20"/>
          <w:szCs w:val="20"/>
          <w:color w:val="auto"/>
        </w:rPr>
      </w:pPr>
      <w:r>
        <w:rPr>
          <w:rFonts w:ascii="Courier New" w:cs="Courier New" w:eastAsia="Courier New" w:hAnsi="Courier New"/>
          <w:sz w:val="14"/>
          <w:szCs w:val="14"/>
          <w:color w:val="auto"/>
        </w:rPr>
        <w:t>held for sale, net of minority</w:t>
      </w:r>
    </w:p>
    <w:p>
      <w:pPr>
        <w:spacing w:after="0" w:line="8" w:lineRule="exact"/>
        <w:rPr>
          <w:sz w:val="20"/>
          <w:szCs w:val="20"/>
          <w:color w:val="auto"/>
        </w:rPr>
      </w:pPr>
    </w:p>
    <w:p>
      <w:pPr>
        <w:ind w:left="100"/>
        <w:spacing w:after="0"/>
        <w:tabs>
          <w:tab w:leader="none" w:pos="3900" w:val="left"/>
          <w:tab w:leader="none" w:pos="5280" w:val="left"/>
        </w:tabs>
        <w:rPr>
          <w:sz w:val="20"/>
          <w:szCs w:val="20"/>
          <w:color w:val="auto"/>
        </w:rPr>
      </w:pP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tabs>
          <w:tab w:leader="none" w:pos="4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tabs>
          <w:tab w:leader="none" w:pos="4680" w:val="left"/>
        </w:tabs>
        <w:rPr>
          <w:sz w:val="20"/>
          <w:szCs w:val="20"/>
          <w:color w:val="auto"/>
        </w:rPr>
      </w:pPr>
      <w:r>
        <w:rPr>
          <w:rFonts w:ascii="Courier New" w:cs="Courier New" w:eastAsia="Courier New" w:hAnsi="Courier New"/>
          <w:sz w:val="14"/>
          <w:szCs w:val="14"/>
          <w:color w:val="auto"/>
        </w:rPr>
        <w:t>658,288</w:t>
      </w:r>
      <w:r>
        <w:rPr>
          <w:sz w:val="20"/>
          <w:szCs w:val="20"/>
          <w:color w:val="auto"/>
        </w:rPr>
        <w:tab/>
      </w:r>
      <w:r>
        <w:rPr>
          <w:rFonts w:ascii="Courier New" w:cs="Courier New" w:eastAsia="Courier New" w:hAnsi="Courier New"/>
          <w:sz w:val="14"/>
          <w:szCs w:val="14"/>
          <w:color w:val="auto"/>
        </w:rPr>
        <w:t>1,739,626</w:t>
      </w:r>
    </w:p>
    <w:p>
      <w:pPr>
        <w:spacing w:after="0" w:line="8" w:lineRule="exact"/>
        <w:rPr>
          <w:sz w:val="20"/>
          <w:szCs w:val="20"/>
          <w:color w:val="auto"/>
        </w:rPr>
      </w:pPr>
    </w:p>
    <w:p>
      <w:pPr>
        <w:ind w:left="3300"/>
        <w:spacing w:after="0"/>
        <w:tabs>
          <w:tab w:leader="none" w:pos="4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380" w:val="left"/>
          <w:tab w:leader="none" w:pos="4580" w:val="left"/>
        </w:tabs>
        <w:rPr>
          <w:sz w:val="20"/>
          <w:szCs w:val="20"/>
          <w:color w:val="auto"/>
        </w:rPr>
      </w:pPr>
      <w:r>
        <w:rPr>
          <w:rFonts w:ascii="Courier New" w:cs="Courier New" w:eastAsia="Courier New" w:hAnsi="Courier New"/>
          <w:sz w:val="14"/>
          <w:szCs w:val="14"/>
          <w:color w:val="auto"/>
        </w:rPr>
        <w:t>Loss from operations...............</w:t>
      </w:r>
      <w:r>
        <w:rPr>
          <w:sz w:val="20"/>
          <w:szCs w:val="20"/>
          <w:color w:val="auto"/>
        </w:rPr>
        <w:tab/>
      </w:r>
      <w:r>
        <w:rPr>
          <w:rFonts w:ascii="Courier New" w:cs="Courier New" w:eastAsia="Courier New" w:hAnsi="Courier New"/>
          <w:sz w:val="14"/>
          <w:szCs w:val="14"/>
          <w:color w:val="auto"/>
        </w:rPr>
        <w:t>(645,052)</w:t>
      </w:r>
      <w:r>
        <w:rPr>
          <w:sz w:val="20"/>
          <w:szCs w:val="20"/>
          <w:color w:val="auto"/>
        </w:rPr>
        <w:tab/>
      </w:r>
      <w:r>
        <w:rPr>
          <w:rFonts w:ascii="Courier New" w:cs="Courier New" w:eastAsia="Courier New" w:hAnsi="Courier New"/>
          <w:sz w:val="14"/>
          <w:szCs w:val="14"/>
          <w:color w:val="auto"/>
        </w:rPr>
        <w:t>(1,770,554)</w:t>
      </w:r>
    </w:p>
    <w:p>
      <w:pPr>
        <w:spacing w:after="0" w:line="8" w:lineRule="exact"/>
        <w:rPr>
          <w:sz w:val="20"/>
          <w:szCs w:val="20"/>
          <w:color w:val="auto"/>
        </w:rPr>
      </w:pPr>
    </w:p>
    <w:p>
      <w:pPr>
        <w:ind w:left="3300"/>
        <w:spacing w:after="0"/>
        <w:tabs>
          <w:tab w:leader="none" w:pos="4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w:t>
      </w:r>
    </w:p>
    <w:p>
      <w:pPr>
        <w:spacing w:after="0" w:line="8" w:lineRule="exact"/>
        <w:rPr>
          <w:sz w:val="20"/>
          <w:szCs w:val="20"/>
          <w:color w:val="auto"/>
        </w:rPr>
      </w:pPr>
    </w:p>
    <w:p>
      <w:pPr>
        <w:ind w:left="100"/>
        <w:spacing w:after="0"/>
        <w:tabs>
          <w:tab w:leader="none" w:pos="3800" w:val="left"/>
          <w:tab w:leader="none" w:pos="5200" w:val="left"/>
        </w:tabs>
        <w:rPr>
          <w:sz w:val="20"/>
          <w:szCs w:val="20"/>
          <w:color w:val="auto"/>
        </w:rPr>
      </w:pPr>
      <w:r>
        <w:rPr>
          <w:rFonts w:ascii="Courier New" w:cs="Courier New" w:eastAsia="Courier New" w:hAnsi="Courier New"/>
          <w:sz w:val="14"/>
          <w:szCs w:val="14"/>
          <w:color w:val="auto"/>
        </w:rPr>
        <w:t>Interest expense..................</w:t>
      </w:r>
      <w:r>
        <w:rPr>
          <w:sz w:val="20"/>
          <w:szCs w:val="20"/>
          <w:color w:val="auto"/>
        </w:rPr>
        <w:tab/>
      </w:r>
      <w:r>
        <w:rPr>
          <w:rFonts w:ascii="Courier New" w:cs="Courier New" w:eastAsia="Courier New" w:hAnsi="Courier New"/>
          <w:sz w:val="14"/>
          <w:szCs w:val="14"/>
          <w:color w:val="auto"/>
        </w:rPr>
        <w:t>702</w:t>
      </w:r>
      <w:r>
        <w:rPr>
          <w:sz w:val="20"/>
          <w:szCs w:val="20"/>
          <w:color w:val="auto"/>
        </w:rPr>
        <w:tab/>
      </w:r>
      <w:r>
        <w:rPr>
          <w:rFonts w:ascii="Courier New" w:cs="Courier New" w:eastAsia="Courier New" w:hAnsi="Courier New"/>
          <w:sz w:val="14"/>
          <w:szCs w:val="14"/>
          <w:color w:val="auto"/>
        </w:rPr>
        <w:t>702</w:t>
      </w:r>
    </w:p>
    <w:p>
      <w:pPr>
        <w:spacing w:after="0" w:line="8" w:lineRule="exact"/>
        <w:rPr>
          <w:sz w:val="20"/>
          <w:szCs w:val="20"/>
          <w:color w:val="auto"/>
        </w:rPr>
      </w:pPr>
    </w:p>
    <w:p>
      <w:pPr>
        <w:ind w:left="100"/>
        <w:spacing w:after="0"/>
        <w:tabs>
          <w:tab w:leader="none" w:pos="3540" w:val="left"/>
          <w:tab w:leader="none" w:pos="4940" w:val="left"/>
        </w:tabs>
        <w:rPr>
          <w:sz w:val="20"/>
          <w:szCs w:val="20"/>
          <w:color w:val="auto"/>
        </w:rPr>
      </w:pPr>
      <w:r>
        <w:rPr>
          <w:rFonts w:ascii="Courier New" w:cs="Courier New" w:eastAsia="Courier New" w:hAnsi="Courier New"/>
          <w:sz w:val="14"/>
          <w:szCs w:val="14"/>
          <w:color w:val="auto"/>
        </w:rPr>
        <w:t>Interest income...................</w:t>
      </w:r>
      <w:r>
        <w:rPr>
          <w:sz w:val="20"/>
          <w:szCs w:val="20"/>
          <w:color w:val="auto"/>
        </w:rPr>
        <w:tab/>
      </w:r>
      <w:r>
        <w:rPr>
          <w:rFonts w:ascii="Courier New" w:cs="Courier New" w:eastAsia="Courier New" w:hAnsi="Courier New"/>
          <w:sz w:val="14"/>
          <w:szCs w:val="14"/>
          <w:color w:val="auto"/>
        </w:rPr>
        <w:t>13,359</w:t>
      </w:r>
      <w:r>
        <w:rPr>
          <w:sz w:val="20"/>
          <w:szCs w:val="20"/>
          <w:color w:val="auto"/>
        </w:rPr>
        <w:tab/>
      </w:r>
      <w:r>
        <w:rPr>
          <w:rFonts w:ascii="Courier New" w:cs="Courier New" w:eastAsia="Courier New" w:hAnsi="Courier New"/>
          <w:sz w:val="14"/>
          <w:szCs w:val="14"/>
          <w:color w:val="auto"/>
        </w:rPr>
        <w:t>13,359</w:t>
      </w:r>
    </w:p>
    <w:p>
      <w:pPr>
        <w:spacing w:after="0" w:line="8" w:lineRule="exact"/>
        <w:rPr>
          <w:sz w:val="20"/>
          <w:szCs w:val="20"/>
          <w:color w:val="auto"/>
        </w:rPr>
      </w:pPr>
    </w:p>
    <w:p>
      <w:pPr>
        <w:ind w:left="100"/>
        <w:spacing w:after="0"/>
        <w:tabs>
          <w:tab w:leader="none" w:pos="3720" w:val="left"/>
          <w:tab w:leader="none" w:pos="5100" w:val="left"/>
        </w:tabs>
        <w:rPr>
          <w:sz w:val="20"/>
          <w:szCs w:val="20"/>
          <w:color w:val="auto"/>
        </w:rPr>
      </w:pPr>
      <w:r>
        <w:rPr>
          <w:rFonts w:ascii="Courier New" w:cs="Courier New" w:eastAsia="Courier New" w:hAnsi="Courier New"/>
          <w:sz w:val="14"/>
          <w:szCs w:val="14"/>
          <w:color w:val="auto"/>
        </w:rPr>
        <w:t>Minority interest.................</w:t>
      </w:r>
      <w:r>
        <w:rPr>
          <w:sz w:val="20"/>
          <w:szCs w:val="20"/>
          <w:color w:val="auto"/>
        </w:rPr>
        <w:tab/>
      </w:r>
      <w:r>
        <w:rPr>
          <w:rFonts w:ascii="Courier New" w:cs="Courier New" w:eastAsia="Courier New" w:hAnsi="Courier New"/>
          <w:sz w:val="14"/>
          <w:szCs w:val="14"/>
          <w:color w:val="auto"/>
        </w:rPr>
        <w:t>(288)</w:t>
      </w:r>
      <w:r>
        <w:rPr>
          <w:sz w:val="20"/>
          <w:szCs w:val="20"/>
          <w:color w:val="auto"/>
        </w:rPr>
        <w:tab/>
      </w:r>
      <w:r>
        <w:rPr>
          <w:rFonts w:ascii="Courier New" w:cs="Courier New" w:eastAsia="Courier New" w:hAnsi="Courier New"/>
          <w:sz w:val="14"/>
          <w:szCs w:val="14"/>
          <w:color w:val="auto"/>
        </w:rPr>
        <w:t>(288)</w:t>
      </w:r>
    </w:p>
    <w:p>
      <w:pPr>
        <w:spacing w:after="0" w:line="8" w:lineRule="exact"/>
        <w:rPr>
          <w:sz w:val="20"/>
          <w:szCs w:val="20"/>
          <w:color w:val="auto"/>
        </w:rPr>
      </w:pPr>
    </w:p>
    <w:p>
      <w:pPr>
        <w:ind w:left="100"/>
        <w:spacing w:after="0"/>
        <w:tabs>
          <w:tab w:leader="none" w:pos="3540" w:val="left"/>
          <w:tab w:leader="none" w:pos="4940" w:val="left"/>
        </w:tabs>
        <w:rPr>
          <w:sz w:val="20"/>
          <w:szCs w:val="20"/>
          <w:color w:val="auto"/>
        </w:rPr>
      </w:pPr>
      <w:r>
        <w:rPr>
          <w:rFonts w:ascii="Courier New" w:cs="Courier New" w:eastAsia="Courier New" w:hAnsi="Courier New"/>
          <w:sz w:val="14"/>
          <w:szCs w:val="14"/>
          <w:color w:val="auto"/>
        </w:rPr>
        <w:t>Other income (expense)............</w:t>
      </w:r>
      <w:r>
        <w:rPr>
          <w:sz w:val="20"/>
          <w:szCs w:val="20"/>
          <w:color w:val="auto"/>
        </w:rPr>
        <w:tab/>
      </w:r>
      <w:r>
        <w:rPr>
          <w:rFonts w:ascii="Courier New" w:cs="Courier New" w:eastAsia="Courier New" w:hAnsi="Courier New"/>
          <w:sz w:val="14"/>
          <w:szCs w:val="14"/>
          <w:color w:val="auto"/>
        </w:rPr>
        <w:t>(5,736)</w:t>
      </w:r>
      <w:r>
        <w:rPr>
          <w:sz w:val="20"/>
          <w:szCs w:val="20"/>
          <w:color w:val="auto"/>
        </w:rPr>
        <w:tab/>
      </w:r>
      <w:r>
        <w:rPr>
          <w:rFonts w:ascii="Courier New" w:cs="Courier New" w:eastAsia="Courier New" w:hAnsi="Courier New"/>
          <w:sz w:val="14"/>
          <w:szCs w:val="14"/>
          <w:color w:val="auto"/>
        </w:rPr>
        <w:t>(5,736)</w:t>
      </w:r>
    </w:p>
    <w:p>
      <w:pPr>
        <w:spacing w:after="0" w:line="8" w:lineRule="exact"/>
        <w:rPr>
          <w:sz w:val="20"/>
          <w:szCs w:val="20"/>
          <w:color w:val="auto"/>
        </w:rPr>
      </w:pPr>
    </w:p>
    <w:p>
      <w:pPr>
        <w:ind w:left="3300"/>
        <w:spacing w:after="0"/>
        <w:tabs>
          <w:tab w:leader="none" w:pos="4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tabs>
          <w:tab w:leader="none" w:pos="5020" w:val="left"/>
        </w:tabs>
        <w:rPr>
          <w:sz w:val="20"/>
          <w:szCs w:val="20"/>
          <w:color w:val="auto"/>
        </w:rPr>
      </w:pPr>
      <w:r>
        <w:rPr>
          <w:rFonts w:ascii="Courier New" w:cs="Courier New" w:eastAsia="Courier New" w:hAnsi="Courier New"/>
          <w:sz w:val="14"/>
          <w:szCs w:val="14"/>
          <w:color w:val="auto"/>
        </w:rPr>
        <w:t>8,037</w:t>
      </w:r>
      <w:r>
        <w:rPr>
          <w:sz w:val="20"/>
          <w:szCs w:val="20"/>
          <w:color w:val="auto"/>
        </w:rPr>
        <w:tab/>
      </w:r>
      <w:r>
        <w:rPr>
          <w:rFonts w:ascii="Courier New" w:cs="Courier New" w:eastAsia="Courier New" w:hAnsi="Courier New"/>
          <w:sz w:val="14"/>
          <w:szCs w:val="14"/>
          <w:color w:val="auto"/>
        </w:rPr>
        <w:t>8,037</w:t>
      </w:r>
    </w:p>
    <w:p>
      <w:pPr>
        <w:spacing w:after="0" w:line="8" w:lineRule="exact"/>
        <w:rPr>
          <w:sz w:val="20"/>
          <w:szCs w:val="20"/>
          <w:color w:val="auto"/>
        </w:rPr>
      </w:pPr>
    </w:p>
    <w:p>
      <w:pPr>
        <w:ind w:left="3300"/>
        <w:spacing w:after="0"/>
        <w:tabs>
          <w:tab w:leader="none" w:pos="4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before income taxes and</w:t>
      </w:r>
    </w:p>
    <w:p>
      <w:pPr>
        <w:spacing w:after="0" w:line="8" w:lineRule="exact"/>
        <w:rPr>
          <w:sz w:val="20"/>
          <w:szCs w:val="20"/>
          <w:color w:val="auto"/>
        </w:rPr>
      </w:pPr>
    </w:p>
    <w:p>
      <w:pPr>
        <w:ind w:left="100"/>
        <w:spacing w:after="0"/>
        <w:tabs>
          <w:tab w:leader="none" w:pos="3280" w:val="left"/>
          <w:tab w:leader="none" w:pos="4580" w:val="left"/>
        </w:tabs>
        <w:rPr>
          <w:sz w:val="20"/>
          <w:szCs w:val="20"/>
          <w:color w:val="auto"/>
        </w:rPr>
      </w:pPr>
      <w:r>
        <w:rPr>
          <w:rFonts w:ascii="Courier New" w:cs="Courier New" w:eastAsia="Courier New" w:hAnsi="Courier New"/>
          <w:sz w:val="14"/>
          <w:szCs w:val="14"/>
          <w:color w:val="auto"/>
        </w:rPr>
        <w:t>extraordinary items...............</w:t>
        <w:tab/>
        <w:t>$(637,015)</w:t>
      </w:r>
      <w:r>
        <w:rPr>
          <w:sz w:val="20"/>
          <w:szCs w:val="20"/>
          <w:color w:val="auto"/>
        </w:rPr>
        <w:tab/>
      </w:r>
      <w:r>
        <w:rPr>
          <w:rFonts w:ascii="Courier New" w:cs="Courier New" w:eastAsia="Courier New" w:hAnsi="Courier New"/>
          <w:sz w:val="14"/>
          <w:szCs w:val="14"/>
          <w:color w:val="auto"/>
        </w:rPr>
        <w:t>(1,762,517)</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Benefit from income taxes..........</w:t>
      </w:r>
      <w:r>
        <w:rPr>
          <w:sz w:val="20"/>
          <w:szCs w:val="20"/>
          <w:color w:val="auto"/>
        </w:rPr>
        <w:tab/>
      </w:r>
      <w:r>
        <w:rPr>
          <w:rFonts w:ascii="Courier New" w:cs="Courier New" w:eastAsia="Courier New" w:hAnsi="Courier New"/>
          <w:sz w:val="14"/>
          <w:szCs w:val="14"/>
          <w:color w:val="auto"/>
        </w:rPr>
        <w:t>536,756</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$(1,225,761)</w:t>
      </w:r>
    </w:p>
    <w:p>
      <w:pPr>
        <w:spacing w:after="0" w:line="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40"/>
          </w:cols>
          <w:pgMar w:left="300" w:top="286" w:right="1359" w:bottom="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Subsequent to the completion of the accounting review, and in conjunction</w:t>
      </w:r>
    </w:p>
    <w:p>
      <w:pPr>
        <w:sectPr>
          <w:pgSz w:w="11900" w:h="16838" w:orient="portrait"/>
          <w:cols w:equalWidth="0" w:num="1">
            <w:col w:w="10240"/>
          </w:cols>
          <w:pgMar w:left="300" w:top="286" w:right="1359" w:bottom="0" w:gutter="0" w:footer="0" w:header="0"/>
          <w:type w:val="continuous"/>
        </w:sectPr>
      </w:pPr>
    </w:p>
    <w:bookmarkStart w:id="39" w:name="page40"/>
    <w:bookmarkEnd w:id="39"/>
    <w:p>
      <w:pPr>
        <w:ind w:right="3199"/>
        <w:spacing w:after="0" w:line="254" w:lineRule="auto"/>
        <w:rPr>
          <w:sz w:val="20"/>
          <w:szCs w:val="20"/>
          <w:color w:val="auto"/>
        </w:rPr>
      </w:pPr>
      <w:r>
        <w:rPr>
          <w:rFonts w:ascii="Courier New" w:cs="Courier New" w:eastAsia="Courier New" w:hAnsi="Courier New"/>
          <w:sz w:val="14"/>
          <w:szCs w:val="14"/>
          <w:color w:val="auto"/>
        </w:rPr>
        <w:t>with the process of preparing its monthly financial statements during the fourth quarter of 1999 and on a final basis at December 31, 1999, additional adjustments attributable to the reconciliation of intercompany accounts, cash, accounts receivable, fixed assets, accounts payable and certain other accounts were recorded.</w:t>
      </w:r>
    </w:p>
    <w:p>
      <w:pPr>
        <w:spacing w:after="0" w:line="16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recorded significant adjustments in the third and fourth quarters of 1999, certain of which affect periods prior to these quarters. Accordingly, the Company, after consultation with its independent public accountants, has concluded that its internal controls for the preparation of interim financial information did not provide an adequate basis for its independent public accountants to complete reviews of the quarterly financial data for the quarters during 1999. The Company believes that certain charges that were recorded in the third and fourth quarters of 1999 may relate to individual prior periods; however, the Company does not have sufficient information to identify all specific charges attributable to prior periods. If identification of all specific charges attributable to individual prior periods were possible, the Company believes that the reported results of operations presented in Note 20 to the financial statements for the third and fourth quarters of 1999 would have been favorably impacted, and the reported results of operations for the first and second quarters of 1999 would have been adversely impacted. In connection with the preparation of its third quarter financial statements, the Company concluded, based on its quantitative and qualitative analysis of available information, after consultation with its independent public accountants, that it did not have, nor was it able to obtain, sufficient information to conclude what amount of the charges relate to any individual prior year,</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14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although qualitative analysis indicates that these charges are principally related to 1999. Accordingly, the Company has concluded that these charges were appropriately reflected in the 1999 annual financial statements.</w:t>
      </w:r>
    </w:p>
    <w:p>
      <w:pPr>
        <w:spacing w:after="0" w:line="16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connection with the comprehensive internal review, the Company determined that it was necessary to stabilize its accounting systems and procedures and the maintenance of its books and records, and to establish an adequate control environment. As an initial step in this process, it contracted with outside consulting accountants to provide accounting support to assist the Company's corporate and field financial personnel with the analysis necessary to prepare the Company's third quarter of 1999 financial statements. These consulting accountants also provided such assistance in the fourth quarter of 1999 and will continue to do so until the Company has the corporate and field financial resources needed to provide reasonable assurances that it can comply with the recordkeeping and internal control requirements applicable to SEC registrants. Since the third quarter of 1999, the Company has added approximately 220 staff members to its corporate and field financial personnel, including approximately 125 employees primarily engaged in receivables collection and approximately 95 employees engaged in accounting. The Company cannot estimate, at this time, how long it will take to complete the staffing and training of its corporate and field financial personnel to perform its recordkeeping responsibilities adequately without the support of outside consultants.</w:t>
      </w:r>
    </w:p>
    <w:p>
      <w:pPr>
        <w:spacing w:after="0" w:line="340"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addition, during this same period, the Company began taking systematic and orderly steps to develop a comprehensive program to address the integrity and reliability of the Company's reporting of financial information, including development of a long-term plan that will establish an adequate system of internal controls. As part of this initiative, the Company formulated, and is in the process of implementing, policies that establish fundamental principles and discipline respecting certain key areas, including, among other things, accounting and control of fixed assets, intercompany balances, revenue reporting, landfill accounting and account reconciliations. Consistent with its long-term plan, the Company has begun drafting and adopting policies and procedures that will establish a foundation for its financial and accounting functions to support ongoing improvements, and develop and install mechanisms for directing, controlling and monitoring its accounting and financial organization. The Company is also evaluating its systems needs with respect to, among other things, the general ledger, revenue management and payroll. The Company cannot estimate, at this time, how long it will take to completely develop and establish an adequate internal control environment.</w:t>
      </w:r>
    </w:p>
    <w:p>
      <w:pPr>
        <w:spacing w:after="0" w:line="173" w:lineRule="exact"/>
        <w:rPr>
          <w:sz w:val="20"/>
          <w:szCs w:val="20"/>
          <w:color w:val="auto"/>
        </w:rPr>
      </w:pPr>
    </w:p>
    <w:p>
      <w:pPr>
        <w:ind w:right="3819" w:firstLine="434"/>
        <w:spacing w:after="0" w:line="258" w:lineRule="auto"/>
        <w:rPr>
          <w:sz w:val="20"/>
          <w:szCs w:val="20"/>
          <w:color w:val="auto"/>
        </w:rPr>
      </w:pPr>
      <w:r>
        <w:rPr>
          <w:rFonts w:ascii="Courier New" w:cs="Courier New" w:eastAsia="Courier New" w:hAnsi="Courier New"/>
          <w:sz w:val="14"/>
          <w:szCs w:val="14"/>
          <w:color w:val="auto"/>
        </w:rPr>
        <w:t>See Note 2 to the financial statements included elsewhere herein for additional discussion.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28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Certain reclassifications have been made to prior year amounts in the financial statements in order to conform to current year presentation.</w:t>
      </w:r>
    </w:p>
    <w:p>
      <w:pPr>
        <w:spacing w:after="0" w:line="160"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following table presents, for the periods indicated, the period to period change in dollars (in thousands) and percentages for the various statements of operations line items and for certain supplementary data.</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PERIOD TO PERIOD CHANGE</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434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FOR THE YEARS ENDED</w:t>
            </w:r>
          </w:p>
        </w:tc>
        <w:tc>
          <w:tcPr>
            <w:tcW w:w="2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FOR THE YEARS ENDED</w:t>
            </w:r>
          </w:p>
        </w:tc>
      </w:tr>
      <w:tr>
        <w:trPr>
          <w:trHeight w:val="167"/>
        </w:trPr>
        <w:tc>
          <w:tcPr>
            <w:tcW w:w="3660" w:type="dxa"/>
            <w:vAlign w:val="bottom"/>
          </w:tcPr>
          <w:p>
            <w:pPr>
              <w:spacing w:after="0"/>
              <w:rPr>
                <w:sz w:val="14"/>
                <w:szCs w:val="14"/>
                <w:color w:val="auto"/>
              </w:rPr>
            </w:pP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DECEMBER 31, 1999 AND</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DECEMBER 31, 1998 AND</w:t>
            </w:r>
          </w:p>
        </w:tc>
      </w:tr>
      <w:tr>
        <w:trPr>
          <w:trHeight w:val="167"/>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1998</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1120" w:type="dxa"/>
            <w:vAlign w:val="bottom"/>
          </w:tcPr>
          <w:p>
            <w:pPr>
              <w:spacing w:after="0"/>
              <w:rPr>
                <w:sz w:val="14"/>
                <w:szCs w:val="14"/>
                <w:color w:val="auto"/>
              </w:rPr>
            </w:pP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501,151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$ 653,271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Operating (exclusive of depreciation</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and amortization shown below).......</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985,770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General and administrative.............</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587,573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44.1</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(105,765)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Depreciation and amortization..........</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115,453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106,902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Merger and acquisition related costs...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(1,762,611)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(97.5)</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1,694,497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1,502.9</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Asset impairments and unusual items....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(125,226)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(907,082)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held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for sale, net of minority interest.....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(98.5)</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(199,192)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579,751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(loss) from operations............</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700,343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436.7</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73,520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(88,198)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(125,881)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and other income, net.........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(75,071)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(45.2)</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Minority interest......................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21,188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(163,196)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(110,902)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(25.9)</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Loss from continuing operations before</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taxes...........................</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537,147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76.7</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165,396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247.1</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(296,418)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Loss from continuing operations..........</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371,751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48.5</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259,036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Discontinued operations..................</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Extraordinary item.......................</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Accounting change........................</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1,936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loss.................................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373,138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$ 168,193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r>
      <w:tr>
        <w:trPr>
          <w:trHeight w:val="167"/>
        </w:trPr>
        <w:tc>
          <w:tcPr>
            <w:tcW w:w="366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SUPPLEMENTARY DATA:</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EBITDA(1)................................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815,796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61.0%</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$ 180,422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99" w:hanging="351"/>
        <w:spacing w:after="0" w:line="254"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See Management's Discussion and Analysis -- Introduction --</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1999 Accounting Charges and Adjustments.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presents, for the periods indicated, the percentage relationship that the various statements of operations line items and certain supplementary data bear to operating revenues: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7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5120" w:type="dxa"/>
            <w:vAlign w:val="bottom"/>
          </w:tcPr>
          <w:p>
            <w:pPr>
              <w:spacing w:after="0"/>
              <w:rPr>
                <w:sz w:val="14"/>
                <w:szCs w:val="14"/>
                <w:color w:val="auto"/>
              </w:rPr>
            </w:pPr>
          </w:p>
        </w:tc>
        <w:tc>
          <w:tcPr>
            <w:tcW w:w="27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Operating (exclusive of depreciation and</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 shown below)............................</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Merger and acquisition related costs....................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 impairments and unusual items.....................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held for sale,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of minority interest................................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101.9</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operations.............................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and other income, net..........................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from continuing operations before income taxes.......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from continuing operations...........................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 change.........................................</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7"/>
        </w:trPr>
        <w:tc>
          <w:tcPr>
            <w:tcW w:w="5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SUPPLEMENTARY DATA: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EBITDA(1).................................................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99" w:hanging="351"/>
        <w:spacing w:after="0" w:line="254"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6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See Management's Discussion and Analysis -- Introduction --</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1999 Accounting Charges and Adjustments.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159"/>
          </w:cols>
          <w:pgMar w:left="300" w:top="286"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FOR THE THREE YEARS ENDED DECEMBER 31, 1999</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Company's principal business is its NASW operations,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through its WM International operations. As discussed above, the Company's Board of Directors adopted a plan in 1999 to divest its WM International operations. Additionally, the Company performs certain non-solid waste services, primarily in North America, such as low-level and other radioactive waste management, and operates waste-fuel powered independent power facilities. A substantial portion of these operations were marketed for sale in accordance with the Company's strategic plan. See "Business -- Operations -- Low Level and Other Radioactive Waste Services." Through June 30, 1999, the Company's non-solid waste services also included non-land disposal hazardous waste operations and on-site industrial cleaning services located in North America. However, on June 30, 1999, the Company sold a 51% interest in these operations to Vivendi S.A. The Company's retained interest of 49% is being accounted for using the equity method of accounting.</w:t>
      </w:r>
    </w:p>
    <w:p>
      <w:pPr>
        <w:spacing w:after="0" w:line="3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Operating Revenues</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Company's operating revenues increased $501.2 million, or 4.0% in 1999 and $653.3 million or 5.5% in 1998, as compared to the respective prior years. The following presents the operating revenues by reportable segment for the respective years (dollars in millions):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52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8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6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1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NASW........................</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$10,689.1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$10,142.8</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$ 9,244.9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77.2%</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WM International............</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1,650.8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1,533.6</w:t>
            </w: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12.2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Non-solid waste.............</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787.0</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949.4</w:t>
            </w: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7.5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937.6</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r>
      <w:tr>
        <w:trPr>
          <w:trHeight w:val="167"/>
        </w:trPr>
        <w:tc>
          <w:tcPr>
            <w:tcW w:w="252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revenues........</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$13,126.9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$12,625.8</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$11,972.5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52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The increase in the Company's operating revenues for 1997, 1998 and 1999 is primarily due to acquisition related growth in the NASW operations. The following table presents the Company's mix of operating revenues from NASW for the respective years (dollars in millions):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512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8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6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0"/>
              </w:rPr>
              <w:t>-----------------</w:t>
            </w:r>
          </w:p>
        </w:tc>
        <w:tc>
          <w:tcPr>
            <w:tcW w:w="680" w:type="dxa"/>
            <w:vAlign w:val="bottom"/>
          </w:tcPr>
          <w:p>
            <w:pPr>
              <w:spacing w:after="0"/>
              <w:rPr>
                <w:sz w:val="14"/>
                <w:szCs w:val="1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NASW:</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Collection.................</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7,553.6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$ 6,963.6</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$ 6,071.2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Disposal...................</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3,266.9</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3,169.4</w:t>
            </w:r>
          </w:p>
        </w:tc>
        <w:tc>
          <w:tcPr>
            <w:tcW w:w="8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26.8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2,811.9</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Transfer...................</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1,195.0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1,054.3</w:t>
            </w:r>
          </w:p>
        </w:tc>
        <w:tc>
          <w:tcPr>
            <w:tcW w:w="8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8.9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814.5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Recycling and other........</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658.8</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640.6</w:t>
            </w:r>
          </w:p>
        </w:tc>
        <w:tc>
          <w:tcPr>
            <w:tcW w:w="8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720.0</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w:t>
            </w:r>
          </w:p>
        </w:tc>
      </w:tr>
      <w:tr>
        <w:trPr>
          <w:trHeight w:val="167"/>
        </w:trPr>
        <w:tc>
          <w:tcPr>
            <w:tcW w:w="262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12,674.3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11,827.9</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10,417.6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Intercompany...............</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(1,985.2)</w:t>
            </w:r>
          </w:p>
        </w:tc>
        <w:tc>
          <w:tcPr>
            <w:tcW w:w="6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(1,685.1)</w:t>
            </w:r>
          </w:p>
        </w:tc>
        <w:tc>
          <w:tcPr>
            <w:tcW w:w="8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(1,172.7)</w:t>
            </w:r>
          </w:p>
        </w:tc>
        <w:tc>
          <w:tcPr>
            <w:tcW w:w="6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10,689.1</w:t>
            </w:r>
          </w:p>
        </w:tc>
        <w:tc>
          <w:tcPr>
            <w:tcW w:w="6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$10,142.8</w:t>
            </w:r>
          </w:p>
        </w:tc>
        <w:tc>
          <w:tcPr>
            <w:tcW w:w="8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$ 9,244.9</w:t>
            </w:r>
          </w:p>
        </w:tc>
        <w:tc>
          <w:tcPr>
            <w:tcW w:w="62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bl>
    <w:p>
      <w:pPr>
        <w:spacing w:after="0" w:line="338"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Acquisitions of NASW businesses during 1999 and the full year effect of acquisitions which were completed in 1998 accounted for an increase in operating revenues of approximately $615.7 million for 1999, as compared to 1998. NASW operating revenues also increased from internal growth of comparable operations of 2.6% for 1999, as compared to 1998. The Company believes that its internal revenue growth in 1999 was detrimentally affected by certain inflexibilities in its pricing strategy and the lack of responsiveness of that strategy to localized competitive conditions, resulting in lost customers and volumes. The Company intends to continue to review its pricing strategy to enhance its competitiveness in future periods. Offsetting the increase in operating revenues were divestitures of NASW businesses with revenues of approximately</w:t>
      </w:r>
    </w:p>
    <w:p>
      <w:pPr>
        <w:sectPr>
          <w:pgSz w:w="11900" w:h="16838" w:orient="portrait"/>
          <w:cols w:equalWidth="0" w:num="1">
            <w:col w:w="10159"/>
          </w:cols>
          <w:pgMar w:left="300" w:top="286" w:right="1440" w:bottom="1440"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41</w:t>
      </w:r>
    </w:p>
    <w:p>
      <w:pPr>
        <w:sectPr>
          <w:pgSz w:w="11900" w:h="16838" w:orient="portrait"/>
          <w:cols w:equalWidth="0" w:num="1">
            <w:col w:w="10159"/>
          </w:cols>
          <w:pgMar w:left="300" w:top="286"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$290.0 million, as well as other business factors that comprised the remaining differences, including the foreign currency fluctuations with the Canadian dollar.</w:t>
      </w:r>
    </w:p>
    <w:p>
      <w:pPr>
        <w:spacing w:after="0" w:line="16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NASW operating revenues in 1999 were lower than expected due to substantial difficulties in the integration of the operations of the Company after the WM Holdings Merger and the Eastern Merger, including the Company's information systems (including billing systems) and work flow related thereto. In 1999, the Company experienced significant difficulty in the conversion from the WM Holdings' information systems to the systems currently in use, resulting in delays and errors, particularly with respect to the Company's billing systems, including delays in submitting bills to customers and errors in both computing and delivering bills. Staffing levels were insufficient to address customer complaints and disputes and did not support timely follow-up with customers. Billing system issues initially became evident in the second quarter of 1999 as receivable aging levels rose. At that time, management believed that the increase in receivables was a short-term issue, receivables would return to historical levels once the billing system conversions were complete and there was not a significant collectability issue with its recorded receivables. In connection with the 1999 accounting review, the Company concluded that certain of these accounts had deteriorated to the point that they may be uncollectable, and therefore, recorded an increase in the allowance for doubtful accounts in the third quarter of 1999. These events also contributed a higher than usual provision for uncollectable accounts in the fourth quarter of 1999. Beginning in the third quarter of 1999, the Company has increased its resources dedicated to receivable collection efforts and continues to pursue collection of all outstanding balances.</w:t>
      </w:r>
    </w:p>
    <w:p>
      <w:pPr>
        <w:spacing w:after="0" w:line="34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increase in operating revenues in 1998 for NASW, as compared to 1997, is primarily attributable to the effects of acquisitions and the internal growth of comparable operations. However, these increases were partially offset by the divestiture of certain solid waste operations and the impact of the currency translation fluctuations of the Canadian dollar. Acquisitions of solid waste businesses in North America during 1998 and the full year effect of such acquisitions completed during 1997 accounted for an increase in operating revenues of approximately $1.16 billion. Internal growth for comparable NASW services was 5.4%, which was comprised of 1.8% for pricing increases and 3.6% for volume increases. For 1998, the NASW operating revenues were negatively impacted by the lower prices received for recyclable materials, which can fluctuate substantially from period to period. Had the pricing for recyclable materials remained constant during 1998, internal growth for comparable NASW operations would have been 5.9% for the period.</w:t>
      </w:r>
    </w:p>
    <w:p>
      <w:pPr>
        <w:spacing w:after="0" w:line="17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operating revenues from WM International increased approximately $117.2 million, or 7.6%, in 1999, but decreased approximately $256.4 million, or 14.3%, during 1998, from the respective prior years. The increase in operating revenues for WM International in 1999 is due to acquisitions of businesses, primarily in Denmark and Australia, with 1999 operating revenues of $182.8 million and internal growth of 1.6%. These increases in 1999 were offset by the disposition of operations, primarily in Italy, with 1998 operating revenues of $43.3 million. Additionally offsetting the increases in operating revenues in 1999 were fluctuations in foreign currency of $51.2 million. The decrease in 1998, as compared to 1997 is primarily due to the sale of certain assets, such as the waste-to-energy facility in Hamm, Germany in January 1998, as well as the expiration of the City of Buenos Aires, Argentina contract in February 1998. In 1998, internal growth from WM International operations reflected a modest decline. Operating revenues in 1998 were also negatively affected by foreign currency fluctuations of approximately $53.0 million as compared to 1997.</w:t>
      </w:r>
    </w:p>
    <w:p>
      <w:pPr>
        <w:spacing w:after="0" w:line="17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Operating revenues for non-solid waste services decreased in 1999, as compared to 1998, due to the sale of a 51% interest in certain non-solid waste operations, as previously discussed herein. However, this decrease was partially offset by the acquisition of a geosynthetic manufacturing and installation service company in July 1999. Exclusive of acquisitions and dispositions, the Company's non-solid waste operating revenues for 1999 were substantially consistent with 1998. Operating revenues in 1998 for the Company's non-solid waste operations were substantially consistent with 1997. The Company expects decreasing operating revenues from its non-solid waste operations in future periods because the Company is actively marketing certain of its non-solid waste operations pursuant to its strategic plan.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159"/>
          </w:cols>
          <w:pgMar w:left="30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ind w:left="180" w:right="3199"/>
        <w:spacing w:after="0" w:line="258" w:lineRule="auto"/>
        <w:rPr>
          <w:sz w:val="20"/>
          <w:szCs w:val="20"/>
          <w:color w:val="auto"/>
        </w:rPr>
      </w:pPr>
      <w:r>
        <w:rPr>
          <w:rFonts w:ascii="Courier New" w:cs="Courier New" w:eastAsia="Courier New" w:hAnsi="Courier New"/>
          <w:sz w:val="14"/>
          <w:szCs w:val="14"/>
          <w:color w:val="auto"/>
        </w:rPr>
        <w:t>Operating Costs and Expenses (Exclusive of Depreciation and Amortization Shown Below)</w:t>
      </w:r>
    </w:p>
    <w:p>
      <w:pPr>
        <w:spacing w:after="0" w:line="160"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Operating costs and expenses increased $985.8 million or 13.5% for 1999, as compared to 1998, and decreased $199.0 million, or 2.7%, for 1998, as compared to 1997. As a percentage of operating revenues, operating costs and expenses increased from 57.7% in 1998 to 63.0% in 1999 and were 62.5% in 1997.</w:t>
      </w:r>
    </w:p>
    <w:p>
      <w:pPr>
        <w:spacing w:after="0" w:line="163"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For the three years ended December 31, 1999, operating costs and expenses increased primarily as a result of the Company's acquisition activities and internal revenue growth net of dispositions. Over that three-year period, operating costs and expenses as a percentage of revenues fluctuated, primarily due to the effects of the Company's merger integration plan that was adopted in connection with the WM Holdings Merger in July 1998. See "Operating Revenues" above. The merger integration plan included significant employee headcount reductions (particularly including supervisory operating personnel), the elimination of excess operating capacity through the sale or abandonment of certain assets and operations, and the reconfiguration of operations within certain domestic markets in which the Company operates. The Company's employee headcount reductions and the elimination of excess operating capacity were largely effected in the third quarter of 1998, while the reconfiguration of certain domestic markets began principally in the first quarter of 1999.</w:t>
      </w:r>
    </w:p>
    <w:p>
      <w:pPr>
        <w:spacing w:after="0" w:line="17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1998, soon after the WM Holdings Merger, the Company experienced reductions, both in absolute terms and as a percentage of operating revenues, in its operating costs and expenses as a result of the reductions in employee headcount and the elimination of excess operating assets that were either sold or abandoned pursuant to the merger integration plan. The Company believes that the reductions in employee headcount and the disposition of excess operating assets resulted in short-term cost efficiencies in 1998.</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1999, the Company continued the implementation of its merger integration plan. However, due to the breadth and comprehensive nature of the changes the Company attempted to implement in 1999, the Company was unable to sustain the effectiveness of its integration plan. Operating costs and expenses therefore increased significantly as a percentage of revenues in 1999 because the short-term cost reductions experienced in 1998 were not sustained in 1999 and due to the operational difficulties encountered by the Company.</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part of its ongoing operations, the Company reviews its reserve requirements for remediation and other environmental matters based on an analysis of, among other things, the regulatory context surrounding landfills, site-specific environmental issues and remaining airspace capacity in light of changes to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operating landfill. The impact of revisions to remedial environmental and other similar liabilities resulted in reductions of operating costs and expenses as a percentage of revenues in the amount of 0.5% and 0.9% in 1999 and 1998, respectively. Similar revisions in 1997 resulted in an increase to operating costs and expenses equivalent to 0.8% of revenues.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General and Administrative Expenses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General and administrative expenses increased $587.6 million or 44.1% from 1998 to 1999 and decreased $105.8 million or 7.4% from 1997 to 1998. As a percentage of operating revenues, the Company's general and administrative expense was 14.6% for 1999, 10.6% for 1998 and 12.0% for 1997. Over the three-year period ended December 31, 1999, general and administrative expenses increased primarily as a result of the Company's acquisition activity, partially offset by divestitures.</w:t>
      </w:r>
    </w:p>
    <w:p>
      <w:pPr>
        <w:spacing w:after="0" w:line="165"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General and administrative expenses for 1999 include $326.6 million in adjustments resulting from the 1999 accounting review, some of which are recurring in nature and should be expected in future periods. These significant adjustments include an increase of $167.3 million relative to the allowance for doubtful accounts. In addition, general and administrative expenses for 1999 include $159.3 million in costs for accounting, legal and other professional services. These costs are primarily related to litigation and investigations conducted by the Company in 1999. See discussion, in "Operating Revenues" and "Operating Costs and Expenses" above, of the Company's substantial difficulties in integrating the operations of WM Holdings subsequent to the WM Holdings Merger.</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discussed above, the Company believes it experienced short-term cost reductions related to the elimination of duplicate corporate administrative functions from the WM Holdings Merger in 1998 and the first and second quarters of 1999. Such cost reductions were substantially offset by the effect of difficulties encountered by the Company in integrating the operations of WM Holdings, including increased administrative costs in field operations, particularly in the third and fourth quarters of 1999, attributable to increased costs to perform billing, collection and other administrative functions.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Depreciation and amortization expense increased $115.5 million or 7.7% in 1999 and $106.9 million, or 7.7% in 1998, as compared to the respective prior year. As a percentage of operating revenues, depreciation and amortization expense was 12.3% in 1999, 11.9% in 1998 and 11.6% in 1997.</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Over the three-year period ended December 31, 1999, depreciation and amortization increased primarily as a result of the Company's acquisition program, partially offset by divestitures. In addition to the increase associated with acquisitions, depreciation and amortization expense for 1999 includes adjustments resulting from the 1999 accounting review, some of which are recurring in nature and should be expected in future periods. These adjustments primarily include adjustments to increases to landfill amortization expense as a result of the comprehensive review of the NASW landfill expansion projects. The increase in landfill amortization as a result of this review aggregated $24.3 million, or 0.2% of annual revenues, for the third and fourth quarters of 1999. The Company discontinued depreciation on fixed assets relative to certain operations which are held for sale as of October 1, 1999. The depreciation discontinued in the fourth quarter of 1999 for these operations held for sale was $45.6 million, or 0.3% of annual revenues, which was primarily related to the Company's WM International operations.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Merger and Acquisition Related Costs, Asset Impairments and Unusual Items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As further discussed in Notes 4 and 15 to the financial statements included elsewhere herein, in connection with the WM Holdings Merger and the Eastern Merger, the Company incurred significant merger and acquisition related costs, asset impairments and unusual items in 1998 of approximately $2.7 billion. In 1999, the Company incurred approximately $44.6 million in merger costs and $738.8 million in asset impairments and unusual items. The 1999 merger and acquisition related costs were primarily related to these mergers and included costs that were transitional in nature. The 1999 charge for asset impairments and unusual items primarily consisted of held for sale asset adjustments, other asset impairments and provisions for increases in certain legal reserves. In 1998 and 1997, the Company incurred merger and acquisition related costs of approximately $17.2 million and $112.7 million, respectively, related to other business combinations accounted for as poolings of interests that were completed during those years. The 1997 financial statements include a charge to asset impairments and unusual items of approximately $1.8 billion related primarily to a significant accounting charge resulting from a comprehensive review performed by the management of WM Holdings of its operations and investments. See Note 15 to the financial statements for further discussion.</w:t>
      </w:r>
    </w:p>
    <w:p>
      <w:pPr>
        <w:spacing w:after="0" w:line="173" w:lineRule="exact"/>
        <w:rPr>
          <w:sz w:val="20"/>
          <w:szCs w:val="20"/>
          <w:color w:val="auto"/>
        </w:rPr>
      </w:pPr>
    </w:p>
    <w:p>
      <w:pPr>
        <w:ind w:left="180" w:right="3819"/>
        <w:spacing w:after="0" w:line="258" w:lineRule="auto"/>
        <w:rPr>
          <w:sz w:val="20"/>
          <w:szCs w:val="20"/>
          <w:color w:val="auto"/>
        </w:rPr>
      </w:pPr>
      <w:r>
        <w:rPr>
          <w:rFonts w:ascii="Courier New" w:cs="Courier New" w:eastAsia="Courier New" w:hAnsi="Courier New"/>
          <w:sz w:val="14"/>
          <w:szCs w:val="14"/>
          <w:color w:val="auto"/>
        </w:rPr>
        <w:t>(Income) Loss from Continuing Operations Held for Sale, Net of Minority Interest</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1998 and 1997, the Company had operations that were previously classified as discontinued operations for accounting and financial reporting purposes that were subsequently reclassified to continuing operations as of December 31, 1997, as the dispositions were not completed within one year from the date of their classification as discontinued operations. The Company divested of substantially all of such operations by September 30, 1998.</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(Loss) from Operations</w:t>
      </w:r>
    </w:p>
    <w:p>
      <w:pPr>
        <w:spacing w:after="0" w:line="175" w:lineRule="exact"/>
        <w:rPr>
          <w:sz w:val="20"/>
          <w:szCs w:val="20"/>
          <w:color w:val="auto"/>
        </w:rPr>
      </w:pPr>
    </w:p>
    <w:p>
      <w:pPr>
        <w:ind w:right="3559" w:firstLine="434"/>
        <w:spacing w:after="0" w:line="255" w:lineRule="auto"/>
        <w:rPr>
          <w:sz w:val="20"/>
          <w:szCs w:val="20"/>
          <w:color w:val="auto"/>
        </w:rPr>
      </w:pPr>
      <w:r>
        <w:rPr>
          <w:rFonts w:ascii="Courier New" w:cs="Courier New" w:eastAsia="Courier New" w:hAnsi="Courier New"/>
          <w:sz w:val="14"/>
          <w:szCs w:val="14"/>
          <w:color w:val="auto"/>
        </w:rPr>
        <w:t>Income (loss) from operations was $540.0 million, $(160.4) million, and $(233.9) million for 1999, 1998 and 1997, respectively, for the reasons discussed above.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159"/>
          </w:cols>
          <w:pgMar w:left="30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Income and Expenses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Other income and expenses consists of interest expense, interest income, other income (including gains and losses on sales of businesses) and minority interest. The most significant of these is interest expense. Although the Company has experienced lower borrowing rates during most of 1999, as compared to 1998 and 1997, interest costs, which include amounts capitalized, increased for each year from 1997 to 1999 due to increases in the Company's outstanding indebtedness. During the last six months of 1999, the Company experienced a decline in its public credit ratings. As a result, it is likely that the borrowing rates in the foreseeable future will be higher than the rates previously experienced by the Company. Capitalized interest was $34.3 million, $41.5 million and $51.4 million, for 1999, 1998, and 1997, respectively. The decline in the amount of interest capitalized by the Company over these periods is primarily due to shortening of the cycles in which the Company performs landfill construction activities and the success in obtaining permits at certain significant landfill expansion projects.</w:t>
      </w:r>
    </w:p>
    <w:p>
      <w:pPr>
        <w:spacing w:after="0" w:line="329"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During 1998, the Company acquired the outstanding minority interest in WTI, WM plc, as well as WM plc's operations in the United Kingdom, which were 49% owned by Wessex Water Plc. As a result, the minority interest expense was less significant to the Company in 1999 as compared to prior years.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Other income in 1997 includes a gain of $129.0 million related to the sale of the Company's investment in ServiceMaster Consumer Services L.P., which occurred during the first quarter of 1997. Other income in 1998 includes the sale of certain of the Company's investments and businesses. In January 1998 the Company recognized a gain of $38.0 million from the sale of a waste-to-energy facility in Hamm, Germany.</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Provision for Income Taxes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recorded a provision for income taxes of $232.3 million, $66.9 million, and $363.3 million for 1999, 1998 and 1997, respectively, resulting in an effective income tax rate of 142.8%, 9.6%, and 54.9% for each of these years, respectively. The difference in federal income taxes computed at the federal statutory rate and reported income taxes for these years is primarily due to state and local income taxes, non-deductible costs related to acquired intangibles, non-deductible costs associated with the impairment of certain foreign businesses and other third quarter 1999 charges and adjustments as discussed in Note 2 to the financial statements, and the cost associated with remitting the earnings of certain foreign subsidiaries, which are no longer permanently reinvested.</w:t>
      </w:r>
    </w:p>
    <w:p>
      <w:pPr>
        <w:spacing w:after="0" w:line="33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Discontinued Operations</w:t>
      </w:r>
    </w:p>
    <w:p>
      <w:pPr>
        <w:spacing w:after="0" w:line="175"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The Company recorded $95.7 million in 1997 for the net results of discontinued operations. See Note 19 of the financial statements included herein for additional discussion of discontinued operations.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Extraordinary Item</w:t>
      </w:r>
    </w:p>
    <w:p>
      <w:pPr>
        <w:spacing w:after="0" w:line="17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During 1999, 1998 and 1997, the Company retired certain debt prior to their scheduled maturities. As a result, the Company incurred prepayment penalties and other fees, as well as charged to expense the unamortized discounts and debt issuance costs. Total charges for these items, net of tax, were $2.5 million, $3.9 million and $6.8 million for 1999, 1998 and 1997, respectively.</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Cumulative Effect of Change in Accounting Principle</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In the fourth quarter of 1997, the Company began expensing process reengineering costs in accordance with the Financial Accounting Standards Board Emerging Issues Task Force Issue No. 97-13. Accordingly, the Company expensed any amounts previously capitalized, which reduced net income by $1.9 million in 1997.</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Loss</w:t>
      </w:r>
    </w:p>
    <w:p>
      <w:pPr>
        <w:spacing w:after="0" w:line="175" w:lineRule="exact"/>
        <w:rPr>
          <w:sz w:val="20"/>
          <w:szCs w:val="20"/>
          <w:color w:val="auto"/>
        </w:rPr>
      </w:pPr>
    </w:p>
    <w:p>
      <w:pPr>
        <w:ind w:right="3719" w:firstLine="434"/>
        <w:spacing w:after="0" w:line="252" w:lineRule="auto"/>
        <w:rPr>
          <w:sz w:val="20"/>
          <w:szCs w:val="20"/>
          <w:color w:val="auto"/>
        </w:rPr>
      </w:pPr>
      <w:r>
        <w:rPr>
          <w:rFonts w:ascii="Courier New" w:cs="Courier New" w:eastAsia="Courier New" w:hAnsi="Courier New"/>
          <w:sz w:val="14"/>
          <w:szCs w:val="14"/>
          <w:color w:val="auto"/>
        </w:rPr>
        <w:t>For the reasons discussed above, net loss was $397.6 million in 1999, $770.7 million in 1998, and $938.9 million in 1997.</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159"/>
          </w:cols>
          <w:pgMar w:left="300" w:top="28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operates in an industry that requires a high level of capital investment. The Company's capital requirements primarily stem from (i) its working capital needs for its ongoing operations, (ii) capital expenditures for construction and expansion of its landfill sites, as well as new trucks and equipment for its collection operations, (iii) refurbishments and improvements at its waste-to-energy facilities and (iv) business acquisitions. The Company's strategy is to meet these capital needs first from internally generated funds. Historically, the Company has also obtained financing from various financing sources available to the Company at the time, including the incurrence of debt and the issuance of its common stock. In August 1999, the Company announced a strategic plan that included the sale of certain non-strategic and under-performing assets, including its WM International operations, its non-core assets and up to 10% of its NASW operations. The proceeds from these dispositions, which are primarily expected to be realized in 2000, will be utilized for debt repayment, repurchase of shares and selected tuck-in acquisitions. Although the Company has unused and available credit capacity under its domestic bank facilities of $1.5 billion at December 31, 1999 and $1.4 billion as of March 15, 2000, the Company expects reductions in bank line availability as debt levels are decreased in connection with the strategic plan. However, due to a projected decrease in acquisition activity in future periods and the sale of certain of its international businesses, the Company's level of capital expenditures is expected to decline along with its needs for large amounts of credit capacity.</w:t>
      </w:r>
    </w:p>
    <w:p>
      <w:pPr>
        <w:spacing w:after="0" w:line="34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As a result of the accounting charges and adjustments recorded in the third quarter of 1999 (see Note 2), absent waivers, the Company would not have been in compliance as of September 30, 1999 with certain financial covenants as required by its four bank credit facilities. The Company received waivers from each of its four bank groups for the period ended September 30, 1999, enabling the Company to be in full compliance with and have full access to its existing bank credit facilities. During the fourth quarter of 1999, the Company incurred approximately $8.0 million (which is included in interest expense) to obtain these waivers. In December 1999, the Company received unanimous approval for amendments to its existing $2 billion, $3 billion and Eurocurrency bank credit facilities. The approvals provide permanent amendments to the waivers previously granted to the Company related to its operating results for the third quarter of 1999. Additionally, the amended terms and conditions of the facilities contain the necessary provisions for the Company to proceed with its strategy of divesting of its WM International operations and domestic non-core assets.</w:t>
      </w:r>
    </w:p>
    <w:p>
      <w:pPr>
        <w:spacing w:after="0" w:line="17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Under the terms of the Syndicated Facility and Credit Facility, the Company is obligated to repay its indebtedness under such facilities with the cash proceeds to be received from the divestitures of its WM International operations, domestic non-core assets and up to 10% of its NASW operations pursuant to its strategic plan. Specifically, the Company must use all of the first $1.5 billion of net proceeds it receives from the sales of any domestic operations to repay indebtedness under the Syndicated Facility and Credit Facility. Additionally, 50% of the net proceeds greater than $1.5 billion but less than $2.5 billion from sales of domestic operations must be used to repay indebtedness under such facilities. Finally, all net proceeds from the divestiture of WM International operations must be used to repay indebtedness under the Company's Eurocurrency facilities. The net proceeds remaining after the repayment of the Eurocurrency facilities will be counted as, and therefore subject to the same requirements to repay the Syndicated Facility and Credit Facility as, net proceeds received from the sales of domestic operations.</w:t>
      </w:r>
    </w:p>
    <w:p>
      <w:pPr>
        <w:spacing w:after="0" w:line="17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was in compliance with all financial requirements under its credit agreements as of December 31, 1999. However, the Company anticipates that its cash flows from operations for the year 2000 will likely not be sufficient for the Company to maintain compliance with certain of the financial ratios contained in its Syndicated Facility, Credit Facility, and Eurocurrency credit facilities. Therefore, it has classified the borrowings outstanding under the Syndicated Facilities and the Credit Facility as short-term obligations as of December 31, 1999. The Eurocurrency Credit Facility is included in operations held for sale at December 31, 1999. As discussed in the preceding paragraph, the Company expects to make a substantial principal reduction on these facilities with the net proceeds of its anticipated divestitures. The Company intends to pursue waivers or amendments of such agreements in advance of any potential violation of the credit agreements. However, there can be no assurance that, in the event the Company actually violates its</w:t>
      </w:r>
    </w:p>
    <w:p>
      <w:pPr>
        <w:spacing w:after="0" w:line="17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159"/>
          </w:cols>
          <w:pgMar w:left="30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49</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agreements, that such waivers or amendments will be obtained. Failure to obtain such waivers or amendments would have an adverse effect on the Company's financial condition, results of operations and cash flows.</w:t>
      </w:r>
    </w:p>
    <w:p>
      <w:pPr>
        <w:spacing w:after="0" w:line="162"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During the last six months of 1999, the Company experienced a decline in its public credit ratings which curtailed its access to the commercial paper market. All outstanding commercial paper was redeemed by March 1, 2000. The Company does not expect that it will be in a position to reissue commercial paper in the foreseeable future. Additionally, as a result of a decline in its credit ratings, the Company expects to incur substantially higher costs of financing for the foreseeable future as compared to prior years should it attempt any capital market activity. The Company utilizes approximately $3 billion in bonding related to its operations. Should any of these bonding sources become unavailable without replacement from other bonding sources, the Company would have to utilize its bank lines, which are at significantly higher rates, for replacement purposes.</w:t>
      </w:r>
    </w:p>
    <w:p>
      <w:pPr>
        <w:spacing w:after="0" w:line="330"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As of December 31, 1999, the Company had working capital deficit of $1.3 billion (a ratio of current assets to current liabilities of 0.8:1) and a cash balance of $181.4 million, which compares to a working capital deficit of $412.3 million (a current ratio of 0.9:1) and a cash balance of $86.9 million as of December 31, 1998. For 1999, net cash provided by operating activities was $1.7 billion, as compared to $1.5 billion in 1998 and $2.1 billion in 1997, and net cash provided by (used in) financing activities was $426.2 million in 1999, as compared to $3.0 billion in 1998 and $(445.0) million in 1997. In 1999, cash generated from operating and financing activities was primarily used to acquire business and outstanding minority interest positions for $1.3 billion and for capital expenditures of $1.3 billion. In 1998, cash generated from operating and financing activities was primarily used to acquire businesses and outstanding minority interest positions for $3.6 billion and for capital expenditures of $1.7 billion. In 1997, capital expenditures of $1.3 billion and acquisitions of businesses and outstanding minority interests of $1.8 billion were primarily financed through net cash from operations of $2.1 billion as well as proceeds from divestitures of businesses and other sales of assets of $1.5 billion. Additionally, in 1997 the Company acquired $1.0 billion of its stock and paid cash dividends to its shareholders of $309.6 million.</w:t>
      </w:r>
    </w:p>
    <w:p>
      <w:pPr>
        <w:spacing w:after="0" w:line="17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During 1999, the Company paid approximately $550 million for costs directly or indirectly related to the WM Holdings Merger and the Eastern Merger. Consequently, the Company's net cash provided by operating activities for 1999 was significantly impacted by its 1998 merger activity, and to a lesser extent, other working capital issues. The Company contributed approximately $43.4 million during 1999, which is included in the above amounts, and expects payments of approximately $185 million to be paid through 2000 relating to the termination of the WM Holdings' defined benefit plan. Furthermore, the Company expects to fund additional merger and legal obligations throughout 2000.</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From December 15, 1999 through March 16, 2000, the Company repurchased $430.2 million of its 5.75% convertible subordinated notes due 2005 with funds available from internally generated cash flows and its domestic credit facilities. The Company has a scheduled maturity of $250 million of senior notes on October 15, 2000. The Company expects to repay this senior note with funds available from its domestic credit facilities.</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the second quarter of 1999, the Company agreed to purchase all of the Canadian solid waste operations of Allied Waste Industries, Inc. ("Allied") other than its medical waste disposal assets (the "Canadian Operations") for a purchase price of approximately $501 million in cash. That agreement was revised and superseded on November 8, 1999. Under the revised agreements, the Company agreed to acquire the Canadian Operations through the purchase of the stock of Allied's Canadian subsidiary. The revised agreements also provide for the purchase by Allied of certain of the Company's solid waste operations having combined reported historical net revenue of approximately $120 million, including nine landfill operations, 19 collection operations, five transfer stations and a landfill operating contract. The prices of Canadian operations to be acquired, and the domestic operations to be disposed of, by the Company were all established based upon the same multiple of historical operating earnings, although the transactions may proceed separately.</w:t>
      </w:r>
    </w:p>
    <w:p>
      <w:pPr>
        <w:spacing w:after="0" w:line="172"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The sale of the Canadian Operations is subject to final approval under the Canadian Competition Act and Investment Canada Act. The Competition Bureau of Canada has requested that the Company divest a substantial portion of the Canadian Operations as a condition to recommending such approval. In response,</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50</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Company and Allied are actively pursuing a restructured transaction, whereby the Company would acquire only those portions of the Canadian Operations approved by Canadian regulators. The scope of the United States assets to be acquired by Allied from the Company also remains under governmental antitrust review.</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has material financial commitments for the costs associated with its future obligations for final closure, which is the closure of the landfills and the capping of the final uncapped areas of the landfills, and for post-closure of the landfills it operates or for which it is otherwise responsible. The final closure and post-closure liabilities are charged to expense as airspace is consumed such that the present value of total estimated final closure and post-closure cost will be accrued for each landfill at the time each site discontinues accepting waste and is closed. The Company has also established procedures to evaluate its potential remedial liabilities at closed sites which it owns or operated, or to which it transported waste, including 84 sites listed on the NPL. The majority of situations involving NPL sites relate to allegations that subsidiaries of the Company (or their predecessors) transported waste to the facilities in question, often prior to the acquisition of such subsidiaries by the Company. In instances in which the Company has concluded that it is probable that a liability has been incurred, an accrual has been recorded in the financial statements.</w:t>
      </w:r>
    </w:p>
    <w:p>
      <w:pPr>
        <w:spacing w:after="0" w:line="17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have a material adverse impact on the Company's financial statements.</w:t>
      </w:r>
    </w:p>
    <w:p>
      <w:pPr>
        <w:spacing w:after="0" w:line="17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While the precise amount of these future costs cannot be determined with certainty, the Company has estimated that the aggregate cost of environmental liabilities as of December 31, 1999 is approximately $2.6 billion. As of December 31, 1999 and 1998, the Company had recorded liabilities of $977.5 million and $1.2 billion, respectively, for the present value of final closure, post-closure, and remediation costs of disposal facilities. The difference between the final closure and post-closure costs accrued at December 31, 1999, and the total present value of estimated costs represents final closure and post-closure costs which will be accrued and charged to expense as airspace is consumed such that the total present value of estimated final closure and post-closure costs to be incurred will be fully accrued for each landfill at the time each site discontinues accepting waste and is closed. Average landfill final closure and post-closure expense, on a per ton basis, for 1999 was $0.27 per ton.</w:t>
      </w:r>
    </w:p>
    <w:p>
      <w:pPr>
        <w:spacing w:after="0" w:line="33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As of December 31, 1999, the Company also expects to incur approximately $6.9 billion related to future construction activities during the remaining operating lives of the disposal sites, which are capitalized as incurred and expensed over the useful lives of the disposal sites as airspace is consumed.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 AND INFLATION</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operating revenues tend to be somewhat lower in the winter months, which corresponds with the Company's first and fourth quarters. This is primarily attributable to the facts that (i) the volume of waste relating to construction and demolition activities tends to increase in the spring and summer months and (ii) the volume of industrial and residential waste in certain regions where the Company operates tends to decrease during the winter months.</w:t>
      </w:r>
    </w:p>
    <w:p>
      <w:pPr>
        <w:spacing w:after="0" w:line="165" w:lineRule="exact"/>
        <w:rPr>
          <w:sz w:val="20"/>
          <w:szCs w:val="20"/>
          <w:color w:val="auto"/>
        </w:rPr>
      </w:pPr>
    </w:p>
    <w:p>
      <w:pPr>
        <w:ind w:right="3559" w:firstLine="434"/>
        <w:spacing w:after="0" w:line="255" w:lineRule="auto"/>
        <w:rPr>
          <w:sz w:val="20"/>
          <w:szCs w:val="20"/>
          <w:color w:val="auto"/>
        </w:rPr>
      </w:pPr>
      <w:r>
        <w:rPr>
          <w:rFonts w:ascii="Courier New" w:cs="Courier New" w:eastAsia="Courier New" w:hAnsi="Courier New"/>
          <w:sz w:val="14"/>
          <w:szCs w:val="14"/>
          <w:color w:val="auto"/>
        </w:rPr>
        <w:t>The Company believes that inflation has not had, and is not expected to have, any material adverse effect on the results of operations in the near future.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159"/>
          </w:cols>
          <w:pgMar w:left="300" w:top="28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DATE CONVERSION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completed all preparation to assure its computerized information systems, embedded technologies in its equipment, and to the extent possible, its suppliers, were ready for Year 2000. As a result, the Company suffered no material adverse business impact with the Year 2000 occurrence.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Statement of Financial Accounting Standards ("SFAS") No. 133, Accounting for Derivative Instruments and Hedging Activities was issued in 1998.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as amended by SFAS No. 137, is effective for the Company in its first fiscal quarter of 2001. Management is currently assessing the impact that the adoption of SFAS No. 133 will have on the Company's financial statements.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 ABOUT MARKET RISK.</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the normal course of business, the Company is exposed to market risk, including changes in interest rates, currency exchange rates, certain commodity prices and certain equity prices. From time to time, the Company and certain of its subsidiaries use derivatives to manage some portion of these risks. The derivatives used are simple agreements which provide for payments based on the notional amount, with no multipliers or leverage. All derivatives are related to actual or anticipated exposures of transactions of the Company. While the Company is exposed to credit risk in the event of non-performance by counterparties to derivatives, in all cases such counterparties are highly rated financial institutions and the Company does not anticipate non-performance. The Company does not hold or issue derivative financial instruments for trading purposes. The Company monitors its derivative positions by regularly evaluating the positions at market and by performing sensitivity analyses.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has performed sensitivity analyses to determine how market rate changes will affect the fair value of the Company's market risk sensitive derivatives and related positions. Such an analysis is inherently limited in that it represents a singular, hypothetical set of assumptions. Actual market movements may vary significantly from the Company's assumptions. The effects of such market movements may also directly or indirectly affect the Company's assumptions. The effects of such market movements may also directly or indirectly affect Company rights and obligations not covered by sensitivity analysis. Fair value sensitivity is not necessarily indicative of the ultimate cash flow or earnings effect on the Company from the assumed market rate movements.</w:t>
      </w:r>
    </w:p>
    <w:p>
      <w:pPr>
        <w:spacing w:after="0" w:line="331"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Interest Rate Exposure. The Company's exposure to market risk for changes in interest rates relates primarily to the Company's debt obligations, which are mainly denominated in U.S. dollars. In addition, interest rate swaps are generally used to either lock-in or limit the variability in the interest expense of certain floating rate debt obligations or to manage the mix of fixed and floating rate debt obligations. An instantaneous, one percentage point increase in interest rates across all maturities and applicable yield curves would increase the fair value of the Company's combined debt and interest rate swap positions at December 31, 1999 and 1998 by approximately $499.2 million and $591.0 million, respectively. This analysis does not reflect the effect that declining interest rates would have on other items such as pension liabilities, nor the favorable impact they would have on interest expense and cash payments for interest. Since a significant portion of the Company's debt is at fixed rates, changes in market interest rates would not significantly impact operating results until and unless such debt would need to be refinanced at maturity.</w:t>
      </w:r>
    </w:p>
    <w:p>
      <w:pPr>
        <w:spacing w:after="0" w:line="172"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Currency Rate Exposure. From time to time, the Company and certain of its subsidiaries have used foreign currency derivatives to seek to mitigate the impact of translation on foreign earnings and income from foreign investees. Typically these derivatives have taken the form of purchased put options or collars. There were no currency derivatives outstanding at December 31, 1999 or 1998 that relate to hedging the translation of foreign earnings.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159"/>
          </w:cols>
          <w:pgMar w:left="300" w:top="28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52</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occasionally incurs currency risk from cross border transactions. When such transactions are anticipated or committed to, the Company may enter into forward contracts or purchase options to reduce or eliminate the related foreign exchange risk. The Company also incurs exchange rate risk from borrowings denominated in foreign currencies. An instantaneous, ten percent increase in foreign exchange rates would decrease the fair value of the Company's foreign currency borrowings at December 31, 1999 and 1998, by approximately $42.7 million and $13.1 million, respectively. This difference can be attributed to a variety of factors, including a change in the composition of the portfolio, a change in the correlations across different instruments resulting from the WM Holdings Merger or other factors arising from changing market conditions. The total effect on the Company from movements in exchange rates will also be influenced by other factors. For example, an increase in the fair value of foreign currency denominated debt caused by exchange rate movements may be more than offset by an increase in the value of the Company's net investment in foreign countries. At December 31, 1999, all debt of WM International is classified in current assets as assets held for sale.</w:t>
      </w:r>
    </w:p>
    <w:p>
      <w:pPr>
        <w:spacing w:after="0" w:line="17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Commodities Price Exposure. The Company markets recycled paper products such as old newspaper ("ONP") and old corrugated containers ("OCC"). Beginning in 1999, the Company entered into financial swaps in an effort to mitigate the risk of recyclable paper price fluctuations. Under its financial swap agreements, the Company transfers a floating market price for a fixed price for a fixed period of time. The two parties agree to use a market index as an indicator of the market price during the term of the swap. An instantaneous ten percent increase in this commodity at December 31, 1999 creates an exposure risk of approximately $50,000. All of the Company's waste paper hedges are cash settled on a monthly basis with the counterparty.</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Equity Price Exposure. The Company is also subject to equity price exposure from Company debt issues that are convertible into the Company's common stock. These debt issues had an aggregate carrying value of $962.0 million and $1.25 billion as of December 1999 and 1998, respectively. An instantaneous, ten percent decrease in the Company's stock price on December 31, 1999 and 1998, would increase the fair value of the Company's convertible debt by approximately $12.4 million and $121.0 million, respectively. The change in fair value is due to the change in the Company's stock price from December 31, 1998 to December 31, 1999. The Company's share price fell from $46.63 on December 31, 1998 to $17.19 at the close of trading on December 31, 1999. However, such changes in stock prices did not impact net income.</w:t>
      </w:r>
    </w:p>
    <w:p>
      <w:pPr>
        <w:spacing w:after="0" w:line="163"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See Notes 3 and 9 to the financial statements included elsewhere herein for further discussion of the use of and accounting for derivative instruments.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59"/>
          </w:cols>
          <w:pgMar w:left="300"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940" w:type="dxa"/>
            <w:vAlign w:val="bottom"/>
          </w:tcPr>
          <w:p>
            <w:pPr>
              <w:ind w:left="780"/>
              <w:spacing w:after="0"/>
              <w:rPr>
                <w:sz w:val="20"/>
                <w:szCs w:val="20"/>
                <w:color w:val="auto"/>
              </w:rPr>
            </w:pPr>
            <w:r>
              <w:rPr>
                <w:rFonts w:ascii="Courier New" w:cs="Courier New" w:eastAsia="Courier New" w:hAnsi="Courier New"/>
                <w:sz w:val="14"/>
                <w:szCs w:val="14"/>
                <w:color w:val="auto"/>
              </w:rPr>
              <w:t>INDEX TO</w:t>
            </w:r>
          </w:p>
        </w:tc>
        <w:tc>
          <w:tcPr>
            <w:tcW w:w="440" w:type="dxa"/>
            <w:vAlign w:val="bottom"/>
          </w:tcPr>
          <w:p>
            <w:pPr>
              <w:spacing w:after="0"/>
              <w:rPr>
                <w:sz w:val="14"/>
                <w:szCs w:val="14"/>
                <w:color w:val="auto"/>
              </w:rPr>
            </w:pPr>
          </w:p>
        </w:tc>
      </w:tr>
      <w:tr>
        <w:trPr>
          <w:trHeight w:val="167"/>
        </w:trPr>
        <w:tc>
          <w:tcPr>
            <w:tcW w:w="5300" w:type="dxa"/>
            <w:vAlign w:val="bottom"/>
            <w:gridSpan w:val="2"/>
          </w:tcPr>
          <w:p>
            <w:pPr>
              <w:ind w:left="2000"/>
              <w:spacing w:after="0"/>
              <w:rPr>
                <w:sz w:val="20"/>
                <w:szCs w:val="20"/>
                <w:color w:val="auto"/>
              </w:rPr>
            </w:pPr>
            <w:r>
              <w:rPr>
                <w:rFonts w:ascii="Courier New" w:cs="Courier New" w:eastAsia="Courier New" w:hAnsi="Courier New"/>
                <w:sz w:val="14"/>
                <w:szCs w:val="14"/>
                <w:color w:val="auto"/>
              </w:rPr>
              <w:t>CONSOLIDATED FINANCIAL STATEMENTS</w:t>
            </w:r>
          </w:p>
        </w:tc>
        <w:tc>
          <w:tcPr>
            <w:tcW w:w="440" w:type="dxa"/>
            <w:vAlign w:val="bottom"/>
          </w:tcPr>
          <w:p>
            <w:pPr>
              <w:spacing w:after="0"/>
              <w:rPr>
                <w:sz w:val="14"/>
                <w:szCs w:val="14"/>
                <w:color w:val="auto"/>
              </w:rPr>
            </w:pPr>
          </w:p>
        </w:tc>
      </w:tr>
      <w:tr>
        <w:trPr>
          <w:trHeight w:val="668"/>
        </w:trPr>
        <w:tc>
          <w:tcPr>
            <w:tcW w:w="2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2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52</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53</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 as of December 31, 1999 and</w:t>
            </w:r>
          </w:p>
        </w:tc>
        <w:tc>
          <w:tcPr>
            <w:tcW w:w="440" w:type="dxa"/>
            <w:vAlign w:val="bottom"/>
          </w:tcPr>
          <w:p>
            <w:pPr>
              <w:spacing w:after="0"/>
              <w:rPr>
                <w:sz w:val="14"/>
                <w:szCs w:val="14"/>
                <w:color w:val="auto"/>
              </w:rPr>
            </w:pPr>
          </w:p>
        </w:tc>
      </w:tr>
      <w:tr>
        <w:trPr>
          <w:trHeight w:val="167"/>
        </w:trPr>
        <w:tc>
          <w:tcPr>
            <w:tcW w:w="5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1998 .....................................................</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54</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Operations for the Years Ended</w:t>
            </w:r>
          </w:p>
        </w:tc>
        <w:tc>
          <w:tcPr>
            <w:tcW w:w="44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1999, 1998,</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and 1997. .......................</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55</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Stockholders' Equity for the</w:t>
            </w:r>
          </w:p>
        </w:tc>
        <w:tc>
          <w:tcPr>
            <w:tcW w:w="44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Years Ended December 31,</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1999, 1998, and 1997. ...........</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56</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Cash Flows for the Years Ended</w:t>
            </w:r>
          </w:p>
        </w:tc>
        <w:tc>
          <w:tcPr>
            <w:tcW w:w="44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1999, 1998,</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and 1997. .......................</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59</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Consolidated Statements of</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Comprehensive Income (Loss) for</w:t>
            </w:r>
          </w:p>
        </w:tc>
        <w:tc>
          <w:tcPr>
            <w:tcW w:w="44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the Years Ended December</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31, 1999, 1998, and 1997. .......</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60</w:t>
            </w:r>
          </w:p>
        </w:tc>
      </w:tr>
      <w:tr>
        <w:trPr>
          <w:trHeight w:val="167"/>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61</w:t>
            </w:r>
          </w:p>
        </w:tc>
      </w:tr>
      <w:tr>
        <w:trPr>
          <w:trHeight w:val="501"/>
        </w:trPr>
        <w:tc>
          <w:tcPr>
            <w:tcW w:w="2360" w:type="dxa"/>
            <w:vAlign w:val="bottom"/>
          </w:tcPr>
          <w:p>
            <w:pPr>
              <w:spacing w:after="0"/>
              <w:rPr>
                <w:sz w:val="24"/>
                <w:szCs w:val="24"/>
                <w:color w:val="auto"/>
              </w:rPr>
            </w:pPr>
          </w:p>
        </w:tc>
        <w:tc>
          <w:tcPr>
            <w:tcW w:w="2940" w:type="dxa"/>
            <w:vAlign w:val="bottom"/>
          </w:tcPr>
          <w:p>
            <w:pPr>
              <w:ind w:left="1040"/>
              <w:spacing w:after="0"/>
              <w:rPr>
                <w:sz w:val="20"/>
                <w:szCs w:val="20"/>
                <w:color w:val="auto"/>
              </w:rPr>
            </w:pPr>
            <w:r>
              <w:rPr>
                <w:rFonts w:ascii="Courier New" w:cs="Courier New" w:eastAsia="Courier New" w:hAnsi="Courier New"/>
                <w:sz w:val="14"/>
                <w:szCs w:val="14"/>
                <w:color w:val="auto"/>
              </w:rPr>
              <w:t>51</w:t>
            </w:r>
          </w:p>
        </w:tc>
        <w:tc>
          <w:tcPr>
            <w:tcW w:w="44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54</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 of Waste Management, Inc.:</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Waste Management, Inc. and subsidiaries (the "Company"), a Delaware corporation, as of December 31, 1999 and 1998, and the related consolidated statements of operations, stockholders' equity, cash flows and comprehensive income (loss) for each of the years in the three-year period ended December 31, 1999. These financial statements are the responsibility of the Company's management. Our responsibility is to express an opinion on these consolidated financial statements based on our audits.</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discussed in Note 4, the financial statements referred to above give retroactive effect to the merger of the Company (then known as USA Waste Services, Inc.) and Waste Management Holdings, Inc., (then known as Waste Management, Inc.) on July 16, 1998, and the Company's merger with Eastern Environmental Services, Inc. on December 31, 1998, which were accounted for as poolings of interests.</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We did not audit the consolidated financial statements of the former USA Waste Services, Inc. and subsidiaries for the year ended December 31, 1997. Such statements are included in the consolidated financial statements of the Company and reflect operating revenues constituting twenty-two percent of the related consolidated total in 1997. These statements were audited by other auditors whose report has been furnished to us, and our opinion, insofar as it relates to the amounts included for the former USA Waste Services, Inc. and subsidiaries for the year ended December 31, 1997 is based solely on the report of the other auditors.</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selected quarterly financial data included in Note 20 contains information that we did not audit, and, accordingly, we do not express an opinion on that data. We attempted, but were unable, to review the quarterly financial data for the interim periods within 1999 in accordance with standards established by the American Institute of Certified Public Accountants because we believe that the Company's internal controls for the preparation of interim financial information did not provide an adequate basis to enable us to complete such a review.</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our opinion, based upon our audits and the report of the other auditors, the financial statements referred to above present fairly, in all material respects, the financial position of Waste Management, Inc. and subsidiaries as of December 31, 1999 and 1998, and the results of their operations and their cash flows for each of the years in the three-year period ended December 31, 1999, in conformity with accounting principles generally accepted in the United States.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2000</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28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55</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 of USA Waste Services, Inc.:</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We have audited the consolidated statements of operations, stockholders' equity, and cash flows of USA Waste Services, Inc. for the year ended December 31, 1997. These financial statements (not presented separately herein) are the responsibility of the Company's management. Our responsibility is to express an opinion on these financial statements based on our audit.</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jc w:val="both"/>
        <w:ind w:right="3299" w:firstLine="434"/>
        <w:spacing w:after="0" w:line="254"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results of operations and cash flows of USA Waste Services, Inc. for the year ended December 31, 1997, in conformity with generally accepted accounting principles.</w:t>
      </w:r>
    </w:p>
    <w:p>
      <w:pPr>
        <w:spacing w:after="0" w:line="163"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COOPERS &amp; LYBRAND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16, 1998</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159"/>
          </w:cols>
          <w:pgMar w:left="300" w:top="286"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56</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BALANCE SHEETS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 THOUSANDS, EXCEPT SHARE AND PAR VALUE AMOUNTS)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ASSETS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380" w:type="dxa"/>
            <w:vAlign w:val="bottom"/>
          </w:tcPr>
          <w:p>
            <w:pPr>
              <w:spacing w:after="0"/>
              <w:rPr>
                <w:sz w:val="14"/>
                <w:szCs w:val="14"/>
                <w:color w:val="auto"/>
              </w:rPr>
            </w:pPr>
          </w:p>
        </w:tc>
        <w:tc>
          <w:tcPr>
            <w:tcW w:w="23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3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181,357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86,873</w:t>
            </w:r>
          </w:p>
        </w:tc>
      </w:tr>
      <w:tr>
        <w:trPr>
          <w:trHeight w:val="167"/>
        </w:trPr>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 of allowance for doubtful</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accounts of $289,499 and $116,430, respectively.........</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1,540,653</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2,245,977</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Notes and other receivables...............................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366,634</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139,934</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Parts and supplies........................................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107,222</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128,254</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Deferred income taxes.....................................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298,433</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237,616</w:t>
            </w:r>
          </w:p>
        </w:tc>
      </w:tr>
      <w:tr>
        <w:trPr>
          <w:trHeight w:val="167"/>
        </w:trPr>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Costs and estimated earnings in excess of billings 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uncompleted contracts...................................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8,985</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127,975</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Prepaid expenses and other................................</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181,759</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168,163</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Operations held for sale..................................</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3,535,502</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856,413</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current assets...............................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6,220,545</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3,991,205</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Notes and other receivables, net............................</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42,861</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190,237</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Property and equipment, net.................................</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10,303,803</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11,625,657</w:t>
            </w:r>
          </w:p>
        </w:tc>
      </w:tr>
      <w:tr>
        <w:trPr>
          <w:trHeight w:val="167"/>
        </w:trPr>
        <w:tc>
          <w:tcPr>
            <w:tcW w:w="5380" w:type="dxa"/>
            <w:vAlign w:val="bottom"/>
          </w:tcPr>
          <w:p>
            <w:pPr>
              <w:spacing w:after="0"/>
              <w:rPr>
                <w:sz w:val="20"/>
                <w:szCs w:val="20"/>
                <w:color w:val="auto"/>
              </w:rPr>
            </w:pPr>
            <w:r>
              <w:rPr>
                <w:rFonts w:ascii="Courier New" w:cs="Courier New" w:eastAsia="Courier New" w:hAnsi="Courier New"/>
                <w:sz w:val="14"/>
                <w:szCs w:val="14"/>
                <w:color w:val="auto"/>
              </w:rPr>
              <w:t>Excess of cost over net assets of acquired businesses,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5,185,909</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6,069,098</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intangible assets, net................................</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170,768</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181,226</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assets................................................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757,538</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824,741</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assets.......................................</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$ 22,681,424</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$22,882,164</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LIABILITIES AND STOCKHOLDERS' EQUITY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53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Accounts payable..........................................</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1,062,536</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$ 1,040,601</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Accrued liabilities.......................................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1,512,873</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2,273,543</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Deferred revenues.........................................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407,084</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381,780</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Current maturities of long-term debt......................</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3,098,742</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597,742</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Operations held for sale..................................</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1,408,220</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109,808</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current liabilities..........................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7,489,455</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4,403,474</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Long-term debt, less current maturities.....................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8,399,346</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11,134,619</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Deferred income taxes.......................................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729,902</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470,107</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Environmental liabilities...................................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837,407</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1,040,747</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liabilities...........................................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815,028</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1,348,645</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liabilities..................................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18,271,138</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18,397,592</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Minority interest in subsidiaries...........................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7,674</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112,076</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$.01 par value; 10,000,000 shares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authorized; none issued.................................</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Common stock, $.01 par value; 1,500,000,000 shares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authorized; 627,283,618 and 608,307,531 shares issued,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respectively............................................</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6,273</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6,083</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 paid-in capital................................</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4,440,159</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4,091,525</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Retained earnings.........................................</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662,746</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1,066,506</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(563,086)</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(420,804)</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Restricted stock unearned compensation....................</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(3,936)</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Treasury stock at cost, 73,709 and 63,950 shares,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respectively............................................</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(2,821)</w:t>
            </w:r>
          </w:p>
        </w:tc>
      </w:tr>
      <w:tr>
        <w:trPr>
          <w:trHeight w:val="167"/>
        </w:trPr>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Employee stock benefit trust at market, 7,892,612</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(135,654)</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(367,993)</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stockholders' equity.........................</w:t>
            </w:r>
          </w:p>
        </w:tc>
        <w:tc>
          <w:tcPr>
            <w:tcW w:w="1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4,402,612</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4,372,496</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$ 22,681,424</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$22,882,164</w:t>
            </w:r>
          </w:p>
        </w:tc>
      </w:tr>
      <w:tr>
        <w:trPr>
          <w:trHeight w:val="167"/>
        </w:trPr>
        <w:tc>
          <w:tcPr>
            <w:tcW w:w="538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statements.</w:t>
      </w:r>
    </w:p>
    <w:p>
      <w:pPr>
        <w:sectPr>
          <w:pgSz w:w="11900" w:h="16838" w:orient="portrait"/>
          <w:cols w:equalWidth="0" w:num="1">
            <w:col w:w="10159"/>
          </w:cols>
          <w:pgMar w:left="300" w:top="286" w:right="1440" w:bottom="1440" w:gutter="0" w:footer="0" w:header="0"/>
        </w:sectPr>
      </w:pP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54</w:t>
      </w:r>
    </w:p>
    <w:p>
      <w:pPr>
        <w:sectPr>
          <w:pgSz w:w="11900" w:h="16838" w:orient="portrait"/>
          <w:cols w:equalWidth="0" w:num="1">
            <w:col w:w="10159"/>
          </w:cols>
          <w:pgMar w:left="300" w:top="286"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57</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THOUSANDS, EXCEPT PER SHARE AMOUNTS)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5"/>
          </w:tcPr>
          <w:p>
            <w:pPr>
              <w:jc w:val="right"/>
              <w:ind w:right="70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5300" w:type="dxa"/>
            <w:vAlign w:val="bottom"/>
          </w:tcPr>
          <w:p>
            <w:pPr>
              <w:spacing w:after="0"/>
              <w:rPr>
                <w:sz w:val="14"/>
                <w:szCs w:val="14"/>
                <w:color w:val="auto"/>
              </w:rPr>
            </w:pPr>
          </w:p>
        </w:tc>
        <w:tc>
          <w:tcPr>
            <w:tcW w:w="35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revenues..........................................</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$13,126,920</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$12,625,769</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$11,972,498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Operating (exclusive of depreciation and amortization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shown below)............................................</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8,269,021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7,283,251</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7,482,273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1,920,309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1,332,736</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1,438,501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1,614,165</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1,498,712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1,391,810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Merger and acquisition related costs......................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44,634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1,807,245</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112,748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 impairments and unusual items.......................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738,837</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864,063</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1,771,145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held for sale, net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9,930</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12,586,966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12,786,158</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12,206,407</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operations...............................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539,954</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(160,389)</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(233,909)</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(769,655)</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(681,457)</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(555,576)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38,497</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26,829</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45,214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(24,181)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(24,254)</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(45,442)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52,653</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139,392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127,216</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(702,686)</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(539,490)</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(428,588)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from continuing operations before income taxes.........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(162,732)</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(699,879)</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(662,497)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232,319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66,923</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363,341</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from continuing operations.............................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(395,051)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(766,802)</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(1,025,838)</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Income on disposal or from reserve adjustment, net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applicable income tax and minority interest of $100,842</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1997.................................................</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95,688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Loss before extraordinary item and cumulative effect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accounting principle............................</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(395,051)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(766,802)</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(930,150)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loss on refinancing or retirement of debt, net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of income tax and minority interest of $1,599 in 1999,</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$2,600 in 1998 and $4,962 in 1997.........................</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(2,513)</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(3,900)</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(6,809)</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 net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of $1,100 in 1997..............................</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(1,936)</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(397,564)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(770,702)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(938,895)</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Basic earnings (loss) per common share: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Diluted earnings (loss) per common share: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612,932</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584,301</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557,675</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and dilutive potential</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shares outstanding.................................</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612,932</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584,301</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557,675</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statements.</w:t>
      </w:r>
    </w:p>
    <w:p>
      <w:pPr>
        <w:sectPr>
          <w:pgSz w:w="11900" w:h="16838" w:orient="portrait"/>
          <w:cols w:equalWidth="0" w:num="1">
            <w:col w:w="10159"/>
          </w:cols>
          <w:pgMar w:left="300" w:top="286" w:right="1440" w:bottom="1440" w:gutter="0" w:footer="0" w:header="0"/>
        </w:sectPr>
      </w:pP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55</w:t>
      </w:r>
    </w:p>
    <w:p>
      <w:pPr>
        <w:sectPr>
          <w:pgSz w:w="11900" w:h="16838" w:orient="portrait"/>
          <w:cols w:equalWidth="0" w:num="1">
            <w:col w:w="10159"/>
          </w:cols>
          <w:pgMar w:left="300" w:top="286"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58</w:t>
      </w:r>
    </w:p>
    <w:p>
      <w:pPr>
        <w:spacing w:after="0" w:line="17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SHARE AMOUNTS)</w:t>
      </w:r>
    </w:p>
    <w:p>
      <w:pPr>
        <w:sectPr>
          <w:pgSz w:w="11900" w:h="16838" w:orient="portrait"/>
          <w:cols w:equalWidth="0" w:num="1">
            <w:col w:w="10760"/>
          </w:cols>
          <w:pgMar w:left="300" w:top="286" w:right="8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PREFERRED</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PAID-IN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CAPITAL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55" w:lineRule="auto"/>
        <w:rPr>
          <w:sz w:val="20"/>
          <w:szCs w:val="20"/>
          <w:color w:val="auto"/>
        </w:rPr>
      </w:pPr>
      <w:r>
        <w:rPr>
          <w:rFonts w:ascii="Courier New" w:cs="Courier New" w:eastAsia="Courier New" w:hAnsi="Courier New"/>
          <w:sz w:val="14"/>
          <w:szCs w:val="14"/>
          <w:color w:val="auto"/>
        </w:rPr>
        <w:t>RETAINED EARNINGS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ACCUMULATED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OTHER</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COMPREHENSIVE</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INCOME (LOSS)</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spacing w:after="0" w:line="254" w:lineRule="auto"/>
        <w:rPr>
          <w:sz w:val="20"/>
          <w:szCs w:val="20"/>
          <w:color w:val="auto"/>
        </w:rPr>
      </w:pPr>
      <w:r>
        <w:rPr>
          <w:rFonts w:ascii="Courier New" w:cs="Courier New" w:eastAsia="Courier New" w:hAnsi="Courier New"/>
          <w:sz w:val="14"/>
          <w:szCs w:val="14"/>
          <w:color w:val="auto"/>
        </w:rPr>
        <w:t>RESTRICTED STOCK UNEARNED COMPENSATION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EMPLOYEE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7">
            <w:col w:w="3220" w:space="260"/>
            <w:col w:w="520" w:space="260"/>
            <w:col w:w="860" w:space="260"/>
            <w:col w:w="880" w:space="260"/>
            <w:col w:w="1120" w:space="260"/>
            <w:col w:w="1400" w:space="260"/>
            <w:col w:w="1200"/>
          </w:cols>
          <w:pgMar w:left="300" w:top="286" w:right="8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January 1,</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1997....................</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loss................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$5,583</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$2,900,978</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ind w:left="7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hanging="173"/>
        <w:spacing w:after="0" w:line="252" w:lineRule="auto"/>
        <w:rPr>
          <w:sz w:val="20"/>
          <w:szCs w:val="20"/>
          <w:color w:val="auto"/>
        </w:rPr>
      </w:pPr>
      <w:r>
        <w:rPr>
          <w:rFonts w:ascii="Courier New" w:cs="Courier New" w:eastAsia="Courier New" w:hAnsi="Courier New"/>
          <w:sz w:val="14"/>
          <w:szCs w:val="14"/>
          <w:color w:val="auto"/>
        </w:rPr>
        <w:t>$3,192,165 (938,895) (309,577)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$(113,941)</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(2,541)</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$(6,396)</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360"/>
            <w:col w:w="340" w:space="520"/>
            <w:col w:w="520" w:space="260"/>
            <w:col w:w="860" w:space="440"/>
            <w:col w:w="780" w:space="360"/>
            <w:col w:w="860" w:space="700"/>
            <w:col w:w="840" w:space="720"/>
            <w:col w:w="94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Dividends paid to</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employee stock benefit</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240" w:space="720"/>
            <w:col w:w="420" w:space="620"/>
            <w:col w:w="840" w:space="720"/>
            <w:col w:w="76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upon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exercise of stock</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 and warrants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 grants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(including tax</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71,732</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180" w:space="680"/>
            <w:col w:w="760" w:space="720"/>
            <w:col w:w="500" w:space="720"/>
            <w:col w:w="76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Unearned compensation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related to issuance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 to</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(23,444)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500" w:space="720"/>
            <w:col w:w="400" w:space="720"/>
            <w:col w:w="500" w:space="720"/>
            <w:col w:w="320" w:space="720"/>
            <w:col w:w="118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Earned compensation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related to restricted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net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reversals on forfeited</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500" w:space="720"/>
            <w:col w:w="400" w:space="720"/>
            <w:col w:w="500" w:space="720"/>
            <w:col w:w="500" w:space="720"/>
            <w:col w:w="100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Reversals of unearned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compensation upon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cancellation of</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12,526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500" w:space="720"/>
            <w:col w:w="400" w:space="720"/>
            <w:col w:w="500" w:space="720"/>
            <w:col w:w="400" w:space="720"/>
            <w:col w:w="110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Contribution to 1988</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ESOP (213,940</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6,396</w:t>
      </w:r>
    </w:p>
    <w:p>
      <w:pPr>
        <w:spacing w:after="0" w:line="8" w:lineRule="exact"/>
        <w:rPr>
          <w:sz w:val="20"/>
          <w:szCs w:val="20"/>
          <w:color w:val="auto"/>
        </w:rPr>
      </w:pPr>
    </w:p>
    <w:p>
      <w:pPr>
        <w:sectPr>
          <w:pgSz w:w="11900" w:h="16838" w:orient="portrait"/>
          <w:cols w:equalWidth="0" w:num="8">
            <w:col w:w="2260" w:space="520"/>
            <w:col w:w="240" w:space="720"/>
            <w:col w:w="500" w:space="720"/>
            <w:col w:w="400" w:space="720"/>
            <w:col w:w="500" w:space="720"/>
            <w:col w:w="760" w:space="720"/>
            <w:col w:w="480" w:space="720"/>
            <w:col w:w="78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for</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146</w:t>
      </w:r>
      <w:r>
        <w:rPr>
          <w:sz w:val="20"/>
          <w:szCs w:val="20"/>
          <w:color w:val="auto"/>
        </w:rPr>
        <w:tab/>
      </w:r>
      <w:r>
        <w:rPr>
          <w:rFonts w:ascii="Courier New" w:cs="Courier New" w:eastAsia="Courier New" w:hAnsi="Courier New"/>
          <w:sz w:val="14"/>
          <w:szCs w:val="14"/>
          <w:color w:val="auto"/>
        </w:rPr>
        <w:t>218,637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7">
            <w:col w:w="2260" w:space="520"/>
            <w:col w:w="180" w:space="700"/>
            <w:col w:w="1460" w:space="700"/>
            <w:col w:w="760" w:space="720"/>
            <w:col w:w="76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in</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public offerings......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186</w:t>
      </w:r>
      <w:r>
        <w:rPr>
          <w:sz w:val="20"/>
          <w:szCs w:val="20"/>
          <w:color w:val="auto"/>
        </w:rPr>
        <w:tab/>
      </w:r>
      <w:r>
        <w:rPr>
          <w:rFonts w:ascii="Courier New" w:cs="Courier New" w:eastAsia="Courier New" w:hAnsi="Courier New"/>
          <w:sz w:val="14"/>
          <w:szCs w:val="14"/>
          <w:color w:val="auto"/>
        </w:rPr>
        <w:t>580,234</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7">
            <w:col w:w="2260" w:space="520"/>
            <w:col w:w="180" w:space="700"/>
            <w:col w:w="1700" w:space="720"/>
            <w:col w:w="500" w:space="720"/>
            <w:col w:w="76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for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United stock</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25,809</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180" w:space="680"/>
            <w:col w:w="760" w:space="720"/>
            <w:col w:w="500" w:space="720"/>
            <w:col w:w="76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Temporary equity related</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put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95,789</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180" w:space="680"/>
            <w:col w:w="760" w:space="720"/>
            <w:col w:w="500" w:space="720"/>
            <w:col w:w="76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Settlement of put</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180" w:space="680"/>
            <w:col w:w="760" w:space="720"/>
            <w:col w:w="500" w:space="720"/>
            <w:col w:w="76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Adjustment of employee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benefit trust to</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market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(54,432)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180" w:space="600"/>
            <w:col w:w="840" w:space="720"/>
            <w:col w:w="500" w:space="720"/>
            <w:col w:w="76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Adjustment for minimum</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pension liability, net</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11,492</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520"/>
            <w:col w:w="240" w:space="720"/>
            <w:col w:w="500" w:space="720"/>
            <w:col w:w="400" w:space="720"/>
            <w:col w:w="180" w:space="700"/>
            <w:col w:w="110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Cumulative translation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adjustment of foreign</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currency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(180,744)</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7">
            <w:col w:w="2260" w:space="520"/>
            <w:col w:w="240" w:space="720"/>
            <w:col w:w="500" w:space="720"/>
            <w:col w:w="400" w:space="720"/>
            <w:col w:w="1980" w:space="720"/>
            <w:col w:w="740" w:space="720"/>
            <w:col w:w="5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repurchased</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(26,111,795 shares)...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29,554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260" w:space="360"/>
            <w:col w:w="340" w:space="520"/>
            <w:col w:w="520" w:space="260"/>
            <w:col w:w="860" w:space="260"/>
            <w:col w:w="880" w:space="440"/>
            <w:col w:w="840" w:space="720"/>
            <w:col w:w="840" w:space="720"/>
            <w:col w:w="940"/>
          </w:cols>
          <w:pgMar w:left="300" w:top="286" w:right="8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December 31,</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$3,873,990 ==========</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$1,938,027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$(283,193)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5" w:lineRule="exact"/>
        <w:rPr>
          <w:sz w:val="20"/>
          <w:szCs w:val="20"/>
          <w:color w:val="auto"/>
        </w:rPr>
      </w:pPr>
    </w:p>
    <w:p>
      <w:pPr>
        <w:sectPr>
          <w:pgSz w:w="11900" w:h="16838" w:orient="portrait"/>
          <w:cols w:equalWidth="0" w:num="8">
            <w:col w:w="2260" w:space="360"/>
            <w:col w:w="340" w:space="520"/>
            <w:col w:w="520" w:space="260"/>
            <w:col w:w="860" w:space="260"/>
            <w:col w:w="880" w:space="440"/>
            <w:col w:w="860" w:space="700"/>
            <w:col w:w="840" w:space="720"/>
            <w:col w:w="940"/>
          </w:cols>
          <w:pgMar w:left="300" w:top="286" w:right="839" w:bottom="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left="2340"/>
        <w:spacing w:after="0"/>
        <w:rPr>
          <w:sz w:val="20"/>
          <w:szCs w:val="20"/>
          <w:color w:val="auto"/>
        </w:rPr>
      </w:pPr>
      <w:r>
        <w:rPr>
          <w:rFonts w:ascii="Courier New" w:cs="Courier New" w:eastAsia="Courier New" w:hAnsi="Courier New"/>
          <w:sz w:val="14"/>
          <w:szCs w:val="14"/>
          <w:color w:val="auto"/>
        </w:rPr>
        <w:t>TREASURY</w:t>
      </w:r>
    </w:p>
    <w:p>
      <w:pPr>
        <w:spacing w:after="0" w:line="8" w:lineRule="exact"/>
        <w:rPr>
          <w:sz w:val="20"/>
          <w:szCs w:val="20"/>
          <w:color w:val="auto"/>
        </w:rPr>
      </w:pPr>
    </w:p>
    <w:p>
      <w:pPr>
        <w:jc w:val="center"/>
        <w:ind w:left="2440"/>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jc w:val="center"/>
        <w:ind w:left="2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6060"/>
        <w:spacing w:after="0"/>
        <w:rPr>
          <w:sz w:val="20"/>
          <w:szCs w:val="20"/>
          <w:color w:val="auto"/>
        </w:rPr>
      </w:pPr>
      <w:r>
        <w:rPr>
          <w:rFonts w:ascii="Courier New" w:cs="Courier New" w:eastAsia="Courier New" w:hAnsi="Courier New"/>
          <w:sz w:val="14"/>
          <w:szCs w:val="14"/>
          <w:color w:val="auto"/>
        </w:rPr>
        <w:t>EMPLOYEE</w:t>
      </w:r>
    </w:p>
    <w:p>
      <w:pPr>
        <w:spacing w:after="0" w:line="8" w:lineRule="exact"/>
        <w:rPr>
          <w:sz w:val="20"/>
          <w:szCs w:val="20"/>
          <w:color w:val="auto"/>
        </w:rPr>
      </w:pPr>
    </w:p>
    <w:p>
      <w:pPr>
        <w:jc w:val="center"/>
        <w:ind w:right="5980"/>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jc w:val="center"/>
        <w:ind w:right="5980"/>
        <w:spacing w:after="0"/>
        <w:rPr>
          <w:sz w:val="20"/>
          <w:szCs w:val="20"/>
          <w:color w:val="auto"/>
        </w:rPr>
      </w:pPr>
      <w:r>
        <w:rPr>
          <w:rFonts w:ascii="Courier New" w:cs="Courier New" w:eastAsia="Courier New" w:hAnsi="Courier New"/>
          <w:sz w:val="14"/>
          <w:szCs w:val="14"/>
          <w:color w:val="auto"/>
        </w:rPr>
        <w:t>BENEFIT TRUST</w:t>
      </w:r>
    </w:p>
    <w:p>
      <w:pPr>
        <w:spacing w:after="0" w:line="8" w:lineRule="exact"/>
        <w:rPr>
          <w:sz w:val="20"/>
          <w:szCs w:val="20"/>
          <w:color w:val="auto"/>
        </w:rPr>
      </w:pPr>
    </w:p>
    <w:p>
      <w:pPr>
        <w:jc w:val="center"/>
        <w:ind w:right="59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400" w:space="260"/>
            <w:col w:w="7100"/>
          </w:cols>
          <w:pgMar w:left="300" w:top="286" w:right="8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January 1,</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1997....................</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loss................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dividends..........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(420,431)</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$(353,807)</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2260" w:space="180"/>
            <w:col w:w="1040" w:space="340"/>
            <w:col w:w="694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Dividends paid to</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employee stock benefit</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trust.................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3">
            <w:col w:w="2500" w:space="720"/>
            <w:col w:w="500" w:space="720"/>
            <w:col w:w="63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upon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exercise of stock</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 and warrants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 grants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(including tax</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47,271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3">
            <w:col w:w="2260" w:space="620"/>
            <w:col w:w="840" w:space="720"/>
            <w:col w:w="63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Unearned compensation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related to issuance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 to</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employees.............</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3">
            <w:col w:w="2500" w:space="720"/>
            <w:col w:w="500" w:space="720"/>
            <w:col w:w="632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Earned compensation</w:t>
      </w:r>
    </w:p>
    <w:p>
      <w:pPr>
        <w:sectPr>
          <w:pgSz w:w="11900" w:h="16838" w:orient="portrait"/>
          <w:cols w:equalWidth="0" w:num="1">
            <w:col w:w="10760"/>
          </w:cols>
          <w:pgMar w:left="300" w:top="286" w:right="839"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related to restricted</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stock, net of</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reversals on forfeited</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Reversals of unearned</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compensation upon</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cancellation of</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Contribution to 1988</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ESOP (213,940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for</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acquisitions..........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in</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public offerings......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for</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United stock</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Temporary equity related</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to put options........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Settlement of put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Adjustment of employee</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stock benefit trust to</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market value..........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54,432</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Adjustment for minimum</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pension liability, net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of taxes..............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Cumulative translation</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adjustment of foreign</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currency statements...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Common stock repurchased</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(26,111,795 shares)...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(1,000,208)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Balance, December 31,</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$(1,369,405)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$(299,375)</w:t>
            </w:r>
          </w:p>
        </w:tc>
      </w:tr>
      <w:tr>
        <w:trPr>
          <w:trHeight w:val="167"/>
        </w:trPr>
        <w:tc>
          <w:tcPr>
            <w:tcW w:w="236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59"/>
          </w:cols>
          <w:pgMar w:left="300" w:top="14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59</w:t>
      </w:r>
    </w:p>
    <w:p>
      <w:pPr>
        <w:spacing w:after="0" w:line="17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CONSOLIDATED STATEMENTS OF STOCKHOLDERS' EQUITY, CONTINUED</w:t>
      </w:r>
    </w:p>
    <w:p>
      <w:pPr>
        <w:spacing w:after="0" w:line="8"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760"/>
          </w:cols>
          <w:pgMar w:left="300" w:top="286" w:right="8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PREFERRED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COMMON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PAID-IN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CAPITAL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55" w:lineRule="auto"/>
        <w:rPr>
          <w:sz w:val="20"/>
          <w:szCs w:val="20"/>
          <w:color w:val="auto"/>
        </w:rPr>
      </w:pPr>
      <w:r>
        <w:rPr>
          <w:rFonts w:ascii="Courier New" w:cs="Courier New" w:eastAsia="Courier New" w:hAnsi="Courier New"/>
          <w:sz w:val="14"/>
          <w:szCs w:val="14"/>
          <w:color w:val="auto"/>
        </w:rPr>
        <w:t>RETAINED EARNINGS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ACCUMULATED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OTHER</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COMPREHENSIVE</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INCOME (LOSS)</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RESTRICTED STOCK</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UNEARNED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COMPENSATION</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TREASURY</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7">
            <w:col w:w="3400" w:space="260"/>
            <w:col w:w="520" w:space="260"/>
            <w:col w:w="860" w:space="260"/>
            <w:col w:w="880" w:space="260"/>
            <w:col w:w="1120" w:space="260"/>
            <w:col w:w="1380" w:space="260"/>
            <w:col w:w="1040"/>
          </w:cols>
          <w:pgMar w:left="300" w:top="286" w:right="8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January 1, 1998....</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loss..................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$5,987</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$3,873,990</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hanging="173"/>
        <w:spacing w:after="0" w:line="252" w:lineRule="auto"/>
        <w:rPr>
          <w:sz w:val="20"/>
          <w:szCs w:val="20"/>
          <w:color w:val="auto"/>
        </w:rPr>
      </w:pPr>
      <w:r>
        <w:rPr>
          <w:rFonts w:ascii="Courier New" w:cs="Courier New" w:eastAsia="Courier New" w:hAnsi="Courier New"/>
          <w:sz w:val="14"/>
          <w:szCs w:val="14"/>
          <w:color w:val="auto"/>
        </w:rPr>
        <w:t>$1,938,027 (770,702) (93,810)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$(283,193)</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$(11,102)</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$(1,369,405)</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340"/>
            <w:col w:w="360" w:space="520"/>
            <w:col w:w="520" w:space="260"/>
            <w:col w:w="860" w:space="440"/>
            <w:col w:w="780" w:space="340"/>
            <w:col w:w="880" w:space="680"/>
            <w:col w:w="780" w:space="520"/>
            <w:col w:w="104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Dividends paid to employee</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220" w:space="720"/>
            <w:col w:w="440" w:space="600"/>
            <w:col w:w="860" w:space="720"/>
            <w:col w:w="740" w:space="720"/>
            <w:col w:w="84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upon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exercise of stock</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 and warrants and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grants of restricted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(including tax</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94,507</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75,212</w:t>
      </w:r>
    </w:p>
    <w:p>
      <w:pPr>
        <w:spacing w:after="0" w:line="8" w:lineRule="exact"/>
        <w:rPr>
          <w:sz w:val="20"/>
          <w:szCs w:val="20"/>
          <w:color w:val="auto"/>
        </w:rPr>
      </w:pPr>
    </w:p>
    <w:p>
      <w:pPr>
        <w:sectPr>
          <w:pgSz w:w="11900" w:h="16838" w:orient="portrait"/>
          <w:cols w:equalWidth="0" w:num="8">
            <w:col w:w="2440" w:space="520"/>
            <w:col w:w="240" w:space="720"/>
            <w:col w:w="160" w:space="700"/>
            <w:col w:w="760" w:space="720"/>
            <w:col w:w="500" w:space="720"/>
            <w:col w:w="740" w:space="720"/>
            <w:col w:w="500" w:space="720"/>
            <w:col w:w="60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Earned compensation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related to restricted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net of reversals</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forfeited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480" w:space="720"/>
            <w:col w:w="420" w:space="720"/>
            <w:col w:w="500" w:space="720"/>
            <w:col w:w="660" w:space="720"/>
            <w:col w:w="92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Reversals of unearned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compensation upon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cancellation of</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480" w:space="720"/>
            <w:col w:w="420" w:space="720"/>
            <w:col w:w="500" w:space="720"/>
            <w:col w:w="480" w:space="720"/>
            <w:col w:w="110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Accelerated vesting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 due to</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WM Holdings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480" w:space="720"/>
            <w:col w:w="420" w:space="720"/>
            <w:col w:w="500" w:space="720"/>
            <w:col w:w="480" w:space="720"/>
            <w:col w:w="110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for</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76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180,051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160" w:space="620"/>
            <w:col w:w="600" w:space="600"/>
            <w:col w:w="860" w:space="720"/>
            <w:col w:w="740" w:space="720"/>
            <w:col w:w="84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in</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public offerings........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205,811</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160" w:space="620"/>
            <w:col w:w="840" w:space="720"/>
            <w:col w:w="500" w:space="720"/>
            <w:col w:w="740" w:space="720"/>
            <w:col w:w="840" w:space="720"/>
            <w:col w:w="260"/>
          </w:cols>
          <w:pgMar w:left="300" w:top="286" w:right="839" w:bottom="0" w:gutter="0" w:footer="0" w:header="0"/>
          <w:type w:val="continuous"/>
        </w:sectPr>
      </w:pPr>
    </w:p>
    <w:p>
      <w:pPr>
        <w:jc w:val="right"/>
        <w:ind w:right="8400"/>
        <w:spacing w:after="0"/>
        <w:rPr>
          <w:sz w:val="20"/>
          <w:szCs w:val="20"/>
          <w:color w:val="auto"/>
        </w:rPr>
      </w:pPr>
      <w:r>
        <w:rPr>
          <w:rFonts w:ascii="Courier New" w:cs="Courier New" w:eastAsia="Courier New" w:hAnsi="Courier New"/>
          <w:sz w:val="14"/>
          <w:szCs w:val="14"/>
          <w:color w:val="auto"/>
        </w:rPr>
        <w:t>Put rights on WM Holdings</w:t>
      </w:r>
    </w:p>
    <w:p>
      <w:pPr>
        <w:spacing w:after="0" w:line="8" w:lineRule="exact"/>
        <w:rPr>
          <w:sz w:val="20"/>
          <w:szCs w:val="20"/>
          <w:color w:val="auto"/>
        </w:rPr>
      </w:pPr>
    </w:p>
    <w:p>
      <w:pPr>
        <w:jc w:val="right"/>
        <w:ind w:right="8400"/>
        <w:spacing w:after="0"/>
        <w:rPr>
          <w:sz w:val="20"/>
          <w:szCs w:val="20"/>
          <w:color w:val="auto"/>
        </w:rPr>
      </w:pPr>
      <w:r>
        <w:rPr>
          <w:rFonts w:ascii="Courier New" w:cs="Courier New" w:eastAsia="Courier New" w:hAnsi="Courier New"/>
          <w:sz w:val="14"/>
          <w:szCs w:val="14"/>
          <w:color w:val="auto"/>
        </w:rPr>
        <w:t>employee stock options,</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of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70,495</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160" w:space="700"/>
            <w:col w:w="760" w:space="720"/>
            <w:col w:w="500" w:space="720"/>
            <w:col w:w="740" w:space="720"/>
            <w:col w:w="84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Adjustment of employee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benefit trust to</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market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68,618</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160" w:space="700"/>
            <w:col w:w="760" w:space="720"/>
            <w:col w:w="500" w:space="720"/>
            <w:col w:w="740" w:space="720"/>
            <w:col w:w="84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Adjustment for minimum</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pension liability, net</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(59,769)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480" w:space="720"/>
            <w:col w:w="420" w:space="720"/>
            <w:col w:w="180" w:space="600"/>
            <w:col w:w="1180" w:space="720"/>
            <w:col w:w="84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Cumulative translation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adjustment of foreign</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currency statements.....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Sale of treasury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3,755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(77,842)</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725,103</w:t>
      </w:r>
    </w:p>
    <w:p>
      <w:pPr>
        <w:spacing w:after="0" w:line="8" w:lineRule="exact"/>
        <w:rPr>
          <w:sz w:val="20"/>
          <w:szCs w:val="20"/>
          <w:color w:val="auto"/>
        </w:rPr>
      </w:pPr>
    </w:p>
    <w:p>
      <w:pPr>
        <w:sectPr>
          <w:pgSz w:w="11900" w:h="16838" w:orient="portrait"/>
          <w:cols w:equalWidth="0" w:num="8">
            <w:col w:w="2440" w:space="520"/>
            <w:col w:w="240" w:space="720"/>
            <w:col w:w="220" w:space="720"/>
            <w:col w:w="680" w:space="720"/>
            <w:col w:w="180" w:space="600"/>
            <w:col w:w="1180" w:space="720"/>
            <w:col w:w="420" w:space="720"/>
            <w:col w:w="68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Cancellation of treasury</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840" w:val="left"/>
        </w:tabs>
        <w:rPr>
          <w:sz w:val="20"/>
          <w:szCs w:val="20"/>
          <w:color w:val="auto"/>
        </w:rPr>
      </w:pP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(566,136)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566,269</w:t>
      </w:r>
    </w:p>
    <w:p>
      <w:pPr>
        <w:spacing w:after="0" w:line="8" w:lineRule="exact"/>
        <w:rPr>
          <w:sz w:val="20"/>
          <w:szCs w:val="20"/>
          <w:color w:val="auto"/>
        </w:rPr>
      </w:pPr>
    </w:p>
    <w:p>
      <w:pPr>
        <w:sectPr>
          <w:pgSz w:w="11900" w:h="16838" w:orient="portrait"/>
          <w:cols w:equalWidth="0" w:num="7">
            <w:col w:w="2440" w:space="520"/>
            <w:col w:w="180" w:space="600"/>
            <w:col w:w="1800" w:space="720"/>
            <w:col w:w="500" w:space="720"/>
            <w:col w:w="740" w:space="720"/>
            <w:col w:w="420" w:space="720"/>
            <w:col w:w="68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Change in Eastern fiscal</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91,294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520"/>
            <w:col w:w="240" w:space="720"/>
            <w:col w:w="160" w:space="700"/>
            <w:col w:w="680" w:space="720"/>
            <w:col w:w="580" w:space="720"/>
            <w:col w:w="740" w:space="720"/>
            <w:col w:w="840" w:space="720"/>
            <w:col w:w="2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Conversion of WTI stock</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347"/>
        <w:spacing w:after="0" w:line="252" w:lineRule="auto"/>
        <w:rPr>
          <w:sz w:val="20"/>
          <w:szCs w:val="20"/>
          <w:color w:val="auto"/>
        </w:rPr>
      </w:pPr>
      <w:r>
        <w:rPr>
          <w:rFonts w:ascii="Courier New" w:cs="Courier New" w:eastAsia="Courier New" w:hAnsi="Courier New"/>
          <w:sz w:val="14"/>
          <w:szCs w:val="14"/>
          <w:color w:val="auto"/>
        </w:rPr>
        <w:t>20,138 47,039 ----------</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8">
            <w:col w:w="2440" w:space="340"/>
            <w:col w:w="360" w:space="520"/>
            <w:col w:w="520" w:space="260"/>
            <w:col w:w="860" w:space="260"/>
            <w:col w:w="880" w:space="420"/>
            <w:col w:w="840" w:space="720"/>
            <w:col w:w="700" w:space="600"/>
            <w:col w:w="1040"/>
          </w:cols>
          <w:pgMar w:left="300" w:top="286" w:right="8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December 31,</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$6,083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$4,091,525 ==========</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$1,066,506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$(420,804)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(2,821)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5" w:lineRule="exact"/>
        <w:rPr>
          <w:sz w:val="20"/>
          <w:szCs w:val="20"/>
          <w:color w:val="auto"/>
        </w:rPr>
      </w:pPr>
    </w:p>
    <w:p>
      <w:pPr>
        <w:sectPr>
          <w:pgSz w:w="11900" w:h="16838" w:orient="portrait"/>
          <w:cols w:equalWidth="0" w:num="8">
            <w:col w:w="2440" w:space="340"/>
            <w:col w:w="360" w:space="520"/>
            <w:col w:w="520" w:space="260"/>
            <w:col w:w="860" w:space="260"/>
            <w:col w:w="880" w:space="420"/>
            <w:col w:w="880" w:space="680"/>
            <w:col w:w="700" w:space="600"/>
            <w:col w:w="1040"/>
          </w:cols>
          <w:pgMar w:left="300" w:top="286" w:right="839" w:bottom="0" w:gutter="0" w:footer="0" w:header="0"/>
          <w:type w:val="continuous"/>
        </w:sectPr>
      </w:pPr>
    </w:p>
    <w:p>
      <w:pPr>
        <w:spacing w:after="0" w:line="29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EMPLOYEE</w:t>
      </w:r>
    </w:p>
    <w:p>
      <w:pPr>
        <w:spacing w:after="0" w:line="8"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STOCK</w:t>
      </w:r>
    </w:p>
    <w:p>
      <w:pPr>
        <w:spacing w:after="0" w:line="8"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BENEFIT TRUST</w:t>
      </w:r>
    </w:p>
    <w:p>
      <w:pPr>
        <w:spacing w:after="0" w:line="8"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760"/>
          </w:cols>
          <w:pgMar w:left="300" w:top="286" w:right="8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January 1, 1998....</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loss..................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dividends............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$(299,375)</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2">
            <w:col w:w="2440" w:space="340"/>
            <w:col w:w="798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Dividends paid to employee</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2680" w:space="720"/>
            <w:col w:w="73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upon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exercise of stock</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 and warrants and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grants of restricted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(including tax</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2680" w:space="720"/>
            <w:col w:w="73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Earned compensation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related to restricted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net of reversals</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forfeited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2680" w:space="720"/>
            <w:col w:w="73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Reversals of unearned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compensation upon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cancellation of</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2680" w:space="720"/>
            <w:col w:w="73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Accelerated vesting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restricted stock due to</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WM Holdings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2680" w:space="720"/>
            <w:col w:w="73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for</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2680" w:space="720"/>
            <w:col w:w="7360"/>
          </w:cols>
          <w:pgMar w:left="300" w:top="286" w:right="839"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stock issued in</w:t>
      </w:r>
    </w:p>
    <w:p>
      <w:pPr>
        <w:sectPr>
          <w:pgSz w:w="11900" w:h="16838" w:orient="portrait"/>
          <w:cols w:equalWidth="0" w:num="1">
            <w:col w:w="10760"/>
          </w:cols>
          <w:pgMar w:left="300" w:top="286" w:right="839" w:bottom="0" w:gutter="0" w:footer="0" w:header="0"/>
          <w:type w:val="continuous"/>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public offerings........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2">
            <w:col w:w="2680" w:space="720"/>
            <w:col w:w="7360"/>
          </w:cols>
          <w:pgMar w:left="300" w:top="286" w:right="839"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62"/>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Put rights on WM Holdings</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employee stock options,</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net of taxes............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Adjustment of employee</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stock benefit trust to</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market value............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(68,618)</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Adjustment for minimum</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pension liability, net</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of taxes................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Cumulative translation</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adjustment of foreign</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currency statements.....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Sale of treasury stock....</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Cancellation of treasury</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Change in Eastern fiscal</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year....................</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Conversion of WTI stock</w:t>
            </w:r>
          </w:p>
        </w:tc>
        <w:tc>
          <w:tcPr>
            <w:tcW w:w="1040" w:type="dxa"/>
            <w:vAlign w:val="bottom"/>
          </w:tcPr>
          <w:p>
            <w:pPr>
              <w:spacing w:after="0"/>
              <w:rPr>
                <w:sz w:val="14"/>
                <w:szCs w:val="14"/>
                <w:color w:val="auto"/>
              </w:rPr>
            </w:pPr>
          </w:p>
        </w:tc>
      </w:tr>
      <w:tr>
        <w:trPr>
          <w:trHeight w:val="167"/>
        </w:trPr>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options.................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December 31,</w:t>
            </w:r>
          </w:p>
        </w:tc>
        <w:tc>
          <w:tcPr>
            <w:tcW w:w="104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$(367,993)</w:t>
            </w:r>
          </w:p>
        </w:tc>
      </w:tr>
      <w:tr>
        <w:trPr>
          <w:trHeight w:val="167"/>
        </w:trPr>
        <w:tc>
          <w:tcPr>
            <w:tcW w:w="26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159"/>
          </w:cols>
          <w:pgMar w:left="300" w:top="141"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60</w:t>
      </w:r>
    </w:p>
    <w:p>
      <w:pPr>
        <w:spacing w:after="0" w:line="17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CONSOLIDATED STATEMENTS OF STOCKHOLDERS' EQUITY, CONTINUED</w:t>
      </w:r>
    </w:p>
    <w:p>
      <w:pPr>
        <w:spacing w:after="0" w:line="8"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ACCUMULATED</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EMPLOYEE</w:t>
            </w:r>
          </w:p>
        </w:tc>
      </w:tr>
      <w:tr>
        <w:trPr>
          <w:trHeight w:val="167"/>
        </w:trPr>
        <w:tc>
          <w:tcPr>
            <w:tcW w:w="2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ADDITIONAL</w:t>
            </w:r>
          </w:p>
        </w:tc>
        <w:tc>
          <w:tcPr>
            <w:tcW w:w="1120" w:type="dxa"/>
            <w:vAlign w:val="bottom"/>
          </w:tcPr>
          <w:p>
            <w:pPr>
              <w:spacing w:after="0"/>
              <w:rPr>
                <w:sz w:val="14"/>
                <w:szCs w:val="14"/>
                <w:color w:val="auto"/>
              </w:rPr>
            </w:pPr>
          </w:p>
        </w:tc>
        <w:tc>
          <w:tcPr>
            <w:tcW w:w="14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OTHER</w:t>
            </w:r>
          </w:p>
        </w:tc>
        <w:tc>
          <w:tcPr>
            <w:tcW w:w="16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RESTRICTED STOCK</w:t>
            </w:r>
          </w:p>
        </w:tc>
        <w:tc>
          <w:tcPr>
            <w:tcW w:w="9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236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PREFERRED</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COMMON</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PAID-IN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RETAINED</w:t>
            </w:r>
          </w:p>
        </w:tc>
        <w:tc>
          <w:tcPr>
            <w:tcW w:w="14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COMPREHENSIVE</w:t>
            </w:r>
          </w:p>
        </w:tc>
        <w:tc>
          <w:tcPr>
            <w:tcW w:w="16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UNEARNED</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TREASURY</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BENEFIT</w:t>
            </w:r>
          </w:p>
        </w:tc>
      </w:tr>
      <w:tr>
        <w:trPr>
          <w:trHeight w:val="167"/>
        </w:trPr>
        <w:tc>
          <w:tcPr>
            <w:tcW w:w="2360" w:type="dxa"/>
            <w:vAlign w:val="bottom"/>
          </w:tcPr>
          <w:p>
            <w:pPr>
              <w:spacing w:after="0"/>
              <w:rPr>
                <w:sz w:val="14"/>
                <w:szCs w:val="14"/>
                <w:color w:val="auto"/>
              </w:rPr>
            </w:pP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STOCK</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STOCK</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CAPITAL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EARNINGS</w:t>
            </w:r>
          </w:p>
        </w:tc>
        <w:tc>
          <w:tcPr>
            <w:tcW w:w="14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INCOME (LOSS)</w:t>
            </w:r>
          </w:p>
        </w:tc>
        <w:tc>
          <w:tcPr>
            <w:tcW w:w="16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COMPENSATION</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TRUST</w:t>
            </w:r>
          </w:p>
        </w:tc>
      </w:tr>
      <w:tr>
        <w:trPr>
          <w:trHeight w:val="167"/>
        </w:trPr>
        <w:tc>
          <w:tcPr>
            <w:tcW w:w="236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Balance, January 1, 1999...</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$6,083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$4,091,525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$1,066,506</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$(420,804)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$(367,993)</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Net loss.................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(397,564)</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Cash dividends...........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(6,196)</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upon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exercise of stock</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options and warrants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and grants of</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(including tax</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benefit)...............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242,504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Unearned compensation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related to issuance of</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restricted stock to</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employees..............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4,121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(4,124)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Earned compensation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related to restricted</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for</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acquisitions...........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33,433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Common stock issued for</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conversion of</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subordinated debt......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260,588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Adjustment of employee</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stock benefit trust to</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market value...........</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(232,339)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232,339</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Adjustment for minimum</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pension liability, net</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of taxes...............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(65,844)</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Cumulative translation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adjustment of foreign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currency statements....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(76,438)</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40,327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Balance, December 31,</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$6,273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$4,440,159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662,746</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$(563,086)</w:t>
            </w:r>
          </w:p>
        </w:tc>
        <w:tc>
          <w:tcPr>
            <w:tcW w:w="1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$(3,936)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$(3,890)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$(135,654)</w:t>
            </w:r>
          </w:p>
        </w:tc>
      </w:tr>
      <w:tr>
        <w:trPr>
          <w:trHeight w:val="167"/>
        </w:trPr>
        <w:tc>
          <w:tcPr>
            <w:tcW w:w="23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1360"/>
          </w:cols>
          <w:pgMar w:left="300" w:top="286" w:right="239"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61</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(IN THOUSANDS)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5"/>
          </w:tcPr>
          <w:p>
            <w:pPr>
              <w:jc w:val="right"/>
              <w:ind w:right="70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5300" w:type="dxa"/>
            <w:vAlign w:val="bottom"/>
          </w:tcPr>
          <w:p>
            <w:pPr>
              <w:spacing w:after="0"/>
              <w:rPr>
                <w:sz w:val="14"/>
                <w:szCs w:val="14"/>
                <w:color w:val="auto"/>
              </w:rPr>
            </w:pPr>
          </w:p>
        </w:tc>
        <w:tc>
          <w:tcPr>
            <w:tcW w:w="35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(397,564)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(770,702)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(938,895)</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loss to net cash provided by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Provision for bad debts.................................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268,379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70,727</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69,592</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1,614,165</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1,498,712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1,391,810</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 provision (benefit).................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317,819</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(450,158)</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(375,543)</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Undistributed earnings of equity investees..............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(3,294)</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Minority interest in subsidiaries.......................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24,181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24,254</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45,442</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Interest accretion......................................</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18,023</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20,682</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Contribution to 1988 Employee Stock Ownership Plan......</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6,396</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Net gain on disposal of assets..........................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(18,961)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(83,503)</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(133,981)</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Effect of merger costs, asset impairments and unusual</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items.................................................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574,858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1,555,000</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1,675,247</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Income (loss) on disposal or from reserve adjustment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discontinued operations, net of tax and minority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(95,688)</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Change in assets and liabilities, net of effects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acquisitions and divestitures: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Receivables.............................................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(168,745)</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(256,722)</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(114,829)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183,733</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(11,235)</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68,791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60,551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135,120</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90,614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 and accrued liabilities................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(492,006)</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(140,613)</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228,022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revenues and other liabilities.................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(303,245)</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(16,721)</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72,938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net..............................................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18,096</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(66,853)</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47,308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1,689,589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1,502,035</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2,065,906</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investments....................................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(40,688)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57,509</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(117,668)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Acquisitions of businesses, net of cash acquired..........</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(1,289,271)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(1,946,197)</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(1,685,415)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expenditures......................................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(1,326,684)</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(1,651,489)</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(1,332,207)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divestitures of businesses and other sale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650,512</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545,143</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1,496,562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investments.........................................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9,781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76,244</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(8,877)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Acquisition of minority interests.........................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(1,673,168)</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(104,165)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(20,563)</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36,821</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(25,758)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(2,016,913)</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(4,555,137)</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(1,777,528)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issuance of long-term debt..................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4,246,131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6,401,897</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4,616,718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payments on long-term debt......................</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(3,986,677)</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(4,406,910)</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(4,378,952)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dividends............................................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(6,196)</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(93,810)</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(309,577)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from issuance of common stock................</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205,863</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580,833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sale of treasury stock......................</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739,161</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Proceeds from exercise of common stock options and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warrants................................................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175,861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133,119</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78,175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distributions to minority shareholders by affiliated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(23,514)</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(36,341)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repurchases.........................................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(1,000,208)</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4,402</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426,178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2,955,796</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(444,950)</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 and cash</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equivalents...............................................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(4,370)</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(5,763)</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(5,788)</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cash and cash equivalents............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94,484</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(103,069)</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(162,360)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86,873</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189,942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352,302</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181,357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86,873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189,942</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year for: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739,637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610,084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492,593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276,041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253,770</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410,438</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 receivable from sale of assets.....................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28,571</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26,583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Conversion of subordinated debt to common stock.........</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262,814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10,086</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1,159</w:t>
            </w:r>
          </w:p>
        </w:tc>
      </w:tr>
      <w:tr>
        <w:trPr>
          <w:trHeight w:val="167"/>
        </w:trPr>
        <w:tc>
          <w:tcPr>
            <w:tcW w:w="5300" w:type="dxa"/>
            <w:vAlign w:val="bottom"/>
          </w:tcPr>
          <w:p>
            <w:pPr>
              <w:ind w:left="360"/>
              <w:spacing w:after="0"/>
              <w:rPr>
                <w:sz w:val="20"/>
                <w:szCs w:val="20"/>
                <w:color w:val="auto"/>
              </w:rPr>
            </w:pPr>
            <w:r>
              <w:rPr>
                <w:rFonts w:ascii="Courier New" w:cs="Courier New" w:eastAsia="Courier New" w:hAnsi="Courier New"/>
                <w:sz w:val="14"/>
                <w:szCs w:val="14"/>
                <w:color w:val="auto"/>
              </w:rPr>
              <w:t>Acquisitions of businesses and development projects: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Liabilities incurred or assumed.......................</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357,378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432,462</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222,536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 issued...................................</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33,438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180,127</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251,863</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statements.</w:t>
      </w:r>
    </w:p>
    <w:p>
      <w:pPr>
        <w:sectPr>
          <w:pgSz w:w="11900" w:h="16838" w:orient="portrait"/>
          <w:cols w:equalWidth="0" w:num="1">
            <w:col w:w="10159"/>
          </w:cols>
          <w:pgMar w:left="300" w:top="286" w:right="1440" w:bottom="487" w:gutter="0" w:footer="0" w:header="0"/>
        </w:sectPr>
      </w:pP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59</w:t>
      </w:r>
    </w:p>
    <w:p>
      <w:pPr>
        <w:sectPr>
          <w:pgSz w:w="11900" w:h="16838" w:orient="portrait"/>
          <w:cols w:equalWidth="0" w:num="1">
            <w:col w:w="10159"/>
          </w:cols>
          <w:pgMar w:left="300" w:top="286" w:right="1440" w:bottom="487"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62</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COMPREHENSIVE INCOME (LOSS)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22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5040" w:type="dxa"/>
            <w:vAlign w:val="bottom"/>
          </w:tcPr>
          <w:p>
            <w:pPr>
              <w:spacing w:after="0"/>
              <w:rPr>
                <w:sz w:val="14"/>
                <w:szCs w:val="14"/>
                <w:color w:val="auto"/>
              </w:rPr>
            </w:pPr>
          </w:p>
        </w:tc>
        <w:tc>
          <w:tcPr>
            <w:tcW w:w="32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0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$(397,564)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$(770,702)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  (938,895)</w:t>
            </w:r>
          </w:p>
        </w:tc>
      </w:tr>
      <w:tr>
        <w:trPr>
          <w:trHeight w:val="167"/>
        </w:trPr>
        <w:tc>
          <w:tcPr>
            <w:tcW w:w="50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Other comprehensive income (loss):</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 currency translation adjustment................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(76,438)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(77,842)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(180,744)</w:t>
            </w:r>
          </w:p>
        </w:tc>
      </w:tr>
      <w:tr>
        <w:trPr>
          <w:trHeight w:val="167"/>
        </w:trPr>
        <w:tc>
          <w:tcPr>
            <w:tcW w:w="5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Minimum pension liability adjustment, net of taxes of</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($36,890) in 1999, ($46,982) in 1998, and $7,347 in</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(65,844)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(59,769)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11,492</w:t>
            </w:r>
          </w:p>
        </w:tc>
      </w:tr>
      <w:tr>
        <w:trPr>
          <w:trHeight w:val="167"/>
        </w:trPr>
        <w:tc>
          <w:tcPr>
            <w:tcW w:w="50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comprehensive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(142,282)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(137,611)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(169,252)</w:t>
            </w:r>
          </w:p>
        </w:tc>
      </w:tr>
      <w:tr>
        <w:trPr>
          <w:trHeight w:val="167"/>
        </w:trPr>
        <w:tc>
          <w:tcPr>
            <w:tcW w:w="50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Comprehensive income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$(539,846)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$(908,313)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$(1,108,147)</w:t>
            </w:r>
          </w:p>
        </w:tc>
      </w:tr>
      <w:tr>
        <w:trPr>
          <w:trHeight w:val="167"/>
        </w:trPr>
        <w:tc>
          <w:tcPr>
            <w:tcW w:w="50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159"/>
          </w:cols>
          <w:pgMar w:left="30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63</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BUSINESS AND FINANCIAL STATEMENTS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Business -- Waste Management, Inc. and Subsidiaries ("Waste Management" or the "Company") provides integrated waste management services throughout North America consisting of collection, transfer, disposal (including landfill disposal of hazardous waste), recycling and resource recovery services, as well as other hazardous waste services, and low-level and other radioactive waste services to commercial, industrial, municipal and residential customers. Additionally, the Company is a developer, owner and operator of waste-to-energy and waste-fuel powered independent power facilities. The Company also operates throughout Europe, the Pacific Rim and South America. Internationally, the Company collects and transports solid, hazardous and medical wastes and recyclables from customers and operates solid and hazardous waste landfills and municipal and hazardous waste incinerators, water and wastewater treatment facilities, hazardous waste treatment facilities and constructs treatment or disposal facilities for third parties. The Company plans to dispose of its non-strategic and under-performing assets, including the Company's international operations outside North America ("WM International"), its non-core assets and up to 10% of its North American solid waste ("NASW") operations.</w:t>
      </w:r>
    </w:p>
    <w:p>
      <w:pPr>
        <w:spacing w:after="0" w:line="17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accounts of the Company and its majority-owned subsidiaries after elimination of all material intercompany balances and transactions. Investments in affiliated companies in which the Company has a controlling interest are consolidated for financial reporting purposes. Investments in affiliated entities in which the Company does not have a controlling interest are accounted for under either the equity method or cost method of accounting, as appropriate.</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WM Holdings Merger -- On July 16, 1998, the Company, then known as USA Waste Services, Inc., completed a merger with Waste Management Holdings, Inc. ("WM Holdings"), which was accounted for as a pooling of interests (the "WM Holdings Merger"). WM Holdings was previously the largest publicly traded solid waste company in the United States, providing integrated solid waste management and hazardous waste management services in North America and comprehensive waste management and related services, including solid and hazardous waste management services, internationally. At the effective time of the WM Holdings Merger, the Company changed its name to "Waste Management, Inc."</w:t>
      </w:r>
    </w:p>
    <w:p>
      <w:pPr>
        <w:spacing w:after="0" w:line="164"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Eastern Merger -- On December 31, 1998, the Company completed a merger with Eastern Environmental Services, Inc. ("Eastern"), which was accounted for as a pooling of interests (the "Eastern Merger").</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Use of estimates -- The preparation of the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reporting period. Specifically with regard to landfill accounting, the Company uses engineering and accounting estimates when projecting future development and final closure and post-closure costs, forecasting various engineering specifications (including the prediction of waste settlement), and future operational plans and waste volumes. Actual results could differ materially from those estimates.</w:t>
      </w:r>
    </w:p>
    <w:p>
      <w:pPr>
        <w:spacing w:after="0" w:line="163"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Reclassifications -- Certain reclassifications have been made to prior year amounts in the financial statements in order to conform to the current year presentation.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1999 ACCOUNTING CHARGES AND ADJUSTMENTS</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During 1999, the Company initiated a comprehensive internal review of its accounting records, systems, processes and controls at the direction of its Board of Directors. As discussed below, the Company experienced significant difficulty in the integration and conversion of information and accounting systems subsequent to the WM Holdings Merger, including certain financial systems and its billing systems. As a result of these systems and process issues, and other issues raised during the 1999 accounting review, certain</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159"/>
          </w:cols>
          <w:pgMar w:left="30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64</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4"/>
          <w:szCs w:val="14"/>
          <w:color w:val="auto"/>
        </w:rPr>
        <w:t>charges and adjustments were recorded, as discussed below. The review was completed in time such that the Company was able to record related adjustments in its financial statements for the quarter ended September 30, 1999. The amounts recorded by the Company as a result of the review had a material effect on its financial statements for the year ended December 31, 1999.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is a summary of charges attributable to this review which were recorded for</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the</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quarter ended September 30, 1999 (in thousands):</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5340" w:type="dxa"/>
            <w:vAlign w:val="bottom"/>
          </w:tcPr>
          <w:p>
            <w:pPr>
              <w:spacing w:after="0"/>
              <w:rPr>
                <w:sz w:val="20"/>
                <w:szCs w:val="20"/>
                <w:color w:val="auto"/>
              </w:rPr>
            </w:pPr>
            <w:r>
              <w:rPr>
                <w:rFonts w:ascii="Courier New" w:cs="Courier New" w:eastAsia="Courier New" w:hAnsi="Courier New"/>
                <w:sz w:val="14"/>
                <w:szCs w:val="14"/>
                <w:color w:val="auto"/>
              </w:rPr>
              <w:t>Held for sale adjustments...................................</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414,275</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Increase to allowance for doubtful accounts and other</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receivable adjustments...........................</w:t>
            </w:r>
          </w:p>
        </w:tc>
        <w:tc>
          <w:tcPr>
            <w:tcW w:w="1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211,483</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Asset impairments (excluding held for sale adjustments).....</w:t>
            </w:r>
          </w:p>
        </w:tc>
        <w:tc>
          <w:tcPr>
            <w:tcW w:w="1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178,309</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Insurance reserves and other insurance adjustments..........</w:t>
            </w:r>
          </w:p>
        </w:tc>
        <w:tc>
          <w:tcPr>
            <w:tcW w:w="1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147,868</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Legal, severance and consulting accruals....................</w:t>
            </w:r>
          </w:p>
        </w:tc>
        <w:tc>
          <w:tcPr>
            <w:tcW w:w="1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141,999</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Merger and acquisition related costs........................</w:t>
            </w:r>
          </w:p>
        </w:tc>
        <w:tc>
          <w:tcPr>
            <w:tcW w:w="1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31,568</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charges and adjustments, including:</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 reconciliations...................................</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347,668</w:t>
            </w:r>
          </w:p>
        </w:tc>
        <w:tc>
          <w:tcPr>
            <w:tcW w:w="7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Loss contract reserve adjustments.........................</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49,338</w:t>
            </w:r>
          </w:p>
        </w:tc>
        <w:tc>
          <w:tcPr>
            <w:tcW w:w="7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Increase in environmental liabilities.....................</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48,983</w:t>
            </w:r>
          </w:p>
        </w:tc>
        <w:tc>
          <w:tcPr>
            <w:tcW w:w="78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191,026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637,015</w:t>
            </w:r>
          </w:p>
        </w:tc>
      </w:tr>
      <w:tr>
        <w:trPr>
          <w:trHeight w:val="167"/>
        </w:trPr>
        <w:tc>
          <w:tcPr>
            <w:tcW w:w="5340" w:type="dxa"/>
            <w:vAlign w:val="bottom"/>
          </w:tcPr>
          <w:p>
            <w:pPr>
              <w:spacing w:after="0"/>
              <w:rPr>
                <w:sz w:val="14"/>
                <w:szCs w:val="14"/>
                <w:color w:val="auto"/>
              </w:rPr>
            </w:pPr>
          </w:p>
        </w:tc>
        <w:tc>
          <w:tcPr>
            <w:tcW w:w="1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Impact of charges before income tax benefit.................</w:t>
            </w:r>
          </w:p>
        </w:tc>
        <w:tc>
          <w:tcPr>
            <w:tcW w:w="1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1,762,517</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 benefit..........................................</w:t>
            </w:r>
          </w:p>
        </w:tc>
        <w:tc>
          <w:tcPr>
            <w:tcW w:w="1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(536,756)</w:t>
            </w:r>
          </w:p>
        </w:tc>
      </w:tr>
      <w:tr>
        <w:trPr>
          <w:trHeight w:val="167"/>
        </w:trPr>
        <w:tc>
          <w:tcPr>
            <w:tcW w:w="5340" w:type="dxa"/>
            <w:vAlign w:val="bottom"/>
          </w:tcPr>
          <w:p>
            <w:pPr>
              <w:spacing w:after="0"/>
              <w:rPr>
                <w:sz w:val="14"/>
                <w:szCs w:val="14"/>
                <w:color w:val="auto"/>
              </w:rPr>
            </w:pPr>
          </w:p>
        </w:tc>
        <w:tc>
          <w:tcPr>
            <w:tcW w:w="1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After-tax charges...........................................</w:t>
            </w:r>
          </w:p>
        </w:tc>
        <w:tc>
          <w:tcPr>
            <w:tcW w:w="1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$1,225,761</w:t>
            </w:r>
          </w:p>
        </w:tc>
      </w:tr>
      <w:tr>
        <w:trPr>
          <w:trHeight w:val="167"/>
        </w:trPr>
        <w:tc>
          <w:tcPr>
            <w:tcW w:w="5340" w:type="dxa"/>
            <w:vAlign w:val="bottom"/>
          </w:tcPr>
          <w:p>
            <w:pPr>
              <w:spacing w:after="0"/>
              <w:rPr>
                <w:sz w:val="14"/>
                <w:szCs w:val="14"/>
                <w:color w:val="auto"/>
              </w:rPr>
            </w:pPr>
          </w:p>
        </w:tc>
        <w:tc>
          <w:tcPr>
            <w:tcW w:w="1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August 1999, the Company's Board of Directors adopted a strategic plan that includes the divestiture of its WM International operations and certain other businesses. (See Note 14, "Segment and Related Information" and Note 19, "Operations Held for Sale" for further discussion of the Company's WM International operations). Based primarily on preliminary bids from interested parties, these and certain other assets which were identified as held for sale during the third quarter were written down to fair value less cost to sell in accordance with Statement of Financial Accounting Standards ("SFAS") No. 121, Accounting for the Impairment of Long-lived Assets and Assets to be Disposed of, resulting in a pre-tax charge of approximately $414.3 million at September 30, 1999. These assets were considered to be held for use for periods prior to the third quarter of 1999 and did not meet the criteria for impairment recognition as a "held for use" asset, and therefore, were not considered impaired for periods prior to the third quarter of 1999. The assets which were identified as held for sale and subject to adjustment include, among others, the Company's WM International operations, the Company's nuclear services disposal site operations and certain NASW operations that are not essential parts of the Company's network. Revisions to the third quarter estimates were required due to revisions in estimated proceeds and certain changes in business plans during the fourth quarter of 1999, as further discussed in Note 15, "Asset Impairments and Unusual Items".</w:t>
      </w:r>
    </w:p>
    <w:p>
      <w:pPr>
        <w:spacing w:after="0" w:line="341"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1999, subsequent to the WM Holdings Merger, the Company experienced significant difficulty in the conversion from the WM Holdings' information systems to the systems currently in use, resulting in delays and errors, particularly with respect to the Company's billing systems, including delays in submitting bills to customers and errors in both computing and delivering bills. Staffing levels were insufficient to address customer complaints and disputes and did not support timely follow-up with customers. Billing system issues initially became evident in the second quarter of 1999 as receivable aging levels continued to rise. At that time, management believed that the increase in receivables was a short-term issue, receivables would return to historical levels once the billing system conversions were complete and there was not a significant collectability issue with its recorded receivables. In connection with the 1999 accounting review, the Company concluded that certain of these accounts had deteriorated to the point that they may be uncollectable, and therefore, recorded an increase in the allowance for doubtful accounts in the third quarter of 1999. Beginning in the third quarter of 1999, the Company has increased its resources dedicated to receivable collection efforts and continues to pursue collection of all outstanding balances. In addition, the Company performed a review</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159"/>
          </w:cols>
          <w:pgMar w:left="300" w:top="286"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65</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of notes and other receivable-related balances in connection with this review. Taken together, the Company recorded receivable-related pre-tax charges of $211.5 million in the third quarter of 1999.</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During the review, the Company recorded asset impairments of $178.3 million related to several landfill sites and certain other operating assets in the third quarter of 1999. Included in the amount is $75.7 million relating to the abandonment or closure of facilities resulting from the Company's recent business decisions regarding optimal operating strategies in specific markets in which the Company operates, or consideration of other new facts and circumstances during the review. Also included in the amount is $40.4 million, which is primarily the result of permit denials and other regulatory problems in the third quarter of 1999, which is one of the many types of facts and circumstances that may from time to time trigger impairments, and which may occasionally overlap with other triggering events or result in abandonment or closure.</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performs a comprehensive, centrally coordinated review of its North American landfills on an annual basis. During the third quarter of 1999, that review included an evaluation of potential landfill expansion projects, with a newly refined and more stringent set of criteria for evaluating the probability of obtaining expansions to existing sites, which had the effect of excluding certain expansions that met the Company's previous criteria. For further discussion on this criteria, refer to Note 3.</w:t>
      </w:r>
    </w:p>
    <w:p>
      <w:pPr>
        <w:spacing w:after="0" w:line="16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exclusion of these expansions, due to the more stringent criteria and related business judgements regarding probable success of obtaining expansions, increased depreciation and amortization and the provision for final closure and post closure costs (included in operating expense). Impairments resulting from the application of these new stringent criteria and resulting from other facts and circumstances comprise the remaining $62.2 million impairments included in the $178.3 million of impairments disclosed above.</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historically estimated its insurance-related liabilities for its ongoing programs based on an analysis of insurance claims submitted for reimbursement, plus an estimate for liabilities incurred as of the balance sheet date, but not yet reported to the Company. This is the estimation method that had been used by WM Holdings prior to the WM Holdings Merger, and was continued by the Company for that pool of pre-merger WM Holdings' claims. In connection with this review, the Company evaluated the adequacy of its self-insurance liabilities and changed the manner in which it estimates its insurance-related liabilities for its ongoing property and casualty insurance programs. Both of these approaches result in acceptable estimates, but during the review the Company noted that the actuarially determined estimates using a fully-developed method provided a better estimate of the ultimate costs of the claims than a claims made plus incurred but not reported method. Accordingly, in the third quarter of 1999, the Company began estimating all insurance-related liabilities based on actuarially determined estimates of ultimate losses. This change in estimate resulted in an increased pre-tax expense of $43.9 million for the third quarter of 1999. In addition, the Company increased its insurance-related liabilities based on its assessment of current and expected claims activities and unfavorable claims experience, resulting in an additional pre-tax charge of $104.0 million in the third quarter of 1999.</w:t>
      </w:r>
    </w:p>
    <w:p>
      <w:pPr>
        <w:spacing w:after="0" w:line="17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recorded pre-tax charges related to legal, severance and consulting costs incurred in the third quarter of 1999, including increases in legal reserves and related charges of $96.3 million, principally related to increases in legal reserves in response to developments in various legal proceedings brought against WM Holdings by former shareholders of that company in connection with its restatement of earnings in February 1998. These legal developments caused the Company to evaluate the numerous shareholder cases filed against WM Holdings and to reassess their range of exposure. Additionally, the charges included $25.0 million related to severance costs, principally for executives who left the Company in the third quarter of 1999, and $20.7 million of consulting costs related primarily to the accounting review and related matters.</w:t>
      </w:r>
    </w:p>
    <w:p>
      <w:pPr>
        <w:spacing w:after="0" w:line="330" w:lineRule="exact"/>
        <w:rPr>
          <w:sz w:val="20"/>
          <w:szCs w:val="20"/>
          <w:color w:val="auto"/>
        </w:rPr>
      </w:pPr>
    </w:p>
    <w:p>
      <w:pPr>
        <w:jc w:val="both"/>
        <w:ind w:right="3299" w:firstLine="434"/>
        <w:spacing w:after="0" w:line="255" w:lineRule="auto"/>
        <w:rPr>
          <w:sz w:val="20"/>
          <w:szCs w:val="20"/>
          <w:color w:val="auto"/>
        </w:rPr>
      </w:pPr>
      <w:r>
        <w:rPr>
          <w:rFonts w:ascii="Courier New" w:cs="Courier New" w:eastAsia="Courier New" w:hAnsi="Courier New"/>
          <w:sz w:val="14"/>
          <w:szCs w:val="14"/>
          <w:color w:val="auto"/>
        </w:rPr>
        <w:t>The Company recorded $31.6 million of merger and acquisition related costs during the third quarter of 1999, which consisted of $12.5 million related to a third quarter purchase business combination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159"/>
          </w:cols>
          <w:pgMar w:left="30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66</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$19.1 million related to the costs incurred by the Company related to the WM Holdings and the Eastern Mergers which are required to be expensed as incurred.</w:t>
      </w:r>
    </w:p>
    <w:p>
      <w:pPr>
        <w:spacing w:after="0" w:line="160"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Company's results of operations for 1999 reflect pre-tax charges of approximately $347.7 million recorded in the third quarter 1999 attributable to the reconciliation of intercompany accounts, cash, accounts receivable, fixed asset, accounts payable and certain other accounts at the Company's operating districts and other locations resulting from the 1999 accounting review. The Company's third quarter accounting review included a detailed review of substantially all of the districts' and other locations' financial and accounting records. That work necessitated a number of adjustments affecting transactions related to the current period and to periods prior to the quarter ended September 30, 1999 involving many different accounts. Although some portion of the charges of $347.7 million may relate to a number of periods, the Company does not have sufficient information to identify all specific charges attributable to individual prior periods. Furthermore, producing the required information to perform such an identification of these charges would be cost prohibitive and disruptive to operations. In connection with the preparation of its third quarter financial statements, the Company concluded that, based on its quantitative and qualitative analysis of available information, and after consultation with its independent public accountants, it did not have, nor was it able to obtain, sufficient information to conclude what amount of charges relate to any individual prior year, although qualitative analysis indicated that these charges were principally related to 1999. Accordingly, the Company has concluded that these charges are appropriately reflected in the 1999 annual financial statements.</w:t>
      </w:r>
    </w:p>
    <w:p>
      <w:pPr>
        <w:spacing w:after="0" w:line="34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evaluated significant contracts under which it provides services. As a result of that review, the Company recorded a pre-tax provision of $49.3 million related to contracts which were determined to be in a loss position, including revisions to previously established reserves based on new facts and circumstances.</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increased its estimate by $32.5 million of the ultimate costs required for final closure and post-closure obligations at certain landfills which are either closed or near final closure. That increase, and provisions related to various other environmental matters, totaled $49.0 million as a result of the 1999 accounting review.</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addition to the charges described above, the Company recorded additional pre-tax charges of $191.0 million as a result of the 1999 accounting review. These additional charges involved many different issues at all levels of the Company, including, for example, adjustments to reserves for specific business disputes, adjustments of over- or under- accruals not described elsewhere herein, and numerous other items.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159"/>
          </w:cols>
          <w:pgMar w:left="300" w:top="286" w:right="1440" w:bottom="1440" w:gutter="0" w:footer="0" w:header="0"/>
        </w:sectPr>
      </w:pPr>
    </w:p>
    <w:bookmarkStart w:id="69" w:name="page70"/>
    <w:bookmarkEnd w:id="69"/>
    <w:p>
      <w:pPr>
        <w:spacing w:after="0" w:line="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67</w:t>
      </w:r>
    </w:p>
    <w:p>
      <w:pPr>
        <w:spacing w:after="0" w:line="8"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4500" w:firstLine="434"/>
        <w:spacing w:after="0" w:line="254" w:lineRule="auto"/>
        <w:rPr>
          <w:sz w:val="20"/>
          <w:szCs w:val="20"/>
          <w:color w:val="auto"/>
        </w:rPr>
      </w:pPr>
      <w:r>
        <w:rPr>
          <w:rFonts w:ascii="Courier New" w:cs="Courier New" w:eastAsia="Courier New" w:hAnsi="Courier New"/>
          <w:sz w:val="14"/>
          <w:szCs w:val="14"/>
          <w:color w:val="auto"/>
        </w:rPr>
        <w:t>The charges described above, which include both recurring and nonrecurring items that have been aggregated for this presentation, are reflected in the Company's financial statements for the year ended December 31, 1999, as follows (in thousands):</w:t>
      </w:r>
    </w:p>
    <w:p>
      <w:pPr>
        <w:sectPr>
          <w:pgSz w:w="11900" w:h="16900" w:orient="portrait"/>
          <w:cols w:equalWidth="0" w:num="1">
            <w:col w:w="11360"/>
          </w:cols>
          <w:pgMar w:left="300" w:top="28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HELD-FOR-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SALE</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ADJUSTMENTS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ALLOWANCE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DOUBTFUL</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OTHER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ACCOUNTS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RECEIVABLE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OTHER</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ASSET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IMPAIRMENTS</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INSURANCE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RESERVES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OTHER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INSURANCE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LEGAL,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AND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CONSULTING</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ACCRUALS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MERGER</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ACQUISITION</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RELATED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COSTS</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OTHER</w:t>
      </w:r>
    </w:p>
    <w:p>
      <w:pPr>
        <w:spacing w:after="0" w:line="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CHARGES</w:t>
      </w:r>
    </w:p>
    <w:p>
      <w:pPr>
        <w:spacing w:after="0" w:line="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ADJUSTMENTS</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900" w:orient="portrait"/>
          <w:cols w:equalWidth="0" w:num="7">
            <w:col w:w="3820" w:space="260"/>
            <w:col w:w="1040" w:space="260"/>
            <w:col w:w="960" w:space="260"/>
            <w:col w:w="960" w:space="260"/>
            <w:col w:w="1120" w:space="260"/>
            <w:col w:w="960" w:space="260"/>
            <w:col w:w="940"/>
          </w:cols>
          <w:pgMar w:left="300" w:top="286" w:right="2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revenues.............</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(44,164)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ind w:right="60"/>
        <w:spacing w:after="0" w:line="252" w:lineRule="auto"/>
        <w:rPr>
          <w:sz w:val="20"/>
          <w:szCs w:val="20"/>
          <w:color w:val="auto"/>
        </w:rPr>
      </w:pPr>
      <w:r>
        <w:rPr>
          <w:rFonts w:ascii="Courier New" w:cs="Courier New" w:eastAsia="Courier New" w:hAnsi="Courier New"/>
          <w:sz w:val="14"/>
          <w:szCs w:val="14"/>
          <w:color w:val="auto"/>
        </w:rPr>
        <w:t>$ 13,236 ---------</w:t>
      </w:r>
    </w:p>
    <w:p>
      <w:pPr>
        <w:spacing w:after="0" w:line="1" w:lineRule="exact"/>
        <w:rPr>
          <w:sz w:val="20"/>
          <w:szCs w:val="20"/>
          <w:color w:val="auto"/>
        </w:rPr>
      </w:pPr>
    </w:p>
    <w:p>
      <w:pPr>
        <w:sectPr>
          <w:pgSz w:w="11900" w:h="16900" w:orient="portrait"/>
          <w:cols w:equalWidth="0" w:num="8">
            <w:col w:w="2700" w:space="260"/>
            <w:col w:w="780" w:space="440"/>
            <w:col w:w="860" w:space="440"/>
            <w:col w:w="780" w:space="440"/>
            <w:col w:w="780" w:space="520"/>
            <w:col w:w="780" w:space="520"/>
            <w:col w:w="680" w:space="520"/>
            <w:col w:w="860"/>
          </w:cols>
          <w:pgMar w:left="300" w:top="286" w:right="2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Costs and expenses: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Operating (exclusive of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depreciation and</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 shown below)...</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General and administrative....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4"/>
          <w:szCs w:val="14"/>
          <w:color w:val="auto"/>
        </w:rPr>
        <w:t>167,319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4"/>
          <w:szCs w:val="14"/>
          <w:color w:val="auto"/>
        </w:rPr>
        <w:t>143,086</w:t>
      </w:r>
    </w:p>
    <w:p>
      <w:pPr>
        <w:spacing w:after="0" w:line="8" w:lineRule="exact"/>
        <w:rPr>
          <w:sz w:val="20"/>
          <w:szCs w:val="20"/>
          <w:color w:val="auto"/>
        </w:rPr>
      </w:pPr>
    </w:p>
    <w:p>
      <w:pPr>
        <w:jc w:val="right"/>
        <w:ind w:right="60"/>
        <w:spacing w:after="0"/>
        <w:rPr>
          <w:sz w:val="20"/>
          <w:szCs w:val="20"/>
          <w:color w:val="auto"/>
        </w:rPr>
      </w:pPr>
      <w:r>
        <w:rPr>
          <w:rFonts w:ascii="Courier New" w:cs="Courier New" w:eastAsia="Courier New" w:hAnsi="Courier New"/>
          <w:sz w:val="14"/>
          <w:szCs w:val="14"/>
          <w:color w:val="auto"/>
        </w:rPr>
        <w:t>4,782</w:t>
      </w:r>
    </w:p>
    <w:p>
      <w:pPr>
        <w:spacing w:after="0" w:line="20" w:lineRule="exact"/>
        <w:rPr>
          <w:sz w:val="20"/>
          <w:szCs w:val="20"/>
          <w:color w:val="auto"/>
        </w:rPr>
      </w:pPr>
      <w:r>
        <w:rPr>
          <w:sz w:val="20"/>
          <w:szCs w:val="20"/>
          <w:color w:val="auto"/>
        </w:rPr>
        <w:br w:type="column"/>
      </w:r>
    </w:p>
    <w:p>
      <w:pPr>
        <w:jc w:val="right"/>
        <w:ind w:right="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57,599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423,331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172,029</w:t>
      </w:r>
    </w:p>
    <w:p>
      <w:pPr>
        <w:spacing w:after="0" w:line="8" w:lineRule="exact"/>
        <w:rPr>
          <w:sz w:val="20"/>
          <w:szCs w:val="20"/>
          <w:color w:val="auto"/>
        </w:rPr>
      </w:pPr>
    </w:p>
    <w:p>
      <w:pPr>
        <w:sectPr>
          <w:pgSz w:w="11900" w:h="16900" w:orient="portrait"/>
          <w:cols w:equalWidth="0" w:num="8">
            <w:col w:w="2840" w:space="720"/>
            <w:col w:w="180" w:space="600"/>
            <w:col w:w="1020" w:space="720"/>
            <w:col w:w="180" w:space="600"/>
            <w:col w:w="680" w:space="720"/>
            <w:col w:w="840" w:space="720"/>
            <w:col w:w="160" w:space="700"/>
            <w:col w:w="680"/>
          </w:cols>
          <w:pgMar w:left="300" w:top="286" w:right="239"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Depreciation and</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59,628</w:t>
      </w:r>
    </w:p>
    <w:p>
      <w:pPr>
        <w:spacing w:after="0" w:line="8" w:lineRule="exact"/>
        <w:rPr>
          <w:sz w:val="20"/>
          <w:szCs w:val="20"/>
          <w:color w:val="auto"/>
        </w:rPr>
      </w:pPr>
    </w:p>
    <w:p>
      <w:pPr>
        <w:sectPr>
          <w:pgSz w:w="11900" w:h="16900" w:orient="portrait"/>
          <w:cols w:equalWidth="0" w:num="7">
            <w:col w:w="2840" w:space="720"/>
            <w:col w:w="500" w:space="720"/>
            <w:col w:w="580" w:space="720"/>
            <w:col w:w="500" w:space="720"/>
            <w:col w:w="580" w:space="720"/>
            <w:col w:w="500" w:space="720"/>
            <w:col w:w="1540"/>
          </w:cols>
          <w:pgMar w:left="300" w:top="286" w:right="239"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Merger and acquisition related</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900" w:orient="portrait"/>
          <w:cols w:equalWidth="0" w:num="8">
            <w:col w:w="2840" w:space="720"/>
            <w:col w:w="500" w:space="720"/>
            <w:col w:w="580" w:space="720"/>
            <w:col w:w="500" w:space="720"/>
            <w:col w:w="580" w:space="720"/>
            <w:col w:w="180" w:space="680"/>
            <w:col w:w="940" w:space="720"/>
            <w:col w:w="240"/>
          </w:cols>
          <w:pgMar w:left="300" w:top="286" w:right="239"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Asset impairments and unusual</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414,275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178,309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84,400</w:t>
      </w:r>
    </w:p>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3,300</w:t>
      </w:r>
    </w:p>
    <w:p>
      <w:pPr>
        <w:spacing w:after="0" w:line="8" w:lineRule="exact"/>
        <w:rPr>
          <w:sz w:val="20"/>
          <w:szCs w:val="20"/>
          <w:color w:val="auto"/>
        </w:rPr>
      </w:pPr>
    </w:p>
    <w:p>
      <w:pPr>
        <w:sectPr>
          <w:pgSz w:w="11900" w:h="16900" w:orient="portrait"/>
          <w:cols w:equalWidth="0" w:num="7">
            <w:col w:w="2700" w:space="440"/>
            <w:col w:w="920" w:space="720"/>
            <w:col w:w="180" w:space="680"/>
            <w:col w:w="940" w:space="720"/>
            <w:col w:w="240" w:space="720"/>
            <w:col w:w="840" w:space="720"/>
            <w:col w:w="1540"/>
          </w:cols>
          <w:pgMar w:left="300" w:top="286" w:right="239" w:bottom="0" w:gutter="0" w:footer="0" w:header="0"/>
          <w:type w:val="continuous"/>
        </w:sectPr>
      </w:pPr>
    </w:p>
    <w:p>
      <w:pPr>
        <w:jc w:val="right"/>
        <w:ind w:right="8660"/>
        <w:spacing w:after="0"/>
        <w:rPr>
          <w:sz w:val="20"/>
          <w:szCs w:val="20"/>
          <w:color w:val="auto"/>
        </w:rPr>
      </w:pPr>
      <w:r>
        <w:rPr>
          <w:rFonts w:ascii="Courier New" w:cs="Courier New" w:eastAsia="Courier New" w:hAnsi="Courier New"/>
          <w:sz w:val="14"/>
          <w:szCs w:val="14"/>
          <w:color w:val="auto"/>
        </w:rPr>
        <w:t>Loss from continuing operations</w:t>
      </w:r>
    </w:p>
    <w:p>
      <w:pPr>
        <w:spacing w:after="0" w:line="8" w:lineRule="exact"/>
        <w:rPr>
          <w:sz w:val="20"/>
          <w:szCs w:val="20"/>
          <w:color w:val="auto"/>
        </w:rPr>
      </w:pPr>
    </w:p>
    <w:p>
      <w:pPr>
        <w:jc w:val="right"/>
        <w:ind w:right="8660"/>
        <w:spacing w:after="0"/>
        <w:rPr>
          <w:sz w:val="20"/>
          <w:szCs w:val="20"/>
          <w:color w:val="auto"/>
        </w:rPr>
      </w:pPr>
      <w:r>
        <w:rPr>
          <w:rFonts w:ascii="Courier New" w:cs="Courier New" w:eastAsia="Courier New" w:hAnsi="Courier New"/>
          <w:sz w:val="14"/>
          <w:szCs w:val="14"/>
          <w:color w:val="auto"/>
        </w:rPr>
        <w:t>held for sale, net of minority</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from operations...........</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414,275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(414,275)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167,319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(211,483)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178,309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(178,309)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147,868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(147,868)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141,999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(141,999)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31,568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(31,568)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658,288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(645,052)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900" w:orient="portrait"/>
          <w:cols w:equalWidth="0" w:num="8">
            <w:col w:w="2700" w:space="260"/>
            <w:col w:w="860" w:space="360"/>
            <w:col w:w="860" w:space="440"/>
            <w:col w:w="860" w:space="360"/>
            <w:col w:w="860" w:space="440"/>
            <w:col w:w="860" w:space="440"/>
            <w:col w:w="780" w:space="420"/>
            <w:col w:w="860"/>
          </w:cols>
          <w:pgMar w:left="300" w:top="286" w:right="2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income (expense)</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 expense..............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 income...............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Minority interest.............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income (expense)........</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702</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13,359</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(288)</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(5,736)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8,037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900" w:orient="portrait"/>
          <w:cols w:equalWidth="0" w:num="8">
            <w:col w:w="2700" w:space="260"/>
            <w:col w:w="780" w:space="440"/>
            <w:col w:w="780" w:space="520"/>
            <w:col w:w="780" w:space="440"/>
            <w:col w:w="780" w:space="520"/>
            <w:col w:w="780" w:space="520"/>
            <w:col w:w="680" w:space="520"/>
            <w:col w:w="860"/>
          </w:cols>
          <w:pgMar w:left="300" w:top="286" w:right="2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before income taxes and</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extraordinary items...........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$(414,275)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$(211,483)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$(178,309)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$(147,868)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$(637,015)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900" w:orient="portrait"/>
          <w:cols w:equalWidth="0" w:num="8">
            <w:col w:w="2700" w:space="260"/>
            <w:col w:w="860" w:space="360"/>
            <w:col w:w="860" w:space="440"/>
            <w:col w:w="860" w:space="360"/>
            <w:col w:w="860" w:space="440"/>
            <w:col w:w="860" w:space="440"/>
            <w:col w:w="780" w:space="420"/>
            <w:col w:w="860"/>
          </w:cols>
          <w:pgMar w:left="300" w:top="286" w:right="2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Benefit from income taxes......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(INCLUDES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RECURRING AND</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NON-RECURRING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ITEMS)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ectPr>
          <w:pgSz w:w="11900" w:h="16900" w:orient="portrait"/>
          <w:cols w:equalWidth="0" w:num="1">
            <w:col w:w="11360"/>
          </w:cols>
          <w:pgMar w:left="300" w:top="286" w:right="2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tab/>
        <w:t>(30,928)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900" w:orient="portrait"/>
          <w:cols w:equalWidth="0" w:num="2">
            <w:col w:w="2700" w:space="260"/>
            <w:col w:w="8400"/>
          </w:cols>
          <w:pgMar w:left="300" w:top="286" w:right="2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Costs and expenses: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Operating (exclusive of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depreciation and</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 shown below)...</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General and administrative....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566,417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401,729</w:t>
      </w:r>
    </w:p>
    <w:p>
      <w:pPr>
        <w:spacing w:after="0" w:line="8" w:lineRule="exact"/>
        <w:rPr>
          <w:sz w:val="20"/>
          <w:szCs w:val="20"/>
          <w:color w:val="auto"/>
        </w:rPr>
      </w:pPr>
    </w:p>
    <w:p>
      <w:pPr>
        <w:sectPr>
          <w:pgSz w:w="11900" w:h="16900" w:orient="portrait"/>
          <w:cols w:equalWidth="0" w:num="2">
            <w:col w:w="2700" w:space="600"/>
            <w:col w:w="8060"/>
          </w:cols>
          <w:pgMar w:left="300" w:top="286" w:right="239"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Depreciation and</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59,628</w:t>
      </w:r>
    </w:p>
    <w:p>
      <w:pPr>
        <w:spacing w:after="0" w:line="8" w:lineRule="exact"/>
        <w:rPr>
          <w:sz w:val="20"/>
          <w:szCs w:val="20"/>
          <w:color w:val="auto"/>
        </w:rPr>
      </w:pPr>
    </w:p>
    <w:p>
      <w:pPr>
        <w:sectPr>
          <w:pgSz w:w="11900" w:h="16900" w:orient="portrait"/>
          <w:cols w:equalWidth="0" w:num="2">
            <w:col w:w="2700" w:space="700"/>
            <w:col w:w="7960"/>
          </w:cols>
          <w:pgMar w:left="300" w:top="286" w:right="239"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Merger and acquisition related</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31,568</w:t>
      </w:r>
    </w:p>
    <w:p>
      <w:pPr>
        <w:spacing w:after="0" w:line="8" w:lineRule="exact"/>
        <w:rPr>
          <w:sz w:val="20"/>
          <w:szCs w:val="20"/>
          <w:color w:val="auto"/>
        </w:rPr>
      </w:pPr>
    </w:p>
    <w:p>
      <w:pPr>
        <w:sectPr>
          <w:pgSz w:w="11900" w:h="16900" w:orient="portrait"/>
          <w:cols w:equalWidth="0" w:num="2">
            <w:col w:w="2700" w:space="700"/>
            <w:col w:w="7960"/>
          </w:cols>
          <w:pgMar w:left="300" w:top="286" w:right="239"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Asset impairments and unusual</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680,284</w:t>
      </w:r>
    </w:p>
    <w:p>
      <w:pPr>
        <w:spacing w:after="0" w:line="8" w:lineRule="exact"/>
        <w:rPr>
          <w:sz w:val="20"/>
          <w:szCs w:val="20"/>
          <w:color w:val="auto"/>
        </w:rPr>
      </w:pPr>
    </w:p>
    <w:p>
      <w:pPr>
        <w:sectPr>
          <w:pgSz w:w="11900" w:h="16900" w:orient="portrait"/>
          <w:cols w:equalWidth="0" w:num="2">
            <w:col w:w="2700" w:space="600"/>
            <w:col w:w="8060"/>
          </w:cols>
          <w:pgMar w:left="300" w:top="286" w:right="239" w:bottom="0" w:gutter="0" w:footer="0" w:header="0"/>
          <w:type w:val="continuous"/>
        </w:sectPr>
      </w:pPr>
    </w:p>
    <w:p>
      <w:pPr>
        <w:jc w:val="right"/>
        <w:ind w:right="8660"/>
        <w:spacing w:after="0"/>
        <w:rPr>
          <w:sz w:val="20"/>
          <w:szCs w:val="20"/>
          <w:color w:val="auto"/>
        </w:rPr>
      </w:pPr>
      <w:r>
        <w:rPr>
          <w:rFonts w:ascii="Courier New" w:cs="Courier New" w:eastAsia="Courier New" w:hAnsi="Courier New"/>
          <w:sz w:val="14"/>
          <w:szCs w:val="14"/>
          <w:color w:val="auto"/>
        </w:rPr>
        <w:t>Loss from continuing operations</w:t>
      </w:r>
    </w:p>
    <w:p>
      <w:pPr>
        <w:spacing w:after="0" w:line="8" w:lineRule="exact"/>
        <w:rPr>
          <w:sz w:val="20"/>
          <w:szCs w:val="20"/>
          <w:color w:val="auto"/>
        </w:rPr>
      </w:pPr>
    </w:p>
    <w:p>
      <w:pPr>
        <w:jc w:val="right"/>
        <w:ind w:right="8660"/>
        <w:spacing w:after="0"/>
        <w:rPr>
          <w:sz w:val="20"/>
          <w:szCs w:val="20"/>
          <w:color w:val="auto"/>
        </w:rPr>
      </w:pPr>
      <w:r>
        <w:rPr>
          <w:rFonts w:ascii="Courier New" w:cs="Courier New" w:eastAsia="Courier New" w:hAnsi="Courier New"/>
          <w:sz w:val="14"/>
          <w:szCs w:val="14"/>
          <w:color w:val="auto"/>
        </w:rPr>
        <w:t>held for sale, net of minority</w:t>
      </w:r>
    </w:p>
    <w:p>
      <w:pPr>
        <w:sectPr>
          <w:pgSz w:w="11900" w:h="16900" w:orient="portrait"/>
          <w:cols w:equalWidth="0" w:num="1">
            <w:col w:w="11360"/>
          </w:cols>
          <w:pgMar w:left="300" w:top="286" w:right="239" w:bottom="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from operations...........</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1,739,626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(1,770,554)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900" w:orient="portrait"/>
          <w:cols w:equalWidth="0" w:num="2">
            <w:col w:w="2700" w:space="260"/>
            <w:col w:w="8400"/>
          </w:cols>
          <w:pgMar w:left="300" w:top="286" w:right="2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income (expense)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 expense..............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Interest income...............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Minority interest.............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 income (expense)........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702</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13,359</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(288)</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(5,736)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8,037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900" w:orient="portrait"/>
          <w:cols w:equalWidth="0" w:num="2">
            <w:col w:w="2700" w:space="260"/>
            <w:col w:w="8400"/>
          </w:cols>
          <w:pgMar w:left="300" w:top="286" w:right="239" w:bottom="0" w:gutter="0" w:footer="0" w:header="0"/>
          <w:type w:val="continuous"/>
        </w:sectPr>
      </w:pPr>
    </w:p>
    <w:p>
      <w:pPr>
        <w:spacing w:after="0" w:line="338" w:lineRule="auto"/>
        <w:rPr>
          <w:sz w:val="20"/>
          <w:szCs w:val="20"/>
          <w:color w:val="auto"/>
        </w:rPr>
      </w:pPr>
      <w:r>
        <w:rPr>
          <w:rFonts w:ascii="Courier New" w:cs="Courier New" w:eastAsia="Courier New" w:hAnsi="Courier New"/>
          <w:sz w:val="14"/>
          <w:szCs w:val="14"/>
          <w:color w:val="auto"/>
        </w:rPr>
        <w:t>Loss before income taxes and extraordinary items........... Benefit from income taxes...... Net loss.......................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(1,762,517)</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536,756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$(1,225,761)</w:t>
      </w:r>
    </w:p>
    <w:p>
      <w:pPr>
        <w:sectPr>
          <w:pgSz w:w="11900" w:h="16900" w:orient="portrait"/>
          <w:cols w:equalWidth="0" w:num="2">
            <w:col w:w="2700" w:space="260"/>
            <w:col w:w="8400"/>
          </w:cols>
          <w:pgMar w:left="300" w:top="286" w:right="239" w:bottom="0" w:gutter="0" w:footer="0" w:header="0"/>
          <w:type w:val="continuous"/>
        </w:sectPr>
      </w:pPr>
    </w:p>
    <w:bookmarkStart w:id="70" w:name="page71"/>
    <w:bookmarkEnd w:id="70"/>
    <w:p>
      <w:pPr>
        <w:ind w:left="29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Subsequent to the completion of the accounting review, and in conjunction with the process of preparing its monthly financial statements during the fourth quarter of 1999 and on a final basis at December 31, 1999, additional adjustments attributable to the reconciliation of intercompany accounts, cash, accounts receivable, fixed assets, accounts payable and certain other accounts were recorded.</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recorded significant adjustments in the third and fourth quarters of 1999, certain of which affect periods prior to these quarters. Accordingly, the Company, after consultation with its independent public accountants, has concluded that its internal controls for the preparation of interim financial information did not provide an adequate basis for its independent public accountants to complete reviews of the quarterly financial data for the quarters during 1999. The Company believes that certain charges that were recorded in the third and fourth quarters of 1999 may relate to individual prior periods; however, the Company does not have sufficient information to identify all specific charges attributable to prior periods. If identification of all specific charges attributable to individual prior periods were possible, the Company believes that the reported results of operations presented in Note 20 to the financial statements for the third and fourth quarters of 1999 would have been favorably impacted, and the reported results of operations for the first and second quarters of 1999 would have been adversely impacted. In connection with the preparation of its third quarter financial statements, the Company concluded, based on its quantitative and qualitative analysis of available information, after consultation with its independent public accountants, that it did not have, nor was it able to obtain, sufficient information to conclude what amount of the charges relate to any individual prior year, although</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159"/>
          </w:cols>
          <w:pgMar w:left="300" w:top="141"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68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qualitative analysis indicates that these charges are principally related to 1999. Accordingly, the Company has concluded that these charges were appropriately reflected in the 1999 annual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SUMMARY OF SIGNIFICANT ACCOUNTING POLICIES</w:t>
      </w:r>
    </w:p>
    <w:p>
      <w:pPr>
        <w:spacing w:after="0" w:line="175" w:lineRule="exact"/>
        <w:rPr>
          <w:sz w:val="20"/>
          <w:szCs w:val="20"/>
          <w:color w:val="auto"/>
        </w:rPr>
      </w:pPr>
    </w:p>
    <w:p>
      <w:pPr>
        <w:ind w:right="3199" w:firstLine="434"/>
        <w:spacing w:after="0" w:line="256" w:lineRule="auto"/>
        <w:rPr>
          <w:sz w:val="20"/>
          <w:szCs w:val="20"/>
          <w:color w:val="auto"/>
        </w:rPr>
      </w:pPr>
      <w:r>
        <w:rPr>
          <w:rFonts w:ascii="Courier New" w:cs="Courier New" w:eastAsia="Courier New" w:hAnsi="Courier New"/>
          <w:sz w:val="14"/>
          <w:szCs w:val="14"/>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327"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Restricted funds held by trustees -- Restricted funds held by trustees of $167.1 million and $153.0 million at December 31, 1999 and 1998, respectively, are included in other non-current assets and consist principally of funds deposited in connection with landfill final closure and post-closure obligations, insurance escrow deposits, and amounts held for landfill and other construction arising from industrial revenue financings. These amounts are principally invested in fixed income securities of federal, state and local governmental entities and financial institutions. The Company considers its landfill final closure, post-closure and construction escrow investments to be held to maturity. At December 31, 1999 and 1998, the aggregate fair value of these investments approximates their net book value and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1999 and 1998.</w:t>
      </w:r>
    </w:p>
    <w:p>
      <w:pPr>
        <w:spacing w:after="0" w:line="172"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Concentrations of credit risk -- Financial instruments that potentially subject the Company to concentrations of credit risk consist primarily of cash and cash equivalents and accounts receivable. The Company places its cash and cash equivalents with high quality financial institutions and limits the amount of credit exposure with any one institution. Concentrations of credit risk with respect to accounts receivable are limited because a large number of geographically diverse customers comprise the Company's customer base, thus spreading the trade credit risk. At December 31, 1999 and 1998, no single group or customer represents greater than 10% of total accounts receivable. The Company controls credit risk through credit evaluations, credit limits, and monitoring procedures. The Company performs credit evaluations for commercial and industrial customers and performs ongoing credit evaluations of its customers, but generally does not require collateral to support accounts receivable.</w:t>
      </w:r>
    </w:p>
    <w:p>
      <w:pPr>
        <w:spacing w:after="0" w:line="33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Derivative financial instruments -- From time to time, the Company uses derivatives to manage interest rate and currency risk. At December 31, 1999, the Company also engaged in hedging of recyclable paper price risk. The Company's policy is to use derivatives for risk management purposes only, which includes maintaining the ratio between the Company's fixed and floating rate debt obligations that management deems appropriate, and prohibits entering into such contracts for trading purposes. The Company enters into derivatives only with counterparties (primarily financial institutions) which have substantial financial wherewithal to minimize credit risk. The amount of gains or losses from the use of derivative financial instruments has not been and is not expected to be material to the Company's financial statements.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Instruments accounted for as hedges must be effective at managing risk associated with the exposure being hedged and must be designated as a hedge at the inception of the contract. Accordingly, changes in market values or cash flows of hedge instruments must have a high degree of inverse correlation with changes in market values or cash flows of the underlying hedged items. Derivatives that meet the hedge criteria are accounted for under the deferral or accrual method. See Note 9.</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Operations held for sale -- It is the Company's policy to classify the businesses that the Company is marketing for sale and the portfolio of real estate that the Company considers surplus and is marketing for sale, as operations held for sale. The carrying values of these assets are written down to fair value, less costs to sell. These charges are based on estimates and certain contingencies that could materially differ from actual results and resolution of any such contingencies. In the fourth quarter of 1999, the Company identified certain</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159"/>
          </w:cols>
          <w:pgMar w:left="300" w:top="286"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69</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operations for sale whose depreciation on fixed assets was discontinued as of October 1, 1999. If depreciation had not been discontinued, depreciation and amortization for 1999 would have increased by $45.6 million.</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Property and equipment -- Property and equipment are recorded at cost. Except for the Company's waste-to-energy and independent power facilities, expenditures for major additions and improvements are capitalized, while minor replacements, maintenance and repairs are charged to expense as incurred. At the Company's waste-to-energy and independent power facilities, the Company accrues for major maintenance expenditures. Such accruals are based upon planned maintenance expenditures and are classified as current or non-current liabilities based on the expected timing of the expenditures.</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When property and equipment are retired or otherwise disposed of, the cost and accumulated depreciation are removed from the accounts and any resulting gain or loss is included in the results of operations as increases or offsets to operating expense for the respective period. Depreciation is provided over the estimated useful lives of the related assets using the straight-line method. The estimated useful lives for significant property and equipment categories are as follows (in years):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OCTOBER 1, 1997</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PRIOR TO</w:t>
            </w:r>
          </w:p>
        </w:tc>
      </w:tr>
      <w:tr>
        <w:trPr>
          <w:trHeight w:val="167"/>
        </w:trPr>
        <w:tc>
          <w:tcPr>
            <w:tcW w:w="504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THEREAFTER</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1, 1997</w:t>
            </w:r>
          </w:p>
        </w:tc>
      </w:tr>
      <w:tr>
        <w:trPr>
          <w:trHeight w:val="167"/>
        </w:trPr>
        <w:tc>
          <w:tcPr>
            <w:tcW w:w="504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Vehicles.................................................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to 10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 12</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to 20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 20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Commercial and roll-off containers.......................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to 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 20</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to 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 40</w:t>
            </w:r>
          </w:p>
        </w:tc>
      </w:tr>
    </w:tbl>
    <w:p>
      <w:pPr>
        <w:spacing w:after="0" w:line="338"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As of October 1, 1997, and thereafter, the Company assumes no salvage value for its depreciable North American fixed assets. Prior to October 1, 1997, WM Holdings assigned salvage value to certain fixed asset categories as described in Note 5.</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Landfill accounting -- Capitalizable landfill site costs are recorded at cost. Recorded costs, net of recorded amortization, are added to estimated projected costs to determine the amount to be amortized over the remaining estimated useful life of a site. Amortization is recorded on a units of consumption basis, typically applying cost as a rate per ton. Landfill site costs are amortized to expected net realizable value upon final closure of a landfill.</w:t>
      </w:r>
    </w:p>
    <w:p>
      <w:pPr>
        <w:spacing w:after="0" w:line="16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difference between the present value of a landfill's estimated total final closure and post-closure costs and amounts accrued to date is accrued prospectively on a units of consumption basis, typically by applying a rate per ton over the remaining capacity of the landfill. The present value of final closure and post-closure costs are accrued for each landfill once the site discontinues operations.</w:t>
      </w:r>
    </w:p>
    <w:p>
      <w:pPr>
        <w:spacing w:after="0" w:line="165" w:lineRule="exact"/>
        <w:rPr>
          <w:sz w:val="20"/>
          <w:szCs w:val="20"/>
          <w:color w:val="auto"/>
        </w:rPr>
      </w:pPr>
    </w:p>
    <w:p>
      <w:pPr>
        <w:ind w:right="3559" w:firstLine="434"/>
        <w:spacing w:after="0" w:line="255" w:lineRule="auto"/>
        <w:rPr>
          <w:sz w:val="20"/>
          <w:szCs w:val="20"/>
          <w:color w:val="auto"/>
        </w:rPr>
      </w:pPr>
      <w:r>
        <w:rPr>
          <w:rFonts w:ascii="Courier New" w:cs="Courier New" w:eastAsia="Courier New" w:hAnsi="Courier New"/>
          <w:sz w:val="14"/>
          <w:szCs w:val="14"/>
          <w:color w:val="auto"/>
        </w:rPr>
        <w:t>The remaining capacity of a landfill is determined by the unutilized permitted airspace and expansion airspace when the success of obtaining such expansion permit is considered probable.</w:t>
      </w:r>
    </w:p>
    <w:p>
      <w:pPr>
        <w:spacing w:after="0" w:line="162"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Effective as of the third quarter of 1999, the Company applied a newly defined, more stringent set of criteria for evaluating the probability of obtaining an expansion permit to landfill airspace at existing sites, which are as follows:</w:t>
      </w:r>
    </w:p>
    <w:p>
      <w:pPr>
        <w:spacing w:after="0" w:line="163" w:lineRule="exact"/>
        <w:rPr>
          <w:sz w:val="20"/>
          <w:szCs w:val="20"/>
          <w:color w:val="auto"/>
        </w:rPr>
      </w:pPr>
    </w:p>
    <w:p>
      <w:pPr>
        <w:ind w:left="620" w:right="3819" w:hanging="177"/>
        <w:spacing w:after="0" w:line="25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are actively working to obtain land use, local and state approvals for an expansion of an existing landfill;</w:t>
      </w:r>
    </w:p>
    <w:p>
      <w:pPr>
        <w:spacing w:after="0" w:line="159" w:lineRule="exact"/>
        <w:rPr>
          <w:rFonts w:ascii="Courier New" w:cs="Courier New" w:eastAsia="Courier New" w:hAnsi="Courier New"/>
          <w:sz w:val="14"/>
          <w:szCs w:val="14"/>
          <w:color w:val="auto"/>
        </w:rPr>
      </w:pPr>
    </w:p>
    <w:p>
      <w:pPr>
        <w:ind w:left="620" w:right="3199" w:hanging="177"/>
        <w:spacing w:after="0" w:line="254"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163" w:lineRule="exact"/>
        <w:rPr>
          <w:rFonts w:ascii="Courier New" w:cs="Courier New" w:eastAsia="Courier New" w:hAnsi="Courier New"/>
          <w:sz w:val="14"/>
          <w:szCs w:val="14"/>
          <w:color w:val="auto"/>
        </w:rPr>
      </w:pPr>
    </w:p>
    <w:p>
      <w:pPr>
        <w:ind w:left="620" w:right="3199" w:hanging="177"/>
        <w:spacing w:after="0" w:line="258"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landfill owners or the Company has a legal right to use or obtain land to be included in the expansion plan;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159"/>
          </w:cols>
          <w:pgMar w:left="300" w:top="286"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70</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620" w:right="3299" w:hanging="177"/>
        <w:spacing w:after="0" w:line="255"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significant known technical, legal, community, business, or political restrictions or issues that could impair the success of such expansion;</w:t>
      </w:r>
    </w:p>
    <w:p>
      <w:pPr>
        <w:spacing w:after="0" w:line="161"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analysis has been completed, and the results demonstrate that the expansion has a positive financial and operational impact; and</w:t>
      </w:r>
    </w:p>
    <w:p>
      <w:pPr>
        <w:spacing w:after="0" w:line="159"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Airspace and related costs, including additional final closure and post-closure costs, have been estimated based on conceptual design.</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Additionally, to include airspace from an expansion effort, the expansion permit application must generally be expected to be submitted within one year, and the expansion permit must be expected to be received within two to five years. Exceptions to these criteria must be approved through a landfill-specific approval process that includes an approval from the Company's Chief Financial Officer and prompt review by the Audit Committee of the Board of Directors. Such exceptions are generally due to permit application processes beyond the one-year limit, which in most cases, are due to state-specific permitting procedures. Generally, the Company has been successful in receiving approvals for expansions pursued; however, there can be no assurance that the Company will be successful in obtaining landfill expansions in the future.</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As disposal volumes are affected by seasonality and competitive factors, airspace amortization varies between fiscal quarters due to changes in volumes of waste disposal at the Company's landfills. Airspace amortization is also affected by changes in engineering costs and estimates.</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Business combinations -- The Company assesses each business combination to determine whether the pooling of interests or the purchase method of accounting is appropriate. For those business combinations accounted for under the pooling of interests method, the financial statements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when, and if, information regarding contingencies becomes available to define and quantify assets acquired and liabilities assumed. The allocation period generally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The Company does not believe potential differences between its fair value estimates and actual fair values will be material.</w:t>
      </w:r>
    </w:p>
    <w:p>
      <w:pPr>
        <w:spacing w:after="0" w:line="34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certain business combinations, the Company agrees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Excess of cost over net assets of acquired businesses and other intangible assets -- The excess of cost over net assets of acquired businesses is amortized on a straight-line basis over a period not greater than 40 years commencing on the dates of the respective acquisitions. Accumulated amortization for the excess of cost over net assets of acquired businesses was $627.2 million and $813.6 million at December 31, 1999 and 1998, respectively. Other intangible assets consist primarily of customer lists, covenants not to compete, licenses and permits. Other intangible assets are recorded at cost and amortized on a straight-line basis. Customer lists are generally amortized over five to seven years. Covenants not to compete are amortized over the term of the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159"/>
          </w:cols>
          <w:pgMar w:left="300" w:top="286"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71</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agreement, which is generally three to five years. Licenses, permits and contracts are amortized over the shorter of the definitive terms of the related agreements or 40 years. Accumulated amortization for other intangible assets was $135.9 million and $113.3 million at December 31, 1999 and 1998, respectively. The Company recorded $271.0 million, $184.1 million and $149.7 million of amortization expense for excess of costs over net assets of acquired businesses and other intangibles for 1999, 1998 and 1997, respectively.</w:t>
      </w:r>
    </w:p>
    <w:p>
      <w:pPr>
        <w:spacing w:after="0" w:line="16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Long-lived assets -- Long-lived assets consist primarily of property and equipment, excess of cost over net assets of acquired businesses, and other</w:t>
      </w:r>
    </w:p>
    <w:p>
      <w:pPr>
        <w:spacing w:after="0" w:line="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intangible assets. The recoverability of long-lived assets is evaluated periodically at the operating unit level by an analysis of operating results and consideration of other significant events or changes in the business environment. If an operating unit has indications of possible impairment, such as current operating losses, the Company will evaluate whether impairment exists on the basis of undiscounted expected future cash flows from operations for the remaining amortization period. If an impairment loss exists, the carrying amount of the related long-lived assets is reduced to its estimated fair value.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Contracts in process -- Contracts in process relate to contracts involving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substantial construction component. For 1998, such contracts primarily related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activities performed by the Company's international operations. In 1999,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presentation does not include contracts for certain of the Company's WM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 because they have been classified as operations held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sale as of December 31, 1999. Contracts in process are as follows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w:t>
      </w:r>
    </w:p>
    <w:p>
      <w:pPr>
        <w:spacing w:after="0" w:line="200" w:lineRule="exact"/>
        <w:rPr>
          <w:sz w:val="20"/>
          <w:szCs w:val="20"/>
          <w:color w:val="auto"/>
        </w:rPr>
      </w:pPr>
    </w:p>
    <w:p>
      <w:pPr>
        <w:spacing w:after="0" w:line="309"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DECEMBER 31,</w:t>
      </w:r>
    </w:p>
    <w:p>
      <w:pPr>
        <w:spacing w:after="0" w:line="8" w:lineRule="exact"/>
        <w:rPr>
          <w:sz w:val="20"/>
          <w:szCs w:val="20"/>
          <w:color w:val="auto"/>
        </w:rPr>
      </w:pPr>
    </w:p>
    <w:p>
      <w:pPr>
        <w:ind w:left="53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560"/>
        <w:spacing w:after="0"/>
        <w:tabs>
          <w:tab w:leader="none" w:pos="66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5380"/>
        <w:spacing w:after="0"/>
        <w:tabs>
          <w:tab w:leader="none" w:pos="642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tabs>
          <w:tab w:leader="none" w:pos="5360" w:val="left"/>
          <w:tab w:leader="none" w:pos="6420" w:val="left"/>
        </w:tabs>
        <w:rPr>
          <w:sz w:val="20"/>
          <w:szCs w:val="20"/>
          <w:color w:val="auto"/>
        </w:rPr>
      </w:pPr>
      <w:r>
        <w:rPr>
          <w:rFonts w:ascii="Courier New" w:cs="Courier New" w:eastAsia="Courier New" w:hAnsi="Courier New"/>
          <w:sz w:val="14"/>
          <w:szCs w:val="14"/>
          <w:color w:val="auto"/>
        </w:rPr>
        <w:t>Costs and estimated earnings on uncompleted contracts.......</w:t>
        <w:tab/>
        <w:t>$ 143,185</w:t>
        <w:tab/>
        <w:t>$ 1,312,158</w:t>
      </w:r>
    </w:p>
    <w:p>
      <w:pPr>
        <w:spacing w:after="0" w:line="8" w:lineRule="exact"/>
        <w:rPr>
          <w:sz w:val="20"/>
          <w:szCs w:val="20"/>
          <w:color w:val="auto"/>
        </w:rPr>
      </w:pPr>
    </w:p>
    <w:p>
      <w:pPr>
        <w:spacing w:after="0"/>
        <w:tabs>
          <w:tab w:leader="none" w:pos="5460" w:val="left"/>
          <w:tab w:leader="none" w:pos="6500" w:val="left"/>
        </w:tabs>
        <w:rPr>
          <w:sz w:val="20"/>
          <w:szCs w:val="20"/>
          <w:color w:val="auto"/>
        </w:rPr>
      </w:pPr>
      <w:r>
        <w:rPr>
          <w:rFonts w:ascii="Courier New" w:cs="Courier New" w:eastAsia="Courier New" w:hAnsi="Courier New"/>
          <w:sz w:val="14"/>
          <w:szCs w:val="14"/>
          <w:color w:val="auto"/>
        </w:rPr>
        <w:t>Less billings on uncompleted contracts......................</w:t>
        <w:tab/>
        <w:t>(137,594)</w:t>
        <w:tab/>
        <w:t>(1,213,795)</w:t>
      </w:r>
    </w:p>
    <w:p>
      <w:pPr>
        <w:spacing w:after="0" w:line="8" w:lineRule="exact"/>
        <w:rPr>
          <w:sz w:val="20"/>
          <w:szCs w:val="20"/>
          <w:color w:val="auto"/>
        </w:rPr>
      </w:pPr>
    </w:p>
    <w:p>
      <w:pPr>
        <w:ind w:left="5380"/>
        <w:spacing w:after="0"/>
        <w:tabs>
          <w:tab w:leader="none" w:pos="64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left="880"/>
        <w:spacing w:after="0"/>
        <w:tabs>
          <w:tab w:leader="none" w:pos="5360" w:val="left"/>
          <w:tab w:leader="none" w:pos="5720" w:val="left"/>
          <w:tab w:leader="none" w:pos="6420" w:val="left"/>
          <w:tab w:leader="none" w:pos="6840" w:val="left"/>
        </w:tabs>
        <w:rPr>
          <w:sz w:val="20"/>
          <w:szCs w:val="20"/>
          <w:color w:val="auto"/>
        </w:rPr>
      </w:pPr>
      <w:r>
        <w:rPr>
          <w:rFonts w:ascii="Courier New" w:cs="Courier New" w:eastAsia="Courier New" w:hAnsi="Courier New"/>
          <w:sz w:val="14"/>
          <w:szCs w:val="14"/>
          <w:color w:val="auto"/>
        </w:rPr>
        <w:t>Total contracts in process........................</w:t>
        <w:tab/>
        <w:t>$</w:t>
        <w:tab/>
        <w:t>5,591</w:t>
        <w:tab/>
        <w:t>$</w:t>
      </w:r>
      <w:r>
        <w:rPr>
          <w:sz w:val="20"/>
          <w:szCs w:val="20"/>
          <w:color w:val="auto"/>
        </w:rPr>
        <w:tab/>
      </w:r>
      <w:r>
        <w:rPr>
          <w:rFonts w:ascii="Courier New" w:cs="Courier New" w:eastAsia="Courier New" w:hAnsi="Courier New"/>
          <w:sz w:val="14"/>
          <w:szCs w:val="14"/>
          <w:color w:val="auto"/>
        </w:rPr>
        <w:t>98,363</w:t>
      </w:r>
    </w:p>
    <w:p>
      <w:pPr>
        <w:spacing w:after="0" w:line="8" w:lineRule="exact"/>
        <w:rPr>
          <w:sz w:val="20"/>
          <w:szCs w:val="20"/>
          <w:color w:val="auto"/>
        </w:rPr>
      </w:pPr>
    </w:p>
    <w:p>
      <w:pPr>
        <w:ind w:left="5380"/>
        <w:spacing w:after="0"/>
        <w:tabs>
          <w:tab w:leader="none" w:pos="6420" w:val="left"/>
        </w:tabs>
        <w:rPr>
          <w:sz w:val="20"/>
          <w:szCs w:val="20"/>
          <w:color w:val="auto"/>
        </w:rPr>
      </w:pPr>
      <w:r>
        <w:rPr>
          <w:rFonts w:ascii="Courier New" w:cs="Courier New" w:eastAsia="Courier New" w:hAnsi="Courier New"/>
          <w:sz w:val="14"/>
          <w:szCs w:val="14"/>
          <w:color w:val="auto"/>
        </w:rPr>
        <w:t>=========</w:t>
        <w:tab/>
        <w:t>===========</w:t>
      </w:r>
    </w:p>
    <w:p>
      <w:pPr>
        <w:spacing w:after="0" w:line="342" w:lineRule="exact"/>
        <w:rPr>
          <w:sz w:val="20"/>
          <w:szCs w:val="20"/>
          <w:color w:val="auto"/>
        </w:rPr>
      </w:pPr>
    </w:p>
    <w:p>
      <w:pPr>
        <w:ind w:right="3299" w:firstLine="434"/>
        <w:spacing w:after="0" w:line="258" w:lineRule="auto"/>
        <w:rPr>
          <w:sz w:val="20"/>
          <w:szCs w:val="20"/>
          <w:color w:val="auto"/>
        </w:rPr>
      </w:pPr>
      <w:r>
        <w:rPr>
          <w:rFonts w:ascii="Courier New" w:cs="Courier New" w:eastAsia="Courier New" w:hAnsi="Courier New"/>
          <w:sz w:val="14"/>
          <w:szCs w:val="14"/>
          <w:color w:val="auto"/>
        </w:rPr>
        <w:t>Contracts in process are included in the accompanying balance sheets under the following captions (in thousands):</w:t>
      </w:r>
    </w:p>
    <w:p>
      <w:pPr>
        <w:spacing w:after="0" w:line="200" w:lineRule="exact"/>
        <w:rPr>
          <w:sz w:val="20"/>
          <w:szCs w:val="20"/>
          <w:color w:val="auto"/>
        </w:rPr>
      </w:pPr>
    </w:p>
    <w:p>
      <w:pPr>
        <w:spacing w:after="0" w:line="293"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4"/>
          <w:szCs w:val="14"/>
          <w:color w:val="auto"/>
        </w:rPr>
        <w:t>DECEMBER 31,</w:t>
      </w:r>
    </w:p>
    <w:p>
      <w:pPr>
        <w:spacing w:after="0" w:line="8" w:lineRule="exact"/>
        <w:rPr>
          <w:sz w:val="20"/>
          <w:szCs w:val="20"/>
          <w:color w:val="auto"/>
        </w:rPr>
      </w:pPr>
    </w:p>
    <w:p>
      <w:pPr>
        <w:ind w:left="53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480"/>
        <w:spacing w:after="0"/>
        <w:tabs>
          <w:tab w:leader="none" w:pos="64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ind w:left="5380"/>
        <w:spacing w:after="0"/>
        <w:tabs>
          <w:tab w:leader="none" w:pos="624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and estimated earnings in excess of billings on</w:t>
      </w:r>
    </w:p>
    <w:p>
      <w:pPr>
        <w:spacing w:after="0" w:line="8" w:lineRule="exact"/>
        <w:rPr>
          <w:sz w:val="20"/>
          <w:szCs w:val="20"/>
          <w:color w:val="auto"/>
        </w:rPr>
      </w:pPr>
    </w:p>
    <w:p>
      <w:pPr>
        <w:ind w:left="180"/>
        <w:spacing w:after="0"/>
        <w:tabs>
          <w:tab w:leader="none" w:pos="5360" w:val="left"/>
          <w:tab w:leader="none" w:pos="6240" w:val="left"/>
        </w:tabs>
        <w:rPr>
          <w:sz w:val="20"/>
          <w:szCs w:val="20"/>
          <w:color w:val="auto"/>
        </w:rPr>
      </w:pPr>
      <w:r>
        <w:rPr>
          <w:rFonts w:ascii="Courier New" w:cs="Courier New" w:eastAsia="Courier New" w:hAnsi="Courier New"/>
          <w:sz w:val="14"/>
          <w:szCs w:val="14"/>
          <w:color w:val="auto"/>
        </w:rPr>
        <w:t>uncompleted contracts.....................................</w:t>
        <w:tab/>
        <w:t>$ 8,985</w:t>
        <w:tab/>
        <w:t>$127,975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Billings in excess of costs and estimated earnings on</w:t>
      </w:r>
    </w:p>
    <w:p>
      <w:pPr>
        <w:spacing w:after="0" w:line="8" w:lineRule="exact"/>
        <w:rPr>
          <w:sz w:val="20"/>
          <w:szCs w:val="20"/>
          <w:color w:val="auto"/>
        </w:rPr>
      </w:pPr>
    </w:p>
    <w:p>
      <w:pPr>
        <w:ind w:left="180"/>
        <w:spacing w:after="0"/>
        <w:tabs>
          <w:tab w:leader="none" w:pos="5460" w:val="left"/>
          <w:tab w:leader="none" w:pos="6320" w:val="left"/>
        </w:tabs>
        <w:rPr>
          <w:sz w:val="20"/>
          <w:szCs w:val="20"/>
          <w:color w:val="auto"/>
        </w:rPr>
      </w:pPr>
      <w:r>
        <w:rPr>
          <w:rFonts w:ascii="Courier New" w:cs="Courier New" w:eastAsia="Courier New" w:hAnsi="Courier New"/>
          <w:sz w:val="14"/>
          <w:szCs w:val="14"/>
          <w:color w:val="auto"/>
        </w:rPr>
        <w:t>uncompleted contracts (included in deferred revenues).....</w:t>
        <w:tab/>
        <w:t>(3,394)</w:t>
        <w:tab/>
        <w:t>(29,612)</w:t>
      </w:r>
    </w:p>
    <w:p>
      <w:pPr>
        <w:spacing w:after="0" w:line="8" w:lineRule="exact"/>
        <w:rPr>
          <w:sz w:val="20"/>
          <w:szCs w:val="20"/>
          <w:color w:val="auto"/>
        </w:rPr>
      </w:pPr>
    </w:p>
    <w:p>
      <w:pPr>
        <w:ind w:left="5380"/>
        <w:spacing w:after="0"/>
        <w:tabs>
          <w:tab w:leader="none" w:pos="6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left="880"/>
        <w:spacing w:after="0"/>
        <w:tabs>
          <w:tab w:leader="none" w:pos="5360" w:val="left"/>
          <w:tab w:leader="none" w:pos="6240" w:val="left"/>
        </w:tabs>
        <w:rPr>
          <w:sz w:val="20"/>
          <w:szCs w:val="20"/>
          <w:color w:val="auto"/>
        </w:rPr>
      </w:pPr>
      <w:r>
        <w:rPr>
          <w:rFonts w:ascii="Courier New" w:cs="Courier New" w:eastAsia="Courier New" w:hAnsi="Courier New"/>
          <w:sz w:val="14"/>
          <w:szCs w:val="14"/>
          <w:color w:val="auto"/>
        </w:rPr>
        <w:t>Total contracts in process........................</w:t>
        <w:tab/>
        <w:t>$ 5,591</w:t>
        <w:tab/>
        <w:t>$ 98,363</w:t>
      </w:r>
    </w:p>
    <w:p>
      <w:pPr>
        <w:spacing w:after="0" w:line="8" w:lineRule="exact"/>
        <w:rPr>
          <w:sz w:val="20"/>
          <w:szCs w:val="20"/>
          <w:color w:val="auto"/>
        </w:rPr>
      </w:pPr>
    </w:p>
    <w:p>
      <w:pPr>
        <w:ind w:left="5380"/>
        <w:spacing w:after="0"/>
        <w:tabs>
          <w:tab w:leader="none" w:pos="6240" w:val="left"/>
        </w:tabs>
        <w:rPr>
          <w:sz w:val="20"/>
          <w:szCs w:val="20"/>
          <w:color w:val="auto"/>
        </w:rPr>
      </w:pPr>
      <w:r>
        <w:rPr>
          <w:rFonts w:ascii="Courier New" w:cs="Courier New" w:eastAsia="Courier New" w:hAnsi="Courier New"/>
          <w:sz w:val="14"/>
          <w:szCs w:val="14"/>
          <w:color w:val="auto"/>
        </w:rPr>
        <w:t>=======</w:t>
        <w:tab/>
        <w:t>========</w:t>
      </w:r>
    </w:p>
    <w:p>
      <w:pPr>
        <w:spacing w:after="0" w:line="342"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As of December 31, 1999, all contracts in process are expected to be billed and collected within two years.</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Income taxes -- Deferred income taxes are determined based on the difference between the financial reporting and tax bases of assets and liabilities. Deferred income tax expense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Foreign currency -- The functional currency of the majority of the Company's foreign operations is the local currency of the country in which the Company operates. Adjustments resulting from the translation of financial information are included in comprehensive income.</w:t>
      </w:r>
    </w:p>
    <w:p>
      <w:pPr>
        <w:spacing w:after="0" w:line="163"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Revenue recognition -- The Company recognizes revenues on service contracts as services are provided. Amounts billed and collected prior to services being performed are included in deferred revenues. Results</w:t>
      </w:r>
    </w:p>
    <w:p>
      <w:pPr>
        <w:sectPr>
          <w:pgSz w:w="11900" w:h="16838" w:orient="portrait"/>
          <w:cols w:equalWidth="0" w:num="1">
            <w:col w:w="10159"/>
          </w:cols>
          <w:pgMar w:left="300" w:top="286" w:right="1440" w:bottom="1440" w:gutter="0" w:footer="0" w:header="0"/>
        </w:sectPr>
      </w:pP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69</w:t>
      </w:r>
    </w:p>
    <w:p>
      <w:pPr>
        <w:sectPr>
          <w:pgSz w:w="11900" w:h="16838" w:orient="portrait"/>
          <w:cols w:equalWidth="0" w:num="1">
            <w:col w:w="10159"/>
          </w:cols>
          <w:pgMar w:left="300" w:top="286"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72</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from long-term contracts involving a substantial construction component are recorded on the percentage-of-completion basis. Changes in project performance and conditions, estimated profitability and final contract settlements may result in future revisions to long-term construction contract costs and income.</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Capitalized interest -- Interest is capitalized on certain projects under development including greenfield landfill projects and probable landfill expansion projects, and on certain assets under construction, including operating landfills and waste-to-energy facilities. The capitalization of interest for operating landfills is based on the costs incurred on discrete cell construction projects, plus an allocated portion of the common site costs. The common site costs include the development costs of a greenfield site or the purchase price of an operating landfill, and the ongoing infrastructure costs benefiting the lifecycle of the landfill. Cell construction costs include the construction of cell liners and final capping during the operating life of the site. During 1999, 1998, and 1997, total interest costs were $804.0 million, $723.0 million and $607.0 million, respectively, of which $34.3 million, $41.5 million and $51.4 million were capitalized, respectively.</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Cumulative Effect of Change in Accounting Principle -- In the fourth quarter of 1997, the Company began expensing process reengineering costs in accordance with the Financial Accounting Standards Board Emerging Issues Task Force Issue No. 97-13. Accordingly, the Company expensed any amounts previously capitalized, which reduced net income by $1.9 million in 1997.</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New accounting pronouncements -- In June 1998, SFAS No. 133, Accounting for Derivative Instruments and Hedging Activities was issued.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as amended by SFAS No. 137, is effective for the Company in its first fiscal quarter of 2001. Management is currently assessing the impact that the adoption of SFAS No. 133 will have on the Company's financial statements.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BUSINESS COMBINATIONS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Pooling of Interests Transactions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On December 31, 1998, the Company consummated the Eastern Merger, which was accounted for as a pooling of interests, and accordingly, the accompanying financial statements include the accounts and operations of Eastern for all periods presented. Under the terms of the Eastern Merger, the Company issued</w:t>
      </w:r>
    </w:p>
    <w:p>
      <w:pPr>
        <w:spacing w:after="0" w:line="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0.6406 of a share of its common stock for each share of Eastern's outstanding common stock. Prior to the Eastern Merger, the Company owned approximately 1.3% of Eastern's outstanding shares, which were canceled on the effective date of the Eastern Merger. The Eastern Merger increased the Company's outstanding shares of common stock by approximately 24.5 million shares, and the Company assumed Eastern's stock options equivalent to approximately 2.3 million underlying shares of the Company's common stock. The results of operations for Eastern prior to consummation of the Eastern Merger for the restated periods are as follows (in thousands):</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NINE MONTHS ENDED</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SEPTEMBER 30, 1998</w:t>
      </w:r>
    </w:p>
    <w:p>
      <w:pPr>
        <w:spacing w:after="0" w:line="8"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(UNAUDITED)</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YEAR 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6860" w:space="260"/>
            <w:col w:w="303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Operating revenues.........................................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from continuing operations before income taxes......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jc w:val="right"/>
        <w:ind w:right="320"/>
        <w:spacing w:after="0"/>
        <w:rPr>
          <w:sz w:val="20"/>
          <w:szCs w:val="20"/>
          <w:color w:val="auto"/>
        </w:rPr>
      </w:pPr>
      <w:r>
        <w:rPr>
          <w:rFonts w:ascii="Courier New" w:cs="Courier New" w:eastAsia="Courier New" w:hAnsi="Courier New"/>
          <w:sz w:val="14"/>
          <w:szCs w:val="14"/>
          <w:color w:val="auto"/>
        </w:rPr>
        <w:t>$227,821</w:t>
      </w:r>
    </w:p>
    <w:p>
      <w:pPr>
        <w:spacing w:after="0" w:line="8"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34,121</w:t>
      </w:r>
    </w:p>
    <w:p>
      <w:pPr>
        <w:spacing w:after="0" w:line="8"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17,483</w:t>
      </w:r>
    </w:p>
    <w:p>
      <w:pPr>
        <w:spacing w:after="0" w:line="20" w:lineRule="exact"/>
        <w:rPr>
          <w:sz w:val="20"/>
          <w:szCs w:val="20"/>
          <w:color w:val="auto"/>
        </w:rPr>
      </w:pPr>
      <w:r>
        <w:rPr>
          <w:sz w:val="20"/>
          <w:szCs w:val="20"/>
          <w:color w:val="auto"/>
        </w:rPr>
        <w:br w:type="column"/>
      </w:r>
    </w:p>
    <w:p>
      <w:pPr>
        <w:jc w:val="right"/>
        <w:ind w:right="1999"/>
        <w:spacing w:after="0"/>
        <w:rPr>
          <w:sz w:val="20"/>
          <w:szCs w:val="20"/>
          <w:color w:val="auto"/>
        </w:rPr>
      </w:pPr>
      <w:r>
        <w:rPr>
          <w:rFonts w:ascii="Courier New" w:cs="Courier New" w:eastAsia="Courier New" w:hAnsi="Courier New"/>
          <w:sz w:val="14"/>
          <w:szCs w:val="14"/>
          <w:color w:val="auto"/>
        </w:rPr>
        <w:t>$170,148</w:t>
      </w:r>
    </w:p>
    <w:p>
      <w:pPr>
        <w:spacing w:after="0" w:line="8"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4"/>
          <w:szCs w:val="14"/>
          <w:color w:val="auto"/>
        </w:rPr>
        <w:t>6,016</w:t>
      </w:r>
    </w:p>
    <w:p>
      <w:pPr>
        <w:spacing w:after="0" w:line="8"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4"/>
          <w:szCs w:val="14"/>
          <w:color w:val="auto"/>
        </w:rPr>
        <w:t>4,139</w:t>
      </w:r>
    </w:p>
    <w:p>
      <w:pPr>
        <w:spacing w:after="0" w:line="200" w:lineRule="exact"/>
        <w:rPr>
          <w:sz w:val="20"/>
          <w:szCs w:val="20"/>
          <w:color w:val="auto"/>
        </w:rPr>
      </w:pPr>
    </w:p>
    <w:p>
      <w:pPr>
        <w:sectPr>
          <w:pgSz w:w="11900" w:h="16838" w:orient="portrait"/>
          <w:cols w:equalWidth="0" w:num="3">
            <w:col w:w="5120" w:space="620"/>
            <w:col w:w="1020" w:space="720"/>
            <w:col w:w="2679"/>
          </w:cols>
          <w:pgMar w:left="300" w:top="286" w:right="1440" w:bottom="1440" w:gutter="0" w:footer="0" w:header="0"/>
          <w:type w:val="continuous"/>
        </w:sectPr>
      </w:pPr>
    </w:p>
    <w:p>
      <w:pPr>
        <w:spacing w:after="0" w:line="142"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Prior to December 31, 1997, Eastern reported on a June 30 fiscal year-end. The accounts of Eastern for its 1997 fiscal year have been consolidated with the accounts of the Company as of and for the year ended December 31, 1997. Operating revenues and net income for Eastern for the six-month period ended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159"/>
          </w:cols>
          <w:pgMar w:left="300" w:top="286"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73</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December 31, 1997, were approximately $119.5 million and $5.3 million, respectively. Accordingly, an adjustment is included in the Company's 1998 financial statements for this six-month period. In addition, Eastern issued shares of its common stock in connection with acquisitions and a public offering during that six-month period.</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On July 16, 1998, the Company consummated a merger with WM Holdings, which was accounted for as a pooling of interests and, accordingly, the accompanying financial statements include the accounts and operations of WM Holdings for all periods presented. Under the terms of the WM Holdings Merger, the Company issued 0.725 of a share of its common stock for each share of WM Holdings outstanding common stock. The WM Holdings Merger increased the Company's outstanding shares of common stock by approximately 354.0 million shares, and the Company assumed WM Holdings' stock options equivalent to approximately 16.0 million underlying shares of the Company's common stock. Any unvested WM Holdings' stock options granted prior to March 10, 1998 vested upon consummation of the WM Holdings Merger due to change of control provisions. The results of operations for WM Holdings prior to consummation of the WM Holdings Merger for the restated periods are as follows (in thousands):</w:t>
      </w:r>
    </w:p>
    <w:p>
      <w:pPr>
        <w:spacing w:after="0" w:line="200" w:lineRule="exact"/>
        <w:rPr>
          <w:sz w:val="20"/>
          <w:szCs w:val="20"/>
          <w:color w:val="auto"/>
        </w:rPr>
      </w:pPr>
    </w:p>
    <w:p>
      <w:pPr>
        <w:spacing w:after="0" w:line="297" w:lineRule="exact"/>
        <w:rPr>
          <w:sz w:val="20"/>
          <w:szCs w:val="20"/>
          <w:color w:val="auto"/>
        </w:rPr>
      </w:pPr>
    </w:p>
    <w:p>
      <w:pPr>
        <w:jc w:val="right"/>
        <w:ind w:right="1999"/>
        <w:spacing w:after="0"/>
        <w:tabs>
          <w:tab w:leader="none" w:pos="120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YEAR ENDED</w:t>
      </w:r>
    </w:p>
    <w:p>
      <w:pPr>
        <w:spacing w:after="0" w:line="8" w:lineRule="exact"/>
        <w:rPr>
          <w:sz w:val="20"/>
          <w:szCs w:val="20"/>
          <w:color w:val="auto"/>
        </w:rPr>
      </w:pPr>
    </w:p>
    <w:p>
      <w:pPr>
        <w:jc w:val="right"/>
        <w:ind w:right="1639"/>
        <w:spacing w:after="0"/>
        <w:tabs>
          <w:tab w:leader="none" w:pos="1460" w:val="left"/>
        </w:tabs>
        <w:rPr>
          <w:sz w:val="20"/>
          <w:szCs w:val="20"/>
          <w:color w:val="auto"/>
        </w:rPr>
      </w:pPr>
      <w:r>
        <w:rPr>
          <w:rFonts w:ascii="Courier New" w:cs="Courier New" w:eastAsia="Courier New" w:hAnsi="Courier New"/>
          <w:sz w:val="14"/>
          <w:szCs w:val="14"/>
          <w:color w:val="auto"/>
        </w:rPr>
        <w:t>MARCH 31, 1998</w:t>
      </w:r>
      <w:r>
        <w:rPr>
          <w:sz w:val="20"/>
          <w:szCs w:val="20"/>
          <w:color w:val="auto"/>
        </w:rPr>
        <w:tab/>
      </w:r>
      <w:r>
        <w:rPr>
          <w:rFonts w:ascii="Courier New" w:cs="Courier New" w:eastAsia="Courier New" w:hAnsi="Courier New"/>
          <w:sz w:val="14"/>
          <w:szCs w:val="14"/>
          <w:color w:val="auto"/>
        </w:rPr>
        <w:t>DECEMBER 31, 1997</w:t>
      </w:r>
    </w:p>
    <w:p>
      <w:pPr>
        <w:spacing w:after="0" w:line="8" w:lineRule="exact"/>
        <w:rPr>
          <w:sz w:val="20"/>
          <w:szCs w:val="20"/>
          <w:color w:val="auto"/>
        </w:rPr>
      </w:pPr>
    </w:p>
    <w:p>
      <w:pPr>
        <w:ind w:left="5220"/>
        <w:spacing w:after="0"/>
        <w:tabs>
          <w:tab w:leader="none" w:pos="70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(UNAUDITED)</w:t>
      </w:r>
    </w:p>
    <w:p>
      <w:pPr>
        <w:spacing w:after="0" w:line="175" w:lineRule="exact"/>
        <w:rPr>
          <w:sz w:val="20"/>
          <w:szCs w:val="20"/>
          <w:color w:val="auto"/>
        </w:rPr>
      </w:pPr>
    </w:p>
    <w:p>
      <w:pPr>
        <w:spacing w:after="0"/>
        <w:tabs>
          <w:tab w:leader="none" w:pos="5540" w:val="left"/>
          <w:tab w:leader="none" w:pos="7280" w:val="left"/>
        </w:tabs>
        <w:rPr>
          <w:sz w:val="20"/>
          <w:szCs w:val="20"/>
          <w:color w:val="auto"/>
        </w:rPr>
      </w:pPr>
      <w:r>
        <w:rPr>
          <w:rFonts w:ascii="Courier New" w:cs="Courier New" w:eastAsia="Courier New" w:hAnsi="Courier New"/>
          <w:sz w:val="14"/>
          <w:szCs w:val="14"/>
          <w:color w:val="auto"/>
        </w:rPr>
        <w:t>Operating revenues........................................</w:t>
      </w:r>
      <w:r>
        <w:rPr>
          <w:sz w:val="20"/>
          <w:szCs w:val="20"/>
          <w:color w:val="auto"/>
        </w:rPr>
        <w:tab/>
      </w:r>
      <w:r>
        <w:rPr>
          <w:rFonts w:ascii="Courier New" w:cs="Courier New" w:eastAsia="Courier New" w:hAnsi="Courier New"/>
          <w:sz w:val="14"/>
          <w:szCs w:val="14"/>
          <w:color w:val="auto"/>
        </w:rPr>
        <w:t>$2,131,621</w:t>
      </w:r>
      <w:r>
        <w:rPr>
          <w:sz w:val="20"/>
          <w:szCs w:val="20"/>
          <w:color w:val="auto"/>
        </w:rPr>
        <w:tab/>
      </w:r>
      <w:r>
        <w:rPr>
          <w:rFonts w:ascii="Courier New" w:cs="Courier New" w:eastAsia="Courier New" w:hAnsi="Courier New"/>
          <w:sz w:val="14"/>
          <w:szCs w:val="14"/>
          <w:color w:val="auto"/>
        </w:rPr>
        <w:t>$ 9,188,582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 from continuing operations before income</w:t>
      </w:r>
    </w:p>
    <w:p>
      <w:pPr>
        <w:spacing w:after="0" w:line="8" w:lineRule="exact"/>
        <w:rPr>
          <w:sz w:val="20"/>
          <w:szCs w:val="20"/>
          <w:color w:val="auto"/>
        </w:rPr>
      </w:pPr>
    </w:p>
    <w:p>
      <w:pPr>
        <w:ind w:left="180"/>
        <w:spacing w:after="0"/>
        <w:tabs>
          <w:tab w:leader="none" w:pos="5800" w:val="left"/>
          <w:tab w:leader="none" w:pos="7360" w:val="left"/>
        </w:tabs>
        <w:rPr>
          <w:sz w:val="20"/>
          <w:szCs w:val="20"/>
          <w:color w:val="auto"/>
        </w:rPr>
      </w:pP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4"/>
          <w:szCs w:val="14"/>
          <w:color w:val="auto"/>
        </w:rPr>
        <w:t>170,968</w:t>
      </w:r>
      <w:r>
        <w:rPr>
          <w:sz w:val="20"/>
          <w:szCs w:val="20"/>
          <w:color w:val="auto"/>
        </w:rPr>
        <w:tab/>
      </w:r>
      <w:r>
        <w:rPr>
          <w:rFonts w:ascii="Courier New" w:cs="Courier New" w:eastAsia="Courier New" w:hAnsi="Courier New"/>
          <w:sz w:val="14"/>
          <w:szCs w:val="14"/>
          <w:color w:val="auto"/>
        </w:rPr>
        <w:t>(1,053,673)</w:t>
      </w:r>
    </w:p>
    <w:p>
      <w:pPr>
        <w:spacing w:after="0" w:line="8" w:lineRule="exact"/>
        <w:rPr>
          <w:sz w:val="20"/>
          <w:szCs w:val="20"/>
          <w:color w:val="auto"/>
        </w:rPr>
      </w:pPr>
    </w:p>
    <w:p>
      <w:pPr>
        <w:spacing w:after="0"/>
        <w:tabs>
          <w:tab w:leader="none" w:pos="5880" w:val="left"/>
          <w:tab w:leader="none" w:pos="7360" w:val="left"/>
        </w:tabs>
        <w:rPr>
          <w:sz w:val="20"/>
          <w:szCs w:val="20"/>
          <w:color w:val="auto"/>
        </w:rPr>
      </w:pPr>
      <w:r>
        <w:rPr>
          <w:rFonts w:ascii="Courier New" w:cs="Courier New" w:eastAsia="Courier New" w:hAnsi="Courier New"/>
          <w:sz w:val="14"/>
          <w:szCs w:val="14"/>
          <w:color w:val="auto"/>
        </w:rPr>
        <w:t>Net income (loss).........................................</w:t>
      </w:r>
      <w:r>
        <w:rPr>
          <w:sz w:val="20"/>
          <w:szCs w:val="20"/>
          <w:color w:val="auto"/>
        </w:rPr>
        <w:tab/>
      </w:r>
      <w:r>
        <w:rPr>
          <w:rFonts w:ascii="Courier New" w:cs="Courier New" w:eastAsia="Courier New" w:hAnsi="Courier New"/>
          <w:sz w:val="14"/>
          <w:szCs w:val="14"/>
          <w:color w:val="auto"/>
        </w:rPr>
        <w:t>74,417</w:t>
      </w:r>
      <w:r>
        <w:rPr>
          <w:sz w:val="20"/>
          <w:szCs w:val="20"/>
          <w:color w:val="auto"/>
        </w:rPr>
        <w:tab/>
      </w:r>
      <w:r>
        <w:rPr>
          <w:rFonts w:ascii="Courier New" w:cs="Courier New" w:eastAsia="Courier New" w:hAnsi="Courier New"/>
          <w:sz w:val="14"/>
          <w:szCs w:val="14"/>
          <w:color w:val="auto"/>
        </w:rPr>
        <w:t>(1,176,104)</w:t>
      </w:r>
    </w:p>
    <w:p>
      <w:pPr>
        <w:spacing w:after="0" w:line="34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1999, the Company incurred approximately $44.6 million in merger costs primarily related to the WM Holdings Merger and the Eastern Merger. The table below reflects the amounts charged to merger costs in 1998 related to the WM Holdings Merger and the Eastern Merger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WM</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HOLDINGS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EASTERN</w:t>
            </w:r>
          </w:p>
        </w:tc>
      </w:tr>
      <w:tr>
        <w:trPr>
          <w:trHeight w:val="167"/>
        </w:trPr>
        <w:tc>
          <w:tcPr>
            <w:tcW w:w="53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CHARGES IN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CHARGES IN</w:t>
            </w:r>
          </w:p>
        </w:tc>
      </w:tr>
      <w:tr>
        <w:trPr>
          <w:trHeight w:val="167"/>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3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Transaction or deal costs, primarily professional fees and</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filing fees...............................................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124,100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$ 14,300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Employee severance, separation and transitional costs.......</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323,900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25,500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Restructuring charges relating to the consolidation and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relocation of operations, and the transition and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implementation of information systems.....................</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166,900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20,500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Estimated loss on the sale of:</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Assets to comply with governmental orders.................</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255,000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32,200</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Duplicate facilities and related leasehold improvements...</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188,900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29,300</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Duplicate revenue producing assets........................</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32,400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Provision for the abandonment of:</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Revenue producing assets..................................</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126,600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3,000</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Non-revenue producing assets, consisting of landfill</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projects and leasehold improvements which were</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determined to be duplicative assets from the related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merger.................................................</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263,000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6,500</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Other assets, consisting primarily of computer hardware</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and software costs which have no future value..........</w:t>
            </w:r>
          </w:p>
        </w:tc>
        <w:tc>
          <w:tcPr>
            <w:tcW w:w="3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150,300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w:t>
            </w:r>
          </w:p>
        </w:tc>
      </w:tr>
      <w:tr>
        <w:trPr>
          <w:trHeight w:val="167"/>
        </w:trPr>
        <w:tc>
          <w:tcPr>
            <w:tcW w:w="530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880"/>
              <w:spacing w:after="0"/>
              <w:rPr>
                <w:sz w:val="20"/>
                <w:szCs w:val="20"/>
                <w:color w:val="auto"/>
              </w:rPr>
            </w:pPr>
            <w:r>
              <w:rPr>
                <w:rFonts w:ascii="Courier New" w:cs="Courier New" w:eastAsia="Courier New" w:hAnsi="Courier New"/>
                <w:sz w:val="14"/>
                <w:szCs w:val="14"/>
                <w:color w:val="auto"/>
              </w:rPr>
              <w:t>Total.............................................</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$1,624,900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$165,200</w:t>
            </w:r>
          </w:p>
        </w:tc>
      </w:tr>
      <w:tr>
        <w:trPr>
          <w:trHeight w:val="167"/>
        </w:trPr>
        <w:tc>
          <w:tcPr>
            <w:tcW w:w="5300" w:type="dxa"/>
            <w:vAlign w:val="bottom"/>
          </w:tcPr>
          <w:p>
            <w:pPr>
              <w:spacing w:after="0"/>
              <w:rPr>
                <w:sz w:val="14"/>
                <w:szCs w:val="14"/>
                <w:color w:val="auto"/>
              </w:rPr>
            </w:pP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Merger and acquisition related costs include estimates for anticipated losses from the sales of assets pursuant to governmental orders and other asset divestiture plans. These anticipated losses have been estimated based on the Company's assessment of relevant facts and circumstances, including consideration of</w:t>
      </w:r>
    </w:p>
    <w:p>
      <w:pPr>
        <w:sectPr>
          <w:pgSz w:w="11900" w:h="16838" w:orient="portrait"/>
          <w:cols w:equalWidth="0" w:num="1">
            <w:col w:w="10159"/>
          </w:cols>
          <w:pgMar w:left="300" w:top="286" w:right="1440" w:bottom="1440" w:gutter="0" w:footer="0" w:header="0"/>
        </w:sectPr>
      </w:pP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71</w:t>
      </w:r>
    </w:p>
    <w:p>
      <w:pPr>
        <w:sectPr>
          <w:pgSz w:w="11900" w:h="16838" w:orient="portrait"/>
          <w:cols w:equalWidth="0" w:num="1">
            <w:col w:w="10159"/>
          </w:cols>
          <w:pgMar w:left="300" w:top="286"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74</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the various provisions of asset sale agreements. In certain instances, the asset sale agreements contain contingencies, the resolution of which are uncertain and may materially change the proceeds which the Company will ultimately receive.</w:t>
      </w:r>
    </w:p>
    <w:p>
      <w:pPr>
        <w:spacing w:after="0" w:line="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During the second quarter of 1999, the Company resolved an outstanding contingency regarding its governmentally-ordered sale of assets to Republic Services, Inc., which reduced the previously reported loss on that sale by approximately $80.0 million. Offsetting this amount in the same quarter, the Company (i) consummated its sale of 51% of its non-land disposal hazardous waste operations and on-site industrial cleaning services to Vivendi S.A. which resulted in losses of approximately $79 million greater than previously estimated; (ii) increased its anticipated losses by approximately $14 million related to the assets required to be sold pursuant to the Eastern Merger; and (iii) decreased other anticipated losses by approximately $13 million.</w:t>
      </w:r>
    </w:p>
    <w:p>
      <w:pPr>
        <w:spacing w:after="0" w:line="164"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Furthermore, the Company recorded certain unusual charges of $864.1 million in 1998 that were primarily, yet indirectly, related to the WM Holdings Merger as discussed in Note 15.</w:t>
      </w:r>
    </w:p>
    <w:p>
      <w:pPr>
        <w:spacing w:after="0" w:line="16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On August 26, 1997, the Company consummated a merger with United Waste Systems, Inc. ("United") which was accounted for as a pooling of interests (the "United Merger") and, accordingly, the accompanying financial statements include the accounts and operations of United for all periods presented. Under the terms of the United Merger, the Company issued 1.075 shares of its common stock for each outstanding share of United common stock. Additionally, at the effective date of the United Merger, United stock options, whether or not such stock options had vested or had become exercisable, were canceled in exchange for shares of the Company's common stock equal in market value to the fair value of such United stock options, as determined by an independent third party. The United Merger increased the Company's outstanding shares of common stock by approximately 51.9 million shares, which includes approximately 1.9 million shares exchanged for the United stock options. In the third quarter of 1997, the Company incurred approximately $89.2 million in merger costs associated with the United Merger. Of this amount, $17.6 million was for transaction costs, $26.2 million for severance and other termination benefits, $21.6 million for integration of operations, and $23.8 million for disposal of duplicate facilities and impaired assets as a result of the United Merger. The results of operations for United prior to consummation of the United Merger for the restated periods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SIX MONTHS ENDED</w:t>
            </w:r>
          </w:p>
        </w:tc>
      </w:tr>
      <w:tr>
        <w:trPr>
          <w:trHeight w:val="167"/>
        </w:trPr>
        <w:tc>
          <w:tcPr>
            <w:tcW w:w="4660" w:type="dxa"/>
            <w:vAlign w:val="bottom"/>
          </w:tcPr>
          <w:p>
            <w:pPr>
              <w:spacing w:after="0"/>
              <w:rPr>
                <w:sz w:val="14"/>
                <w:szCs w:val="14"/>
                <w:color w:val="auto"/>
              </w:rPr>
            </w:pP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4660" w:type="dxa"/>
            <w:vAlign w:val="bottom"/>
          </w:tcPr>
          <w:p>
            <w:pPr>
              <w:spacing w:after="0"/>
              <w:rPr>
                <w:sz w:val="14"/>
                <w:szCs w:val="14"/>
                <w:color w:val="auto"/>
              </w:rPr>
            </w:pPr>
          </w:p>
        </w:tc>
        <w:tc>
          <w:tcPr>
            <w:tcW w:w="15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660" w:type="dxa"/>
            <w:vAlign w:val="bottom"/>
          </w:tcPr>
          <w:p>
            <w:pPr>
              <w:spacing w:after="0"/>
              <w:rPr>
                <w:sz w:val="14"/>
                <w:szCs w:val="14"/>
                <w:color w:val="auto"/>
              </w:rPr>
            </w:pP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spacing w:after="0"/>
              <w:rPr>
                <w:sz w:val="14"/>
                <w:szCs w:val="14"/>
                <w:color w:val="auto"/>
              </w:rPr>
            </w:pPr>
          </w:p>
        </w:tc>
        <w:tc>
          <w:tcPr>
            <w:tcW w:w="15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(UNAUDITED)</w:t>
            </w: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5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$216,619</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23,849</w:t>
            </w:r>
          </w:p>
        </w:tc>
      </w:tr>
    </w:tbl>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Purchase Acquisitions and Acquisitions of Minority Interests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During 1999, the Company consummated over 240 acquisitions that were accounted for under the purchase method of accounting. The total cost of acquisitions was approximately $1.4 billion, which included cash paid, common stock issued and debt assumed.</w:t>
      </w:r>
    </w:p>
    <w:p>
      <w:pPr>
        <w:spacing w:after="0" w:line="163"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Company consummated purchases of outstanding minority interest and numerous acquisitions in 1998 that were accounted for under the purchase method of accounting. The total cost of all acquisitions accounted for under the purchase method of accounting, and completed purchases of outstanding minority interests, was approximately $4.1 billion in 1998.</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 forma information set forth below assumes acquisitions in 1999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accounted for as if the purchases had occurred at the beginning of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 forma information is presented for informational</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159"/>
          </w:cols>
          <w:pgMar w:left="300" w:top="286"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75</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5220" w:type="dxa"/>
            <w:vAlign w:val="bottom"/>
          </w:tcPr>
          <w:p>
            <w:pPr>
              <w:spacing w:after="0"/>
              <w:rPr>
                <w:sz w:val="14"/>
                <w:szCs w:val="14"/>
                <w:color w:val="auto"/>
              </w:rPr>
            </w:pPr>
          </w:p>
        </w:tc>
        <w:tc>
          <w:tcPr>
            <w:tcW w:w="2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22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2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(UNAUDITED)</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(UNAUDITED)</w:t>
            </w:r>
          </w:p>
        </w:tc>
      </w:tr>
      <w:tr>
        <w:trPr>
          <w:trHeight w:val="334"/>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revenues.........................................</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$13,423,975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$13,824,390</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Loss from continuing operations............................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(376,238)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(688,379)</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(378,751)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(692,279)</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Basic loss per common share:</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Loss from continuing operations..........................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Diluted loss per common share:</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Loss from continuing operations..........................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PROPERTY AND EQUIPMENT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and equipment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22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2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Land and landfills.........................................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8,009,123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$ 8,358,535</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Vehicles...................................................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2,761,866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2,889,029</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2,254,390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3,069,041</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Containers.................................................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1,871,228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1,846,226</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1,383,203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1,624,614</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189,466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509,137</w:t>
            </w:r>
          </w:p>
        </w:tc>
      </w:tr>
      <w:tr>
        <w:trPr>
          <w:trHeight w:val="167"/>
        </w:trPr>
        <w:tc>
          <w:tcPr>
            <w:tcW w:w="52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16,469,276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18,296,582</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6,165,473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6,670,925</w:t>
            </w:r>
          </w:p>
        </w:tc>
      </w:tr>
      <w:tr>
        <w:trPr>
          <w:trHeight w:val="167"/>
        </w:trPr>
        <w:tc>
          <w:tcPr>
            <w:tcW w:w="52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10,303,803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$11,625,657</w:t>
            </w:r>
          </w:p>
        </w:tc>
      </w:tr>
      <w:tr>
        <w:trPr>
          <w:trHeight w:val="167"/>
        </w:trPr>
        <w:tc>
          <w:tcPr>
            <w:tcW w:w="52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Depreciation and amortization expense for property and equipment was $1.3 billion for each of 1999 and 1998, and $1.2 billion for 1997.</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exclusion of certain landfill expansions from the airspace amortization estimates due to more stringent criteria (see Note 3) and related business judgements regarding probable success increased depreciation and amortization expense and the provision for final closure and post-closure (included in operating expenses) in the second half of 1999. The exclusions of these expansions also resulted in the Company recognizing $32.6 million in landfill impairments in the third quarter of 1999 (see Note 2).</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Effective October 1, 1997, the Board of Directors of WM Holdings approved a revision to WM Holdings' North American collection fleet management policy. Under the revised policy, WM Holdings replaced front-end loaders after eight years, and rear-end loaders and roll-off trucks after ten years. The previous policy was to not replace front-end loaders before they were a minimum of ten years old and other heavy collection vehicles before they were a minimum of 12 years old. As a result of this decision, the Company recognized an impairment writedown of $70.9 million in the fourth quarter of 1997 for those vehicles scheduled for replacement in the next two years under the new policy. Depreciable lives were adjusted for the WM Holdings' fleet commencing in the fourth quarter of 1997 to reflect the new policy. Also effective October 1, 1997, WM Holdings reduced depreciable lives on containers from 15 and 20 years to 12 years, and ceased assigning salvage value in computing depreciation on North American collection vehicles or containers. These changes in estimates resulted in an increase in depreciation expense of $33.7 million in the fourth quarter of 1997.</w:t>
      </w:r>
    </w:p>
    <w:p>
      <w:pPr>
        <w:sectPr>
          <w:pgSz w:w="11900" w:h="16838" w:orient="portrait"/>
          <w:cols w:equalWidth="0" w:num="1">
            <w:col w:w="10159"/>
          </w:cols>
          <w:pgMar w:left="300" w:top="286" w:right="1440" w:bottom="1440" w:gutter="0" w:footer="0" w:header="0"/>
        </w:sectPr>
      </w:pPr>
    </w:p>
    <w:p>
      <w:pPr>
        <w:spacing w:after="0" w:line="33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73</w:t>
      </w:r>
    </w:p>
    <w:p>
      <w:pPr>
        <w:sectPr>
          <w:pgSz w:w="11900" w:h="16838" w:orient="portrait"/>
          <w:cols w:equalWidth="0" w:num="1">
            <w:col w:w="10159"/>
          </w:cols>
          <w:pgMar w:left="300" w:top="286" w:right="1440" w:bottom="1440"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76</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Upon consummation of the WM Holdings Merger, WM Holdings' replacement policies were conformed with that of the Company, which are materially consistent with the revised WM Holdings' policy stated above.</w:t>
      </w:r>
    </w:p>
    <w:p>
      <w:pPr>
        <w:spacing w:after="0" w:line="162"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Also effective October 1, 1997, WM Holdings changed its process of evaluating the probability that airspace from expansions would be permitted. This change in estimate decreased the useful lives of certain WM Holdings landfills and increased depreciation and amortization expense and the provision for final closure and post-closure by $15.8 million in the fourth quarter of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LONG-TERM DEBT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debt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Bank credit facilities.....................................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2,250,000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$ 1,903,100</w:t>
            </w: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Commercial paper, average interest of 5.5% in 1999 and 5.7%</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 1998..................................................</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21,899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840,108</w:t>
            </w:r>
          </w:p>
        </w:tc>
      </w:tr>
      <w:tr>
        <w:trPr>
          <w:trHeight w:val="167"/>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Senior notes and debentures, interest of 6% to 8 3/4%</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through 2029.............................................</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6,749,785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5,959,884</w:t>
            </w: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 Convertible subordinated notes due 2002.................</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535,275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535,275</w:t>
            </w: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 1/2% Convertible subordinated notes due 2001.............</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148,370</w:t>
            </w: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 Convertible subordinated debentures due 2006............</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114,445</w:t>
            </w: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5.75% Convertible subordinated notes due 2005..............</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426,726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453,680</w:t>
            </w: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Tax-exempt and project bonds, principal payable in periodic</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5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installments, maturing through 2021, fixed and variable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5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rates ranging from 4.75% to 9.25% at December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31,</w:t>
            </w:r>
          </w:p>
        </w:tc>
        <w:tc>
          <w:tcPr>
            <w:tcW w:w="4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1,234,668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1,220,634</w:t>
            </w:r>
          </w:p>
        </w:tc>
      </w:tr>
      <w:tr>
        <w:trPr>
          <w:trHeight w:val="167"/>
        </w:trPr>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Installment loans, notes payable, and other, interest to</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14%, maturing through 2015...............................</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279,735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556,865</w:t>
            </w:r>
          </w:p>
        </w:tc>
      </w:tr>
      <w:tr>
        <w:trPr>
          <w:trHeight w:val="167"/>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11,498,088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11,732,361</w:t>
            </w:r>
          </w:p>
        </w:tc>
      </w:tr>
      <w:tr>
        <w:trPr>
          <w:trHeight w:val="167"/>
        </w:trPr>
        <w:tc>
          <w:tcPr>
            <w:tcW w:w="5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Less current maturities....................................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3,098,742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597,742</w:t>
            </w:r>
          </w:p>
        </w:tc>
      </w:tr>
      <w:tr>
        <w:trPr>
          <w:trHeight w:val="167"/>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8,399,346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$11,134,619</w:t>
            </w:r>
          </w:p>
        </w:tc>
      </w:tr>
      <w:tr>
        <w:trPr>
          <w:trHeight w:val="167"/>
        </w:trPr>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aggregate estimated payments, including scheduled minimum maturities, of long-term debt outstanding at December 31, 1999, are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$ 3,098,742(a)</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755,925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1,552,351</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587,966</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725,197</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4,777,907</w:t>
            </w:r>
          </w:p>
        </w:tc>
      </w:tr>
      <w:tr>
        <w:trPr>
          <w:trHeight w:val="167"/>
        </w:trPr>
        <w:tc>
          <w:tcPr>
            <w:tcW w:w="49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$11,498,088</w:t>
            </w:r>
          </w:p>
        </w:tc>
      </w:tr>
      <w:tr>
        <w:trPr>
          <w:trHeight w:val="167"/>
        </w:trPr>
        <w:tc>
          <w:tcPr>
            <w:tcW w:w="49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99" w:hanging="431"/>
        <w:spacing w:after="0" w:line="254"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$848.7 million that will be repaid in 2000 under the terms of the respective credit agreements and $2.25 billion of debt, which is classified as current based on the likelihood that the Company will be in non-compliance with certain of the financial requirements under its credit agreements in the year 2000.</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has a $3 billion syndicated loan facility (the "Syndicated Facility") and a $2 billion senior revolving credit facility (the "Credit Facility"). The Syndicated Facility requires annual renewal by the lender and provides for a one-year term option at the Company's request in the event of non-renewal. The Syndicated Facility is available for borrowings, including letters of credit, and for supporting the issuance of commercial paper. The covenant restrictions for the Syndicated Facility and Credit Facility include, among others, interest coverage and debt capitalization ratios, limitations on dividends, additional indebtedness and liens. The</w:t>
      </w:r>
    </w:p>
    <w:p>
      <w:pPr>
        <w:sectPr>
          <w:pgSz w:w="11900" w:h="16838" w:orient="portrait"/>
          <w:cols w:equalWidth="0" w:num="1">
            <w:col w:w="10159"/>
          </w:cols>
          <w:pgMar w:left="300" w:top="286" w:right="1440" w:bottom="1440" w:gutter="0" w:footer="0" w:header="0"/>
        </w:sectPr>
      </w:pP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74</w:t>
      </w:r>
    </w:p>
    <w:p>
      <w:pPr>
        <w:sectPr>
          <w:pgSz w:w="11900" w:h="16838" w:orient="portrait"/>
          <w:cols w:equalWidth="0" w:num="1">
            <w:col w:w="10159"/>
          </w:cols>
          <w:pgMar w:left="300" w:top="286" w:right="1440" w:bottom="1440" w:gutter="0" w:footer="0" w:header="0"/>
          <w:type w:val="continuous"/>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77</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Syndicated Facility and Credit Facility are used to refinance existing bank loans and letters of credit, to fund acquisitions, and for working capital purposes.</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a result of the charges and adjustments recorded in the third quarter of 1999 (see Note 2), absent waivers, the Company would not have been in compliance with certain financial covenants as required by its bank credit facilities as of September 30, 1999. The Company received waivers from each of its bank groups for the period ended September 30, 1999, enabling the Company to be in full compliance with and have full access to its existing bank credit facilities. In December 1999, the Company received unanimous approval for amendments to its existing $2 billion, $3 billion, and Eurocurrency bank credit facilities. The approvals provide permanent amendments to the waivers previously granted to the Company related to its operating results for the third quarter of 1999. Additionally, the amended terms and conditions of the facilities contain the necessary provisions for the Company to proceed with its strategy of divesting certain of its international and non-core assets.</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Under the terms of the Syndicated Facility and Credit Facility, the Company is obligated to repay its indebtedness under such facilities with the cash proceeds to be received from the divestitures of its WM International operations, domestic non-core assets and up to 10% of its NASW operations pursuant to its strategic plan. Specifically, the Company must use all of the first $1.5 billion of net proceeds it receives from the sales of any domestic operations to repay indebtedness under the Syndicated Facility and Credit Facility. Additionally, 50% of the net proceeds greater than $1.5 billion but less than $2.5 billion from sales of domestic operations must be used to repay indebtedness under such facilities. Finally, all net proceeds from the divestiture of WM International operations must be used to repay indebtedness under the Company's Eurocurrency facilities. The net proceeds remaining after the repayment of the Eurocurrency facilities will be counted as, and therefore subject to the same requirements to repay the Syndicated Facility and Credit Facility as, net proceeds received from the sales of domestic operations.</w:t>
      </w:r>
    </w:p>
    <w:p>
      <w:pPr>
        <w:spacing w:after="0" w:line="17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was in compliance with all financial requirements under its credit agreements as of December 31, 1999. However, the Company anticipates that its cash flows from operations for the year 2000 will likely not be sufficient for the Company to maintain compliance with certain of the financial ratios contained in its Syndicated Facility, Credit Facility, and Eurocurrency credit facilities. Therefore, it has classified the borrowings outstanding under the Syndicated Facility and the Credit Facility as short-term obligations as of December 31, 1999. The Eurocurrency credit facility is included in operations held for sale at December 31, 1999. As discussed in the preceding paragraph, the Company expects to make a substantial principal reduction on these facilities with the net proceeds of its anticipated divestitures. The Company intends to pursue waivers or amendments of such agreements in advance of any potential violation of the credit agreements. However, there can be no assurance that, in the event the Company actually violates its agreements, that such waivers or amendments will be obtained. Failure to obtain such waivers or amendments would have an adverse effect on the Company's financial condition, results of operations and cash flows.</w:t>
      </w:r>
    </w:p>
    <w:p>
      <w:pPr>
        <w:spacing w:after="0" w:line="339"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At December 31, 1999, the Company had borrowings of $1.75 billion under the Syndicated Facility at 7.54% interest, and had borrowings of $500.0 million under the Credit Facility at 7.25% interest. The facility fees were 0.20% and</w:t>
      </w:r>
    </w:p>
    <w:p>
      <w:pPr>
        <w:spacing w:after="0" w:line="1"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0.25% per annum under the Syndicated Facility and Credit Facility, respectively, at December 31, 1999. The Company had issued letters of credit of approximately $1.2 billion in aggregate under the Syndicated Facility and Credit Facility leaving unused and available credit capacity of approximately $1.5 billion at December 31, 1999.</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At December 31, 1998, the Company's long-term debt balances included two Eurocurrency credit facilities. On December 17, 1999, the Company's two Eurocurrency facilities were converted into two Euro term loans totaling Euro 180.6 million (equivalent to approximately $181.9 million). These loans are included in current liabilities of operations held for sale at December 31, 1999, as they relate to WM International operations, which are being sold pursuant to the Company's strategic plan. These facilities mature on July 3,</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159"/>
          </w:cols>
          <w:pgMar w:left="300" w:top="286"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78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2000. The initial interest rate is 4.80% for the first 32 day period and will be reset based on Euro LIBOR rates each 30 days until paid.</w:t>
      </w:r>
    </w:p>
    <w:p>
      <w:pPr>
        <w:spacing w:after="0" w:line="160"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In 1999, the Company redeemed its $150.0 million of 4 1/2% convertible subordinated notes and its $115.0 million of 5% convertible subordinated debentures. These debentures were subsequently converted into equity by the debenture holders. Approximately 9.0 million shares of the Company's common stock were issued upon such conversions.</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On May 21, 1999, the Company completed a private placement of $1.15 billion of its senior notes. The Company issued $200.0 million of 6% senior notes, due 2001; $200.0 million of 6 1/2% senior notes due 2004; $500.0 million of 6 7/8% senior notes due 2009; and $250.0 million of 7 3/8% senior notes due 2029. The senior notes constitute senior and unsecured obligations of the Company ranking equal in right of payment with all other senior and unsecured obligations of the Company, as defined in the indenture. The 6% senior notes are not redeemable by the Company. The 6 1/2% senior notes, the 6 7/8% senior notes, and 7 3/8% senior notes are redeemable, in whole or in part, at the option of the Company at any time, or from time to time, at a redemption price defined in the indenture. Interest is payable semi-annually on May 15 and November 15. All proceeds from the private placement notes were used to repay outstanding debt under the Credit Facility and to reduce the amount of commercial paper outstanding.</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On July 17, 1998, the Company issued $600.0 million of 7% senior notes, due on July 15, 2028 (the "7% Notes") and $600.0 million of 6 1/8% mandatorily tendered senior notes, due on July 15, 2011 (the "6 1/8% Notes"). The 7% Notes are redeemable, in whole or in part, at the option of the Company at any time and from time to time at the redemption price, as defined in the indenture. The 6 1/8% Notes are subject to certain mandatory tender features as described in the indenture, which may require the purchase by the Company of a portion of or all of the outstanding notes on July 15, 2001. The proceeds from the 7% Notes and 6 1/8% Notes were used to repay outstanding indebtedness under the Company's credit facilities. Interest on the 7% Notes and 6 1/8% Notes is payable semi-annually on January 15 and July 15.</w:t>
      </w:r>
    </w:p>
    <w:p>
      <w:pPr>
        <w:spacing w:after="0" w:line="163"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On December 17, 1997, the Company issued $350.0 million of 6 1/2% senior notes due December 15, 2002, and $150.0 million of 7 1/8% senior notes due December 15, 2017. The senior notes constitute senior and unsecured obligations of the Company ranking equal in right of payment with all other senior and unsecured obligations of the Company, as defined in the indenture. The 6 1/2% senior notes due December 15, 2002, are not redeemable. The $150.0 million of</w:t>
      </w:r>
    </w:p>
    <w:p>
      <w:pPr>
        <w:spacing w:after="0" w:line="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7 1/8% senior notes due December 15, 2017, are redeemable, in whole or in part, at the option of the Company at any time and from time to time at a redemption price defined in the indenture. Interest is payable semi-annually on December 15 and June 15. The proceeds were used to repay debt under the Company's credit facilities.</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On February 7, 1997, the Company issued $535.3 million of 4% convertible subordinated notes, due on February 1, 2002. Interest is payable semi-annually in February and August. The notes are convertible by the holders into shares of the Company's common stock at any time at a conversion price of $43.56 per share. The notes are subordinated in right of payment to all existing and future senior indebtedness, as defined in the indenture. The notes are redeemable after February 1, 2000 at the option of the Company at 101.6% of the principal amount, declining to 100.8% of the principal amount on February 1, 2001 and thereafter until maturity, at which time the notes will be redeemed at par, plus accrued interest. The proceeds were primarily used to repay debt under the Company's bank borrowings, to fund acquisitions, and for general corporate purposes.</w:t>
      </w:r>
    </w:p>
    <w:p>
      <w:pPr>
        <w:spacing w:after="0" w:line="163"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5.75% convertible subordinated notes due 2005 are subordinated to all existing and future senior indebtedness of the Company. Each note bears cash interest at the rate of two percent per annum of the $1,000 principal amount at maturity, payable semi-annually. The difference between the principal amount at maturity of $1,000 and the $717.80 stated issue price of each note represents the stated discount. At the option of the holder, each note can be redeemed for cash by the Company on March 15, 2000, at $843.03. Accrued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159"/>
          </w:cols>
          <w:pgMar w:left="30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79</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unpaid interest to those dates will also be paid. The notes will be callable by the Company on and after March 15, 2000, for cash, at the stated issue price plus accrued stated discount and accrued but unpaid interest through the date of redemption. In addition, each note is convertible at any time prior to maturity into approximately 18.9 shares of the Company's common stock, subject to adjustment upon the occurrence of certain events. Upon any such conversion, the Company will have the option of paying cash equal to the market value of the shares which would otherwise be issuable. Since these securities are redeemable at the option of the holders prior to maturity, the outstanding balance is classified as current in the accompanying financial statements. In December of 1999, the Company began repurchasing its 5.75% convertible notes. At December 31, 1999, the Company had repurchased $32.3 million of these notes. Through March 16, 2000, the Company had repurchased an additional $397.9 million of the remaining outstanding notes.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ENVIRONMENTAL LIABILITIES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has material financial commitments for the costs associated with its future obligations for final closure, which is the closure of the landfill and the capping of the final uncapped areas of a landfill or the costs required by regulation associated with existing operations at a hazardous waste treatment, storage or disposal facility which are subject to the Toxic Substances Control Act ("TSCA") or Subtitle C of the Resource Conservation and Recovery Act ("RCRA"), and post-closure maintenance of those facilities.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are accrued using the calculated rate per ton and charged to expense as airspace is consumed such that the present value of total estimated final closure and post-closure cost will be accrued for each landfill at the time the site discontinues accepting waste and is closed. In the United States, the final closure and post-closure requirements are established under the standards of the United States Environmental Protection Agency's Subtitle C and D regulations, as implemented and applied on a state-by-state basis. Such costs may increase in the future as a result of legislation or regulation.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based upon the estimated final closure and post-closure costs and the percentage of airspace utilized as of such date. Thereafter, the difference between the final closure and post-closure liability recorded at the time of acquisition and the present value of total estimated final closure and post-closure costs to be incurred is accrued using the calculated rate and charged to expense as airspace is consumed. Such costs for foreign landfills are estimated based on compliance with local laws, regulations and customs. For other facilities, final closure and post-closure costs are determined in consideration of regulatory requirements.</w:t>
      </w:r>
    </w:p>
    <w:p>
      <w:pPr>
        <w:spacing w:after="0" w:line="200" w:lineRule="exact"/>
        <w:rPr>
          <w:sz w:val="20"/>
          <w:szCs w:val="20"/>
          <w:color w:val="auto"/>
        </w:rPr>
      </w:pPr>
    </w:p>
    <w:p>
      <w:pPr>
        <w:spacing w:after="0" w:line="31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has also established procedures to evaluate its potential remedial liabilities at closed sites which it owns or operates, or to which it transported waste, including 84 sites listed on the Superfund National Priorities List ("NPL") as of December 31, 1999. The majority of situations involving NPL sites relate to allegations that subsidiaries of the Company (or their predecessors) transported waste to the facilities in question, often prior to the acquisition of such subsidiaries by the Company. The Company routinely reviews and evaluates sites that require remediation, including NPL sites, giving consideration to the nature (e.g., owner, operator, transporter, or generator), and the extent (e.g., amount and nature of waste hauled to the location, number of years of site operation by the Company, or other relevant factors) of the Company's alleged connection with the site, the accuracy and strength of evidence connecting the Company to the location, the number, connection and financial ability of other named and unnamed potentially responsible parties ("PRPs"), and the nature and estimated cost of the likely remedy. Cost estimates are based on</w:t>
      </w:r>
    </w:p>
    <w:p>
      <w:pPr>
        <w:spacing w:after="0" w:line="3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159"/>
          </w:cols>
          <w:pgMar w:left="30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80</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management's judgment and experience in remediating such sites for the Company as well as for unrelated parties, information available from regulatory agencies as to costs of remediation, and the number, financial resources and relative degree of responsibility of other PRPs who are jointly and severally liable for remediation of a specific site, as well as the typical allocation of costs among PRPs. These estimates are sometimes a range of possible outcomes. In such cases, the Company provides for the amount within the range which constitutes its best estimate. If no amount within the range appears to be a better estimate than any other amount, then the Company provides for the minimum amount within the range in accordance with SFAS No. 5, Accounting for Contingencies. The Company believes that it is "reasonably possible," as that term is defined in SFAS No. 5 ("more than remote but less than likely"), that its potential liability, at the high end of such ranges, would be approximately $190.0 million higher, on a discounted basis in the aggregate than the estimate that has been recorded in the consolidated financial statements as of December 31, 1999.</w:t>
      </w:r>
    </w:p>
    <w:p>
      <w:pPr>
        <w:spacing w:after="0" w:line="17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33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landfill.</w:t>
      </w:r>
    </w:p>
    <w:p>
      <w:pPr>
        <w:spacing w:after="0" w:line="164"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Where the Company believes that both the amount of a particular environmental liability and the timing of the payments are reliably determinable, the cost in current dollars is inflated (2% at December 31, 1999 and 1998) until expected time of payment and then discounted to present value</w:t>
      </w:r>
    </w:p>
    <w:p>
      <w:pPr>
        <w:spacing w:after="0" w:line="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(5.5% at December 31, 1999 and 1998). The accretion of the interest related to the discounted environmental liabilities is included in the annual calculation of the landfill's final closure and post-closure cost per ton and is charged to operating expense as landfill airspace is consumed. The portion of the Company's recorded environmental liabilities that is not inflated or discounted was approximately $370.6 million and $492.3 million at December 31, 1999 and 1998, respectively. Had the Company not discounted any portion of its liability, the amount recorded would have been increased by approximately $342.9 million at December 31, 1999.</w:t>
      </w:r>
    </w:p>
    <w:p>
      <w:pPr>
        <w:spacing w:after="0" w:line="331"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The Company's liabilities for final closure, post-closure and environmental remediation costs are as follows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30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3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portion, included in accrued liabilities............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140,101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150,592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Non-current portion.........................................</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837,407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1,040,747</w:t>
            </w:r>
          </w:p>
        </w:tc>
      </w:tr>
      <w:tr>
        <w:trPr>
          <w:trHeight w:val="167"/>
        </w:trPr>
        <w:tc>
          <w:tcPr>
            <w:tcW w:w="53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recorded..............................................</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977,508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$1,191,339</w:t>
            </w:r>
          </w:p>
        </w:tc>
      </w:tr>
      <w:tr>
        <w:trPr>
          <w:trHeight w:val="167"/>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Amount to be provided including discount of $342,900 related</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recorded amounts.......................................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1,657,578</w:t>
            </w:r>
          </w:p>
        </w:tc>
        <w:tc>
          <w:tcPr>
            <w:tcW w:w="10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7"/>
        </w:trPr>
        <w:tc>
          <w:tcPr>
            <w:tcW w:w="5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Expected aggregate environmental liabilities based on</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cost..............................................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$2,635,086</w:t>
            </w:r>
          </w:p>
        </w:tc>
        <w:tc>
          <w:tcPr>
            <w:tcW w:w="10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159"/>
          </w:cols>
          <w:pgMar w:left="300" w:top="286" w:right="1440" w:bottom="1440"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78</w:t>
      </w:r>
    </w:p>
    <w:p>
      <w:pPr>
        <w:sectPr>
          <w:pgSz w:w="11900" w:h="16838" w:orient="portrait"/>
          <w:cols w:equalWidth="0" w:num="1">
            <w:col w:w="10159"/>
          </w:cols>
          <w:pgMar w:left="300" w:top="286" w:right="1440"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WASTE MANAGEMENT, INC.</w:t>
            </w:r>
          </w:p>
        </w:tc>
        <w:tc>
          <w:tcPr>
            <w:tcW w:w="1860" w:type="dxa"/>
            <w:vAlign w:val="bottom"/>
          </w:tcPr>
          <w:p>
            <w:pPr>
              <w:spacing w:after="0"/>
              <w:rPr>
                <w:sz w:val="14"/>
                <w:szCs w:val="14"/>
                <w:color w:val="auto"/>
              </w:rPr>
            </w:pPr>
          </w:p>
        </w:tc>
      </w:tr>
      <w:tr>
        <w:trPr>
          <w:trHeight w:val="334"/>
        </w:trPr>
        <w:tc>
          <w:tcPr>
            <w:tcW w:w="686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NOTES TO CONSOLIDATED FINANCIAL STATEMENTS -- (CONTINUED)</w:t>
            </w:r>
          </w:p>
        </w:tc>
      </w:tr>
      <w:tr>
        <w:trPr>
          <w:trHeight w:val="334"/>
        </w:trPr>
        <w:tc>
          <w:tcPr>
            <w:tcW w:w="6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Anticipated payments (based on current costs) of environmental liabilities</w:t>
            </w:r>
          </w:p>
        </w:tc>
      </w:tr>
      <w:tr>
        <w:trPr>
          <w:trHeight w:val="167"/>
        </w:trPr>
        <w:tc>
          <w:tcPr>
            <w:tcW w:w="5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at December 31, 1999, are as follows (in thousands):</w:t>
            </w:r>
          </w:p>
        </w:tc>
        <w:tc>
          <w:tcPr>
            <w:tcW w:w="1860" w:type="dxa"/>
            <w:vAlign w:val="bottom"/>
          </w:tcPr>
          <w:p>
            <w:pPr>
              <w:spacing w:after="0"/>
              <w:rPr>
                <w:sz w:val="14"/>
                <w:szCs w:val="14"/>
                <w:color w:val="auto"/>
              </w:rPr>
            </w:pPr>
          </w:p>
        </w:tc>
      </w:tr>
      <w:tr>
        <w:trPr>
          <w:trHeight w:val="668"/>
        </w:trPr>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140,101</w:t>
            </w:r>
          </w:p>
        </w:tc>
      </w:tr>
      <w:tr>
        <w:trPr>
          <w:trHeight w:val="167"/>
        </w:trPr>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64,599</w:t>
            </w:r>
          </w:p>
        </w:tc>
      </w:tr>
      <w:tr>
        <w:trPr>
          <w:trHeight w:val="167"/>
        </w:trPr>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2002....................................................</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61,248</w:t>
            </w:r>
          </w:p>
        </w:tc>
      </w:tr>
      <w:tr>
        <w:trPr>
          <w:trHeight w:val="167"/>
        </w:trPr>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2003....................................................</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55,313</w:t>
            </w:r>
          </w:p>
        </w:tc>
      </w:tr>
      <w:tr>
        <w:trPr>
          <w:trHeight w:val="167"/>
        </w:trPr>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2004....................................................</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40,468</w:t>
            </w:r>
          </w:p>
        </w:tc>
      </w:tr>
      <w:tr>
        <w:trPr>
          <w:trHeight w:val="167"/>
        </w:trPr>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Thereafter..............................................</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2,273,357</w:t>
            </w:r>
          </w:p>
        </w:tc>
      </w:tr>
      <w:tr>
        <w:trPr>
          <w:trHeight w:val="167"/>
        </w:trPr>
        <w:tc>
          <w:tcPr>
            <w:tcW w:w="5000" w:type="dxa"/>
            <w:vAlign w:val="bottom"/>
          </w:tcPr>
          <w:p>
            <w:pPr>
              <w:spacing w:after="0"/>
              <w:rPr>
                <w:sz w:val="14"/>
                <w:szCs w:val="14"/>
                <w:color w:val="auto"/>
              </w:rPr>
            </w:pP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$2,635,086</w:t>
            </w:r>
          </w:p>
        </w:tc>
      </w:tr>
      <w:tr>
        <w:trPr>
          <w:trHeight w:val="167"/>
        </w:trPr>
        <w:tc>
          <w:tcPr>
            <w:tcW w:w="5000" w:type="dxa"/>
            <w:vAlign w:val="bottom"/>
          </w:tcPr>
          <w:p>
            <w:pPr>
              <w:spacing w:after="0"/>
              <w:rPr>
                <w:sz w:val="14"/>
                <w:szCs w:val="14"/>
                <w:color w:val="auto"/>
              </w:rPr>
            </w:pP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In addition to the amounts above, at a certain site, the Company has perpetual care obligations aggregating approximately $1.5 million per year.</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From time to time, the Company and certain of its subsidiaries are named as defendants in personal injury and property damage lawsuits, including purported class actions, on the basis of a Company subsidiary having allegedly owned, operated or transported waste to a disposal facility which is alleged to have contaminated the environment or, in certain cases, conducted environmental remediation activities at such sites. While the Company believes it has meritorious defenses to these lawsuits, their ultimate resolution is often substantially uncertain due to a number of factors, and it is possible such matters could have a material adverse impact on the Company's earnings for one or more quarters or years.</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has filed suit against numerous insurance carriers seeking reimbursement for past and future environmentally related remedial, defense and tort claim costs at a number of sites. Carriers involved in these matters have typically denied coverage and are defending against the Company's claims. While the Company is vigorously pursuing such claims, it regularly considers settlement opportunities when appropriate terms are offered. Settlements to date ($7.1 million in 1999, $46.6 million in 1998, and $94.3 million in 1997) have been included in operating costs and expenses as an offset to environmental expenses.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FAIR VALUE OF FINANCIAL INSTRUMENTS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estimated fair value amounts of the Company's financial instruments have been determined by the Company using available market information and commonly accepted valuation methodologies. However, considerable judgement is required in interpreting market data to develop the estimates of fair value. Accordingly, the estimates presented herein are not necessarily indicative of the amounts that the Company or holders of the instruments could realize in a current market exchange. The use of different assumptions and/ or estimation methodologies may have a material effect on the estimated fair values. The fair value estimates presented herein are based on information available to management as of December 31, 1999 and 1998. Such amounts have not been revalued since those dates, and current estimates of fair value may differ significantly from the amounts presented herein.</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carrying values of cash and cash equivalents, short-term investments, restricted funds held by trustees, trade accounts receivable, trade accounts payable, financial instruments included in notes and other receivables and financial instruments included in other assets approximate their fair values principally because of the short-term maturities of these instruments.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159"/>
          </w:cols>
          <w:pgMar w:left="300" w:top="286"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82</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fair values of the Company's outstanding indebtedness is as follows (in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8"/>
        </w:trPr>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DECEMBER 31,</w:t>
            </w:r>
          </w:p>
        </w:tc>
        <w:tc>
          <w:tcPr>
            <w:tcW w:w="1040" w:type="dxa"/>
            <w:vAlign w:val="bottom"/>
          </w:tcPr>
          <w:p>
            <w:pPr>
              <w:spacing w:after="0"/>
              <w:rPr>
                <w:sz w:val="24"/>
                <w:szCs w:val="24"/>
                <w:color w:val="auto"/>
              </w:rPr>
            </w:pP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6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920" w:type="dxa"/>
            <w:vAlign w:val="bottom"/>
          </w:tcPr>
          <w:p>
            <w:pPr>
              <w:spacing w:after="0"/>
              <w:rPr>
                <w:sz w:val="14"/>
                <w:szCs w:val="14"/>
                <w:color w:val="auto"/>
              </w:rPr>
            </w:pPr>
          </w:p>
        </w:tc>
        <w:tc>
          <w:tcPr>
            <w:tcW w:w="2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ESTIMATED</w:t>
            </w:r>
          </w:p>
        </w:tc>
        <w:tc>
          <w:tcPr>
            <w:tcW w:w="1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CARRYING</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FAIR</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CARRYING</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VALUE</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gridSpan w:val="3"/>
          </w:tcPr>
          <w:p>
            <w:pPr>
              <w:spacing w:after="0"/>
              <w:rPr>
                <w:sz w:val="20"/>
                <w:szCs w:val="20"/>
                <w:color w:val="auto"/>
              </w:rPr>
            </w:pPr>
            <w:r>
              <w:rPr>
                <w:rFonts w:ascii="Courier New" w:cs="Courier New" w:eastAsia="Courier New" w:hAnsi="Courier New"/>
                <w:sz w:val="14"/>
                <w:szCs w:val="14"/>
                <w:color w:val="auto"/>
              </w:rPr>
              <w:t>Senior notes and debentures..............</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$6,749,785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$6,185,236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$5,959,884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$6,202,556</w:t>
            </w:r>
          </w:p>
        </w:tc>
      </w:tr>
      <w:tr>
        <w:trPr>
          <w:trHeight w:val="167"/>
        </w:trPr>
        <w:tc>
          <w:tcPr>
            <w:tcW w:w="3700" w:type="dxa"/>
            <w:vAlign w:val="bottom"/>
            <w:gridSpan w:val="3"/>
          </w:tcPr>
          <w:p>
            <w:pPr>
              <w:spacing w:after="0"/>
              <w:rPr>
                <w:sz w:val="20"/>
                <w:szCs w:val="20"/>
                <w:color w:val="auto"/>
              </w:rPr>
            </w:pPr>
            <w:r>
              <w:rPr>
                <w:rFonts w:ascii="Courier New" w:cs="Courier New" w:eastAsia="Courier New" w:hAnsi="Courier New"/>
                <w:sz w:val="14"/>
                <w:szCs w:val="14"/>
                <w:color w:val="auto"/>
              </w:rPr>
              <w:t>4% Convertible subordinated notes due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2002...................................</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535,275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469,436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535,275</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641,795</w:t>
            </w:r>
          </w:p>
        </w:tc>
      </w:tr>
      <w:tr>
        <w:trPr>
          <w:trHeight w:val="167"/>
        </w:trPr>
        <w:tc>
          <w:tcPr>
            <w:tcW w:w="3700" w:type="dxa"/>
            <w:vAlign w:val="bottom"/>
            <w:gridSpan w:val="3"/>
          </w:tcPr>
          <w:p>
            <w:pPr>
              <w:spacing w:after="0"/>
              <w:rPr>
                <w:sz w:val="20"/>
                <w:szCs w:val="20"/>
                <w:color w:val="auto"/>
              </w:rPr>
            </w:pPr>
            <w:r>
              <w:rPr>
                <w:rFonts w:ascii="Courier New" w:cs="Courier New" w:eastAsia="Courier New" w:hAnsi="Courier New"/>
                <w:sz w:val="14"/>
                <w:szCs w:val="14"/>
                <w:color w:val="auto"/>
              </w:rPr>
              <w:t>4 1/2% Convertible subordinated notes due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2001...................................</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148,370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232,985</w:t>
            </w:r>
          </w:p>
        </w:tc>
      </w:tr>
      <w:tr>
        <w:trPr>
          <w:trHeight w:val="167"/>
        </w:trPr>
        <w:tc>
          <w:tcPr>
            <w:tcW w:w="3700" w:type="dxa"/>
            <w:vAlign w:val="bottom"/>
            <w:gridSpan w:val="3"/>
          </w:tcPr>
          <w:p>
            <w:pPr>
              <w:spacing w:after="0"/>
              <w:rPr>
                <w:sz w:val="20"/>
                <w:szCs w:val="20"/>
                <w:color w:val="auto"/>
              </w:rPr>
            </w:pPr>
            <w:r>
              <w:rPr>
                <w:rFonts w:ascii="Courier New" w:cs="Courier New" w:eastAsia="Courier New" w:hAnsi="Courier New"/>
                <w:sz w:val="14"/>
                <w:szCs w:val="14"/>
                <w:color w:val="auto"/>
              </w:rPr>
              <w:t>5% Convertible subordinated debentures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70"/>
              </w:rPr>
              <w:t>due 2006...............................</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114,445</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188,489</w:t>
            </w:r>
          </w:p>
        </w:tc>
      </w:tr>
      <w:tr>
        <w:trPr>
          <w:trHeight w:val="167"/>
        </w:trPr>
        <w:tc>
          <w:tcPr>
            <w:tcW w:w="3700" w:type="dxa"/>
            <w:vAlign w:val="bottom"/>
            <w:gridSpan w:val="3"/>
          </w:tcPr>
          <w:p>
            <w:pPr>
              <w:spacing w:after="0"/>
              <w:rPr>
                <w:sz w:val="20"/>
                <w:szCs w:val="20"/>
                <w:color w:val="auto"/>
              </w:rPr>
            </w:pPr>
            <w:r>
              <w:rPr>
                <w:rFonts w:ascii="Courier New" w:cs="Courier New" w:eastAsia="Courier New" w:hAnsi="Courier New"/>
                <w:sz w:val="14"/>
                <w:szCs w:val="14"/>
                <w:color w:val="auto"/>
              </w:rPr>
              <w:t>5.75% Convertible subordinated notes due</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2005...................................</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426,726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353,500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453,680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442,928</w:t>
            </w:r>
          </w:p>
        </w:tc>
      </w:tr>
      <w:tr>
        <w:trPr>
          <w:trHeight w:val="167"/>
        </w:trPr>
        <w:tc>
          <w:tcPr>
            <w:tcW w:w="3700" w:type="dxa"/>
            <w:vAlign w:val="bottom"/>
            <w:gridSpan w:val="3"/>
          </w:tcPr>
          <w:p>
            <w:pPr>
              <w:spacing w:after="0"/>
              <w:rPr>
                <w:sz w:val="20"/>
                <w:szCs w:val="20"/>
                <w:color w:val="auto"/>
              </w:rPr>
            </w:pPr>
            <w:r>
              <w:rPr>
                <w:rFonts w:ascii="Courier New" w:cs="Courier New" w:eastAsia="Courier New" w:hAnsi="Courier New"/>
                <w:sz w:val="14"/>
                <w:szCs w:val="14"/>
                <w:color w:val="auto"/>
              </w:rPr>
              <w:t>Tax-exempt and project bonds.............</w:t>
            </w:r>
          </w:p>
        </w:tc>
        <w:tc>
          <w:tcPr>
            <w:tcW w:w="1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1,234,668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1,204,925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1,220,634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1,320,841</w:t>
            </w: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w w:val="72"/>
              </w:rPr>
              <w:t>Other borrowings.........................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2,551,634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2,563,597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3,300,073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3,340,848</w:t>
            </w:r>
          </w:p>
        </w:tc>
      </w:tr>
      <w:tr>
        <w:trPr>
          <w:trHeight w:val="501"/>
        </w:trPr>
        <w:tc>
          <w:tcPr>
            <w:tcW w:w="3700" w:type="dxa"/>
            <w:vAlign w:val="bottom"/>
            <w:gridSpan w:val="3"/>
          </w:tcPr>
          <w:p>
            <w:pPr>
              <w:spacing w:after="0"/>
              <w:rPr>
                <w:sz w:val="20"/>
                <w:szCs w:val="20"/>
                <w:color w:val="auto"/>
              </w:rPr>
            </w:pPr>
            <w:r>
              <w:rPr>
                <w:rFonts w:ascii="Courier New" w:cs="Courier New" w:eastAsia="Courier New" w:hAnsi="Courier New"/>
                <w:sz w:val="14"/>
                <w:szCs w:val="14"/>
                <w:color w:val="auto"/>
              </w:rPr>
              <w:t>9. DERIVATIVE FINANCIAL INSTRUMENTS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712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Interest rate agreements -- The Company has entered into interest rate swap</w:t>
            </w:r>
          </w:p>
        </w:tc>
        <w:tc>
          <w:tcPr>
            <w:tcW w:w="1040" w:type="dxa"/>
            <w:vAlign w:val="bottom"/>
          </w:tcPr>
          <w:p>
            <w:pPr>
              <w:spacing w:after="0"/>
              <w:rPr>
                <w:sz w:val="24"/>
                <w:szCs w:val="2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agreements to balance fixed and floating rate debt in accordance with</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management's criteria (see Note 3). The agreements are contracts to exchange</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fixed and floating interest rate payments periodically over a specified term</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without the exchange of the underlying notional amounts. The agreements provide</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only for the exchange of interest on the notional amounts at the stated rates,</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with no multipliers or leverage. Differences paid or received are accrued in the</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consolidated financial statements as a part of interest expense on the</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underlying debt over the life of the agreements, and the swap is not recorded on</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the balance sheet. As of December 31, 1999, interest rate agreements in notional</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amounts and with terms as set forth in the following table were outstanding (in</w:t>
            </w:r>
          </w:p>
        </w:tc>
        <w:tc>
          <w:tcPr>
            <w:tcW w:w="1040" w:type="dxa"/>
            <w:vAlign w:val="bottom"/>
          </w:tcPr>
          <w:p>
            <w:pPr>
              <w:spacing w:after="0"/>
              <w:rPr>
                <w:sz w:val="14"/>
                <w:szCs w:val="1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8"/>
        </w:trPr>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NOTIONAL</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AMOUNT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CURRENCY</w:t>
            </w: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U.S. DOLLARS)</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RECEIVE</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PAY</w:t>
            </w:r>
          </w:p>
        </w:tc>
        <w:tc>
          <w:tcPr>
            <w:tcW w:w="2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MATURITY DATE</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w w:val="89"/>
              </w:rPr>
              <w:t>Dutch Guilder..........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27,600</w:t>
            </w:r>
          </w:p>
        </w:tc>
        <w:tc>
          <w:tcPr>
            <w:tcW w:w="12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Floating</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Fixed</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21, 2000</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w w:val="89"/>
              </w:rPr>
              <w:t>German Deutschemark....</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25,750</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Floating</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Fixed</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21, 2000</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w w:val="89"/>
              </w:rPr>
              <w:t>French Franc...........</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30,600</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Fixed</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Floating</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2002</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w w:val="89"/>
              </w:rPr>
              <w:t>U.S. Dollar............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52,232</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Floating</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Fixed</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Through December 31, 2012</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w w:val="89"/>
              </w:rPr>
              <w:t>U.S. Dollar............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1,028,570</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Fixed</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Floating</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Through April 1, 2010</w:t>
            </w:r>
          </w:p>
        </w:tc>
      </w:tr>
      <w:tr>
        <w:trPr>
          <w:trHeight w:val="501"/>
        </w:trPr>
        <w:tc>
          <w:tcPr>
            <w:tcW w:w="2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Commodity agreements --</w:t>
            </w:r>
          </w:p>
        </w:tc>
        <w:tc>
          <w:tcPr>
            <w:tcW w:w="4600" w:type="dxa"/>
            <w:vAlign w:val="bottom"/>
            <w:gridSpan w:val="5"/>
          </w:tcPr>
          <w:p>
            <w:pPr>
              <w:jc w:val="right"/>
              <w:ind w:right="348"/>
              <w:spacing w:after="0"/>
              <w:rPr>
                <w:sz w:val="20"/>
                <w:szCs w:val="20"/>
                <w:color w:val="auto"/>
              </w:rPr>
            </w:pPr>
            <w:r>
              <w:rPr>
                <w:rFonts w:ascii="Courier New" w:cs="Courier New" w:eastAsia="Courier New" w:hAnsi="Courier New"/>
                <w:sz w:val="14"/>
                <w:szCs w:val="14"/>
                <w:color w:val="auto"/>
              </w:rPr>
              <w:t>The Company has entered into recycled paper swap</w:t>
            </w:r>
          </w:p>
        </w:tc>
        <w:tc>
          <w:tcPr>
            <w:tcW w:w="1040" w:type="dxa"/>
            <w:vAlign w:val="bottom"/>
          </w:tcPr>
          <w:p>
            <w:pPr>
              <w:spacing w:after="0"/>
              <w:rPr>
                <w:sz w:val="24"/>
                <w:szCs w:val="2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agreements to help mitigate the price volatility of recycled paper. The</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agreements are contracts to exchange fixed and floating commodity prices over a</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fixed period of time. All of the Company's recyclable paper hedges are</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cash-settled on a monthly basis with the counterparty. At December 31, 1999 the</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Company had recycled paper swap agreements for a total notional amount of 14,100</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tons per month expiring at various dates through February 2007 at a weighted</w:t>
            </w:r>
          </w:p>
        </w:tc>
        <w:tc>
          <w:tcPr>
            <w:tcW w:w="1040" w:type="dxa"/>
            <w:vAlign w:val="bottom"/>
          </w:tcPr>
          <w:p>
            <w:pPr>
              <w:spacing w:after="0"/>
              <w:rPr>
                <w:sz w:val="14"/>
                <w:szCs w:val="14"/>
                <w:color w:val="auto"/>
              </w:rPr>
            </w:pPr>
          </w:p>
        </w:tc>
      </w:tr>
      <w:tr>
        <w:trPr>
          <w:trHeight w:val="167"/>
        </w:trPr>
        <w:tc>
          <w:tcPr>
            <w:tcW w:w="7120" w:type="dxa"/>
            <w:vAlign w:val="bottom"/>
            <w:gridSpan w:val="7"/>
          </w:tcPr>
          <w:p>
            <w:pPr>
              <w:spacing w:after="0"/>
              <w:rPr>
                <w:sz w:val="20"/>
                <w:szCs w:val="20"/>
                <w:color w:val="auto"/>
              </w:rPr>
            </w:pPr>
            <w:r>
              <w:rPr>
                <w:rFonts w:ascii="Courier New" w:cs="Courier New" w:eastAsia="Courier New" w:hAnsi="Courier New"/>
                <w:sz w:val="14"/>
                <w:szCs w:val="14"/>
                <w:color w:val="auto"/>
              </w:rPr>
              <w:t>average contract price of $66 per ton. These swap agreements are not recorded on</w:t>
            </w:r>
          </w:p>
        </w:tc>
        <w:tc>
          <w:tcPr>
            <w:tcW w:w="1040" w:type="dxa"/>
            <w:vAlign w:val="bottom"/>
          </w:tcPr>
          <w:p>
            <w:pPr>
              <w:spacing w:after="0"/>
              <w:rPr>
                <w:sz w:val="14"/>
                <w:szCs w:val="1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the balance sheet.</w:t>
            </w: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Fair values --</w:t>
            </w:r>
          </w:p>
        </w:tc>
        <w:tc>
          <w:tcPr>
            <w:tcW w:w="5380" w:type="dxa"/>
            <w:vAlign w:val="bottom"/>
            <w:gridSpan w:val="6"/>
          </w:tcPr>
          <w:p>
            <w:pPr>
              <w:jc w:val="right"/>
              <w:ind w:right="528"/>
              <w:spacing w:after="0"/>
              <w:rPr>
                <w:sz w:val="20"/>
                <w:szCs w:val="20"/>
                <w:color w:val="auto"/>
              </w:rPr>
            </w:pPr>
            <w:r>
              <w:rPr>
                <w:rFonts w:ascii="Courier New" w:cs="Courier New" w:eastAsia="Courier New" w:hAnsi="Courier New"/>
                <w:sz w:val="14"/>
                <w:szCs w:val="14"/>
                <w:color w:val="auto"/>
              </w:rPr>
              <w:t>The fair values of the interest rate swaps and recycled</w:t>
            </w:r>
          </w:p>
        </w:tc>
        <w:tc>
          <w:tcPr>
            <w:tcW w:w="1040" w:type="dxa"/>
            <w:vAlign w:val="bottom"/>
          </w:tcPr>
          <w:p>
            <w:pPr>
              <w:spacing w:after="0"/>
              <w:rPr>
                <w:sz w:val="24"/>
                <w:szCs w:val="24"/>
                <w:color w:val="auto"/>
              </w:rPr>
            </w:pPr>
          </w:p>
        </w:tc>
      </w:tr>
    </w:tbl>
    <w:p>
      <w:pPr>
        <w:spacing w:after="0" w:line="4"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paper swaps represent the amounts at which the agreements could be settled based on estimated market rates. At December 31, 1999, the Company would have had to pay $26.5 million and $4.5 million to settle the interest rate swap agreements and recycled paper swap agreements, respectively.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159"/>
          </w:cols>
          <w:pgMar w:left="300" w:top="286"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83</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CAPITAL STOCK</w:t>
      </w:r>
    </w:p>
    <w:p>
      <w:pPr>
        <w:spacing w:after="0" w:line="17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162" w:lineRule="exact"/>
        <w:rPr>
          <w:sz w:val="20"/>
          <w:szCs w:val="20"/>
          <w:color w:val="auto"/>
        </w:rPr>
      </w:pPr>
    </w:p>
    <w:p>
      <w:pPr>
        <w:ind w:right="3559" w:firstLine="434"/>
        <w:spacing w:after="0" w:line="255" w:lineRule="auto"/>
        <w:rPr>
          <w:sz w:val="20"/>
          <w:szCs w:val="20"/>
          <w:color w:val="auto"/>
        </w:rPr>
      </w:pPr>
      <w:r>
        <w:rPr>
          <w:rFonts w:ascii="Courier New" w:cs="Courier New" w:eastAsia="Courier New" w:hAnsi="Courier New"/>
          <w:sz w:val="14"/>
          <w:szCs w:val="14"/>
          <w:color w:val="auto"/>
        </w:rPr>
        <w:t>In 1999, the Company resolved certain litigation relating to stock-for-asset acquisitions through the issuance of approximately 1,125,000 shares of the Company's common stock, which were issued in February 2000.</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As discussed in Note 6, in 1999, certain of the Company's convertible subordinated notes and convertible subordinated debentures were converted into approximately 9.0 million shares of common stock.</w:t>
      </w:r>
    </w:p>
    <w:p>
      <w:pPr>
        <w:spacing w:after="0" w:line="162"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In June 1998, Eastern completed the registration and sale of approximately 8.6 million shares of its common stock at $26.38 per share (equivalent to approximately 5.5 million shares of the Company's common stock at $41.17 per share). This public offering included the sale of 500,000 shares of Eastern common stock by selling shareholders (equivalent to 320,300 shares of the Company's common stock). The net proceeds, after deducting fees and related costs, were approximately $205.0 million and were primarily used to repay debt under Eastern's credit facility and for general corporate purposes.</w:t>
      </w:r>
    </w:p>
    <w:p>
      <w:pPr>
        <w:spacing w:after="0" w:line="164"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As a condition to completing the WM Holdings Merger, during June 1998, WM Holdings sold 20.0 million shares of its common stock from its treasury (equivalent to 14.5 million shares of the Company's common stock) in an offering to the public. The net proceeds of approximately $607.0 million were used by WM Holdings to retire outstanding debt under its credit facilities.</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June 1997, prior to the WM Holdings Merger, the Company acquired a majority of the Canadian solid waste businesses of WM Holdings in a purchase business combination for consideration that included approximately 1.7 million shares of the Company's common stock. WM Holdings sold its shares of the Company's common stock on the open market during December 1997 for approximately $65.0 million. Because the WM Holdings Merger was accounted for as a pooling of interests, WM Holdings' sale of its shares of the Company's common stock is treated as an equity offering to the public for financial reporting purposes.</w:t>
      </w:r>
    </w:p>
    <w:p>
      <w:pPr>
        <w:spacing w:after="0" w:line="164" w:lineRule="exact"/>
        <w:rPr>
          <w:sz w:val="20"/>
          <w:szCs w:val="20"/>
          <w:color w:val="auto"/>
        </w:rPr>
      </w:pPr>
    </w:p>
    <w:p>
      <w:pPr>
        <w:ind w:right="3559" w:firstLine="434"/>
        <w:spacing w:after="0" w:line="253" w:lineRule="auto"/>
        <w:rPr>
          <w:sz w:val="20"/>
          <w:szCs w:val="20"/>
          <w:color w:val="auto"/>
        </w:rPr>
      </w:pPr>
      <w:r>
        <w:rPr>
          <w:rFonts w:ascii="Courier New" w:cs="Courier New" w:eastAsia="Courier New" w:hAnsi="Courier New"/>
          <w:sz w:val="14"/>
          <w:szCs w:val="14"/>
          <w:color w:val="auto"/>
        </w:rPr>
        <w:t>On March 3, 1997, prior to the United Merger, United completed a public offering in which it issued approximately 3.5 million shares of its common stock, priced at $36.50 per share (equivalent to 3.7 million shares of the Company's common stock, priced at $33.95 per share). The net proceeds of approximately $119.0 million were used to repay debt under United's credit facility, to fund acquisitions and for general corporate purposes.</w:t>
      </w:r>
    </w:p>
    <w:p>
      <w:pPr>
        <w:spacing w:after="0" w:line="165"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On February 7, 1997, the Company completed a public offering of 11.5 million shares of its common stock, priced at $35.13 per share. The net proceeds of approximately $387.4 million were primarily used to repay bank borrowings.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February 1997, the board of directors of WM Holdings authorized the repurchase of up to 50.0 million shares of its own common stock (equivalent to 36.3 million shares of the Company's common stock) in the open market, in privately negotiated transactions or through issuer tender offers. WM Holdings repurchased 30.0 million shares of its own common stock (equivalent to 21.8 million shares of the Company's common stock) through a "Dutch auction" tender offer in the second quarter of 1997.</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During 1994 through 1996, WM Holdings sold put options on 42.3 million shares of its common stock (equivalent to 30.7 million shares of the Company's common stock). The put options gave the holders the right at maturity to require WM Holdings to repurchase shares of its common stock at specified prices. Proceeds from the sale of put options were credited to additional paid-in capital. The amount WM Holdings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159"/>
          </w:cols>
          <w:pgMar w:left="300" w:top="286"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84</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would be obligated to pay to repurchase shares of its common stock if all outstanding put options were exercised was reclassified to a temporary equity account. In the event the options were exercised, WM Holdings had the right to pay the holder the difference in cash between the strike price and the market price of WM Holdings' shares, in lieu of repurchasing the stock. Options on 32.5 million shares expired unexercised, as the price of WM Holdings' stock was in excess of the strike price at maturity. WM Holdings repurchased 3.1 million shares of its common stock at a cost of $107.5 million, and 6.7 million options were settled for cash of $13.6 million. There were no put options outstanding at and subsequent to December 31, 1997.</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of December 31, 1999, the Company is limited in its ability to pay dividends pursuant to its current credit agreements of amounts not to exceed $25.0 million per year. The Company declared cash dividends of approximately $6.2 million, $93.8 million, and $309.6 million to its shareholders during 1999, 1998, and 1997, respectively. Based on the Company's weighted average common shares outstanding, the cash dividends per common share were $0.01, $0.16, and $0.56 for 1999, 1998 and 1997,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COMMON STOCK OPTIONS AND WARRANTS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accounts for its stock-based compensation using the intrinsic value method prescribed by Accounting Principles Board Opinion No. 25, "Accounting for Stock Issued to Employees," under which no compensation cost for stock options is recognized for stock option awards granted at or above fair market value. SFAS No. 123, "Accounting for Stock-Based Compensation," established accounting and disclosure requirements using a fair-value-based method of accounting for stock-based employee compensation plans. The Company has adopted the disclosure requirements of SFAS No. 123, which are included below.</w:t>
      </w:r>
    </w:p>
    <w:p>
      <w:pPr>
        <w:spacing w:after="0" w:line="33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accordance with the Company's 1993 Stock Option Incentive Plan, as amended (the "1993 Plan"), options to purchase 26.5 million shares of the Company's common stock may be granted to officers, directors, and key employees. Options are granted under the 1993 Plan at an exercise price which equals or exceeds the fair market value of the common stock on the date of grant, with various vesting periods, and expire up to ten years from the date of grant.</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Under the Company's 1996 Stock Option Plan for Non-Employee Directors ("1996 Directors Plan"), its directors who are not officers, full-time employees or consultants of the Company receive an annual grant of 10,000 options on each January 1. In accordance with the 1996 Directors Plan, options to purchase up to 1,400,000 shares of the Company's common stock may be granted, with one-year vesting periods and expiration dates ten years from the date of grant. Options may be granted at an exercise price which equals fair market value of the common stock on the date of grant.</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Stock options granted by the Company in 1999, 1998, and 1997 generally have ten-year terms. At the effective date of the United Merger, United stock options, whether or not such stock options had vested or had become exercisable, were canceled in exchange for shares of the Company's common stock equal in market value to the fair value of such United stock options, as determined by an independent third party. Stock options granted by WM Holdings prior to March 10, 1998, became fully vested upon consummation of the WM Holdings Merger, and certain of those include put provision benefits for up to a one-year period from the date of the WM Holdings Merger, which expired in 1999 (See Note 4). WM Holdings' options granted after March 10, 1998, continue to vest in accordance with their original vesting schedule of 3 years. All other stock options granted by merged entities continue to vest under varying vesting periods ranging from immediate vesting to five years following the date of the grant.</w:t>
      </w:r>
    </w:p>
    <w:p>
      <w:pPr>
        <w:spacing w:after="0" w:line="163"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Company also has outstanding options and warrants related to various predecessor plans acquired through merger and acquisition activity.</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159"/>
          </w:cols>
          <w:pgMar w:left="300" w:top="286"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85</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The following table summarizes common stock option and warrant transactions</w:t>
            </w:r>
          </w:p>
        </w:tc>
      </w:tr>
      <w:tr>
        <w:trPr>
          <w:trHeight w:val="167"/>
        </w:trPr>
        <w:tc>
          <w:tcPr>
            <w:tcW w:w="782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under the aforementioned plans and various predecessor plans for 1999, 1998, and</w:t>
            </w:r>
          </w:p>
        </w:tc>
      </w:tr>
      <w:tr>
        <w:trPr>
          <w:trHeight w:val="167"/>
        </w:trPr>
        <w:tc>
          <w:tcPr>
            <w:tcW w:w="5120" w:type="dxa"/>
            <w:vAlign w:val="bottom"/>
          </w:tcPr>
          <w:p>
            <w:pPr>
              <w:jc w:val="right"/>
              <w:ind w:right="4608"/>
              <w:spacing w:after="0"/>
              <w:rPr>
                <w:sz w:val="20"/>
                <w:szCs w:val="20"/>
                <w:color w:val="auto"/>
              </w:rPr>
            </w:pPr>
            <w:r>
              <w:rPr>
                <w:rFonts w:ascii="Courier New" w:cs="Courier New" w:eastAsia="Courier New" w:hAnsi="Courier New"/>
                <w:sz w:val="14"/>
                <w:szCs w:val="14"/>
                <w:color w:val="auto"/>
                <w:w w:val="99"/>
              </w:rPr>
              <w:t>1997:</w:t>
            </w: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68"/>
        </w:trPr>
        <w:tc>
          <w:tcPr>
            <w:tcW w:w="512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OPTIONS AND</w:t>
            </w:r>
          </w:p>
        </w:tc>
        <w:tc>
          <w:tcPr>
            <w:tcW w:w="15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WEIGHTED AVERAGE</w:t>
            </w:r>
          </w:p>
        </w:tc>
      </w:tr>
      <w:tr>
        <w:trPr>
          <w:trHeight w:val="167"/>
        </w:trPr>
        <w:tc>
          <w:tcPr>
            <w:tcW w:w="5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WARRANTS</w:t>
            </w:r>
          </w:p>
        </w:tc>
        <w:tc>
          <w:tcPr>
            <w:tcW w:w="15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512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(IN 000'S)</w:t>
            </w:r>
          </w:p>
        </w:tc>
        <w:tc>
          <w:tcPr>
            <w:tcW w:w="1520" w:type="dxa"/>
            <w:vAlign w:val="bottom"/>
          </w:tcPr>
          <w:p>
            <w:pPr>
              <w:spacing w:after="0"/>
              <w:rPr>
                <w:sz w:val="14"/>
                <w:szCs w:val="14"/>
                <w:color w:val="auto"/>
              </w:rPr>
            </w:pPr>
          </w:p>
        </w:tc>
      </w:tr>
      <w:tr>
        <w:trPr>
          <w:trHeight w:val="334"/>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 at December 31, 1996..........................</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37,911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$27.13</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Granted.................................................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10,424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35.20</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(8,023)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17.26</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Forfeited...............................................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43.99</w:t>
            </w:r>
          </w:p>
        </w:tc>
      </w:tr>
      <w:tr>
        <w:trPr>
          <w:trHeight w:val="167"/>
        </w:trPr>
        <w:tc>
          <w:tcPr>
            <w:tcW w:w="5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 at December 31, 1997..........................</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37,631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30.46</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Granted.................................................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10,645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43.92</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Assumed in acquisitions.................................</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1,986</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36.77</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(8,593)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34.17</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Forfeited...............................................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45.33</w:t>
            </w:r>
          </w:p>
        </w:tc>
      </w:tr>
      <w:tr>
        <w:trPr>
          <w:trHeight w:val="167"/>
        </w:trPr>
        <w:tc>
          <w:tcPr>
            <w:tcW w:w="5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 at December 31, 1998..........................</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40,810</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32.72</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Granted.................................................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8,206</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33.86</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(11,685)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26.88</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Forfeited...............................................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(598)</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51.54</w:t>
            </w:r>
          </w:p>
        </w:tc>
      </w:tr>
      <w:tr>
        <w:trPr>
          <w:trHeight w:val="167"/>
        </w:trPr>
        <w:tc>
          <w:tcPr>
            <w:tcW w:w="5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 at December 31, 1999..........................</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36,733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34.53</w:t>
            </w:r>
          </w:p>
        </w:tc>
      </w:tr>
      <w:tr>
        <w:trPr>
          <w:trHeight w:val="167"/>
        </w:trPr>
        <w:tc>
          <w:tcPr>
            <w:tcW w:w="5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Exercisable at December 31, 1997..........................</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20,440</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30.34</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Exercisable at December 31, 1998..........................</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23,994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5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Exercisable at December 31, 1999..........................</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22,055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33.93</w:t>
            </w:r>
          </w:p>
        </w:tc>
      </w:tr>
    </w:tbl>
    <w:p>
      <w:pPr>
        <w:spacing w:after="0" w:line="338" w:lineRule="exact"/>
        <w:rPr>
          <w:sz w:val="20"/>
          <w:szCs w:val="20"/>
          <w:color w:val="auto"/>
        </w:rPr>
      </w:pPr>
    </w:p>
    <w:p>
      <w:pPr>
        <w:ind w:right="3199" w:firstLine="434"/>
        <w:spacing w:after="0" w:line="256" w:lineRule="auto"/>
        <w:rPr>
          <w:sz w:val="20"/>
          <w:szCs w:val="20"/>
          <w:color w:val="auto"/>
        </w:rPr>
      </w:pPr>
      <w:r>
        <w:rPr>
          <w:rFonts w:ascii="Courier New" w:cs="Courier New" w:eastAsia="Courier New" w:hAnsi="Courier New"/>
          <w:sz w:val="14"/>
          <w:szCs w:val="14"/>
          <w:color w:val="auto"/>
        </w:rPr>
        <w:t>In addition to the options and warrants discussed above, the Company also has approximately 1.0 million warrants outstanding that were issued by United prior to the United Merger that have a weighted average exercise price of $20.96 per share.</w:t>
      </w:r>
    </w:p>
    <w:p>
      <w:pPr>
        <w:spacing w:after="0" w:line="327"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Outstanding and exercisable stock options and warrants at December 31, 1999, were as follows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OUTSTANDING</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EXERCISABLE</w:t>
            </w:r>
          </w:p>
        </w:tc>
      </w:tr>
      <w:tr>
        <w:trPr>
          <w:trHeight w:val="167"/>
        </w:trPr>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90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3"/>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OPTIONS AND</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 AVERAGE</w:t>
            </w:r>
          </w:p>
        </w:tc>
        <w:tc>
          <w:tcPr>
            <w:tcW w:w="16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WEIGHTED AVERAGE</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OPTIONS AND</w:t>
            </w:r>
          </w:p>
        </w:tc>
        <w:tc>
          <w:tcPr>
            <w:tcW w:w="1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 AVERAGE</w:t>
            </w:r>
          </w:p>
        </w:tc>
      </w:tr>
      <w:tr>
        <w:trPr>
          <w:trHeight w:val="167"/>
        </w:trPr>
        <w:tc>
          <w:tcPr>
            <w:tcW w:w="244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EXERCISE PRICE</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WARRANTS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66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REMAINING TERM</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WARRANTS</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$2.25 to $10.00............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445</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$ 6.38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445</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$ 6.38</w:t>
            </w:r>
          </w:p>
        </w:tc>
      </w:tr>
      <w:tr>
        <w:trPr>
          <w:trHeight w:val="167"/>
        </w:trPr>
        <w:tc>
          <w:tcPr>
            <w:tcW w:w="24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$10.01 to $20.00...........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6,290</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14.40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4,261</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13.73</w:t>
            </w:r>
          </w:p>
        </w:tc>
      </w:tr>
      <w:tr>
        <w:trPr>
          <w:trHeight w:val="167"/>
        </w:trPr>
        <w:tc>
          <w:tcPr>
            <w:tcW w:w="24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$20.01 to $30.00...........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8,036</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24.52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4,266</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25.72</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$30.01</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$40.00...........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8,363</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35.29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4,797</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35.59</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$40.01</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$50.00...........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6,153</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45.55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5,364</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45.39</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$50.01</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$140.16..........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7,446</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54.06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2,922</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55.76</w:t>
            </w:r>
          </w:p>
        </w:tc>
      </w:tr>
      <w:tr>
        <w:trPr>
          <w:trHeight w:val="167"/>
        </w:trPr>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spacing w:after="0"/>
              <w:rPr>
                <w:sz w:val="14"/>
                <w:szCs w:val="14"/>
                <w:color w:val="auto"/>
              </w:rPr>
            </w:pPr>
          </w:p>
        </w:tc>
      </w:tr>
      <w:tr>
        <w:trPr>
          <w:trHeight w:val="167"/>
        </w:trPr>
        <w:tc>
          <w:tcPr>
            <w:tcW w:w="24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$2.25 to $140.16...........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36,733</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34.53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22,055</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33.93</w:t>
            </w:r>
          </w:p>
        </w:tc>
      </w:tr>
      <w:tr>
        <w:trPr>
          <w:trHeight w:val="167"/>
        </w:trPr>
        <w:tc>
          <w:tcPr>
            <w:tcW w:w="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spacing w:after="0"/>
              <w:rPr>
                <w:sz w:val="14"/>
                <w:szCs w:val="14"/>
                <w:color w:val="auto"/>
              </w:rPr>
            </w:pPr>
          </w:p>
        </w:tc>
      </w:tr>
    </w:tbl>
    <w:p>
      <w:pPr>
        <w:spacing w:after="0" w:line="338"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weighted average fair value per share of common stock options and warrants granted during 1999, 1998 and 1997 were $16.17, $18.61, and $11.92, respectively. The fair value of each common stock option or warrant granted to employees or directors by the Company during 1999, 1998 and 1997 is estimated utilizing the Black-Scholes option-pricing model. The following weighted average assumptions were used: dividend yield of 0% to 2%, risk-free interest rates which vary for each grant and range from 4.63% to 7.67%, expected life of three to seven years for all grants, and stock price volatility primarily ranging from 25.2% to 41.9% for all three to seven year grants.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159"/>
          </w:cols>
          <w:pgMar w:left="300" w:top="286"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86</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If the Company applied the recognition provisions of SFAS No. 123, the</w:t>
            </w:r>
          </w:p>
        </w:tc>
        <w:tc>
          <w:tcPr>
            <w:tcW w:w="940" w:type="dxa"/>
            <w:vAlign w:val="bottom"/>
          </w:tcPr>
          <w:p>
            <w:pPr>
              <w:spacing w:after="0"/>
              <w:rPr>
                <w:sz w:val="14"/>
                <w:szCs w:val="14"/>
                <w:color w:val="auto"/>
              </w:rPr>
            </w:pPr>
          </w:p>
        </w:tc>
      </w:tr>
      <w:tr>
        <w:trPr>
          <w:trHeight w:val="167"/>
        </w:trPr>
        <w:tc>
          <w:tcPr>
            <w:tcW w:w="7220" w:type="dxa"/>
            <w:vAlign w:val="bottom"/>
            <w:gridSpan w:val="3"/>
          </w:tcPr>
          <w:p>
            <w:pPr>
              <w:spacing w:after="0"/>
              <w:rPr>
                <w:sz w:val="20"/>
                <w:szCs w:val="20"/>
                <w:color w:val="auto"/>
              </w:rPr>
            </w:pPr>
            <w:r>
              <w:rPr>
                <w:rFonts w:ascii="Courier New" w:cs="Courier New" w:eastAsia="Courier New" w:hAnsi="Courier New"/>
                <w:sz w:val="14"/>
                <w:szCs w:val="14"/>
                <w:color w:val="auto"/>
              </w:rPr>
              <w:t>Company's net loss and loss per common share for 1999, 1998, and 1997 would</w:t>
            </w:r>
          </w:p>
        </w:tc>
        <w:tc>
          <w:tcPr>
            <w:tcW w:w="940" w:type="dxa"/>
            <w:vAlign w:val="bottom"/>
          </w:tcPr>
          <w:p>
            <w:pPr>
              <w:spacing w:after="0"/>
              <w:rPr>
                <w:sz w:val="14"/>
                <w:szCs w:val="14"/>
                <w:color w:val="auto"/>
              </w:rPr>
            </w:pPr>
          </w:p>
        </w:tc>
      </w:tr>
      <w:tr>
        <w:trPr>
          <w:trHeight w:val="167"/>
        </w:trPr>
        <w:tc>
          <w:tcPr>
            <w:tcW w:w="7220" w:type="dxa"/>
            <w:vAlign w:val="bottom"/>
            <w:gridSpan w:val="3"/>
          </w:tcPr>
          <w:p>
            <w:pPr>
              <w:spacing w:after="0"/>
              <w:rPr>
                <w:sz w:val="20"/>
                <w:szCs w:val="20"/>
                <w:color w:val="auto"/>
              </w:rPr>
            </w:pPr>
            <w:r>
              <w:rPr>
                <w:rFonts w:ascii="Courier New" w:cs="Courier New" w:eastAsia="Courier New" w:hAnsi="Courier New"/>
                <w:sz w:val="14"/>
                <w:szCs w:val="14"/>
                <w:color w:val="auto"/>
              </w:rPr>
              <w:t>approximate the pro forma amounts shown below (in thousands, except per share</w:t>
            </w:r>
          </w:p>
        </w:tc>
        <w:tc>
          <w:tcPr>
            <w:tcW w:w="94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amounts):</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8"/>
        </w:trPr>
        <w:tc>
          <w:tcPr>
            <w:tcW w:w="5120" w:type="dxa"/>
            <w:vAlign w:val="bottom"/>
          </w:tcPr>
          <w:p>
            <w:pPr>
              <w:spacing w:after="0"/>
              <w:rPr>
                <w:sz w:val="24"/>
                <w:szCs w:val="24"/>
                <w:color w:val="auto"/>
              </w:rPr>
            </w:pPr>
          </w:p>
        </w:tc>
        <w:tc>
          <w:tcPr>
            <w:tcW w:w="30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5120" w:type="dxa"/>
            <w:vAlign w:val="bottom"/>
          </w:tcPr>
          <w:p>
            <w:pPr>
              <w:spacing w:after="0"/>
              <w:rPr>
                <w:sz w:val="14"/>
                <w:szCs w:val="14"/>
                <w:color w:val="auto"/>
              </w:rPr>
            </w:pPr>
          </w:p>
        </w:tc>
        <w:tc>
          <w:tcPr>
            <w:tcW w:w="30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12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$(397,564)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$(770,702)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$(938,895)</w:t>
            </w: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(479,455)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(833,014)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(978,831)</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Basic loss per common share: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Diluted loss per common share: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bl>
    <w:p>
      <w:pPr>
        <w:spacing w:after="0" w:line="338"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effects of applying SFAS No. 123 in this pro forma disclosure are not necessarily indicative of future results or performance.</w:t>
      </w:r>
    </w:p>
    <w:p>
      <w:pPr>
        <w:spacing w:after="0" w:line="16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Beginning in 1996, WM Holdings made grants of restricted stock. Compensation expense for grants of restricted shares was recognized ratably over the vesting period (generally five to ten years) and amounted to approximately $759,000 in 1998 through the date of the WM Holdings Merger and $2.4 million in 1997. The unamortized restricted stock of $9.2 million vested upon consummation of the WM Holdings Merger, and accordingly was included in merger costs in 1998.</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November 1999, one of the Company's senior executives was granted 265,000 shares of restricted stock that vest in three equal installments over the next three years and 650,000 stock options that vest according to certain performance goals in lieu of the normal vesting schedules. Notwithstanding these performance goals, all of these options will vest no later than five years from the date of grant.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EMPLOYEE BENEFIT PLANS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Effective January 1, 1999, the Waste Management Retirement Savings Plan and the Wheelabrator-Rust Savings and Retirement Plan were merged into the USA Waste Services, Inc. Employee Savings Plan, which was then renamed the Waste Management Retirement Savings Plan ("Savings Plan"). The Savings Plan covers employees (except those working subject to collective bargaining agreements which do not provide for coverage under such plans) following a 90 day waiting period after hire, and allows eligible employees to contribute up to 15% of their annual compensation, as limited by IRS regulations. Under the Savings Plan, the Company matches employee contributions up to 3% of their eligible compensation and matches 50% of employee contributions in excess of 3% but no more than 6% of eligible compensation. Both employee and Company contributions vest immediately. Charges to operations for the Company's defined contribution plans were $49.4 million, $69.7 million, and $42.3 million during 1999, 1998 and 1997, respectively.</w:t>
      </w:r>
    </w:p>
    <w:p>
      <w:pPr>
        <w:spacing w:after="0" w:line="330"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Certain of the Company's foreign subsidiaries participate in both defined benefit and defined contribution retirement plans for its employees in those countries. The projected benefit obligation of $64.8 million and $53.1 million, plan assets of $55.1 million and $43.7 million and unfunded liability of $9.8 million and $9.4 million as of December 31, 1999 and 1998, respectively, relating to the foreign subsidiaries' defined benefit plans are not included in the tables below primarily due to their insignificance and pending sale of the related operating companies. In addition to the pension plan for certain employees under collective bargaining agreements established at the end of 1998 (see below), other Company subsidiaries participate in various multi-employer pension plans and in two instances, site or contract specific plans, covering certain employees not covered under the Company's pension plan. These multi-employer plans are generally defined benefit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159"/>
          </w:cols>
          <w:pgMar w:left="300" w:top="286"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87</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plans; however, in many cases, specific benefit levels are not negotiated with or known by the employer contributors. The projected benefit obligation, plan assets and unfunded liability of the site or contract specific plans are not material and are not included in tables below. Contributions of $30.9 million, $25.8 million, and $18.6 million for subsidiaries' defined benefit plans were charged to operations in 1999, 1998 and 1997, respectively.</w:t>
      </w:r>
    </w:p>
    <w:p>
      <w:pPr>
        <w:spacing w:after="0" w:line="16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Company had a qualified defined benefit pension plan (the "Plan") for all eligible non-union domestic employees of WM Holdings which, as discussed below, was terminated as of October 31, 1999 in connection with the WM Holdings Merger. Throughout the life of the Plan, benefits were based on the employee's years of service and compensation during the highest five consecutive years out of the last ten years of employment. The Company's funding policy was to contribute annually an amount determined in consultation with its actuaries, approximately equal to pension expense, except as may be limited by the requirements of the Employee Retirement Income Security Act ("ERISA"). An actuarial valuation report was prepared for the Plan as of September 30 each year and used, as permitted by the SFAS No. 87, Employers Accounting for Pensions, for the year-end disclosures.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connection with the WM Holdings Merger, the Company ceased benefit accruals for the Plan as of December 31, 1998. The Company planned to liquidate the Plan's assets and settle its obligations to participants, except as related to certain employees participating under collective bargaining agreements, whose benefits were transferred to a newly created plan effective October 1, 1998. As required under SFAS No. 88, Employer's Accounting for Settlements and Curtailments of Defined Benefit Pension Plans and for Termination Benefits, this decision has resulted in a curtailment expense charge in unusual items of $34.7 million in 1998. The Plan was officially terminated as of October 31, 1999. The Company contributed approximately $43.4 million to the Plan's trusts during 1999 and expects payments of approximately $185 million to be made through 2000 relating to the termination of the Plan. The actual charge to expense of settling the Plan will be recorded as settlements occur.</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Also in conjunction with the WM Holdings Merger, the Company has terminated certain non-qualified supplemental benefit plans for certain officers and non-officer managers, the most significant plan being the WM Holdings' Supplemental Executive Retirement Plan ("SERP") (collectively the "Supplemental Plans"). The curtailment and settlement loss related to these plans of $62.0 million was recorded in unusual items in 1998.</w:t>
      </w:r>
    </w:p>
    <w:p>
      <w:pPr>
        <w:spacing w:after="0" w:line="16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WM Holdings and certain of its subsidiaries provided post-retirement health care and other benefits to eligible employees. In conjunction with the WM Holdings Merger, the Company limited participation in these plans to participating retired employees as of December 31, 1998.</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159"/>
          </w:cols>
          <w:pgMar w:left="30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88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The following tables provide a reconciliation of the changes in the plans' benefit obligations and the fair value of assets over the two-year period ending December 31, 1999, and a statement of the funded status as of December 31 of both years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PENSION BENEFITS</w:t>
            </w:r>
          </w:p>
        </w:tc>
        <w:tc>
          <w:tcPr>
            <w:tcW w:w="160" w:type="dxa"/>
            <w:vAlign w:val="bottom"/>
          </w:tcPr>
          <w:p>
            <w:pPr>
              <w:spacing w:after="0"/>
              <w:rPr>
                <w:sz w:val="14"/>
                <w:szCs w:val="14"/>
                <w:color w:val="auto"/>
              </w:rPr>
            </w:pPr>
          </w:p>
        </w:tc>
        <w:tc>
          <w:tcPr>
            <w:tcW w:w="16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OTHER BENEFITS</w:t>
            </w:r>
          </w:p>
        </w:tc>
      </w:tr>
      <w:tr>
        <w:trPr>
          <w:trHeight w:val="167"/>
        </w:trPr>
        <w:tc>
          <w:tcPr>
            <w:tcW w:w="366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6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beginning of</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$ 471,768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$ 328,892</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$ 53,723</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$ 64,482</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Service cost...........................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17,892</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1,783</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cost..........................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23,306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23,944</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3,478</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4,535</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Plan participants' contributions.......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Amendments.............................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23,372</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(24,188)</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Actuarial loss.........................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73,171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90,346</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1,638</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4,651</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Benefits paid..........................</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(8,021)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(11,928)</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(1,925)</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Curtailments...........................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52,209</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4,085</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Settlements............................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(52,959)</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Benefit obligation at end of year......</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$ 561,432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$ 471,768</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$ 55,139</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$ 53,723</w:t>
            </w:r>
          </w:p>
        </w:tc>
      </w:tr>
      <w:tr>
        <w:trPr>
          <w:trHeight w:val="167"/>
        </w:trPr>
        <w:tc>
          <w:tcPr>
            <w:tcW w:w="36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beginning</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year.............................</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$ 319,278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$ 264,870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Actual return on plan assets...........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29,310</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Employer contributions.................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43,391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89,985</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1,625</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Plan participants' contributions.......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Benefits paid..........................</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(8,021)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(11,928)</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(1,925)</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Settlements............................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(52,959)</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end of</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$ 335,890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$ 319,278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Funded status at December 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$(225,542)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$(152,490)</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$(55,139)</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$(53,723)</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Unrecognized transition (asset)</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obligation..........................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(1,430)</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Unrecognized net actuarial loss........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223,246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123,554</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2,107</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Unrecognized prior service cost........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(19,076)</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(20,576)</w:t>
            </w:r>
          </w:p>
        </w:tc>
      </w:tr>
      <w:tr>
        <w:trPr>
          <w:trHeight w:val="167"/>
        </w:trPr>
        <w:tc>
          <w:tcPr>
            <w:tcW w:w="36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amount recognized..................</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(2,296)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(30,376)</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$(72,108)</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$(73,830)</w:t>
            </w:r>
          </w:p>
        </w:tc>
      </w:tr>
      <w:tr>
        <w:trPr>
          <w:trHeight w:val="167"/>
        </w:trPr>
        <w:tc>
          <w:tcPr>
            <w:tcW w:w="36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559" w:firstLine="434"/>
        <w:spacing w:after="0" w:line="258" w:lineRule="auto"/>
        <w:rPr>
          <w:sz w:val="20"/>
          <w:szCs w:val="20"/>
          <w:color w:val="auto"/>
        </w:rPr>
      </w:pPr>
      <w:r>
        <w:rPr>
          <w:rFonts w:ascii="Courier New" w:cs="Courier New" w:eastAsia="Courier New" w:hAnsi="Courier New"/>
          <w:sz w:val="14"/>
          <w:szCs w:val="14"/>
          <w:color w:val="auto"/>
        </w:rPr>
        <w:t>The following table provides the amounts recognized in the consolidated balance sheets as of December 31 of both years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PENSION BENEFITS</w:t>
            </w:r>
          </w:p>
        </w:tc>
        <w:tc>
          <w:tcPr>
            <w:tcW w:w="160" w:type="dxa"/>
            <w:vAlign w:val="bottom"/>
          </w:tcPr>
          <w:p>
            <w:pPr>
              <w:spacing w:after="0"/>
              <w:rPr>
                <w:sz w:val="14"/>
                <w:szCs w:val="14"/>
                <w:color w:val="auto"/>
              </w:rPr>
            </w:pPr>
          </w:p>
        </w:tc>
        <w:tc>
          <w:tcPr>
            <w:tcW w:w="16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OTHER BENEFITS</w:t>
            </w:r>
          </w:p>
        </w:tc>
      </w:tr>
      <w:tr>
        <w:trPr>
          <w:trHeight w:val="167"/>
        </w:trPr>
        <w:tc>
          <w:tcPr>
            <w:tcW w:w="3400" w:type="dxa"/>
            <w:vAlign w:val="bottom"/>
          </w:tcPr>
          <w:p>
            <w:pPr>
              <w:spacing w:after="0"/>
              <w:rPr>
                <w:sz w:val="14"/>
                <w:szCs w:val="14"/>
                <w:color w:val="auto"/>
              </w:rPr>
            </w:pPr>
          </w:p>
        </w:tc>
        <w:tc>
          <w:tcPr>
            <w:tcW w:w="1300" w:type="dxa"/>
            <w:vAlign w:val="bottom"/>
            <w:gridSpan w:val="2"/>
          </w:tcPr>
          <w:p>
            <w:pPr>
              <w:ind w:left="340"/>
              <w:spacing w:after="0"/>
              <w:rPr>
                <w:sz w:val="20"/>
                <w:szCs w:val="20"/>
                <w:color w:val="auto"/>
              </w:rPr>
            </w:pPr>
            <w:r>
              <w:rPr>
                <w:rFonts w:ascii="Courier New" w:cs="Courier New" w:eastAsia="Courier New" w:hAnsi="Courier New"/>
                <w:sz w:val="10"/>
                <w:szCs w:val="10"/>
                <w:color w:val="auto"/>
                <w:w w:val="74"/>
              </w:rPr>
              <w:t>---------------------</w:t>
            </w:r>
          </w:p>
        </w:tc>
        <w:tc>
          <w:tcPr>
            <w:tcW w:w="1040" w:type="dxa"/>
            <w:vAlign w:val="bottom"/>
          </w:tcPr>
          <w:p>
            <w:pPr>
              <w:spacing w:after="0"/>
              <w:rPr>
                <w:sz w:val="14"/>
                <w:szCs w:val="14"/>
                <w:color w:val="auto"/>
              </w:rPr>
            </w:pPr>
          </w:p>
        </w:tc>
        <w:tc>
          <w:tcPr>
            <w:tcW w:w="18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4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w w:val="98"/>
              </w:rPr>
              <w:t>Prepaid benefit cost.....................</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36,604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8,220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Accrued benefit liability................</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(38,900)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(38,596)</w:t>
            </w:r>
          </w:p>
        </w:tc>
        <w:tc>
          <w:tcPr>
            <w:tcW w:w="1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(72,108)</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(73,830)</w:t>
            </w: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Minimum pension liability................</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(221,605)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(118,871)</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820" w:type="dxa"/>
            <w:vAlign w:val="bottom"/>
            <w:gridSpan w:val="2"/>
          </w:tcPr>
          <w:p>
            <w:pPr>
              <w:jc w:val="right"/>
              <w:ind w:right="191"/>
              <w:spacing w:after="0"/>
              <w:rPr>
                <w:sz w:val="20"/>
                <w:szCs w:val="20"/>
                <w:color w:val="auto"/>
              </w:rPr>
            </w:pPr>
            <w:r>
              <w:rPr>
                <w:rFonts w:ascii="Courier New" w:cs="Courier New" w:eastAsia="Courier New" w:hAnsi="Courier New"/>
                <w:sz w:val="14"/>
                <w:szCs w:val="14"/>
                <w:color w:val="auto"/>
              </w:rPr>
              <w:t>before tax benefit.....................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221,605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118,871</w:t>
            </w:r>
          </w:p>
        </w:tc>
        <w:tc>
          <w:tcPr>
            <w:tcW w:w="1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w w:val="98"/>
              </w:rPr>
              <w:t>Net amount recognized....................</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(30,376)</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$(72,108)</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$(73,830)</w:t>
            </w:r>
          </w:p>
        </w:tc>
      </w:tr>
      <w:tr>
        <w:trPr>
          <w:trHeight w:val="167"/>
        </w:trPr>
        <w:tc>
          <w:tcPr>
            <w:tcW w:w="34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400" w:type="dxa"/>
            <w:vAlign w:val="bottom"/>
          </w:tcPr>
          <w:p>
            <w:pPr>
              <w:spacing w:after="0"/>
              <w:rPr>
                <w:sz w:val="24"/>
                <w:szCs w:val="24"/>
                <w:color w:val="auto"/>
              </w:rPr>
            </w:pPr>
          </w:p>
        </w:tc>
        <w:tc>
          <w:tcPr>
            <w:tcW w:w="42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83"/>
              </w:rPr>
              <w:t>86</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89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WASTE MANAGEMENT, INC.</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4"/>
        </w:trPr>
        <w:tc>
          <w:tcPr>
            <w:tcW w:w="4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92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 (CONTINUED)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4"/>
        </w:trPr>
        <w:tc>
          <w:tcPr>
            <w:tcW w:w="7380" w:type="dxa"/>
            <w:vAlign w:val="bottom"/>
            <w:gridSpan w:val="8"/>
          </w:tcPr>
          <w:p>
            <w:pPr>
              <w:ind w:left="440"/>
              <w:spacing w:after="0"/>
              <w:rPr>
                <w:sz w:val="20"/>
                <w:szCs w:val="20"/>
                <w:color w:val="auto"/>
              </w:rPr>
            </w:pPr>
            <w:r>
              <w:rPr>
                <w:rFonts w:ascii="Courier New" w:cs="Courier New" w:eastAsia="Courier New" w:hAnsi="Courier New"/>
                <w:sz w:val="14"/>
                <w:szCs w:val="14"/>
                <w:color w:val="auto"/>
              </w:rPr>
              <w:t>The following table provides the components of net periodic benefit cost</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for 1999, 1998, and 1997 (in thousands):</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PENSION BENEFITS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 BENEFITS</w:t>
            </w:r>
          </w:p>
        </w:tc>
        <w:tc>
          <w:tcPr>
            <w:tcW w:w="6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Courier New" w:cs="Courier New" w:eastAsia="Courier New" w:hAnsi="Courier New"/>
                <w:sz w:val="7"/>
                <w:szCs w:val="7"/>
                <w:color w:val="auto"/>
                <w:w w:val="72"/>
              </w:rPr>
              <w:t>------------------------------</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3660" w:type="dxa"/>
            <w:vAlign w:val="bottom"/>
          </w:tcPr>
          <w:p>
            <w:pPr>
              <w:spacing w:after="0"/>
              <w:rPr>
                <w:sz w:val="14"/>
                <w:szCs w:val="14"/>
                <w:color w:val="auto"/>
              </w:rPr>
            </w:pP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Components of net periodic benefit cost: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Service cost..........................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$ 17,892</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$ 14,720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$1,783</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$1,212</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 cost.........................</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23,306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23,944</w:t>
            </w:r>
          </w:p>
        </w:tc>
        <w:tc>
          <w:tcPr>
            <w:tcW w:w="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20,877</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4,538</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Expected return on plan assets........</w:t>
            </w:r>
          </w:p>
        </w:tc>
        <w:tc>
          <w:tcPr>
            <w:tcW w:w="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(20,954)</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(17,084)</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Amortization of transition asset......</w:t>
            </w:r>
          </w:p>
        </w:tc>
        <w:tc>
          <w:tcPr>
            <w:tcW w:w="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(1,430)</w:t>
            </w:r>
          </w:p>
        </w:tc>
        <w:tc>
          <w:tcPr>
            <w:tcW w:w="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(1,430)</w:t>
            </w:r>
          </w:p>
        </w:tc>
        <w:tc>
          <w:tcPr>
            <w:tcW w:w="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Amortization of prior service cost....</w:t>
            </w:r>
          </w:p>
        </w:tc>
        <w:tc>
          <w:tcPr>
            <w:tcW w:w="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Amortization of net (gain) loss.......</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9,233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8,450</w:t>
            </w:r>
          </w:p>
        </w:tc>
        <w:tc>
          <w:tcPr>
            <w:tcW w:w="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4,772</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r>
        <w:trPr>
          <w:trHeight w:val="167"/>
        </w:trPr>
        <w:tc>
          <w:tcPr>
            <w:tcW w:w="3660" w:type="dxa"/>
            <w:vAlign w:val="bottom"/>
          </w:tcPr>
          <w:p>
            <w:pPr>
              <w:spacing w:after="0"/>
              <w:rPr>
                <w:sz w:val="14"/>
                <w:szCs w:val="14"/>
                <w:color w:val="auto"/>
              </w:rPr>
            </w:pP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periodic benefit cost..........</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27,867</w:t>
            </w:r>
          </w:p>
        </w:tc>
        <w:tc>
          <w:tcPr>
            <w:tcW w:w="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22,057</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5,497</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Curtailment loss (included in asset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impairments and unusual items).....</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53,208</w:t>
            </w:r>
          </w:p>
        </w:tc>
        <w:tc>
          <w:tcPr>
            <w:tcW w:w="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Settlement loss (included in asset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impairments and unusual items).....</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43,495</w:t>
            </w:r>
          </w:p>
        </w:tc>
        <w:tc>
          <w:tcPr>
            <w:tcW w:w="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3660" w:type="dxa"/>
            <w:vAlign w:val="bottom"/>
          </w:tcPr>
          <w:p>
            <w:pPr>
              <w:ind w:left="880"/>
              <w:spacing w:after="0"/>
              <w:rPr>
                <w:sz w:val="20"/>
                <w:szCs w:val="20"/>
                <w:color w:val="auto"/>
              </w:rPr>
            </w:pPr>
            <w:r>
              <w:rPr>
                <w:rFonts w:ascii="Courier New" w:cs="Courier New" w:eastAsia="Courier New" w:hAnsi="Courier New"/>
                <w:sz w:val="14"/>
                <w:szCs w:val="14"/>
                <w:color w:val="auto"/>
              </w:rPr>
              <w:t>Net periodic benefit cost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660" w:type="dxa"/>
            <w:vAlign w:val="bottom"/>
          </w:tcPr>
          <w:p>
            <w:pPr>
              <w:ind w:left="1060"/>
              <w:spacing w:after="0"/>
              <w:rPr>
                <w:sz w:val="20"/>
                <w:szCs w:val="20"/>
                <w:color w:val="auto"/>
              </w:rPr>
            </w:pPr>
            <w:r>
              <w:rPr>
                <w:rFonts w:ascii="Courier New" w:cs="Courier New" w:eastAsia="Courier New" w:hAnsi="Courier New"/>
                <w:sz w:val="14"/>
                <w:szCs w:val="14"/>
                <w:color w:val="auto"/>
              </w:rPr>
              <w:t>after curtailments and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settlements.................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15,311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$124,570</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$ 22,057</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$ 1,978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$6,151</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$5,497</w:t>
            </w:r>
          </w:p>
        </w:tc>
      </w:tr>
      <w:tr>
        <w:trPr>
          <w:trHeight w:val="167"/>
        </w:trPr>
        <w:tc>
          <w:tcPr>
            <w:tcW w:w="3660" w:type="dxa"/>
            <w:vAlign w:val="bottom"/>
          </w:tcPr>
          <w:p>
            <w:pPr>
              <w:spacing w:after="0"/>
              <w:rPr>
                <w:sz w:val="14"/>
                <w:szCs w:val="14"/>
                <w:color w:val="auto"/>
              </w:rPr>
            </w:pP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652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The assumptions used in the measurement of the Company's benefit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7380" w:type="dxa"/>
            <w:vAlign w:val="bottom"/>
            <w:gridSpan w:val="8"/>
          </w:tcPr>
          <w:p>
            <w:pPr>
              <w:spacing w:after="0"/>
              <w:rPr>
                <w:sz w:val="20"/>
                <w:szCs w:val="20"/>
                <w:color w:val="auto"/>
              </w:rPr>
            </w:pPr>
            <w:r>
              <w:rPr>
                <w:rFonts w:ascii="Courier New" w:cs="Courier New" w:eastAsia="Courier New" w:hAnsi="Courier New"/>
                <w:sz w:val="14"/>
                <w:szCs w:val="14"/>
                <w:color w:val="auto"/>
              </w:rPr>
              <w:t>obligations are shown in the following table (weighted average assumptions as of</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PENSION BENEFITS</w:t>
            </w:r>
          </w:p>
        </w:tc>
        <w:tc>
          <w:tcPr>
            <w:tcW w:w="80" w:type="dxa"/>
            <w:vAlign w:val="bottom"/>
          </w:tcPr>
          <w:p>
            <w:pPr>
              <w:spacing w:after="0"/>
              <w:rPr>
                <w:sz w:val="24"/>
                <w:szCs w:val="2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 BENEFITS</w:t>
            </w:r>
          </w:p>
        </w:tc>
        <w:tc>
          <w:tcPr>
            <w:tcW w:w="6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6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334"/>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w w:val="77"/>
              </w:rPr>
              <w:t>Discount rate............................................</w:t>
            </w:r>
          </w:p>
        </w:tc>
        <w:tc>
          <w:tcPr>
            <w:tcW w:w="8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5.83%</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6.25%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c>
          <w:tcPr>
            <w:tcW w:w="620" w:type="dxa"/>
            <w:vAlign w:val="bottom"/>
          </w:tcPr>
          <w:p>
            <w:pPr>
              <w:spacing w:after="0"/>
              <w:rPr>
                <w:sz w:val="24"/>
                <w:szCs w:val="24"/>
                <w:color w:val="auto"/>
              </w:rPr>
            </w:pP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w w:val="77"/>
              </w:rPr>
              <w:t>Expected return on plan assets...........................</w:t>
            </w:r>
          </w:p>
        </w:tc>
        <w:tc>
          <w:tcPr>
            <w:tcW w:w="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6.11%</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620" w:type="dxa"/>
            <w:vAlign w:val="bottom"/>
          </w:tcPr>
          <w:p>
            <w:pPr>
              <w:spacing w:after="0"/>
              <w:rPr>
                <w:sz w:val="14"/>
                <w:szCs w:val="14"/>
                <w:color w:val="auto"/>
              </w:rPr>
            </w:pP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w w:val="77"/>
              </w:rPr>
              <w:t>Rate of compensation.....................................</w:t>
            </w:r>
          </w:p>
        </w:tc>
        <w:tc>
          <w:tcPr>
            <w:tcW w:w="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3.50%</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620" w:type="dxa"/>
            <w:vAlign w:val="bottom"/>
          </w:tcPr>
          <w:p>
            <w:pPr>
              <w:spacing w:after="0"/>
              <w:rPr>
                <w:sz w:val="14"/>
                <w:szCs w:val="14"/>
                <w:color w:val="auto"/>
              </w:rPr>
            </w:pPr>
          </w:p>
        </w:tc>
      </w:tr>
    </w:tbl>
    <w:p>
      <w:pPr>
        <w:spacing w:after="0" w:line="338"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assumptions used for discount rate and expected long-term rate of return on assets in the 1999 disclosure reflect the weighted average assumptions for the terminated and ongoing plans. Since the terminating Waste Management,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Inc. Pension Plan is</w:t>
            </w:r>
          </w:p>
        </w:tc>
        <w:tc>
          <w:tcPr>
            <w:tcW w:w="2140" w:type="dxa"/>
            <w:vAlign w:val="bottom"/>
          </w:tcPr>
          <w:p>
            <w:pPr>
              <w:ind w:left="100"/>
              <w:spacing w:after="0"/>
              <w:rPr>
                <w:sz w:val="20"/>
                <w:szCs w:val="20"/>
                <w:color w:val="auto"/>
              </w:rPr>
            </w:pPr>
            <w:r>
              <w:rPr>
                <w:rFonts w:ascii="Courier New" w:cs="Courier New" w:eastAsia="Courier New" w:hAnsi="Courier New"/>
                <w:sz w:val="14"/>
                <w:szCs w:val="14"/>
                <w:color w:val="auto"/>
              </w:rPr>
              <w:t>large relative to other</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plans, the assumptions applicable</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to this plan are the</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main factor in these weighted average assumptions. The</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assumptions for the</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terminating plan reflect</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the assumptions used in settling</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this plan (lump sum</w:t>
            </w:r>
          </w:p>
        </w:tc>
        <w:tc>
          <w:tcPr>
            <w:tcW w:w="522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rates and annuity purchase rates) and the return on</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the immunized assets</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for this plan. A discount rate of 7.5% and an expected long</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term rate of return</w:t>
            </w:r>
          </w:p>
        </w:tc>
        <w:tc>
          <w:tcPr>
            <w:tcW w:w="2140" w:type="dxa"/>
            <w:vAlign w:val="bottom"/>
          </w:tcPr>
          <w:p>
            <w:pPr>
              <w:spacing w:after="0"/>
              <w:rPr>
                <w:sz w:val="20"/>
                <w:szCs w:val="20"/>
                <w:color w:val="auto"/>
              </w:rPr>
            </w:pPr>
            <w:r>
              <w:rPr>
                <w:rFonts w:ascii="Courier New" w:cs="Courier New" w:eastAsia="Courier New" w:hAnsi="Courier New"/>
                <w:sz w:val="14"/>
                <w:szCs w:val="14"/>
                <w:color w:val="auto"/>
              </w:rPr>
              <w:t>of 9.0% are used for the</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ongoing plan.</w:t>
            </w:r>
          </w:p>
        </w:tc>
      </w:tr>
    </w:tbl>
    <w:p>
      <w:pPr>
        <w:spacing w:after="0" w:line="171"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principal element of the "other benefits" referred to above is the post-retirement health care plan. Participants in the WM Holdings post-retirement plan contribute to the cost of the benefit, and for retirees since January 1, 1992, the Company's contribution is capped at between $0 and $600 per month per retiree, based on years of service. For measurement purposes, a 10.0% annual rate of increase in the per capita cost of covered health care claims was assumed for 1999 (being an average of the rate used by all plans); the rate was assumed to decrease to 6.0% in 2004 and remain at that level thereafter. A 1% change in assumed health care cost trend rates would have the following effects (in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 INCREASE</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 DECREASE</w:t>
            </w:r>
          </w:p>
        </w:tc>
      </w:tr>
      <w:tr>
        <w:trPr>
          <w:trHeight w:val="167"/>
        </w:trPr>
        <w:tc>
          <w:tcPr>
            <w:tcW w:w="530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Effect on total of service and interest components of net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periodic post-retirement health care benefit cost.........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on the health care component of the accumulated post-</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retirement benefit obligation.............................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3,972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(3,664)</w:t>
            </w:r>
          </w:p>
        </w:tc>
      </w:tr>
    </w:tbl>
    <w:p>
      <w:pPr>
        <w:spacing w:after="0" w:line="200" w:lineRule="exact"/>
        <w:rPr>
          <w:sz w:val="20"/>
          <w:szCs w:val="20"/>
          <w:color w:val="auto"/>
        </w:rPr>
      </w:pPr>
    </w:p>
    <w:p>
      <w:pPr>
        <w:sectPr>
          <w:pgSz w:w="11900" w:h="16838" w:orient="portrait"/>
          <w:cols w:equalWidth="0" w:num="1">
            <w:col w:w="10159"/>
          </w:cols>
          <w:pgMar w:left="300" w:top="286" w:right="1440" w:bottom="1440"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87</w:t>
      </w:r>
    </w:p>
    <w:p>
      <w:pPr>
        <w:sectPr>
          <w:pgSz w:w="11900" w:h="16838" w:orient="portrait"/>
          <w:cols w:equalWidth="0" w:num="1">
            <w:col w:w="10159"/>
          </w:cols>
          <w:pgMar w:left="300" w:top="286"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90</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1998, WM Holdings merged the Employee Stock Ownership Plan that was initially established for eligible WM Holdings' employees in 1988, into the Waste Management Retirement Savings Plan, which has since been merged into the Savings Plan. During 1994, WM Holdings established an Employee Stock Benefit Trust ("Trust") and sold 12.6 million shares of its treasury stock to the Trust in return for a 30-year, 7.33% note with interest payable quarterly and principal due at maturity. WM Holdings has agreed to contribute to the Trust each quarter funds sufficient, when added to dividends on the shares held by the Trust, to pay interest on the note as well as principal outstanding at maturity. At the direction of an administrative committee, the trustee will use the shares or proceeds from the sale of shares to pay employee benefits, and to the extent of such payments by the Trust, the Company will forgive principal and interest on the note. The shares of common stock issued to the Trust are not considered to be outstanding in the computation of earnings per share until the shares are utilized to fund obligations for which the Trust was established. Changes in the market value of these shares are reflected as adjustments in additional paid-in-capital.</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INCOME TAXES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For financial reporting purposes, loss from continuing operations before income taxes, showing domestic and international sources, is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4440" w:type="dxa"/>
            <w:vAlign w:val="bottom"/>
          </w:tcPr>
          <w:p>
            <w:pPr>
              <w:spacing w:after="0"/>
              <w:rPr>
                <w:sz w:val="14"/>
                <w:szCs w:val="14"/>
                <w:color w:val="auto"/>
              </w:rPr>
            </w:pPr>
          </w:p>
        </w:tc>
        <w:tc>
          <w:tcPr>
            <w:tcW w:w="30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4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Domestic..........................................</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(41,588)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$(896,875)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$(865,783)</w:t>
            </w:r>
          </w:p>
        </w:tc>
      </w:tr>
      <w:tr>
        <w:trPr>
          <w:trHeight w:val="167"/>
        </w:trPr>
        <w:tc>
          <w:tcPr>
            <w:tcW w:w="4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International.....................................</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(121,144)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196,996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203,286</w:t>
            </w:r>
          </w:p>
        </w:tc>
      </w:tr>
      <w:tr>
        <w:trPr>
          <w:trHeight w:val="167"/>
        </w:trPr>
        <w:tc>
          <w:tcPr>
            <w:tcW w:w="44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Loss from continuing operations.................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(162,732)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$(699,879)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$(662,497)</w:t>
            </w:r>
          </w:p>
        </w:tc>
      </w:tr>
      <w:tr>
        <w:trPr>
          <w:trHeight w:val="167"/>
        </w:trPr>
        <w:tc>
          <w:tcPr>
            <w:tcW w:w="44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559" w:firstLine="434"/>
        <w:spacing w:after="0" w:line="258" w:lineRule="auto"/>
        <w:rPr>
          <w:sz w:val="20"/>
          <w:szCs w:val="20"/>
          <w:color w:val="auto"/>
        </w:rPr>
      </w:pPr>
      <w:r>
        <w:rPr>
          <w:rFonts w:ascii="Courier New" w:cs="Courier New" w:eastAsia="Courier New" w:hAnsi="Courier New"/>
          <w:sz w:val="14"/>
          <w:szCs w:val="14"/>
          <w:color w:val="auto"/>
        </w:rPr>
        <w:t>The provision for income taxes on continuing operations consists of the following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3400" w:type="dxa"/>
            <w:vAlign w:val="bottom"/>
          </w:tcPr>
          <w:p>
            <w:pPr>
              <w:spacing w:after="0"/>
              <w:rPr>
                <w:sz w:val="14"/>
                <w:szCs w:val="14"/>
                <w:color w:val="auto"/>
              </w:rPr>
            </w:pPr>
          </w:p>
        </w:tc>
        <w:tc>
          <w:tcPr>
            <w:tcW w:w="40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340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w w:val="79"/>
              </w:rPr>
              <w:t>Federal.........................................</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(149,519)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$ 356,056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$ 569,935</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(19,265)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88,484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83,592</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83,284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72,541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85,357</w:t>
            </w:r>
          </w:p>
        </w:tc>
      </w:tr>
      <w:tr>
        <w:trPr>
          <w:trHeight w:val="167"/>
        </w:trPr>
        <w:tc>
          <w:tcPr>
            <w:tcW w:w="340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517,081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738,884</w:t>
            </w:r>
          </w:p>
        </w:tc>
      </w:tr>
      <w:tr>
        <w:trPr>
          <w:trHeight w:val="167"/>
        </w:trPr>
        <w:tc>
          <w:tcPr>
            <w:tcW w:w="340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Federal.........................................</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270,499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(463,635)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(369,408)</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39,621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(27,271)</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65,366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21,136</w:t>
            </w:r>
          </w:p>
        </w:tc>
      </w:tr>
      <w:tr>
        <w:trPr>
          <w:trHeight w:val="167"/>
        </w:trPr>
        <w:tc>
          <w:tcPr>
            <w:tcW w:w="340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317,819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(450,158)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(375,543)</w:t>
            </w:r>
          </w:p>
        </w:tc>
      </w:tr>
      <w:tr>
        <w:trPr>
          <w:trHeight w:val="167"/>
        </w:trPr>
        <w:tc>
          <w:tcPr>
            <w:tcW w:w="340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880"/>
              <w:spacing w:after="0"/>
              <w:rPr>
                <w:sz w:val="20"/>
                <w:szCs w:val="20"/>
                <w:color w:val="auto"/>
              </w:rPr>
            </w:pPr>
            <w:r>
              <w:rPr>
                <w:rFonts w:ascii="Courier New" w:cs="Courier New" w:eastAsia="Courier New" w:hAnsi="Courier New"/>
                <w:sz w:val="14"/>
                <w:szCs w:val="14"/>
                <w:color w:val="auto"/>
                <w:w w:val="74"/>
              </w:rPr>
              <w:t>Provision for income taxes..............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232,319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66,923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$ 363,341</w:t>
            </w:r>
          </w:p>
        </w:tc>
      </w:tr>
      <w:tr>
        <w:trPr>
          <w:trHeight w:val="167"/>
        </w:trPr>
        <w:tc>
          <w:tcPr>
            <w:tcW w:w="340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400" w:type="dxa"/>
            <w:vAlign w:val="bottom"/>
          </w:tcPr>
          <w:p>
            <w:pPr>
              <w:spacing w:after="0"/>
              <w:rPr>
                <w:sz w:val="24"/>
                <w:szCs w:val="24"/>
                <w:color w:val="auto"/>
              </w:rPr>
            </w:pPr>
          </w:p>
        </w:tc>
        <w:tc>
          <w:tcPr>
            <w:tcW w:w="120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83"/>
              </w:rPr>
              <w:t>88</w:t>
            </w: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91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WASTE MANAGEMENT, INC.</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5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 STATEMENTS -- (CONTINUED)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4"/>
        </w:trPr>
        <w:tc>
          <w:tcPr>
            <w:tcW w:w="608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The federal statutory rate is reconciled to the effective rate as</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follows:</w:t>
            </w:r>
          </w:p>
        </w:tc>
        <w:tc>
          <w:tcPr>
            <w:tcW w:w="700" w:type="dxa"/>
            <w:vAlign w:val="bottom"/>
          </w:tcPr>
          <w:p>
            <w:pPr>
              <w:spacing w:after="0"/>
              <w:rPr>
                <w:sz w:val="24"/>
                <w:szCs w:val="24"/>
                <w:color w:val="auto"/>
              </w:rPr>
            </w:pPr>
          </w:p>
        </w:tc>
      </w:tr>
      <w:tr>
        <w:trPr>
          <w:trHeight w:val="668"/>
        </w:trPr>
        <w:tc>
          <w:tcPr>
            <w:tcW w:w="49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YEARS ENDED</w:t>
            </w:r>
          </w:p>
        </w:tc>
        <w:tc>
          <w:tcPr>
            <w:tcW w:w="14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960" w:type="dxa"/>
            <w:vAlign w:val="bottom"/>
          </w:tcPr>
          <w:p>
            <w:pPr>
              <w:spacing w:after="0"/>
              <w:rPr>
                <w:sz w:val="14"/>
                <w:szCs w:val="14"/>
                <w:color w:val="auto"/>
              </w:rPr>
            </w:pPr>
          </w:p>
        </w:tc>
        <w:tc>
          <w:tcPr>
            <w:tcW w:w="26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4"/>
                <w:szCs w:val="14"/>
                <w:color w:val="auto"/>
              </w:rPr>
              <w:t>1999</w:t>
            </w:r>
          </w:p>
        </w:tc>
        <w:tc>
          <w:tcPr>
            <w:tcW w:w="12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9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tax benefit at federal statutory rate............</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(35.00)%</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(35.00)%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(35.00)%</w:t>
            </w:r>
          </w:p>
        </w:tc>
      </w:tr>
      <w:tr>
        <w:trPr>
          <w:trHeight w:val="167"/>
        </w:trPr>
        <w:tc>
          <w:tcPr>
            <w:tcW w:w="4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State and local income taxes, net of federal income tax</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benefit...............................................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19.31</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5.51</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Nondeductible costs relating to acquired intangibles....</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22.01</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16.85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30.88</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Nondeductible merger costs..............................</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Writedown of investments in subsidiary..................</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74.85</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Minority interest.......................................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5.20</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tax valuation and other tax reserves...........</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25.24</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8.79</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40.11</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Federal tax on foreign income...........................</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30.30</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0.30</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Nonconventional fuel tax credit.........................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(3.61)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0.85</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5.59</w:t>
            </w:r>
          </w:p>
        </w:tc>
      </w:tr>
      <w:tr>
        <w:trPr>
          <w:trHeight w:val="167"/>
        </w:trPr>
        <w:tc>
          <w:tcPr>
            <w:tcW w:w="49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4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Provision for income taxes............................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142.76%</w:t>
            </w:r>
          </w:p>
        </w:tc>
        <w:tc>
          <w:tcPr>
            <w:tcW w:w="1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54.85%</w:t>
            </w:r>
          </w:p>
        </w:tc>
      </w:tr>
      <w:tr>
        <w:trPr>
          <w:trHeight w:val="167"/>
        </w:trPr>
        <w:tc>
          <w:tcPr>
            <w:tcW w:w="49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bl>
    <w:p>
      <w:pPr>
        <w:spacing w:after="0" w:line="338" w:lineRule="exact"/>
        <w:rPr>
          <w:sz w:val="20"/>
          <w:szCs w:val="20"/>
          <w:color w:val="auto"/>
        </w:rPr>
      </w:pPr>
    </w:p>
    <w:p>
      <w:pPr>
        <w:ind w:right="3299" w:firstLine="434"/>
        <w:spacing w:after="0" w:line="255" w:lineRule="auto"/>
        <w:rPr>
          <w:sz w:val="20"/>
          <w:szCs w:val="20"/>
          <w:color w:val="auto"/>
        </w:rPr>
      </w:pPr>
      <w:r>
        <w:rPr>
          <w:rFonts w:ascii="Courier New" w:cs="Courier New" w:eastAsia="Courier New" w:hAnsi="Courier New"/>
          <w:sz w:val="14"/>
          <w:szCs w:val="14"/>
          <w:color w:val="auto"/>
        </w:rPr>
        <w:t>The components of the net deferred tax assets (liabilities), excluding $80 million of net deferred tax liability related to operations held for sale, are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220" w:type="dxa"/>
            <w:vAlign w:val="bottom"/>
          </w:tcPr>
          <w:p>
            <w:pPr>
              <w:spacing w:after="0"/>
              <w:rPr>
                <w:sz w:val="14"/>
                <w:szCs w:val="14"/>
                <w:color w:val="auto"/>
              </w:rPr>
            </w:pPr>
          </w:p>
        </w:tc>
        <w:tc>
          <w:tcPr>
            <w:tcW w:w="23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2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Net operating loss, capital loss and tax credit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carryforwards.........................................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244,228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322,129</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Environmental and other reserves.........................</w:t>
            </w:r>
          </w:p>
        </w:tc>
        <w:tc>
          <w:tcPr>
            <w:tcW w:w="16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1,020,880</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670,502</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Reserves not deductible until paid.......................</w:t>
            </w:r>
          </w:p>
        </w:tc>
        <w:tc>
          <w:tcPr>
            <w:tcW w:w="16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205,245</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178,608</w:t>
            </w:r>
          </w:p>
        </w:tc>
      </w:tr>
      <w:tr>
        <w:trPr>
          <w:trHeight w:val="167"/>
        </w:trPr>
        <w:tc>
          <w:tcPr>
            <w:tcW w:w="5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Subtotal.........................................</w:t>
            </w:r>
          </w:p>
        </w:tc>
        <w:tc>
          <w:tcPr>
            <w:tcW w:w="16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1,470,353</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1,171,239</w:t>
            </w:r>
          </w:p>
        </w:tc>
      </w:tr>
      <w:tr>
        <w:trPr>
          <w:trHeight w:val="167"/>
        </w:trPr>
        <w:tc>
          <w:tcPr>
            <w:tcW w:w="5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Property, equipment, intangible assets, and other........</w:t>
            </w:r>
          </w:p>
        </w:tc>
        <w:tc>
          <w:tcPr>
            <w:tcW w:w="16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(1,573,893)</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(1,072,138)</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Valuation allowance........................................</w:t>
            </w:r>
          </w:p>
        </w:tc>
        <w:tc>
          <w:tcPr>
            <w:tcW w:w="16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(327,929)</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(331,592)</w:t>
            </w:r>
          </w:p>
        </w:tc>
      </w:tr>
      <w:tr>
        <w:trPr>
          <w:trHeight w:val="167"/>
        </w:trPr>
        <w:tc>
          <w:tcPr>
            <w:tcW w:w="5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deferred tax liabilities.....................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(431,469)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(232,491)</w:t>
            </w:r>
          </w:p>
        </w:tc>
      </w:tr>
      <w:tr>
        <w:trPr>
          <w:trHeight w:val="167"/>
        </w:trPr>
        <w:tc>
          <w:tcPr>
            <w:tcW w:w="52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At December 31, 1999 the Company's subsidiaries have approximately $142.4 million of federal net operating loss ("NOL") carryforwards, $1.8 billion of state NOL carryforwards, and $522.5 million of foreign NOL carryforwards. Foreign NOL carryforwards of approximately $287.3 million may be carried forward indefinitely; the remaining NOL carryforwards have expiration dates through</w:t>
      </w:r>
    </w:p>
    <w:p>
      <w:pPr>
        <w:spacing w:after="0" w:line="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2019. The Company's subsidiaries have approximately $1.0 million of alternative minimum tax credit carryforwards that may be used indefinitely; state tax credit carryforwards of $13.6 million; federal investment tax credit carryforwards of approximately $0.1 million; and foreign tax credit carryforwards of $50.7 million. Certain foreign NOL carryforwards are included in operations held for sale.</w:t>
      </w:r>
    </w:p>
    <w:p>
      <w:pPr>
        <w:spacing w:after="0" w:line="329"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Valuation allowances have been established for uncertainties in realizing the benefit of tax loss and credit carryforwards. While the Company expects to realize the deferred tax assets, net of the valuation allowances, changes in estimates of future taxable income or in tax laws may alter this expectation. The valuation allowance increased approximately $121.2 million and $98.8 million in 1999 and 1998, respectively, primarily due to the uncertainty of realizing foreign tax credits and NOL carryforwards. However, valuation allowances of $124 million for certain foreign deferred tax assets are included in operations held for sale.</w:t>
      </w:r>
    </w:p>
    <w:p>
      <w:pPr>
        <w:spacing w:after="0" w:line="331"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Prior to the Board of Directors' adoption of the strategic plan in August 1999, which included the divestiture of the Company's WM International operations, the Company did not provide for United States income taxes on unremitted earnings of foreign subsidiaries as it was the intention of management to reinvest the unremitted earnings in its foreign operations. Since the adoption of the strategic plan in August 1999, the</w:t>
      </w:r>
    </w:p>
    <w:p>
      <w:pPr>
        <w:sectPr>
          <w:pgSz w:w="11900" w:h="16838" w:orient="portrait"/>
          <w:cols w:equalWidth="0" w:num="1">
            <w:col w:w="10159"/>
          </w:cols>
          <w:pgMar w:left="300" w:top="286" w:right="1440" w:bottom="1440" w:gutter="0" w:footer="0" w:header="0"/>
        </w:sectPr>
      </w:pP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89</w:t>
      </w:r>
    </w:p>
    <w:p>
      <w:pPr>
        <w:sectPr>
          <w:pgSz w:w="11900" w:h="16838" w:orient="portrait"/>
          <w:cols w:equalWidth="0" w:num="1">
            <w:col w:w="10159"/>
          </w:cols>
          <w:pgMar w:left="300" w:top="286" w:right="1440" w:bottom="1440" w:gutter="0" w:footer="0" w:header="0"/>
          <w:type w:val="continuous"/>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92</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Company has provided for United States income taxes on unremitted foreign earnings on its international operations other than in Canada. The amount of United States income tax provided for the repatriation of its international operations other than in Canada in 1999 is approximately $13.0 million. With respect to its Canadian operations, the Company intends to reinvest its earnings. Unremitted earnings in Canada are approximately $28.0 million at December 31, 1999. It is not practicable to determine the amount of United States income taxes that would be payable upon remittance of the assets that represent those earnings.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SEGMENT AND RELATED INFORMATION</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Company's North American solid waste management operations represent approximately $10.7 billion of operating revenues, $1.6 billion of earnings before interest and tax ("EBIT"), and $17.2 billion of total assets in 1999, and is the Company's principal reportable segment. This segment provides integrated waste management services consisting of collection, transfer, disposal (solid waste landfill, hazardous waste landfill and waste-to-energy facilities), recycling, and other miscellaneous services to commercial, industrial, municipal and residential customers in North America, including the United States and Puerto Rico, Mexico and Canada. Similar operations in international markets outside of North America are disclosed as a separate segment under WM International, which includes operations in Europe, the Pacific Rim, South America and Israel. The Company's other reportable segment consists of non-solid waste services, aggregated as a single segment for this reporting presentation. The non-solid waste segment includes other hazardous waste services such as chemical waste management services and low-level and other radioactive waste management services, the Company's independent power projects, and other non-solid waste services to commercial, industrial and government customers, and includes business lines that are being actively marketed and considered to be held for sale. No single customer accounted for 10% or more of consolidated revenues in any year presented.</w:t>
      </w:r>
    </w:p>
    <w:p>
      <w:pPr>
        <w:spacing w:after="0" w:line="340"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Certain of the services provided by the Company are subject to extensive and evolving federal, state, and local environmental laws and regulations in the United States and elsewhere that have been enacted in response to technological advances and the public's increased concern over environmental issues. Refer to Notes 7 and 18 for a further discussion of regulatory issues.</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Summarized financial information concerning the Company's reportable segments for the respective years ended December 31, is shown in the following table. Prior period information has been restated to conform to the segments described above, which are based on the structure and internal organization of the Company as of December 31, 1999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NORTH AMERICAN</w:t>
            </w:r>
          </w:p>
        </w:tc>
        <w:tc>
          <w:tcPr>
            <w:tcW w:w="16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NON-SOLID</w:t>
            </w:r>
          </w:p>
        </w:tc>
        <w:tc>
          <w:tcPr>
            <w:tcW w:w="1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CORPORATE</w:t>
            </w:r>
          </w:p>
        </w:tc>
        <w:tc>
          <w:tcPr>
            <w:tcW w:w="108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SOLID WASTE</w:t>
            </w:r>
          </w:p>
        </w:tc>
        <w:tc>
          <w:tcPr>
            <w:tcW w:w="1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WM INTERNATIONAL</w:t>
            </w:r>
          </w:p>
        </w:tc>
        <w:tc>
          <w:tcPr>
            <w:tcW w:w="20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WASTE</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FUNCTIONS(A)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tcPr>
          <w:p>
            <w:pPr>
              <w:jc w:val="right"/>
              <w:ind w:right="2188"/>
              <w:spacing w:after="0"/>
              <w:rPr>
                <w:sz w:val="20"/>
                <w:szCs w:val="20"/>
                <w:color w:val="auto"/>
              </w:rPr>
            </w:pPr>
            <w:r>
              <w:rPr>
                <w:rFonts w:ascii="Courier New" w:cs="Courier New" w:eastAsia="Courier New" w:hAnsi="Courier New"/>
                <w:sz w:val="14"/>
                <w:szCs w:val="14"/>
                <w:color w:val="auto"/>
              </w:rPr>
              <w:t>1999</w:t>
            </w: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operating</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revenues(b).............</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$10,689,062</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$1,650,860</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786,998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$13,126,920</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Earnings before interest</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and taxes</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(EBIT)(c),(d)...........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1,635,198</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211,713</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35,784</w:t>
            </w: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(559,270)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1,323,425</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amortization............</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1,362,266</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148,267</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24,645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78,987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1,614,165</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Capital expenditures.......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1,085,581</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206,538</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16,580</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1,326,683</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assets(d)............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17,206,643</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2,914,698</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1,477,786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1,082,297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22,681,424</w:t>
            </w:r>
          </w:p>
        </w:tc>
      </w:tr>
      <w:tr>
        <w:trPr>
          <w:trHeight w:val="167"/>
        </w:trPr>
        <w:tc>
          <w:tcPr>
            <w:tcW w:w="2620" w:type="dxa"/>
            <w:vAlign w:val="bottom"/>
          </w:tcPr>
          <w:p>
            <w:pPr>
              <w:jc w:val="right"/>
              <w:ind w:right="2188"/>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operating</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revenues(b).............</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$10,142,778</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$1,533,635</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949,356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$12,625,769</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Earnings before interest</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and taxes</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(EBIT)(c),(d)...........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2,478,733</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132,937</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103,443</w:t>
            </w: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(204,043)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2,511,070</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w:t>
            </w:r>
          </w:p>
        </w:tc>
        <w:tc>
          <w:tcPr>
            <w:tcW w:w="1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amortization............</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1,241,330</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169,051</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43,579</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1,498,712</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Capital expenditures.......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1,438,458</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166,035</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34,605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1,651,489</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assets(d)............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17,713,393</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3,107,968</w:t>
            </w:r>
          </w:p>
        </w:tc>
        <w:tc>
          <w:tcPr>
            <w:tcW w:w="2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1,010,565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1,050,238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22,882,164</w:t>
            </w:r>
          </w:p>
        </w:tc>
      </w:tr>
      <w:tr>
        <w:trPr>
          <w:trHeight w:val="501"/>
        </w:trPr>
        <w:tc>
          <w:tcPr>
            <w:tcW w:w="2620" w:type="dxa"/>
            <w:vAlign w:val="bottom"/>
          </w:tcPr>
          <w:p>
            <w:pPr>
              <w:spacing w:after="0"/>
              <w:rPr>
                <w:sz w:val="24"/>
                <w:szCs w:val="2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93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Courier New" w:cs="Courier New" w:eastAsia="Courier New" w:hAnsi="Courier New"/>
                <w:sz w:val="14"/>
                <w:szCs w:val="14"/>
                <w:color w:val="auto"/>
              </w:rPr>
              <w:t>WASTE MANAGEMENT, INC.</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466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216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 (CONTINUED)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68"/>
        </w:trPr>
        <w:tc>
          <w:tcPr>
            <w:tcW w:w="2520" w:type="dxa"/>
            <w:vAlign w:val="bottom"/>
          </w:tcPr>
          <w:p>
            <w:pPr>
              <w:spacing w:after="0"/>
              <w:rPr>
                <w:sz w:val="24"/>
                <w:szCs w:val="24"/>
                <w:color w:val="auto"/>
              </w:rPr>
            </w:pP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NORTH AMERICAN</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NON-SOLID</w:t>
            </w:r>
          </w:p>
        </w:tc>
        <w:tc>
          <w:tcPr>
            <w:tcW w:w="1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CORPORATE</w:t>
            </w:r>
          </w:p>
        </w:tc>
        <w:tc>
          <w:tcPr>
            <w:tcW w:w="1080" w:type="dxa"/>
            <w:vAlign w:val="bottom"/>
          </w:tcPr>
          <w:p>
            <w:pPr>
              <w:spacing w:after="0"/>
              <w:rPr>
                <w:sz w:val="24"/>
                <w:szCs w:val="24"/>
                <w:color w:val="auto"/>
              </w:rPr>
            </w:pPr>
          </w:p>
        </w:tc>
      </w:tr>
      <w:tr>
        <w:trPr>
          <w:trHeight w:val="167"/>
        </w:trPr>
        <w:tc>
          <w:tcPr>
            <w:tcW w:w="252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SOLID WASTE</w:t>
            </w:r>
          </w:p>
        </w:tc>
        <w:tc>
          <w:tcPr>
            <w:tcW w:w="16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WM INTERNATIONAL</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WASTE</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FUNCTIONS(A)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52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1997</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operating</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revenues(b).............</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$ 9,244,910</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$1,789,988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937,600</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$11,972,498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Earnings before interest</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and taxes</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(EBIT)(c),(d)...........</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1,790,027</w:t>
            </w:r>
          </w:p>
        </w:tc>
        <w:tc>
          <w:tcPr>
            <w:tcW w:w="62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187,619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96,082</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(413,814)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1,659,914</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w:t>
            </w: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amortization............</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1,086,547</w:t>
            </w:r>
          </w:p>
        </w:tc>
        <w:tc>
          <w:tcPr>
            <w:tcW w:w="62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181,353</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55,258</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68,652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1,391,810</w:t>
            </w: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Capital expenditures.......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1,128,904</w:t>
            </w:r>
          </w:p>
        </w:tc>
        <w:tc>
          <w:tcPr>
            <w:tcW w:w="62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150,908</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29,337</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23,058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1,332,207</w:t>
            </w: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Total assets(d)............</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15,067,951</w:t>
            </w:r>
          </w:p>
        </w:tc>
        <w:tc>
          <w:tcPr>
            <w:tcW w:w="166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3,055,634</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1,222,464</w:t>
            </w:r>
          </w:p>
        </w:tc>
        <w:tc>
          <w:tcPr>
            <w:tcW w:w="3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810,375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20,156,424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199" w:hanging="431"/>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functions include the corporate treasury function (except for limited amounts of locally negotiated and managed project debt), administration of corporate tax function, the corporate insurance function and management of closed landfill and related insurance recovery functions, along with other typical administrative functions.</w:t>
      </w:r>
    </w:p>
    <w:p>
      <w:pPr>
        <w:spacing w:after="0" w:line="162" w:lineRule="exact"/>
        <w:rPr>
          <w:rFonts w:ascii="Courier New" w:cs="Courier New" w:eastAsia="Courier New" w:hAnsi="Courier New"/>
          <w:sz w:val="14"/>
          <w:szCs w:val="14"/>
          <w:color w:val="auto"/>
        </w:rPr>
      </w:pPr>
    </w:p>
    <w:p>
      <w:pPr>
        <w:ind w:left="440" w:right="3199" w:hanging="431"/>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Non-solid waste revenues are net of inter-segment revenue with North American solid waste of $45.7 million, $122.4 million, and $86.4 million in 1999, 1998, and 1997, respectively. There are no other significant sales between segments.</w:t>
      </w:r>
    </w:p>
    <w:p>
      <w:pPr>
        <w:spacing w:after="0" w:line="163" w:lineRule="exact"/>
        <w:rPr>
          <w:rFonts w:ascii="Courier New" w:cs="Courier New" w:eastAsia="Courier New" w:hAnsi="Courier New"/>
          <w:sz w:val="14"/>
          <w:szCs w:val="14"/>
          <w:color w:val="auto"/>
        </w:rPr>
      </w:pPr>
    </w:p>
    <w:p>
      <w:pPr>
        <w:ind w:left="440" w:right="3639" w:hanging="431"/>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w:t>
      </w:r>
    </w:p>
    <w:p>
      <w:pPr>
        <w:spacing w:after="0" w:line="163" w:lineRule="exact"/>
        <w:rPr>
          <w:rFonts w:ascii="Courier New" w:cs="Courier New" w:eastAsia="Courier New" w:hAnsi="Courier New"/>
          <w:sz w:val="14"/>
          <w:szCs w:val="14"/>
          <w:color w:val="auto"/>
        </w:rPr>
      </w:pPr>
    </w:p>
    <w:p>
      <w:pPr>
        <w:ind w:left="440" w:right="3199" w:hanging="431"/>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material asymmetrical allocations of EBIT versus assets between segments or corporate. Certain asset impairments and unusual items reported in the reconciliation of EBIT to reported net loss below, however, have resulted in adjustments to assets ultimately reflected on segment balance sheets. Assets are net of inter-segment receivables and investments.</w:t>
      </w:r>
    </w:p>
    <w:p>
      <w:pPr>
        <w:spacing w:after="0" w:line="329"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reconciliation of total EBIT reported above to net loss is as follows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4340" w:type="dxa"/>
            <w:vAlign w:val="bottom"/>
          </w:tcPr>
          <w:p>
            <w:pPr>
              <w:spacing w:after="0"/>
              <w:rPr>
                <w:sz w:val="14"/>
                <w:szCs w:val="14"/>
                <w:color w:val="auto"/>
              </w:rPr>
            </w:pPr>
          </w:p>
        </w:tc>
        <w:tc>
          <w:tcPr>
            <w:tcW w:w="33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EBIT, as reported above..........................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1,323,425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$2,511,070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$1,659,914</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(Plus) less: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Merger and acquisition related costs...........</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44,634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1,807,245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112,748</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 impairments and unusual items............</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738,837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864,063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1,771,145</w:t>
            </w:r>
          </w:p>
        </w:tc>
      </w:tr>
      <w:tr>
        <w:trPr>
          <w:trHeight w:val="167"/>
        </w:trPr>
        <w:tc>
          <w:tcPr>
            <w:tcW w:w="4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(loss) from continuing operations held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 sale....................................</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9,930</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769,655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681,457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555,576</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(38,497)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(45,214)</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24,181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24,254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45,442</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(52,653)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(139,392)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(127,216)</w:t>
            </w:r>
          </w:p>
        </w:tc>
      </w:tr>
      <w:tr>
        <w:trPr>
          <w:trHeight w:val="167"/>
        </w:trPr>
        <w:tc>
          <w:tcPr>
            <w:tcW w:w="4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Loss from continuing operations before income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(162,732)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(699,879)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(662,497)</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232,319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66,923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363,341</w:t>
            </w:r>
          </w:p>
        </w:tc>
      </w:tr>
      <w:tr>
        <w:trPr>
          <w:trHeight w:val="167"/>
        </w:trPr>
        <w:tc>
          <w:tcPr>
            <w:tcW w:w="4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from continuing operations..................</w:t>
            </w:r>
          </w:p>
        </w:tc>
        <w:tc>
          <w:tcPr>
            <w:tcW w:w="1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(395,051)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(766,802)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(1,025,838)</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(95,688)</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loss...............................</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6,809</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principle......................................</w:t>
            </w:r>
          </w:p>
        </w:tc>
        <w:tc>
          <w:tcPr>
            <w:tcW w:w="1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1,936</w:t>
            </w:r>
          </w:p>
        </w:tc>
      </w:tr>
      <w:tr>
        <w:trPr>
          <w:trHeight w:val="167"/>
        </w:trPr>
        <w:tc>
          <w:tcPr>
            <w:tcW w:w="4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(397,564)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(770,702)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(938,895)</w:t>
            </w:r>
          </w:p>
        </w:tc>
      </w:tr>
      <w:tr>
        <w:trPr>
          <w:trHeight w:val="167"/>
        </w:trPr>
        <w:tc>
          <w:tcPr>
            <w:tcW w:w="43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559" w:firstLine="434"/>
        <w:spacing w:after="0" w:line="254" w:lineRule="auto"/>
        <w:rPr>
          <w:sz w:val="20"/>
          <w:szCs w:val="20"/>
          <w:color w:val="auto"/>
        </w:rPr>
      </w:pPr>
      <w:r>
        <w:rPr>
          <w:rFonts w:ascii="Courier New" w:cs="Courier New" w:eastAsia="Courier New" w:hAnsi="Courier New"/>
          <w:sz w:val="14"/>
          <w:szCs w:val="14"/>
          <w:color w:val="auto"/>
        </w:rPr>
        <w:t>In 1999, the Company operated outside the United States and Puerto Rico through its subsidiaries in nine countries in Europe, seven countries in the Pacific Rim, Canada, Mexico, Brazil, and Argentina. The Company's WM International operations, as well as certain of the Company's operations in Mexico (which is</w:t>
      </w:r>
    </w:p>
    <w:p>
      <w:pPr>
        <w:sectPr>
          <w:pgSz w:w="11900" w:h="16838" w:orient="portrait"/>
          <w:cols w:equalWidth="0" w:num="1">
            <w:col w:w="10159"/>
          </w:cols>
          <w:pgMar w:left="300" w:top="286" w:right="1440" w:bottom="988" w:gutter="0" w:footer="0" w:header="0"/>
        </w:sectPr>
      </w:pP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91</w:t>
      </w:r>
    </w:p>
    <w:p>
      <w:pPr>
        <w:sectPr>
          <w:pgSz w:w="11900" w:h="16838" w:orient="portrait"/>
          <w:cols w:equalWidth="0" w:num="1">
            <w:col w:w="10159"/>
          </w:cols>
          <w:pgMar w:left="300" w:top="286" w:right="1440" w:bottom="988"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94</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considered NASW), have their property and equipment reflected in current operations held for sale. Operating revenues and property and equipment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relating to operations in the United States and Puerto Rico, Europe, Canada</w:t>
            </w:r>
          </w:p>
        </w:tc>
        <w:tc>
          <w:tcPr>
            <w:tcW w:w="9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and</w:t>
            </w:r>
          </w:p>
        </w:tc>
      </w:tr>
      <w:tr>
        <w:trPr>
          <w:trHeight w:val="167"/>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all other geographic areas ("other foreign") are as follows (in thousands):</w:t>
            </w:r>
          </w:p>
        </w:tc>
        <w:tc>
          <w:tcPr>
            <w:tcW w:w="960" w:type="dxa"/>
            <w:vAlign w:val="bottom"/>
          </w:tcPr>
          <w:p>
            <w:pPr>
              <w:spacing w:after="0"/>
              <w:rPr>
                <w:sz w:val="14"/>
                <w:szCs w:val="14"/>
                <w:color w:val="auto"/>
              </w:rPr>
            </w:pPr>
          </w:p>
        </w:tc>
      </w:tr>
      <w:tr>
        <w:trPr>
          <w:trHeight w:val="668"/>
        </w:trPr>
        <w:tc>
          <w:tcPr>
            <w:tcW w:w="4080" w:type="dxa"/>
            <w:vAlign w:val="bottom"/>
          </w:tcPr>
          <w:p>
            <w:pPr>
              <w:spacing w:after="0"/>
              <w:rPr>
                <w:sz w:val="24"/>
                <w:szCs w:val="24"/>
                <w:color w:val="auto"/>
              </w:rPr>
            </w:pPr>
          </w:p>
        </w:tc>
        <w:tc>
          <w:tcPr>
            <w:tcW w:w="2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YEARS ENDED DECEMBER</w:t>
            </w:r>
          </w:p>
        </w:tc>
        <w:tc>
          <w:tcPr>
            <w:tcW w:w="9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31,</w:t>
            </w:r>
          </w:p>
        </w:tc>
      </w:tr>
      <w:tr>
        <w:trPr>
          <w:trHeight w:val="167"/>
        </w:trPr>
        <w:tc>
          <w:tcPr>
            <w:tcW w:w="408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0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United States...............................</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$11,015,291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$10,604,224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$ 9,707,546</w:t>
            </w: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Europe......................................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1,354,759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1,264,209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1,406,026</w:t>
            </w: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Canada......................................</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408,615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425,531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412,633</w:t>
            </w: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foreign...............................</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348,255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331,805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446,293</w:t>
            </w:r>
          </w:p>
        </w:tc>
      </w:tr>
      <w:tr>
        <w:trPr>
          <w:trHeight w:val="167"/>
        </w:trPr>
        <w:tc>
          <w:tcPr>
            <w:tcW w:w="40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$13,126,920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$12,625,769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$11,972,498</w:t>
            </w:r>
          </w:p>
        </w:tc>
      </w:tr>
      <w:tr>
        <w:trPr>
          <w:trHeight w:val="167"/>
        </w:trPr>
        <w:tc>
          <w:tcPr>
            <w:tcW w:w="40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34"/>
        </w:trPr>
        <w:tc>
          <w:tcPr>
            <w:tcW w:w="408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OF DECEMBER 31,</w:t>
            </w:r>
          </w:p>
        </w:tc>
        <w:tc>
          <w:tcPr>
            <w:tcW w:w="960" w:type="dxa"/>
            <w:vAlign w:val="bottom"/>
          </w:tcPr>
          <w:p>
            <w:pPr>
              <w:spacing w:after="0"/>
              <w:rPr>
                <w:sz w:val="24"/>
                <w:szCs w:val="24"/>
                <w:color w:val="auto"/>
              </w:rPr>
            </w:pPr>
          </w:p>
        </w:tc>
      </w:tr>
      <w:tr>
        <w:trPr>
          <w:trHeight w:val="167"/>
        </w:trPr>
        <w:tc>
          <w:tcPr>
            <w:tcW w:w="408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0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United States...............................</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$ 9,468,175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9,773,763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$ 9,187,923</w:t>
            </w: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Europe......................................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841,418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903,174</w:t>
            </w: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Canada......................................</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835,628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840,887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906,142</w:t>
            </w: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foreign...............................</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169,589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191,291</w:t>
            </w:r>
          </w:p>
        </w:tc>
      </w:tr>
      <w:tr>
        <w:trPr>
          <w:trHeight w:val="167"/>
        </w:trPr>
        <w:tc>
          <w:tcPr>
            <w:tcW w:w="40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$10,303,803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$11,625,657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$11,188,530</w:t>
            </w:r>
          </w:p>
        </w:tc>
      </w:tr>
      <w:tr>
        <w:trPr>
          <w:trHeight w:val="167"/>
        </w:trPr>
        <w:tc>
          <w:tcPr>
            <w:tcW w:w="40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operates facilities in Hong Kong which are owned by the Hong Kong government. The Hong Kong economy has been impacted by the economic uncertainty associated with many of the countries in the region. High and volatile interest rates have resulted from speculation regarding its currency. The Company also has operations in Indonesia, Brazil, and an office in Thailand. These countries have experienced illiquidity, volatile currency exchange rates and interest rates, and reduced economic activity. The Company will be affected for the foreseeable future by economic conditions in this region, although it is not possible to determine the extent of such impact. For 1999, the Company recorded $96.1 million of revenues in the above Asian countries (including Hong Kong). Income from continuing operations before income taxes from Hong Kong was $26.5 million in 1999. Income from Indonesia, Thailand and Brazil has not been significant to date.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ASSET IMPAIRMENTS AND UNUSUAL ITEMS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1999, 1998 and 1997, the Company recorded certain charges for asset impairments and unusual items. Fair values for asset impairment losses were determined for landfills, hazardous waste facilities, recycling investments and other facilities, primarily based on future cash flow projections discounted back using discount rates appropriate for the risks involved with the specific assets, or offers from interested third parties. For surplus real estate, third party bids, market opinions and appraisals were used to determine fair value. In determining fair values for abandoned projects and vehicles to be sold, recoverable salvage values were determined using market estimates. Impaired assets to be sold are primarily businesses to be sold (see Note 19) and surplus real estate. The Company provides for losses in connection with long-term waste service contracts where an obligation exists to perform services and when it becomes evident the projected direct and incremental contract costs will exceed the related contract revenues. In general, these losses relate to contracts with remaining average duration of five years.</w:t>
      </w:r>
    </w:p>
    <w:p>
      <w:pPr>
        <w:spacing w:after="0" w:line="17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159"/>
          </w:cols>
          <w:pgMar w:left="300" w:top="286"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95</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firstLine="434"/>
        <w:spacing w:after="0" w:line="258" w:lineRule="auto"/>
        <w:rPr>
          <w:sz w:val="20"/>
          <w:szCs w:val="20"/>
          <w:color w:val="auto"/>
        </w:rPr>
      </w:pPr>
      <w:r>
        <w:rPr>
          <w:rFonts w:ascii="Courier New" w:cs="Courier New" w:eastAsia="Courier New" w:hAnsi="Courier New"/>
          <w:sz w:val="14"/>
          <w:szCs w:val="14"/>
          <w:color w:val="auto"/>
        </w:rPr>
        <w:t>The following is a summary of asset impairments and unusual items that are reflected in the Company's financial statements for 1999 (in millions):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Held for sale adjustments...................................</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$443.0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 impairments (excluding held for sale adjustments).....</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194.2</w:t>
            </w:r>
          </w:p>
        </w:tc>
      </w:tr>
      <w:tr>
        <w:trPr>
          <w:trHeight w:val="167"/>
        </w:trPr>
        <w:tc>
          <w:tcPr>
            <w:tcW w:w="5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Changes in estimates relating to the reassessment of</w:t>
            </w:r>
          </w:p>
        </w:tc>
        <w:tc>
          <w:tcPr>
            <w:tcW w:w="700" w:type="dxa"/>
            <w:vAlign w:val="bottom"/>
          </w:tcPr>
          <w:p>
            <w:pPr>
              <w:spacing w:after="0"/>
              <w:rPr>
                <w:sz w:val="14"/>
                <w:szCs w:val="14"/>
                <w:color w:val="auto"/>
              </w:rPr>
            </w:pPr>
          </w:p>
        </w:tc>
      </w:tr>
      <w:tr>
        <w:trPr>
          <w:trHeight w:val="167"/>
        </w:trPr>
        <w:tc>
          <w:tcPr>
            <w:tcW w:w="5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ultimate losses for certain legal issues and related</w:t>
            </w:r>
          </w:p>
        </w:tc>
        <w:tc>
          <w:tcPr>
            <w:tcW w:w="7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costs.....................................................</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91.7</w:t>
            </w:r>
          </w:p>
        </w:tc>
      </w:tr>
      <w:tr>
        <w:trPr>
          <w:trHeight w:val="167"/>
        </w:trPr>
        <w:tc>
          <w:tcPr>
            <w:tcW w:w="5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Net pension costs related to the WM Holdings' defined</w:t>
            </w:r>
          </w:p>
        </w:tc>
        <w:tc>
          <w:tcPr>
            <w:tcW w:w="700" w:type="dxa"/>
            <w:vAlign w:val="bottom"/>
          </w:tcPr>
          <w:p>
            <w:pPr>
              <w:spacing w:after="0"/>
              <w:rPr>
                <w:sz w:val="14"/>
                <w:szCs w:val="14"/>
                <w:color w:val="auto"/>
              </w:rPr>
            </w:pPr>
          </w:p>
        </w:tc>
      </w:tr>
      <w:tr>
        <w:trPr>
          <w:trHeight w:val="167"/>
        </w:trPr>
        <w:tc>
          <w:tcPr>
            <w:tcW w:w="5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benefit plan which was terminated as of October 31,</w:t>
            </w:r>
          </w:p>
        </w:tc>
        <w:tc>
          <w:tcPr>
            <w:tcW w:w="7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 to certain losses on contractual commitments....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5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$738.8</w:t>
            </w:r>
          </w:p>
        </w:tc>
      </w:tr>
      <w:tr>
        <w:trPr>
          <w:trHeight w:val="167"/>
        </w:trPr>
        <w:tc>
          <w:tcPr>
            <w:tcW w:w="5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August 1999, the Company's Board of Directors adopted a strategic plan that includes the divestiture of its WM International operations and certain other businesses. (See Note 14, "Segment and Related Information" and Note 19, "Operations Held for Sale" for further discussion of the Company's international operations). Based primarily on preliminary bids from interested parties, these and certain other assets which were identified as "held for sale" during the third quarter were written down to fair value less cost to sell in accordance with SFAS No. 121, resulting in a pre-tax charge of approximately $414.3 million at September 30, 1999. These assets were considered to be held for use for periods prior to the third quarter of 1999 and did not meet the criteria for impairment recognition as a held for use asset, and therefore, were not considered impaired for periods prior to the third quarter of 1999. The assets which were identified as held for sale and subject to adjustment include, among others, the Company's WM International operations, the Company's nuclear services disposal site operations and certain NASW operations that are not essential parts of the Company's network. Revisions to the third quarter estimates were required due to revisions in estimated proceeds and certain changes in business plans during the fourth quarter. These revisions resulted in a net increase to the charge of $18.5 million. That amount includes a reduction of $30 million relating to assets in a single market that have been reclassified from held for sale assets to operating assets, based on new facts and business judgments, that have developed through February 2000. Based on these new facts and business judgements the Company has determined not to divest those assets, and those assets are not impaired as operating assets. Accordingly, the impairment recorded in the third quarter of 1999 was reversed in the same statement of operations caption originally reported, with no net effect for the year ended December 31, 1999. The remaining $10.2 million of held for sale adjustments primarily resulted from revisions of estimated proceeds related to surplus real estate. See Note 19 for further analysis of operations held for sale.</w:t>
      </w:r>
    </w:p>
    <w:p>
      <w:pPr>
        <w:spacing w:after="0" w:line="34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recorded asset impairments of $178.3 million during the third quarter of 1999 (see Note 2 "1999 Accounting Charges and Adjustments") and $15.9 million during the fourth quarter of 1999 related to several landfill sites and certain other operating assets. Included in this amount is $76.0 million related to the abandonment or closure of facilities resulting from the Company's recent business decisions regarding optimal operating strategies in specific markets in which the Company operates, or consideration of new facts or circumstances during 1999. Also included in the amount is $40.4 million which is primarily the result of permit denials and other regulatory problems during the third quarter of 1999, which is one of the many types of facts and circumstances that may from time to time trigger impairments, and which may occasionally overlap with other triggering events or result in abandonment or closure.</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recorded $91.7 million related to the reassessment of ultimate losses for certain legal issues related to the WM Holdings Merger, which primarily included increases to its legal reserves in response to developments in connection with WM Holdings' restatement of earnings in February 1998. These legal developments caused the Company to evaluate the numerous shareholder cases filed against WM Holdings and to reassess the range of exposure.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159"/>
          </w:cols>
          <w:pgMar w:left="300" w:top="286"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Company is in the process of settling its obligations under the WM Holdings' defined benefit plan which was terminated as of October 31, 1999 (see Note 12). The Company has included $13.1 million related to the current year recognition of net pension costs associated with the terminated plan and will incur similar charges in future periods until all participants have been paid the termination benefits.</w:t>
      </w:r>
    </w:p>
    <w:p>
      <w:pPr>
        <w:spacing w:after="0" w:line="165" w:lineRule="exact"/>
        <w:rPr>
          <w:sz w:val="20"/>
          <w:szCs w:val="20"/>
          <w:color w:val="auto"/>
        </w:rPr>
      </w:pPr>
    </w:p>
    <w:p>
      <w:pPr>
        <w:ind w:right="3299" w:firstLine="434"/>
        <w:spacing w:after="0" w:line="255" w:lineRule="auto"/>
        <w:rPr>
          <w:sz w:val="20"/>
          <w:szCs w:val="20"/>
          <w:color w:val="auto"/>
        </w:rPr>
      </w:pPr>
      <w:r>
        <w:rPr>
          <w:rFonts w:ascii="Courier New" w:cs="Courier New" w:eastAsia="Courier New" w:hAnsi="Courier New"/>
          <w:sz w:val="14"/>
          <w:szCs w:val="14"/>
          <w:color w:val="auto"/>
        </w:rPr>
        <w:t>The following is a summary of asset impairments and unusual items that are reflected in the Company's consolidated financial statements for 1998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Provision for losses on contractual commitments.............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$115.6</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Changes in estimates relating to the reassessment of</w:t>
            </w:r>
          </w:p>
        </w:tc>
        <w:tc>
          <w:tcPr>
            <w:tcW w:w="660" w:type="dxa"/>
            <w:vAlign w:val="bottom"/>
          </w:tcPr>
          <w:p>
            <w:pPr>
              <w:spacing w:after="0"/>
              <w:rPr>
                <w:sz w:val="14"/>
                <w:szCs w:val="14"/>
                <w:color w:val="auto"/>
              </w:rPr>
            </w:pPr>
          </w:p>
        </w:tc>
      </w:tr>
      <w:tr>
        <w:trPr>
          <w:trHeight w:val="167"/>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ultimate losses for certain legal and remediation</w:t>
            </w:r>
          </w:p>
        </w:tc>
        <w:tc>
          <w:tcPr>
            <w:tcW w:w="66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issues....................................................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331.9</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Write-down to estimated net sales proceeds of businesses to</w:t>
            </w:r>
          </w:p>
        </w:tc>
        <w:tc>
          <w:tcPr>
            <w:tcW w:w="66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 sold...................................................</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195.1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Curtailment and settlement costs of terminating the defined</w:t>
            </w:r>
          </w:p>
        </w:tc>
        <w:tc>
          <w:tcPr>
            <w:tcW w:w="66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benefit pension plan (Note 12)............................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Compensation charges for the liquidation of WM Holdings'</w:t>
            </w:r>
          </w:p>
        </w:tc>
        <w:tc>
          <w:tcPr>
            <w:tcW w:w="66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SERP (Note 12) and other supplemental plans...............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72.2</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Put provisions of certain WM Holdings' stock options as a</w:t>
            </w:r>
          </w:p>
        </w:tc>
        <w:tc>
          <w:tcPr>
            <w:tcW w:w="66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result of change in control provisions....................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114.6</w:t>
            </w:r>
          </w:p>
        </w:tc>
      </w:tr>
      <w:tr>
        <w:trPr>
          <w:trHeight w:val="167"/>
        </w:trPr>
        <w:tc>
          <w:tcPr>
            <w:tcW w:w="5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$864.1</w:t>
            </w:r>
          </w:p>
        </w:tc>
      </w:tr>
      <w:tr>
        <w:trPr>
          <w:trHeight w:val="167"/>
        </w:trPr>
        <w:tc>
          <w:tcPr>
            <w:tcW w:w="5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In 1998, the Company increased its reserves for certain legal and environmental remediation issues as a result of management's emphasis to resolve and settle certain issues relating primarily to WM Holdings, including a class action securities litigation against WM Holdings.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The charge to pre-tax earnings as a result of these put rights was $114.6 million in the third quarter of 1998. To the extent the future market value of the Company's common stock exceeded $54.34 per share at the end of a quarter (the "measurement date"), the Company was required to record additional charges to earnings through July 16, 1999, at which time all put rights expired. As the market value of the Company's common stock was less than $54.34 per share on each measurement date, there were no additional charges to earnings related to the put rights.</w:t>
      </w:r>
    </w:p>
    <w:p>
      <w:pPr>
        <w:spacing w:after="0" w:line="163" w:lineRule="exact"/>
        <w:rPr>
          <w:sz w:val="20"/>
          <w:szCs w:val="20"/>
          <w:color w:val="auto"/>
        </w:rPr>
      </w:pPr>
    </w:p>
    <w:p>
      <w:pPr>
        <w:ind w:right="3199" w:firstLine="434"/>
        <w:spacing w:after="0" w:line="258" w:lineRule="auto"/>
        <w:rPr>
          <w:sz w:val="20"/>
          <w:szCs w:val="20"/>
          <w:color w:val="auto"/>
        </w:rPr>
      </w:pPr>
      <w:r>
        <w:rPr>
          <w:rFonts w:ascii="Courier New" w:cs="Courier New" w:eastAsia="Courier New" w:hAnsi="Courier New"/>
          <w:sz w:val="14"/>
          <w:szCs w:val="14"/>
          <w:color w:val="auto"/>
        </w:rPr>
        <w:t>The following is a summary of asset impairments and unusual items reflected in the Company's consolidated financial statements for 1997 (in millions):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3"/>
          </w:tcPr>
          <w:p>
            <w:pPr>
              <w:spacing w:after="0"/>
              <w:rPr>
                <w:sz w:val="20"/>
                <w:szCs w:val="20"/>
                <w:color w:val="auto"/>
              </w:rPr>
            </w:pPr>
            <w:r>
              <w:rPr>
                <w:rFonts w:ascii="Courier New" w:cs="Courier New" w:eastAsia="Courier New" w:hAnsi="Courier New"/>
                <w:sz w:val="14"/>
                <w:szCs w:val="14"/>
                <w:color w:val="auto"/>
              </w:rPr>
              <w:t>Asset impairments:</w:t>
            </w:r>
          </w:p>
        </w:tc>
        <w:tc>
          <w:tcPr>
            <w:tcW w:w="78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Landfills,</w:t>
            </w:r>
          </w:p>
        </w:tc>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related primarily to management decisions to</w:t>
            </w:r>
          </w:p>
        </w:tc>
        <w:tc>
          <w:tcPr>
            <w:tcW w:w="780" w:type="dxa"/>
            <w:vAlign w:val="bottom"/>
          </w:tcPr>
          <w:p>
            <w:pPr>
              <w:spacing w:after="0"/>
              <w:rPr>
                <w:sz w:val="14"/>
                <w:szCs w:val="14"/>
                <w:color w:val="auto"/>
              </w:rPr>
            </w:pPr>
          </w:p>
        </w:tc>
      </w:tr>
      <w:tr>
        <w:trPr>
          <w:trHeight w:val="167"/>
        </w:trPr>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abandon</w:t>
            </w:r>
          </w:p>
        </w:tc>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expansions and development projects due to</w:t>
            </w:r>
          </w:p>
        </w:tc>
        <w:tc>
          <w:tcPr>
            <w:tcW w:w="780" w:type="dxa"/>
            <w:vAlign w:val="bottom"/>
          </w:tcPr>
          <w:p>
            <w:pPr>
              <w:spacing w:after="0"/>
              <w:rPr>
                <w:sz w:val="14"/>
                <w:szCs w:val="14"/>
                <w:color w:val="auto"/>
              </w:rPr>
            </w:pPr>
          </w:p>
        </w:tc>
      </w:tr>
      <w:tr>
        <w:trPr>
          <w:trHeight w:val="167"/>
        </w:trPr>
        <w:tc>
          <w:tcPr>
            <w:tcW w:w="5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political or competitive factors, which will result in</w:t>
            </w:r>
          </w:p>
        </w:tc>
        <w:tc>
          <w:tcPr>
            <w:tcW w:w="780" w:type="dxa"/>
            <w:vAlign w:val="bottom"/>
          </w:tcPr>
          <w:p>
            <w:pPr>
              <w:spacing w:after="0"/>
              <w:rPr>
                <w:sz w:val="14"/>
                <w:szCs w:val="14"/>
                <w:color w:val="auto"/>
              </w:rPr>
            </w:pPr>
          </w:p>
        </w:tc>
      </w:tr>
      <w:tr>
        <w:trPr>
          <w:trHeight w:val="167"/>
        </w:trPr>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closure</w:t>
            </w:r>
          </w:p>
        </w:tc>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earlier than previously expected (includes</w:t>
            </w:r>
          </w:p>
        </w:tc>
        <w:tc>
          <w:tcPr>
            <w:tcW w:w="780" w:type="dxa"/>
            <w:vAlign w:val="bottom"/>
          </w:tcPr>
          <w:p>
            <w:pPr>
              <w:spacing w:after="0"/>
              <w:rPr>
                <w:sz w:val="14"/>
                <w:szCs w:val="14"/>
                <w:color w:val="auto"/>
              </w:rPr>
            </w:pPr>
          </w:p>
        </w:tc>
      </w:tr>
      <w:tr>
        <w:trPr>
          <w:trHeight w:val="167"/>
        </w:trPr>
        <w:tc>
          <w:tcPr>
            <w:tcW w:w="14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$233.8 for</w:t>
            </w:r>
          </w:p>
        </w:tc>
        <w:tc>
          <w:tcPr>
            <w:tcW w:w="3900" w:type="dxa"/>
            <w:vAlign w:val="bottom"/>
          </w:tcPr>
          <w:p>
            <w:pPr>
              <w:spacing w:after="0"/>
              <w:rPr>
                <w:sz w:val="20"/>
                <w:szCs w:val="20"/>
                <w:color w:val="auto"/>
              </w:rPr>
            </w:pPr>
            <w:r>
              <w:rPr>
                <w:rFonts w:ascii="Courier New" w:cs="Courier New" w:eastAsia="Courier New" w:hAnsi="Courier New"/>
                <w:sz w:val="14"/>
                <w:szCs w:val="14"/>
                <w:color w:val="auto"/>
              </w:rPr>
              <w:t>hazardous waste sites)......................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592.9</w:t>
            </w:r>
          </w:p>
        </w:tc>
      </w:tr>
      <w:tr>
        <w:trPr>
          <w:trHeight w:val="167"/>
        </w:trPr>
        <w:tc>
          <w:tcPr>
            <w:tcW w:w="5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Hazardous waste facilities, resulting from continuing</w:t>
            </w:r>
          </w:p>
        </w:tc>
        <w:tc>
          <w:tcPr>
            <w:tcW w:w="780" w:type="dxa"/>
            <w:vAlign w:val="bottom"/>
          </w:tcPr>
          <w:p>
            <w:pPr>
              <w:spacing w:after="0"/>
              <w:rPr>
                <w:sz w:val="14"/>
                <w:szCs w:val="14"/>
                <w:color w:val="auto"/>
              </w:rPr>
            </w:pPr>
          </w:p>
        </w:tc>
      </w:tr>
      <w:tr>
        <w:trPr>
          <w:trHeight w:val="167"/>
        </w:trPr>
        <w:tc>
          <w:tcPr>
            <w:tcW w:w="5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market deterioration, increased competition, excess</w:t>
            </w:r>
          </w:p>
        </w:tc>
        <w:tc>
          <w:tcPr>
            <w:tcW w:w="780" w:type="dxa"/>
            <w:vAlign w:val="bottom"/>
          </w:tcPr>
          <w:p>
            <w:pPr>
              <w:spacing w:after="0"/>
              <w:rPr>
                <w:sz w:val="14"/>
                <w:szCs w:val="14"/>
                <w:color w:val="auto"/>
              </w:rPr>
            </w:pPr>
          </w:p>
        </w:tc>
      </w:tr>
      <w:tr>
        <w:trPr>
          <w:trHeight w:val="167"/>
        </w:trPr>
        <w:tc>
          <w:tcPr>
            <w:tcW w:w="5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capacity and changing regulation.......................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131.4</w:t>
            </w:r>
          </w:p>
        </w:tc>
      </w:tr>
      <w:tr>
        <w:trPr>
          <w:trHeight w:val="167"/>
        </w:trPr>
        <w:tc>
          <w:tcPr>
            <w:tcW w:w="5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Goodwill, primarily related to landfills and hazardous</w:t>
            </w:r>
          </w:p>
        </w:tc>
        <w:tc>
          <w:tcPr>
            <w:tcW w:w="780" w:type="dxa"/>
            <w:vAlign w:val="bottom"/>
          </w:tcPr>
          <w:p>
            <w:pPr>
              <w:spacing w:after="0"/>
              <w:rPr>
                <w:sz w:val="14"/>
                <w:szCs w:val="14"/>
                <w:color w:val="auto"/>
              </w:rPr>
            </w:pPr>
          </w:p>
        </w:tc>
      </w:tr>
      <w:tr>
        <w:trPr>
          <w:trHeight w:val="167"/>
        </w:trPr>
        <w:tc>
          <w:tcPr>
            <w:tcW w:w="5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waste facilities impaired (including $411.0 related to</w:t>
            </w:r>
          </w:p>
        </w:tc>
        <w:tc>
          <w:tcPr>
            <w:tcW w:w="780" w:type="dxa"/>
            <w:vAlign w:val="bottom"/>
          </w:tcPr>
          <w:p>
            <w:pPr>
              <w:spacing w:after="0"/>
              <w:rPr>
                <w:sz w:val="14"/>
                <w:szCs w:val="14"/>
                <w:color w:val="auto"/>
              </w:rPr>
            </w:pPr>
          </w:p>
        </w:tc>
      </w:tr>
      <w:tr>
        <w:trPr>
          <w:trHeight w:val="167"/>
        </w:trPr>
        <w:tc>
          <w:tcPr>
            <w:tcW w:w="5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hazardous waste business)..............................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433.4</w:t>
            </w: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Write-down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3900" w:type="dxa"/>
            <w:vAlign w:val="bottom"/>
          </w:tcPr>
          <w:p>
            <w:pPr>
              <w:spacing w:after="0"/>
              <w:rPr>
                <w:sz w:val="20"/>
                <w:szCs w:val="20"/>
                <w:color w:val="auto"/>
              </w:rPr>
            </w:pPr>
            <w:r>
              <w:rPr>
                <w:rFonts w:ascii="Courier New" w:cs="Courier New" w:eastAsia="Courier New" w:hAnsi="Courier New"/>
                <w:sz w:val="14"/>
                <w:szCs w:val="14"/>
                <w:color w:val="auto"/>
              </w:rPr>
              <w:t>WTI long-lived assets, including $47.1</w:t>
            </w:r>
          </w:p>
        </w:tc>
        <w:tc>
          <w:tcPr>
            <w:tcW w:w="780" w:type="dxa"/>
            <w:vAlign w:val="bottom"/>
          </w:tcPr>
          <w:p>
            <w:pPr>
              <w:spacing w:after="0"/>
              <w:rPr>
                <w:sz w:val="14"/>
                <w:szCs w:val="14"/>
                <w:color w:val="auto"/>
              </w:rPr>
            </w:pPr>
          </w:p>
        </w:tc>
      </w:tr>
      <w:tr>
        <w:trPr>
          <w:trHeight w:val="167"/>
        </w:trPr>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related</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3900" w:type="dxa"/>
            <w:vAlign w:val="bottom"/>
          </w:tcPr>
          <w:p>
            <w:pPr>
              <w:spacing w:after="0"/>
              <w:rPr>
                <w:sz w:val="20"/>
                <w:szCs w:val="20"/>
                <w:color w:val="auto"/>
              </w:rPr>
            </w:pPr>
            <w:r>
              <w:rPr>
                <w:rFonts w:ascii="Courier New" w:cs="Courier New" w:eastAsia="Courier New" w:hAnsi="Courier New"/>
                <w:sz w:val="14"/>
                <w:szCs w:val="14"/>
                <w:color w:val="auto"/>
              </w:rPr>
              <w:t>a wood waste burning independent power</w:t>
            </w:r>
          </w:p>
        </w:tc>
        <w:tc>
          <w:tcPr>
            <w:tcW w:w="780" w:type="dxa"/>
            <w:vAlign w:val="bottom"/>
          </w:tcPr>
          <w:p>
            <w:pPr>
              <w:spacing w:after="0"/>
              <w:rPr>
                <w:sz w:val="14"/>
                <w:szCs w:val="14"/>
                <w:color w:val="auto"/>
              </w:rPr>
            </w:pPr>
          </w:p>
        </w:tc>
      </w:tr>
      <w:tr>
        <w:trPr>
          <w:trHeight w:val="167"/>
        </w:trPr>
        <w:tc>
          <w:tcPr>
            <w:tcW w:w="14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production</w:t>
            </w:r>
          </w:p>
        </w:tc>
        <w:tc>
          <w:tcPr>
            <w:tcW w:w="3900" w:type="dxa"/>
            <w:vAlign w:val="bottom"/>
          </w:tcPr>
          <w:p>
            <w:pPr>
              <w:spacing w:after="0"/>
              <w:rPr>
                <w:sz w:val="20"/>
                <w:szCs w:val="20"/>
                <w:color w:val="auto"/>
              </w:rPr>
            </w:pPr>
            <w:r>
              <w:rPr>
                <w:rFonts w:ascii="Courier New" w:cs="Courier New" w:eastAsia="Courier New" w:hAnsi="Courier New"/>
                <w:sz w:val="14"/>
                <w:szCs w:val="14"/>
                <w:color w:val="auto"/>
              </w:rPr>
              <w:t>facility....................................</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57.2</w:t>
            </w:r>
          </w:p>
        </w:tc>
      </w:tr>
      <w:tr>
        <w:trPr>
          <w:trHeight w:val="167"/>
        </w:trPr>
        <w:tc>
          <w:tcPr>
            <w:tcW w:w="5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Recycling investments, related primarily to continued</w:t>
            </w:r>
          </w:p>
        </w:tc>
        <w:tc>
          <w:tcPr>
            <w:tcW w:w="780" w:type="dxa"/>
            <w:vAlign w:val="bottom"/>
          </w:tcPr>
          <w:p>
            <w:pPr>
              <w:spacing w:after="0"/>
              <w:rPr>
                <w:sz w:val="14"/>
                <w:szCs w:val="14"/>
                <w:color w:val="auto"/>
              </w:rPr>
            </w:pPr>
          </w:p>
        </w:tc>
      </w:tr>
      <w:tr>
        <w:trPr>
          <w:trHeight w:val="167"/>
        </w:trPr>
        <w:tc>
          <w:tcPr>
            <w:tcW w:w="53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pricing, overcapacity and competitive factors..........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Write-down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3900" w:type="dxa"/>
            <w:vAlign w:val="bottom"/>
          </w:tcPr>
          <w:p>
            <w:pPr>
              <w:spacing w:after="0"/>
              <w:rPr>
                <w:sz w:val="20"/>
                <w:szCs w:val="20"/>
                <w:color w:val="auto"/>
              </w:rPr>
            </w:pPr>
            <w:r>
              <w:rPr>
                <w:rFonts w:ascii="Courier New" w:cs="Courier New" w:eastAsia="Courier New" w:hAnsi="Courier New"/>
                <w:sz w:val="14"/>
                <w:szCs w:val="14"/>
                <w:color w:val="auto"/>
              </w:rPr>
              <w:t>estimated net realizable value of trucks to</w:t>
            </w:r>
          </w:p>
        </w:tc>
        <w:tc>
          <w:tcPr>
            <w:tcW w:w="780" w:type="dxa"/>
            <w:vAlign w:val="bottom"/>
          </w:tcPr>
          <w:p>
            <w:pPr>
              <w:spacing w:after="0"/>
              <w:rPr>
                <w:sz w:val="14"/>
                <w:szCs w:val="14"/>
                <w:color w:val="auto"/>
              </w:rPr>
            </w:pPr>
          </w:p>
        </w:tc>
      </w:tr>
      <w:tr>
        <w:trPr>
          <w:trHeight w:val="167"/>
        </w:trPr>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be sold</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as</w:t>
            </w:r>
          </w:p>
        </w:tc>
        <w:tc>
          <w:tcPr>
            <w:tcW w:w="3900" w:type="dxa"/>
            <w:vAlign w:val="bottom"/>
          </w:tcPr>
          <w:p>
            <w:pPr>
              <w:spacing w:after="0"/>
              <w:rPr>
                <w:sz w:val="20"/>
                <w:szCs w:val="20"/>
                <w:color w:val="auto"/>
              </w:rPr>
            </w:pPr>
            <w:r>
              <w:rPr>
                <w:rFonts w:ascii="Courier New" w:cs="Courier New" w:eastAsia="Courier New" w:hAnsi="Courier New"/>
                <w:sz w:val="14"/>
                <w:szCs w:val="14"/>
                <w:color w:val="auto"/>
              </w:rPr>
              <w:t>a result of new fleet management policy</w:t>
            </w:r>
          </w:p>
        </w:tc>
        <w:tc>
          <w:tcPr>
            <w:tcW w:w="780" w:type="dxa"/>
            <w:vAlign w:val="bottom"/>
          </w:tcPr>
          <w:p>
            <w:pPr>
              <w:spacing w:after="0"/>
              <w:rPr>
                <w:sz w:val="14"/>
                <w:szCs w:val="14"/>
                <w:color w:val="auto"/>
              </w:rPr>
            </w:pPr>
          </w:p>
        </w:tc>
      </w:tr>
      <w:tr>
        <w:trPr>
          <w:trHeight w:val="167"/>
        </w:trPr>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(Note 5)</w:t>
            </w:r>
          </w:p>
        </w:tc>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70.9</w:t>
            </w: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Write-down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3900" w:type="dxa"/>
            <w:vAlign w:val="bottom"/>
          </w:tcPr>
          <w:p>
            <w:pPr>
              <w:spacing w:after="0"/>
              <w:rPr>
                <w:sz w:val="20"/>
                <w:szCs w:val="20"/>
                <w:color w:val="auto"/>
              </w:rPr>
            </w:pPr>
            <w:r>
              <w:rPr>
                <w:rFonts w:ascii="Courier New" w:cs="Courier New" w:eastAsia="Courier New" w:hAnsi="Courier New"/>
                <w:sz w:val="14"/>
                <w:szCs w:val="14"/>
                <w:color w:val="auto"/>
              </w:rPr>
              <w:t>estimated net sales proceeds of businesses</w:t>
            </w:r>
          </w:p>
        </w:tc>
        <w:tc>
          <w:tcPr>
            <w:tcW w:w="780" w:type="dxa"/>
            <w:vAlign w:val="bottom"/>
          </w:tcPr>
          <w:p>
            <w:pPr>
              <w:spacing w:after="0"/>
              <w:rPr>
                <w:sz w:val="14"/>
                <w:szCs w:val="14"/>
                <w:color w:val="auto"/>
              </w:rPr>
            </w:pPr>
          </w:p>
        </w:tc>
      </w:tr>
      <w:tr>
        <w:trPr>
          <w:trHeight w:val="167"/>
        </w:trPr>
        <w:tc>
          <w:tcPr>
            <w:tcW w:w="14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to be sold</w:t>
            </w:r>
          </w:p>
        </w:tc>
        <w:tc>
          <w:tcPr>
            <w:tcW w:w="3900" w:type="dxa"/>
            <w:vAlign w:val="bottom"/>
          </w:tcPr>
          <w:p>
            <w:pPr>
              <w:spacing w:after="0"/>
              <w:rPr>
                <w:sz w:val="20"/>
                <w:szCs w:val="20"/>
                <w:color w:val="auto"/>
              </w:rPr>
            </w:pPr>
            <w:r>
              <w:rPr>
                <w:rFonts w:ascii="Courier New" w:cs="Courier New" w:eastAsia="Courier New" w:hAnsi="Courier New"/>
                <w:sz w:val="14"/>
                <w:szCs w:val="14"/>
                <w:color w:val="auto"/>
              </w:rPr>
              <w:t>(Note 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122.2</w:t>
            </w:r>
          </w:p>
        </w:tc>
      </w:tr>
      <w:tr>
        <w:trPr>
          <w:trHeight w:val="167"/>
        </w:trPr>
        <w:tc>
          <w:tcPr>
            <w:tcW w:w="53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Abandoned equipment and facilities........................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r>
    </w:tbl>
    <w:p>
      <w:pPr>
        <w:spacing w:after="0" w:line="200" w:lineRule="exact"/>
        <w:rPr>
          <w:sz w:val="20"/>
          <w:szCs w:val="20"/>
          <w:color w:val="auto"/>
        </w:rPr>
      </w:pPr>
    </w:p>
    <w:p>
      <w:pPr>
        <w:sectPr>
          <w:pgSz w:w="11900" w:h="16838" w:orient="portrait"/>
          <w:cols w:equalWidth="0" w:num="1">
            <w:col w:w="10159"/>
          </w:cols>
          <w:pgMar w:left="300" w:top="286" w:right="1440" w:bottom="1440"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94</w:t>
      </w:r>
    </w:p>
    <w:p>
      <w:pPr>
        <w:sectPr>
          <w:pgSz w:w="11900" w:h="16838" w:orient="portrait"/>
          <w:cols w:equalWidth="0" w:num="1">
            <w:col w:w="10159"/>
          </w:cols>
          <w:pgMar w:left="300" w:top="286" w:right="1440" w:bottom="1440"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97</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WASTE MANAGEMENT, INC.</w:t>
            </w:r>
          </w:p>
        </w:tc>
        <w:tc>
          <w:tcPr>
            <w:tcW w:w="1120" w:type="dxa"/>
            <w:vAlign w:val="bottom"/>
          </w:tcPr>
          <w:p>
            <w:pPr>
              <w:spacing w:after="0"/>
              <w:rPr>
                <w:sz w:val="14"/>
                <w:szCs w:val="14"/>
                <w:color w:val="auto"/>
              </w:rPr>
            </w:pPr>
          </w:p>
        </w:tc>
      </w:tr>
      <w:tr>
        <w:trPr>
          <w:trHeight w:val="334"/>
        </w:trPr>
        <w:tc>
          <w:tcPr>
            <w:tcW w:w="4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(CONTINUED)</w:t>
            </w:r>
          </w:p>
        </w:tc>
      </w:tr>
      <w:tr>
        <w:trPr>
          <w:trHeight w:val="501"/>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Surplus real</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w w:val="97"/>
              </w:rPr>
              <w:t>estate.......................................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Provisions for</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w w:val="97"/>
              </w:rPr>
              <w:t>losses on contractual commitments............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120.2</w:t>
            </w:r>
          </w:p>
        </w:tc>
      </w:tr>
      <w:tr>
        <w:trPr>
          <w:trHeight w:val="167"/>
        </w:trPr>
        <w:tc>
          <w:tcPr>
            <w:tcW w:w="4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Severance for terminated employees..........................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41.6</w:t>
            </w: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Special charge</w:t>
            </w:r>
          </w:p>
        </w:tc>
        <w:tc>
          <w:tcPr>
            <w:tcW w:w="48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for international operations, primarily costs</w:t>
            </w:r>
          </w:p>
        </w:tc>
      </w:tr>
    </w:tbl>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120" w:type="dxa"/>
            <w:vAlign w:val="bottom"/>
          </w:tcPr>
          <w:p>
            <w:pPr>
              <w:spacing w:after="0"/>
              <w:rPr>
                <w:sz w:val="20"/>
                <w:szCs w:val="20"/>
                <w:color w:val="auto"/>
              </w:rPr>
            </w:pPr>
            <w:r>
              <w:rPr>
                <w:rFonts w:ascii="Courier New" w:cs="Courier New" w:eastAsia="Courier New" w:hAnsi="Courier New"/>
                <w:sz w:val="14"/>
                <w:szCs w:val="14"/>
                <w:color w:val="auto"/>
              </w:rPr>
              <w:t>of demobilization in Argentina following the expiration of</w:t>
            </w:r>
          </w:p>
        </w:tc>
        <w:tc>
          <w:tcPr>
            <w:tcW w:w="78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the City of Buenos Aires contract, divestiture or closure</w:t>
            </w:r>
          </w:p>
        </w:tc>
        <w:tc>
          <w:tcPr>
            <w:tcW w:w="78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of underperforming businesses (primarily in Italy and</w:t>
            </w:r>
          </w:p>
        </w:tc>
        <w:tc>
          <w:tcPr>
            <w:tcW w:w="78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Germany) and abandonment of projects (primarily in</w:t>
            </w:r>
          </w:p>
        </w:tc>
        <w:tc>
          <w:tcPr>
            <w:tcW w:w="78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Germany)..................................................</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104.3</w:t>
            </w:r>
          </w:p>
        </w:tc>
      </w:tr>
      <w:tr>
        <w:trPr>
          <w:trHeight w:val="167"/>
        </w:trPr>
        <w:tc>
          <w:tcPr>
            <w:tcW w:w="5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$1,771.1</w:t>
            </w:r>
          </w:p>
        </w:tc>
      </w:tr>
      <w:tr>
        <w:trPr>
          <w:trHeight w:val="167"/>
        </w:trPr>
        <w:tc>
          <w:tcPr>
            <w:tcW w:w="5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EARNINGS PER SHARE</w:t>
      </w:r>
    </w:p>
    <w:p>
      <w:pPr>
        <w:spacing w:after="0" w:line="175" w:lineRule="exact"/>
        <w:rPr>
          <w:sz w:val="20"/>
          <w:szCs w:val="20"/>
          <w:color w:val="auto"/>
        </w:rPr>
      </w:pPr>
    </w:p>
    <w:p>
      <w:pPr>
        <w:ind w:right="3559" w:firstLine="434"/>
        <w:spacing w:after="0" w:line="254" w:lineRule="auto"/>
        <w:rPr>
          <w:sz w:val="20"/>
          <w:szCs w:val="20"/>
          <w:color w:val="auto"/>
        </w:rPr>
      </w:pPr>
      <w:r>
        <w:rPr>
          <w:rFonts w:ascii="Courier New" w:cs="Courier New" w:eastAsia="Courier New" w:hAnsi="Courier New"/>
          <w:sz w:val="14"/>
          <w:szCs w:val="14"/>
          <w:color w:val="auto"/>
        </w:rPr>
        <w:t>The following reconciles the number of common shares outstanding at December 31 of each year to the weighted average number of common shares outstanding and the weighted average number of common and dilutive potential common shares outstanding for the purposes of calculating basic and dilutive earnings per common share, respectively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4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YEARS ENDED DECEMBER 31,</w:t>
            </w:r>
          </w:p>
        </w:tc>
      </w:tr>
      <w:tr>
        <w:trPr>
          <w:trHeight w:val="167"/>
        </w:trPr>
        <w:tc>
          <w:tcPr>
            <w:tcW w:w="496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9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Number of common shares outstanding.....................</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619,317</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600,351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556,546</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Effect of using weighted average common shares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(6,385)</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(16,050)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1,129</w:t>
            </w:r>
          </w:p>
        </w:tc>
      </w:tr>
      <w:tr>
        <w:trPr>
          <w:trHeight w:val="167"/>
        </w:trPr>
        <w:tc>
          <w:tcPr>
            <w:tcW w:w="49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612,932</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584,301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557,675</w:t>
            </w:r>
          </w:p>
        </w:tc>
      </w:tr>
      <w:tr>
        <w:trPr>
          <w:trHeight w:val="167"/>
        </w:trPr>
        <w:tc>
          <w:tcPr>
            <w:tcW w:w="49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For all periods presented, the effect of the Company's common stock options and warrants and the effect of the Company's convertible subordinated notes and debentures are excluded from the dilutive earnings per share calculation since inclusion of such items would be antidilutive.</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At December 31, 1999, there were approximately 59.7 million shares of common stock potentially issuable with respect to stock options, warrants, and convertible debt, which could dilute basic earnings per share in the future.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COMPREHENSIVE INCOME (LOSS)</w:t>
      </w:r>
    </w:p>
    <w:p>
      <w:pPr>
        <w:spacing w:after="0" w:line="17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 The components of accumulated other comprehensive income (loss) are as follows for the periods indicated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MINIMUM</w:t>
            </w:r>
          </w:p>
        </w:tc>
        <w:tc>
          <w:tcPr>
            <w:tcW w:w="12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42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FOREIGN</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PENSION</w:t>
            </w:r>
          </w:p>
        </w:tc>
        <w:tc>
          <w:tcPr>
            <w:tcW w:w="126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OTHER</w:t>
            </w:r>
          </w:p>
        </w:tc>
      </w:tr>
      <w:tr>
        <w:trPr>
          <w:trHeight w:val="167"/>
        </w:trPr>
        <w:tc>
          <w:tcPr>
            <w:tcW w:w="426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CURRENCY</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LIABILITY</w:t>
            </w:r>
          </w:p>
        </w:tc>
        <w:tc>
          <w:tcPr>
            <w:tcW w:w="12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426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TRANSLATION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ADJUSTMENT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INCOME</w:t>
            </w:r>
          </w:p>
        </w:tc>
      </w:tr>
      <w:tr>
        <w:trPr>
          <w:trHeight w:val="167"/>
        </w:trPr>
        <w:tc>
          <w:tcPr>
            <w:tcW w:w="426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ADJUSTMENT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OF TAX)</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(LOSS)</w:t>
            </w:r>
          </w:p>
        </w:tc>
      </w:tr>
      <w:tr>
        <w:trPr>
          <w:trHeight w:val="167"/>
        </w:trPr>
        <w:tc>
          <w:tcPr>
            <w:tcW w:w="426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December 31, 1997......................</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$(275,800)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(7,393)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$(283,193)</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Current-period change.........................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(77,842)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(59,769)</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(137,611)</w:t>
            </w:r>
          </w:p>
        </w:tc>
      </w:tr>
      <w:tr>
        <w:trPr>
          <w:trHeight w:val="167"/>
        </w:trPr>
        <w:tc>
          <w:tcPr>
            <w:tcW w:w="42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December 31, 1998......................</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(353,642)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(67,162)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(420,804)</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Current-period change.........................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(76,438)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(65,844)</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(142,282)</w:t>
            </w:r>
          </w:p>
        </w:tc>
      </w:tr>
      <w:tr>
        <w:trPr>
          <w:trHeight w:val="167"/>
        </w:trPr>
        <w:tc>
          <w:tcPr>
            <w:tcW w:w="42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 December 31, 1999......................</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$(430,080)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$(133,006)</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$(563,086)</w:t>
            </w:r>
          </w:p>
        </w:tc>
      </w:tr>
      <w:tr>
        <w:trPr>
          <w:trHeight w:val="167"/>
        </w:trPr>
        <w:tc>
          <w:tcPr>
            <w:tcW w:w="426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The Company is continuing the process of settling its obligations under the Plan, and the change in minimum pension liability adjustment relates to the Plan. To the extent that the termination benefit has not yet been charged to expense, additional minimum pension liability has been recorded as a charge to other</w:t>
      </w:r>
    </w:p>
    <w:p>
      <w:pPr>
        <w:sectPr>
          <w:pgSz w:w="11900" w:h="16838" w:orient="portrait"/>
          <w:cols w:equalWidth="0" w:num="1">
            <w:col w:w="10159"/>
          </w:cols>
          <w:pgMar w:left="300" w:top="286" w:right="1440" w:bottom="1440" w:gutter="0" w:footer="0" w:header="0"/>
        </w:sect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95</w:t>
      </w:r>
    </w:p>
    <w:p>
      <w:pPr>
        <w:sectPr>
          <w:pgSz w:w="11900" w:h="16838" w:orient="portrait"/>
          <w:cols w:equalWidth="0" w:num="1">
            <w:col w:w="10159"/>
          </w:cols>
          <w:pgMar w:left="300" w:top="286" w:right="1440" w:bottom="1440" w:gutter="0" w:footer="0" w:header="0"/>
          <w:type w:val="continuous"/>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98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comprehensive income. The Company expects to settle the obligations at various dates in 2000, at which time settlement expense will be recorded and adjustments to other comprehensive income will be made.</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As discussed in Note 1, the Company adopted a strategic plan in August 1999 one element of which is to pursue the divestiture of its WM International operations. Of the $430.1 million in foreign currency translation adjustment within accumulated other comprehensive income (loss), approximately $344.9 million relates to the Company's WM International operations. Upon the divestiture of the Company's WM International operations, the foreign currency translation losses that are included in accumulated other comprehensive income (loss) will be recognized in the Company's statement of operations as a component of such operations (decreasing any gain, or increasing any loss). The foreign currency translation loss for the Company's WM International operations was $344.9 million at December 31, 1999; however, that amount will fluctuate from period to period with the change in foreign currency exchange rates.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COMMITMENTS AND CONTINGENCIES</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Operating leases -- The Company leases certain of its operating and office facilities for various terms. Lease expense aggregated $189.3 million, $194.9 million and $189.9 million during 1999, 1998 and 1997, respectively. These amounts include rents under long-term leases, short-term cancelable leases and rents charged as a percentage of revenue, but are exclusive of financing leases which are capitalized for accounting purposes.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long-term rental obligations as of December 31, 1999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are due in the</w:t>
            </w:r>
          </w:p>
        </w:tc>
      </w:tr>
      <w:tr>
        <w:trPr>
          <w:trHeight w:val="167"/>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following years (in thousands):</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4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148,257</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4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135,072</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4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121,848</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109,030</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109,228</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4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 2009............................................</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351,496</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4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and thereafter.....................................</w:t>
            </w:r>
          </w:p>
        </w:tc>
        <w:tc>
          <w:tcPr>
            <w:tcW w:w="34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68,197</w:t>
            </w:r>
          </w:p>
        </w:tc>
      </w:tr>
      <w:tr>
        <w:trPr>
          <w:trHeight w:val="167"/>
        </w:trPr>
        <w:tc>
          <w:tcPr>
            <w:tcW w:w="3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$1,043,128</w:t>
            </w:r>
          </w:p>
        </w:tc>
      </w:tr>
      <w:tr>
        <w:trPr>
          <w:trHeight w:val="167"/>
        </w:trPr>
        <w:tc>
          <w:tcPr>
            <w:tcW w:w="3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Financial instruments -- Letters of credit, performance bonds and other guarantees have been provided by the Company to support tax-exempt bonds, performance of landfill final closure and post-closure requirements, insurance contracts, and other contracts. Total letters of credit, performance bonds, insurance policies, and other guarantees outstanding at December 31, 1999 aggregated approximately $5.2 billion. The insurance policies are issued by a wholly-owned insurance company subsidiary, the sole business of which is to issue such policies to customers of the Company and its subsidiaries. Approximately $87.4 million (at fair market value) of the Company's assets have been contributed to this subsidiary to meet regulatory minimum capital requirements. In those instances where the use of captive insurance is not acceptable, the Company has available alternative bonding mechanisms. The Company has not experienced difficulty in obtaining performance bonds or letters of credit for its current operations. Because virtually no claims have been made against these financial instruments in the past, management does not expect these instruments will have a material adverse effect on the Company's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ind w:left="440"/>
              <w:spacing w:after="0"/>
              <w:rPr>
                <w:sz w:val="20"/>
                <w:szCs w:val="20"/>
                <w:color w:val="auto"/>
              </w:rPr>
            </w:pPr>
            <w:r>
              <w:rPr>
                <w:rFonts w:ascii="Courier New" w:cs="Courier New" w:eastAsia="Courier New" w:hAnsi="Courier New"/>
                <w:sz w:val="14"/>
                <w:szCs w:val="14"/>
                <w:color w:val="auto"/>
              </w:rPr>
              <w:t>Environmental</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matters --</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The continuing</w:t>
            </w:r>
          </w:p>
        </w:tc>
        <w:tc>
          <w:tcPr>
            <w:tcW w:w="2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business in which the Company is</w:t>
            </w:r>
          </w:p>
        </w:tc>
      </w:tr>
      <w:tr>
        <w:trPr>
          <w:trHeight w:val="167"/>
        </w:trPr>
        <w:tc>
          <w:tcPr>
            <w:tcW w:w="4740" w:type="dxa"/>
            <w:vAlign w:val="bottom"/>
            <w:gridSpan w:val="4"/>
          </w:tcPr>
          <w:p>
            <w:pPr>
              <w:spacing w:after="0"/>
              <w:rPr>
                <w:sz w:val="20"/>
                <w:szCs w:val="20"/>
                <w:color w:val="auto"/>
              </w:rPr>
            </w:pPr>
            <w:r>
              <w:rPr>
                <w:rFonts w:ascii="Courier New" w:cs="Courier New" w:eastAsia="Courier New" w:hAnsi="Courier New"/>
                <w:sz w:val="14"/>
                <w:szCs w:val="14"/>
                <w:color w:val="auto"/>
              </w:rPr>
              <w:t>engaged is intrinsically connected with the protection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the environment. As</w:t>
            </w:r>
          </w:p>
        </w:tc>
      </w:tr>
      <w:tr>
        <w:trPr>
          <w:trHeight w:val="167"/>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such, a significant portion of the Company's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operating</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costs and capital</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expenditures could</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characterized as costs</w:t>
            </w:r>
          </w:p>
        </w:tc>
        <w:tc>
          <w:tcPr>
            <w:tcW w:w="2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environmental protection. Such</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costs may increase</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the future as a result</w:t>
            </w:r>
          </w:p>
        </w:tc>
        <w:tc>
          <w:tcPr>
            <w:tcW w:w="2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legislation or regulation,</w:t>
            </w:r>
          </w:p>
        </w:tc>
      </w:tr>
      <w:tr>
        <w:trPr>
          <w:trHeight w:val="167"/>
        </w:trPr>
        <w:tc>
          <w:tcPr>
            <w:tcW w:w="4740" w:type="dxa"/>
            <w:vAlign w:val="bottom"/>
            <w:gridSpan w:val="4"/>
          </w:tcPr>
          <w:p>
            <w:pPr>
              <w:spacing w:after="0"/>
              <w:rPr>
                <w:sz w:val="20"/>
                <w:szCs w:val="20"/>
                <w:color w:val="auto"/>
              </w:rPr>
            </w:pPr>
            <w:r>
              <w:rPr>
                <w:rFonts w:ascii="Courier New" w:cs="Courier New" w:eastAsia="Courier New" w:hAnsi="Courier New"/>
                <w:sz w:val="14"/>
                <w:szCs w:val="14"/>
                <w:color w:val="auto"/>
              </w:rPr>
              <w:t>however, the Company believes that in general it tends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to benefit when</w:t>
            </w:r>
          </w:p>
        </w:tc>
      </w:tr>
      <w:tr>
        <w:trPr>
          <w:trHeight w:val="167"/>
        </w:trPr>
        <w:tc>
          <w:tcPr>
            <w:tcW w:w="4740" w:type="dxa"/>
            <w:vAlign w:val="bottom"/>
            <w:gridSpan w:val="4"/>
          </w:tcPr>
          <w:p>
            <w:pPr>
              <w:spacing w:after="0"/>
              <w:rPr>
                <w:sz w:val="20"/>
                <w:szCs w:val="20"/>
                <w:color w:val="auto"/>
              </w:rPr>
            </w:pPr>
            <w:r>
              <w:rPr>
                <w:rFonts w:ascii="Courier New" w:cs="Courier New" w:eastAsia="Courier New" w:hAnsi="Courier New"/>
                <w:sz w:val="14"/>
                <w:szCs w:val="14"/>
                <w:color w:val="auto"/>
              </w:rPr>
              <w:t>environmental regulation increases, which may increase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the demand for its</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services, and that</w:t>
            </w:r>
          </w:p>
        </w:tc>
        <w:tc>
          <w:tcPr>
            <w:tcW w:w="3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it has the resources and experience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to manage environmental</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risk.</w:t>
            </w: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4"/>
        </w:trPr>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96</w:t>
            </w: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99</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As part of its ongoing operations, the Company provides for the present value of estimated final closure and post-closure monitoring costs over the estimated operating life of disposal sites as airspace is consumed. The Company has also established procedures to evaluate potential remedial liabilities at closed sites which it owns or operated, or to which it transported waste, including 84 sites listed on the NPL as of December 31, 1999. Where the Company concludes that it is probable that a liability has been incurred, provision is made in the financial statements.</w:t>
      </w:r>
    </w:p>
    <w:p>
      <w:pPr>
        <w:spacing w:after="0" w:line="164"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industry,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be material.</w:t>
      </w:r>
    </w:p>
    <w:p>
      <w:pPr>
        <w:spacing w:after="0" w:line="17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Litigation -- In November and December 1997, several alleged purchasers of WM Holdings securities (including but not limited to common stock), who allegedly bought their securities during 1996 and 1997, brought fourteen purported class action lawsuits against WM Holdings and several of its current and former officers and directors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In January 1998, the 14 putative class actions were consolidated before one judge and in February 1998, WM Holdings announced a restatement of prior-period earnings for 1991 and earlier as well as for 1992 through 1996 and the first three quarters of 1997. In July 1998, the class plaintiffs filed an amended complaint against WM Holdings, its outside auditor, and five of WM Holdings' former officers. The amended complaint sought recovery on behalf of a proposed class of all purchasers of WM Holdings' securities between May 29, 1995, and October 30, 1997. The amended complaint alleged, among other things, that WM Holdings filed false and misleading financial statements beginning in 1991 and continuing through October 1997 and sought recovery for alleged violations of the federal securities laws between May 1995 and October 1997.</w:t>
      </w:r>
    </w:p>
    <w:p>
      <w:pPr>
        <w:spacing w:after="0" w:line="340"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December 1998, the Company announced an agreement to settle the consolidated action against all defendants and the establishment of a settlement fund of $220 million for the class of open market purchasers of WM Holdings securities between November 3, 1994, and February 24, 1998. On September 17, 1999, the United States District Court for the Northern District of Illinois gave final approval to the settlement after a hearing. There were no objections to the fairness or adequacy of the settlement fund.</w:t>
      </w:r>
    </w:p>
    <w:p>
      <w:pPr>
        <w:spacing w:after="0" w:line="165"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In January 2000, the Company settled two actions, one pending in Illinois State court and the other in Florida Federal court, arising out of the same set of facts as the above federal action brought by open market purchasers of WM Holdings' securities.</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Additionally, there are several other actions and claims, which arise out of the same set of facts, that have been brought by business owners who received WM Holdings common stock in the sales of their businesses to WM Holdings. These actions and claims allege, among other things, breach of warranty or breach of contract based on WM Holdings' restatement of earnings in February 1998. In April 1999, courts having jurisdiction over two such actions granted summary judgment against WM Holdings and in favor of the individual plaintiffs who brought the respective claims on the issue of breach of contract. Additionally, in October 1999, the court in one of these actions certified a class consisting of all sellers of business assets to WM Holdings between January 1, 1990, and February 24, 1998, whose purchase agreements with WM Holdings contained express warranties regarding the accuracy of WM Holdings' financial statements. The Company has appealed that decision and the appeal is pending. The extent of damages, if any, in this class action has not yet been</w:t>
      </w:r>
    </w:p>
    <w:p>
      <w:pPr>
        <w:spacing w:after="0" w:line="17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159"/>
          </w:cols>
          <w:pgMar w:left="300" w:top="286"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100</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determined. The Company, however, has settled or resolved four, separate stock-for-asset disputes that otherwise would have been part of the above class, as currently defined, including the individual action identified above in which summary judgment was entered against WM Holdings.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February and March 2000, two asset sellers who otherwise would have been included in the above class, as currently defined, brought separate actions against the Company for breach of contract and fraud, among other things. One of the suits arises out of a transaction valued at over $200 million at the time of closing in 1996, while the other involves a transaction in excess of $11 million at its closing in 1995. Both suits are in their early stages and the extent of possible damages, if any, has not yet been determined.</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December 1999, a sole plaintiff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The defendants have removed this action to federal court, where plaintiff is seeking a remand back to the state forum. This action is in its early stages and the extent of possible damages, if any, has not yet been determined.</w:t>
      </w:r>
    </w:p>
    <w:p>
      <w:pPr>
        <w:spacing w:after="0" w:line="331"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Purported derivative actions have also been filed in Delaware Chancery Court by alleged former shareholders of WM Holdings against certain former officers and directors of WM Holdings and nominally against WM Holdings to recover damages caused to WM Holdings as a result of the settled consolidated federal securities class action described above. These actions have been consolidated and plaintiffs have filed a consolidated amended complaint. The plaintiffs seek to recover from the former officers and directors, on behalf of WM Holdings, the amounts paid in the federal class action as well as additional amounts based on alleged harms not at issue in the federal class action.</w:t>
      </w:r>
    </w:p>
    <w:p>
      <w:pPr>
        <w:spacing w:after="0" w:line="164"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6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In March and April 1999, two former officers of WM Holdings sued the Company for retirement and other benefits. These actions are in their early stages and the extent of possible damages, if any, has not yet been determined. Additionally, a third former officer brought a similar claim, that was subsequently dismissed, in March 2000. This newest action included claims related to the decision by the board of WM Holdings to recommend the merger of WM Holdings with the Company.</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and that its reported operating income for the three months ended March 31, 1999 may have included certain unusual pretax income items. More than 20 lawsuits that purport to be based on one or more of these announcements were filed against the Company and certain of its officers and directors in the United States District Court for the Southern District of Texas. These actions have been consolidated into a single action. On September 7, 1999, a lawsuit was filed against the Company and certain of its officers and directors in the United States District Court for the Eastern District of Texas. Pursuant to a joint motion, this case was transferred to the United States District Court for the Southern District of Texas, to be consolidated with the consolidated action pending there. Taken together, the plaintiffs in these lawsuits purport to assert claims on behalf of a class of purchasers of the Company's common stock between June 10, 1998 and August 13,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 Company's officers and directors sold common stock between March 31, 1999 and July 6, 1999 at prices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159"/>
          </w:cols>
          <w:pgMar w:left="300" w:top="286"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4"/>
          <w:szCs w:val="14"/>
          <w:color w:val="auto"/>
        </w:rPr>
        <w:t>101</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known to be inflated by the alleged material misstatements and omissions. The plaintiffs in these actions seek damages with interest, costs and such other relief as the court deems proper.</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November 1999, an action was filed in Oregon state court by individuals who received Company common stock in the sale of their business to the Company. For reasons similar to those alleged in the class actions described in the preceding paragraph, these individuals allege that the stock they received was overvalued. The case is in an early stage and the extent of possible damages, if any, has not yet been determined.</w:t>
      </w:r>
    </w:p>
    <w:p>
      <w:pPr>
        <w:spacing w:after="0" w:line="16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 addition, three of the Company's shareholders have filed purported derivative lawsuits against certain officers and directors of the Company in connection with the events surrounding the Company's second quarter 1999 earnings projections and July 6, 1999 earnings announcement. Two of these lawsuits were filed in the Court of Chancery of the State of Delaware on July 16, 1999 and August 18, 1999, respectively, and one was filed in the United States District Court for the Southern District of Texas on July 27, 1999. The Delaware cases have been consolidated and the plaintiffs have filed an amended consolidated complaint.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 The defendants have not yet been required to respond to the complaints.</w:t>
      </w:r>
    </w:p>
    <w:p>
      <w:pPr>
        <w:spacing w:after="0" w:line="339"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On December 29, 1999, the Company sued Louis D. Paolino, former President and Chief Executive Officer of Eastern, and others in federal court in Delaware in connection with the Eastern Merger. The Company alleges, among other things, that defendants artificially inflated the revenues of Eastern by employing improper accounting practices and usurped Eastern corporate opportunities for personal gain. The Company alleges that the inflated Eastern financials caused the Company to pay substantially more than Eastern was worth. The defendants in this case have not yet filed a response to the complaint.</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a related matter, on December 31, 1999, Louis D. Paolino and others sued the Company and unnamed defendants in Philadelphia for securities fraud in connection with the Eastern Merger. Plaintiffs allege that the Company's stock that they were issued in connection with the Eastern Merger was over-valued because the Company failed to disclose that it was having problems integrating the operations of WM Holdings and the Company after the WM Holdings Merger. As none of the defendants has been served in this action, no responsive pleadings have been filed.</w:t>
      </w:r>
    </w:p>
    <w:p>
      <w:pPr>
        <w:spacing w:after="0" w:line="16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is aware of a lawsuit filed in state court in Houston, Texas by several related shareholders against the Company and three of its former officers. The petition alleges that the plaintiffs are substantial shareholders of the Company's common stock who intended to sell their stock in 1999, but that the individual defendants made false and misleading statements regarding the Company's prospects that induced the plaintiffs to retain their stock. Plaintiffs assert that the value of their retained stock declined dramatically. Plaintiffs asserted claims for fraud, negligent misrepresentation, and conspiracy. As neither the Company nor the individual defendants have been served in this action, the defendants have filed no responsive pleadings in the action.</w:t>
      </w:r>
    </w:p>
    <w:p>
      <w:pPr>
        <w:spacing w:after="0" w:line="331"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The Company has also received a letter from participants in the Company's Employee Stock Purchase Plan (the "ESPP") who purchased the Company's common stock on June 30, 1999. The letter demands that the Administrative Committee of the ESPP bring an action against the Company and certain selling officers and directors for losses allegedly sustained by the participants in their stock purchases. These ESPP participants stated in the letter that, absent action by the Administrative Committee of the ESPP, they intended to sue the Company and the directors and officers on behalf of the ESPP and its participants. The Administrative Committee of the ESPP has advised these participants that it cannot file suit, as requested, because the committee is neither a representative of the plan nor a Waste Management shareholder. The Company has not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159"/>
          </w:cols>
          <w:pgMar w:left="300" w:top="286"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102</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received any further communication from these participants. However, the Company does not believe that this claim, if pursued, would have a material adverse effect on the Company's financial statements.</w:t>
      </w:r>
    </w:p>
    <w:p>
      <w:pPr>
        <w:spacing w:after="0" w:line="162"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162"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The New York Stock Exchange has notified the Company that its Market Trading Analysis Department is reviewing transactions in the common stock of the Company prior to the July 6, 1999 earnings forecast announcement.</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a former chairman of the SEC and chairman of the Company's Audit Committee, is directing the review.</w:t>
      </w:r>
    </w:p>
    <w:p>
      <w:pPr>
        <w:spacing w:after="0" w:line="33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received a Civil Investigative Demand ("CID") from the Antitrust Division of the United States Department of Justice in July 1999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 with which the Company is fully cooperating.</w:t>
      </w:r>
    </w:p>
    <w:p>
      <w:pPr>
        <w:spacing w:after="0" w:line="331"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Plan. On behalf of the purported class, the plaintiff sought compensatory and punitive damages, costs, restitution with interest, and such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the same attorneys filed another Plan-related putative class action against the Company and various individual defendants in the United States District Court for the Middle District of Alabama, Northern Division. This case, brought by a different putative class representative, alleges that the defendants violated ERISA by failing to terminate the Plan in accordance with its terms, by failing to manage Plan assets prudently and in the interests of Plan participants, and by delaying the Plan's termination date and the expected distribution of lump-sum pension benefits. On behalf of the purported class, the plaintiff seeks declaratory and injunctive relief, restitution of all losses and expenses allegedly incurred by the Plan, payment of all benefits allegedly owed to Plan participants, attorney's fees and costs, and other "appropriate" relief under the Internal Revenue Code, ERISA and the Plan. Defendants' time to move, answer or otherwise respond to the complaint has been extended, and no proceedings have yet occurred.</w:t>
      </w:r>
    </w:p>
    <w:p>
      <w:pPr>
        <w:spacing w:after="0" w:line="34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159"/>
          </w:cols>
          <w:pgMar w:left="300" w:top="286"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103</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requirements. From time to time, the Company pays fines or penalties in environmental proceedings relating primarily to waste treatment, storage or disposal facilities. As of December 31, 1999, there were six proceedings involving Company subsidiaries where the sanctions involved could potentially exceed $100,000.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64"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financial statements.</w:t>
      </w:r>
    </w:p>
    <w:p>
      <w:pPr>
        <w:spacing w:after="0" w:line="339"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CERCLA generally provides for joint and several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financial statements.</w:t>
      </w:r>
    </w:p>
    <w:p>
      <w:pPr>
        <w:spacing w:after="0" w:line="17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June 1999, the Company was notified that the EPA is conducting a civil investigation of alleged chlorofluorocarbons ("CFC") disposal violations by Waste Management of Massachusetts, Inc. ("WMMA"), one of the Company's wholly owned subsidiaries,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financial statements.</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requests for information from the Michigan Department of Environmental Quality, seeking information related to the landfill's waste acceptance practices and the Company's business relationship with the generator. According to affidavits attached to the subpoena, the generator's treatment plant was sold by the Company to the generator in May 1998. The Company is cooperating with the pending investigation and believes that the ultimate outcome of this matter will not have a material adverse effect on the Company's financial statements.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159"/>
          </w:cols>
          <w:pgMar w:left="300" w:top="286"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104</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As of December 31, 1999, the Company or its subsidiaries had been notified that they are potentially responsible parties in connection with 84 locations listed on the NPL. Of the 84 NPL sites at which claims have been made against 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67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174"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November 1998, the Company was sued by the estate of Shayne Conner, who died on November 24, 1995 in Greenland, New Hampshire. Plaintiffs allege that Mr. Conner's death was caused by biosolids that were applied to a nearby field by Wheelabrator's BioGro business unit. The litigation is currently in the discovery phase, and the Company is waiting for plaintiff's production of a court-ordered expert on causation. The Company is vigorously defending itself in the litigation.</w:t>
      </w:r>
    </w:p>
    <w:p>
      <w:pPr>
        <w:spacing w:after="0" w:line="33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has been advised by the United States Department of Justice that Laurel Ridge Landfill, Inc., a wholly owned subsidiary of the Company as a result of the United Merger in August 1997, allegedly committed certain violations of the Clean Water Act at the Laurel Ridge Landfill in Kentucky. The alleged activities occurred prior to the United Merger. In May 1999, the Company pleaded guilty to a criminal misdemeanor and was sentenced in November 1999 to pay a fine of $100,000 and perform in kind services valued at $1.0 million.</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financial statements.</w:t>
      </w:r>
    </w:p>
    <w:p>
      <w:pPr>
        <w:spacing w:after="0" w:line="163" w:lineRule="exact"/>
        <w:rPr>
          <w:sz w:val="20"/>
          <w:szCs w:val="20"/>
          <w:color w:val="auto"/>
        </w:rPr>
      </w:pPr>
    </w:p>
    <w:p>
      <w:pPr>
        <w:ind w:right="3299" w:firstLine="434"/>
        <w:spacing w:after="0" w:line="252" w:lineRule="auto"/>
        <w:rPr>
          <w:sz w:val="20"/>
          <w:szCs w:val="20"/>
          <w:color w:val="auto"/>
        </w:rPr>
      </w:pPr>
      <w:r>
        <w:rPr>
          <w:rFonts w:ascii="Courier New" w:cs="Courier New" w:eastAsia="Courier New" w:hAnsi="Courier New"/>
          <w:sz w:val="14"/>
          <w:szCs w:val="14"/>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159"/>
          </w:cols>
          <w:pgMar w:left="300" w:top="286"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4"/>
          <w:szCs w:val="14"/>
          <w:color w:val="auto"/>
        </w:rPr>
        <w:t>105</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been set. The Company is unable at this time to predict the outcome of this proceeding. No amounts have been recognized in the Company's financial statements for potential recoveries.</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It is not possible at this time to predict the impact that the above lawsuits, proceedings, investigations and inquiries may have on WM Holdings or the Company, nor is it possible to predict whether any other suits or claims may arise out of these matters in the future. However, it is reasonably possible that the outcome of any present or future litigation, proceedings, investigations or inquiries may have a material adverse impact on their respective financial conditions or results of operations in one or more future periods. The Company and WM Holdings intend to defend themselves vigorously in all the above matters.</w:t>
      </w:r>
    </w:p>
    <w:p>
      <w:pPr>
        <w:spacing w:after="0" w:line="331" w:lineRule="exact"/>
        <w:rPr>
          <w:sz w:val="20"/>
          <w:szCs w:val="20"/>
          <w:color w:val="auto"/>
        </w:rPr>
      </w:pPr>
    </w:p>
    <w:p>
      <w:pPr>
        <w:ind w:right="3299" w:firstLine="434"/>
        <w:spacing w:after="0" w:line="254" w:lineRule="auto"/>
        <w:rPr>
          <w:sz w:val="20"/>
          <w:szCs w:val="20"/>
          <w:color w:val="auto"/>
        </w:rPr>
      </w:pPr>
      <w:r>
        <w:rPr>
          <w:rFonts w:ascii="Courier New" w:cs="Courier New" w:eastAsia="Courier New" w:hAnsi="Courier New"/>
          <w:sz w:val="14"/>
          <w:szCs w:val="14"/>
          <w:color w:val="auto"/>
        </w:rPr>
        <w:t>The Company and certain of its subsidiaries are also currently involved in other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162"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Insurance -- The Company carries a broad range of insurance coverages, which management considers prudent for the protection of the Company's assets and operations including general liability, automobile liability, real and personal property, workers' compensation, directors' and officers' liability, and such other coverages as management deems necessary. Some of these coverages are subject to varying retentions of risk by the Company. At December 31, 1999, the Company's casualty policies provided for $2 million per occurrence coverage for primary commercial general liability and $1 million per accident coverage for primary automobile liability (including coverage for pollution exposure arising out of trucking operations) supported by $500 million in umbrella insurance protection. At December 31, 1999 the Company's property policy provided insurance coverage for all of the Company's real and personal property on a replacement cost basis, including California earthquake perils. At December 31, 1999 the Company also carried $200 million in aircraft liability protection. The Company believes these are appropriate levels for its operations and that such levels meet applicable requirements of the various states and countries in which it operates, however, various factors including cost and coverage availability could cause the Company to change its levels of coverage.</w:t>
      </w:r>
    </w:p>
    <w:p>
      <w:pPr>
        <w:spacing w:after="0" w:line="17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 maintains workers' compensation insurance in accordance with laws of the various states and countries in which it has employees. At December 31, 1999, the Company's ongoing workers' compensation insurance program had a deductible per incident of $250,000. Through the second quarter of 1999, the Company estimated its insurance-related liabilities for the ongoing programs mainly related to workers' compensation, based on an analysis of insurance claims submitted for reimbursement, plus an estimate for liabilities incurred as of the balance sheet date, but not yet reported to the Company. In the third quarter of 1999, the Company began estimating these liabilities based on actuarially determined estimates of ultimate losses. These estimates are generally within a range of potential ultimate outcomes.</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At December 31, 1999, this policy provides $10 million of coverage per loss with a $20 million aggregate limit.</w:t>
      </w:r>
    </w:p>
    <w:p>
      <w:pPr>
        <w:spacing w:after="0" w:line="16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Through the date of the WM Holdings Merger, certain of WM Holdings' auto, general liability, environmental impairment liability, and workers' compensation risks were self-insured up to $5.0 million per accident. For such programs, a provision was made in each accounting period for estimated losses, including losses incurred but not reported, and the related reserves are adjusted as additional claims information becomes available. Claims reserves related to WM Holdings are discounted at 5.5% at December 31, 1999 and 1998. The insurance-related liability for the ongoing program and the WM Holdings' self-insurance runoff program included in the accompanying balance sheet amounts to $361.7 million and $334.5 million at December 31, 1999 and 1998, respectively.</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159"/>
          </w:cols>
          <w:pgMar w:left="300" w:top="286"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106</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OPERATIONS HELD FOR SALE</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During the third quarter of 1999, the Company's Board of Directors adopted a strategic plan, one element of which is for the Company to market for sale its WM International operations, significant portions of its domestic non-core businesses and selected NASW operations. As discussed in Note 2, the Company has recorded charges to write down certain of these assets. In determining fair value, the Company considered, among other things, the range of preliminary purchase prices being discussed with potential buyers. These businesses' results of operations are fully included in revenues and expenses in the accompanying statement of operations.</w:t>
      </w:r>
    </w:p>
    <w:p>
      <w:pPr>
        <w:spacing w:after="0" w:line="164"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Operational information included in the statement of operations regarding the businesses classified as operations held for sale at December 31, 1999, is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NORTH AMERICAN</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WM</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NON-SOLID</w:t>
            </w:r>
          </w:p>
        </w:tc>
        <w:tc>
          <w:tcPr>
            <w:tcW w:w="100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SOLID WASTE</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INTERNATIONAL</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w w:val="99"/>
              </w:rPr>
              <w:t>WASTE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 Ended:</w:t>
            </w: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$541,000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$1,650,860</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$288,445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$2,480,305</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Earnings before interest and</w:t>
            </w: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taxes(a)</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(22,249)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211,713</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52,307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241,771</w:t>
            </w:r>
          </w:p>
        </w:tc>
      </w:tr>
      <w:tr>
        <w:trPr>
          <w:trHeight w:val="167"/>
        </w:trPr>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$522,271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$1,533,635</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$304,746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$2,360,652</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Earnings before interest and</w:t>
            </w: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taxes(a)</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20,595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132,937</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48,364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201,896</w:t>
            </w:r>
          </w:p>
        </w:tc>
      </w:tr>
      <w:tr>
        <w:trPr>
          <w:trHeight w:val="167"/>
        </w:trPr>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$460,071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$1,789,988</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$352,115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$2,602,174</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Earnings before interest and</w:t>
            </w: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taxes(a)</w:t>
            </w:r>
          </w:p>
        </w:tc>
        <w:tc>
          <w:tcPr>
            <w:tcW w:w="1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(40,859)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187,619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(25,492)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121,268</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99" w:hanging="431"/>
        <w:spacing w:after="0" w:line="253"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(See Note 3.) EBIT is defined as income (loss) from operations excluding merger and acquisition related costs, asset impairments and unusual items, and income from continuing operations held for sale, net of minority interest.</w:t>
      </w:r>
    </w:p>
    <w:p>
      <w:pPr>
        <w:spacing w:after="0" w:line="16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The Company has classified as current operations held for sale its WM International operations and certain domestic operations, which management believes will be divested prior to December 31, 2000. The Company has classified as non-current operations held for sale certain NASW operations which the Company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159"/>
          </w:cols>
          <w:pgMar w:left="300" w:top="286"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107</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has committed to sell to Allied Waste Industries, Inc. ("Allied") in connection with the Company's purchase of certain of Allied's operations, as well as the Company's surplus real estate portfolio.</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NORTH AMERICAN</w:t>
            </w:r>
          </w:p>
        </w:tc>
        <w:tc>
          <w:tcPr>
            <w:tcW w:w="14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WM</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NON-SOLID</w:t>
            </w:r>
          </w:p>
        </w:tc>
        <w:tc>
          <w:tcPr>
            <w:tcW w:w="116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SOLID WASTE</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INTERNATIONAL</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WASTE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40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As of December 31, 1999:</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Receivables, net....................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36,506</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364,552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$ 32,550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433,608</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14,311</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208,842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14,990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238,143</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Property and equipment and other</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non-current assets...............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737,072</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2,271,611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108,400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3,117,083</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Current maturities of long-term</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debt.............................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(2,339)</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(51,817)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(54,156)</w:t>
            </w: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current liabilities...........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(23,854)</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(481,617)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(62,267)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(567,738)</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Long-term debt, less current</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maturities.......................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(57,871)</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(212,629)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(270,500)</w:t>
            </w: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noncurrent liabilities........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(37,814)</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(347,264)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(13,166)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(398,244)</w:t>
            </w: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Minority interest...................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(117,676)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(121,381)</w:t>
            </w:r>
          </w:p>
        </w:tc>
      </w:tr>
      <w:tr>
        <w:trPr>
          <w:trHeight w:val="167"/>
        </w:trPr>
        <w:tc>
          <w:tcPr>
            <w:tcW w:w="340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880"/>
              <w:spacing w:after="0"/>
              <w:rPr>
                <w:sz w:val="20"/>
                <w:szCs w:val="20"/>
                <w:color w:val="auto"/>
              </w:rPr>
            </w:pPr>
            <w:r>
              <w:rPr>
                <w:rFonts w:ascii="Courier New" w:cs="Courier New" w:eastAsia="Courier New" w:hAnsi="Courier New"/>
                <w:sz w:val="14"/>
                <w:szCs w:val="14"/>
                <w:color w:val="auto"/>
              </w:rPr>
              <w:t>Net operations held for</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sale......................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$ 666,011</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$ 1,634,002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$ 76,802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$ 2,376,815</w:t>
            </w:r>
          </w:p>
        </w:tc>
      </w:tr>
      <w:tr>
        <w:trPr>
          <w:trHeight w:val="167"/>
        </w:trPr>
        <w:tc>
          <w:tcPr>
            <w:tcW w:w="340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Operations held for sale............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$ 534,557</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$ 2,845,005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$155,940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$ 3,535,502</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Long-term assets: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Operations held for sale (included</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 other assets).................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253,331</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253,331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Operations held for sale............</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(118,079)</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(1,211,003)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(79,138)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(1,408,220)</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Long-term liabilities:</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Operations held for sale (included</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 other liabilities)............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(3,798)</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(3,798)</w:t>
            </w:r>
          </w:p>
        </w:tc>
      </w:tr>
      <w:tr>
        <w:trPr>
          <w:trHeight w:val="167"/>
        </w:trPr>
        <w:tc>
          <w:tcPr>
            <w:tcW w:w="340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ind w:left="880"/>
              <w:spacing w:after="0"/>
              <w:rPr>
                <w:sz w:val="20"/>
                <w:szCs w:val="20"/>
                <w:color w:val="auto"/>
              </w:rPr>
            </w:pPr>
            <w:r>
              <w:rPr>
                <w:rFonts w:ascii="Courier New" w:cs="Courier New" w:eastAsia="Courier New" w:hAnsi="Courier New"/>
                <w:sz w:val="14"/>
                <w:szCs w:val="14"/>
                <w:color w:val="auto"/>
              </w:rPr>
              <w:t>Net operations held for</w:t>
            </w: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3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sale......................</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$ 666,011</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$ 1,634,002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$ 76,802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$ 2,376,815</w:t>
            </w:r>
          </w:p>
        </w:tc>
      </w:tr>
      <w:tr>
        <w:trPr>
          <w:trHeight w:val="167"/>
        </w:trPr>
        <w:tc>
          <w:tcPr>
            <w:tcW w:w="340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At December 31, 1998, the Company planned to dispose of certain assets to comply with governmental orders related to the WM Holdings Merger and Eastern Merger and certain other assets as a result of implementing the business strategy related to the WM Holdings Merger and thus, classified these assets as current assets held for sale. These operations are set forth in the table below. These businesses' results of operations are fully included in revenues and expenses in the 1998 statement of operations and generated third-party operating revenues of approximately $372.6 million and earnings before interest and taxes of approximately $20.6 million in 1998. As discussed in Notes 4 and 15, the Company recorded charges to write these assets down to fair value, less costs to sell.</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159"/>
          </w:cols>
          <w:pgMar w:left="300" w:top="286"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108</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Information regarding the businesses classified as operations held for sale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as of December 31, 1998 (in thousands):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1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NORTH AMERICAN</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NON-SOLID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SOLID WASTE</w:t>
            </w:r>
          </w:p>
        </w:tc>
        <w:tc>
          <w:tcPr>
            <w:tcW w:w="8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WASTE</w:t>
            </w:r>
          </w:p>
        </w:tc>
        <w:tc>
          <w:tcPr>
            <w:tcW w:w="1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Receivables, net..................................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1,056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Property and equipment and other non current</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assets..........................................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734,359</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120,998</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855,357</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Other current liabilities.........................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(51,728)</w:t>
            </w:r>
          </w:p>
        </w:tc>
        <w:tc>
          <w:tcPr>
            <w:tcW w:w="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(7,530)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(59,258)</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less current maturities...........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(50,550)</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(50,550)</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Net operations held for sale......................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$ 633,137</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$113,468</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$ 746,605</w:t>
            </w:r>
          </w:p>
        </w:tc>
      </w:tr>
      <w:tr>
        <w:trPr>
          <w:trHeight w:val="167"/>
        </w:trPr>
        <w:tc>
          <w:tcPr>
            <w:tcW w:w="1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Operations held for sale........................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$ 735,415</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$120,998</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$ 856,413</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Operations held for sale........................</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(102,278)</w:t>
            </w:r>
          </w:p>
        </w:tc>
        <w:tc>
          <w:tcPr>
            <w:tcW w:w="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(7,530)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(109,808)</w:t>
            </w:r>
          </w:p>
        </w:tc>
      </w:tr>
      <w:tr>
        <w:trPr>
          <w:trHeight w:val="167"/>
        </w:trPr>
        <w:tc>
          <w:tcPr>
            <w:tcW w:w="1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Net operations held for sale............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$ 633,137</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$113,468</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$ 746,605</w:t>
            </w:r>
          </w:p>
        </w:tc>
      </w:tr>
      <w:tr>
        <w:trPr>
          <w:trHeight w:val="167"/>
        </w:trPr>
        <w:tc>
          <w:tcPr>
            <w:tcW w:w="1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6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At the beginning of 1997, management classified as discontinued</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and planned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to sell Rust International Inc.'s ("Rust") domestic environmental and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infrastructure engineering and consulting business and Chemical Waste</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Management, Inc.'s ("CWM") high organic waste fuel blending services</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business.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080" w:type="dxa"/>
            <w:vAlign w:val="bottom"/>
            <w:gridSpan w:val="4"/>
          </w:tcPr>
          <w:p>
            <w:pPr>
              <w:spacing w:after="0"/>
              <w:rPr>
                <w:sz w:val="20"/>
                <w:szCs w:val="20"/>
                <w:color w:val="auto"/>
              </w:rPr>
            </w:pPr>
            <w:r>
              <w:rPr>
                <w:rFonts w:ascii="Courier New" w:cs="Courier New" w:eastAsia="Courier New" w:hAnsi="Courier New"/>
                <w:sz w:val="14"/>
                <w:szCs w:val="14"/>
                <w:color w:val="auto"/>
              </w:rPr>
              <w:t>At the end of 1997, management reclassified the CWM business back into</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0" w:type="dxa"/>
            <w:vAlign w:val="bottom"/>
            <w:gridSpan w:val="5"/>
          </w:tcPr>
          <w:p>
            <w:pPr>
              <w:spacing w:after="0"/>
              <w:rPr>
                <w:sz w:val="20"/>
                <w:szCs w:val="20"/>
                <w:color w:val="auto"/>
              </w:rPr>
            </w:pPr>
            <w:r>
              <w:rPr>
                <w:rFonts w:ascii="Courier New" w:cs="Courier New" w:eastAsia="Courier New" w:hAnsi="Courier New"/>
                <w:sz w:val="14"/>
                <w:szCs w:val="14"/>
                <w:color w:val="auto"/>
              </w:rPr>
              <w:t>continuing operations, and classified certain of its sites as operations held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0" w:type="dxa"/>
            <w:vAlign w:val="bottom"/>
            <w:gridSpan w:val="5"/>
          </w:tcPr>
          <w:p>
            <w:pPr>
              <w:spacing w:after="0"/>
              <w:rPr>
                <w:sz w:val="20"/>
                <w:szCs w:val="20"/>
                <w:color w:val="auto"/>
              </w:rPr>
            </w:pPr>
            <w:r>
              <w:rPr>
                <w:rFonts w:ascii="Courier New" w:cs="Courier New" w:eastAsia="Courier New" w:hAnsi="Courier New"/>
                <w:sz w:val="14"/>
                <w:szCs w:val="14"/>
                <w:color w:val="auto"/>
              </w:rPr>
              <w:t>for sale. The Rust dispositions were not completed within one year, and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accordingly, these businesses were reclassified back into continuing</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operations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held for sale, at December 31, 1997, though management continued its</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efforts to</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080" w:type="dxa"/>
            <w:vAlign w:val="bottom"/>
            <w:gridSpan w:val="4"/>
          </w:tcPr>
          <w:p>
            <w:pPr>
              <w:spacing w:after="0"/>
              <w:rPr>
                <w:sz w:val="20"/>
                <w:szCs w:val="20"/>
                <w:color w:val="auto"/>
              </w:rPr>
            </w:pPr>
            <w:r>
              <w:rPr>
                <w:rFonts w:ascii="Courier New" w:cs="Courier New" w:eastAsia="Courier New" w:hAnsi="Courier New"/>
                <w:sz w:val="14"/>
                <w:szCs w:val="14"/>
                <w:color w:val="auto"/>
              </w:rPr>
              <w:t>market these businesses. Because these businesses were reclassified to</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0" w:type="dxa"/>
            <w:vAlign w:val="bottom"/>
            <w:gridSpan w:val="5"/>
          </w:tcPr>
          <w:p>
            <w:pPr>
              <w:spacing w:after="0"/>
              <w:rPr>
                <w:sz w:val="20"/>
                <w:szCs w:val="20"/>
                <w:color w:val="auto"/>
              </w:rPr>
            </w:pPr>
            <w:r>
              <w:rPr>
                <w:rFonts w:ascii="Courier New" w:cs="Courier New" w:eastAsia="Courier New" w:hAnsi="Courier New"/>
                <w:sz w:val="14"/>
                <w:szCs w:val="14"/>
                <w:color w:val="auto"/>
              </w:rPr>
              <w:t>continuing operations, the remaining provision for loss on disposal ($95.0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million after tax --</w:t>
            </w:r>
          </w:p>
        </w:tc>
        <w:tc>
          <w:tcPr>
            <w:tcW w:w="516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$87.0 million related to Rust and $8.0 million related to</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CWM) was reversed in discontinued operations and an impairment loss for Rust of $122.2 million was recorded in continuing operations in the fourth quarter of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SELECTED QUARTERLY FINANCIAL DATA, UNAUDITED</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Company's independent public accountants' report on these financial statements indicates that they do not believe that the Company's internal controls for the preparation of interim financial information were sufficient to provide them an adequate basis to complete a review in accordance with standards established by the American Institute of Certified Public Accountants of the selected 1999 quarterly financial data, set forth below. See Note 2.</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159"/>
          </w:cols>
          <w:pgMar w:left="300" w:top="286"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109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gridSpan w:val="2"/>
          </w:tcPr>
          <w:p>
            <w:pPr>
              <w:ind w:left="2520"/>
              <w:spacing w:after="0"/>
              <w:rPr>
                <w:sz w:val="20"/>
                <w:szCs w:val="20"/>
                <w:color w:val="auto"/>
              </w:rPr>
            </w:pPr>
            <w:r>
              <w:rPr>
                <w:rFonts w:ascii="Courier New" w:cs="Courier New" w:eastAsia="Courier New" w:hAnsi="Courier New"/>
                <w:sz w:val="14"/>
                <w:szCs w:val="14"/>
                <w:color w:val="auto"/>
              </w:rPr>
              <w:t>WASTE MANAGEMENT, INC.</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460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218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 (CONTINUED)</w:t>
            </w:r>
          </w:p>
        </w:tc>
        <w:tc>
          <w:tcPr>
            <w:tcW w:w="1040" w:type="dxa"/>
            <w:vAlign w:val="bottom"/>
          </w:tcPr>
          <w:p>
            <w:pPr>
              <w:spacing w:after="0"/>
              <w:rPr>
                <w:sz w:val="24"/>
                <w:szCs w:val="24"/>
                <w:color w:val="auto"/>
              </w:rPr>
            </w:pPr>
          </w:p>
        </w:tc>
      </w:tr>
      <w:tr>
        <w:trPr>
          <w:trHeight w:val="334"/>
        </w:trPr>
        <w:tc>
          <w:tcPr>
            <w:tcW w:w="67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The following table summarizes the unaudited quarterly results of</w:t>
            </w:r>
          </w:p>
        </w:tc>
        <w:tc>
          <w:tcPr>
            <w:tcW w:w="1040" w:type="dxa"/>
            <w:vAlign w:val="bottom"/>
          </w:tcPr>
          <w:p>
            <w:pPr>
              <w:spacing w:after="0"/>
              <w:rPr>
                <w:sz w:val="24"/>
                <w:szCs w:val="24"/>
                <w:color w:val="auto"/>
              </w:rPr>
            </w:pPr>
          </w:p>
        </w:tc>
      </w:tr>
      <w:tr>
        <w:trPr>
          <w:trHeight w:val="167"/>
        </w:trPr>
        <w:tc>
          <w:tcPr>
            <w:tcW w:w="6780" w:type="dxa"/>
            <w:vAlign w:val="bottom"/>
            <w:gridSpan w:val="6"/>
          </w:tcPr>
          <w:p>
            <w:pPr>
              <w:spacing w:after="0"/>
              <w:rPr>
                <w:sz w:val="20"/>
                <w:szCs w:val="20"/>
                <w:color w:val="auto"/>
              </w:rPr>
            </w:pPr>
            <w:r>
              <w:rPr>
                <w:rFonts w:ascii="Courier New" w:cs="Courier New" w:eastAsia="Courier New" w:hAnsi="Courier New"/>
                <w:sz w:val="14"/>
                <w:szCs w:val="14"/>
                <w:color w:val="auto"/>
              </w:rPr>
              <w:t>operations for 1999 and 1998 (in thousands, except per share amounts):</w:t>
            </w:r>
          </w:p>
        </w:tc>
        <w:tc>
          <w:tcPr>
            <w:tcW w:w="1040" w:type="dxa"/>
            <w:vAlign w:val="bottom"/>
          </w:tcPr>
          <w:p>
            <w:pPr>
              <w:spacing w:after="0"/>
              <w:rPr>
                <w:sz w:val="14"/>
                <w:szCs w:val="14"/>
                <w:color w:val="auto"/>
              </w:rPr>
            </w:pPr>
          </w:p>
        </w:tc>
      </w:tr>
      <w:tr>
        <w:trPr>
          <w:trHeight w:val="668"/>
        </w:trPr>
        <w:tc>
          <w:tcPr>
            <w:tcW w:w="3300" w:type="dxa"/>
            <w:vAlign w:val="bottom"/>
          </w:tcPr>
          <w:p>
            <w:pPr>
              <w:spacing w:after="0"/>
              <w:rPr>
                <w:sz w:val="24"/>
                <w:szCs w:val="2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FIRST</w:t>
            </w:r>
          </w:p>
        </w:tc>
        <w:tc>
          <w:tcPr>
            <w:tcW w:w="120" w:type="dxa"/>
            <w:vAlign w:val="bottom"/>
          </w:tcPr>
          <w:p>
            <w:pPr>
              <w:spacing w:after="0"/>
              <w:rPr>
                <w:sz w:val="24"/>
                <w:szCs w:val="2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SECOND</w:t>
            </w:r>
          </w:p>
        </w:tc>
        <w:tc>
          <w:tcPr>
            <w:tcW w:w="22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THIRD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FOURTH</w:t>
            </w:r>
          </w:p>
        </w:tc>
      </w:tr>
      <w:tr>
        <w:trPr>
          <w:trHeight w:val="167"/>
        </w:trPr>
        <w:tc>
          <w:tcPr>
            <w:tcW w:w="330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QUARTER</w:t>
            </w:r>
          </w:p>
        </w:tc>
        <w:tc>
          <w:tcPr>
            <w:tcW w:w="2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QUARTER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w:t>
            </w:r>
          </w:p>
        </w:tc>
      </w:tr>
      <w:tr>
        <w:trPr>
          <w:trHeight w:val="167"/>
        </w:trPr>
        <w:tc>
          <w:tcPr>
            <w:tcW w:w="33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Operating revenues..............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$3,070,635</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$3,324,775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3,395,052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$3,336,458</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Operating income (loss).........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760,098</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715,484</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(1,119,298)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183,670</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Income (loss) from continuing</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operations....................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346,688</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318,262</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(947,773)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(112,228)</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346,688</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318,262</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(947,773)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(114,741)</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Earnings (loss) from continuing</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operations per common share: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0.57</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0.52</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(0.18)</w:t>
            </w: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0.55</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(0.18)</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Earnings (loss) per common</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share: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0.57</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0.52</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0.55</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33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Operating revenues..............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$2,939,533</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$3,215,931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3,237,701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$3,232,604</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Operating income (loss).........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452,248</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569,247</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(1,545,744)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363,860</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Income (loss) from continuing</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operations....................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181,416</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246,770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(1,258,473)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63,485</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181,416</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242,870</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(1,258,473)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63,485</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Earnings (loss) from continuing</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operations per common share: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0.32</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0.43</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0.31</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Earnings (loss) per common</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share: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Basic.........................</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0.32</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0.42</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Diluted.......................</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0.31</w:t>
            </w:r>
          </w:p>
        </w:tc>
        <w:tc>
          <w:tcPr>
            <w:tcW w:w="1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0.41</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0.10</w:t>
            </w:r>
          </w:p>
        </w:tc>
      </w:tr>
    </w:tbl>
    <w:p>
      <w:pPr>
        <w:spacing w:after="0" w:line="338"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Basic and diluted earnings per common share for each of the quarters presented above is based on the respective weighted average number of common and dilutive potential common shares outstanding for each period and the sum of the quarters may not necessarily be equal to the full year basic and diluted earnings per common share amounts. For certain periods presented, the effect of the Company's common stock options and warrants and the effect of the Company's convertible subordinated notes and debentures are excluded from the diluted earnings per share calculations since inclusion of such items would be antidilutive for that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CONDENSED CONSOLIDATING FINANCIAL STATEMENTS</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WM Holdings ("Guarantor"), a wholly-owned subsidiary of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 Accordingly, the following condensed consolidating balance sheets as of December 31, 1999 and 1998 and the related condensed consolidating statements of operations for 1999, 1998, and 1997, along with the related statements of cash flows, have been provided below (in thousands).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159"/>
          </w:cols>
          <w:pgMar w:left="300" w:top="286"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2"/>
        </w:trPr>
        <w:tc>
          <w:tcPr>
            <w:tcW w:w="270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110</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WASTE MANAGEMENT,</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4600" w:type="dxa"/>
            <w:vAlign w:val="bottom"/>
            <w:gridSpan w:val="5"/>
          </w:tcPr>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20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 (CONTINUED)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5260" w:type="dxa"/>
            <w:vAlign w:val="bottom"/>
            <w:gridSpan w:val="6"/>
          </w:tcPr>
          <w:p>
            <w:pPr>
              <w:jc w:val="center"/>
              <w:ind w:left="1548"/>
              <w:spacing w:after="0"/>
              <w:rPr>
                <w:sz w:val="20"/>
                <w:szCs w:val="20"/>
                <w:color w:val="auto"/>
              </w:rPr>
            </w:pPr>
            <w:r>
              <w:rPr>
                <w:rFonts w:ascii="Courier New" w:cs="Courier New" w:eastAsia="Courier New" w:hAnsi="Courier New"/>
                <w:sz w:val="14"/>
                <w:szCs w:val="14"/>
                <w:color w:val="auto"/>
              </w:rPr>
              <w:t>CONDENSED CONSOLIDATING BALANCE SHEET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2700" w:type="dxa"/>
            <w:vAlign w:val="bottom"/>
          </w:tcPr>
          <w:p>
            <w:pPr>
              <w:spacing w:after="0"/>
              <w:rPr>
                <w:sz w:val="14"/>
                <w:szCs w:val="14"/>
                <w:color w:val="auto"/>
              </w:rPr>
            </w:pPr>
          </w:p>
        </w:tc>
        <w:tc>
          <w:tcPr>
            <w:tcW w:w="16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DECEMBER 31, 1999</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68"/>
        </w:trPr>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PARENT</w:t>
            </w:r>
          </w:p>
        </w:tc>
        <w:tc>
          <w:tcPr>
            <w:tcW w:w="12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GUARANTOR</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NON-GUARANTOR</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ELIMINATIONS</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CONSOLIDATION</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33,690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4,496</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143,171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181,357</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Other current assets...........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36,604</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6,002,584</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6,039,188</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33,690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41,100</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6,145,755</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6,220,545</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Property and equipment, net......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10,303,803</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10,303,803</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Intercompany and investment in</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subsidiaries...................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11,367,467</w:t>
            </w:r>
          </w:p>
        </w:tc>
        <w:tc>
          <w:tcPr>
            <w:tcW w:w="30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5,939,729</w:t>
            </w:r>
          </w:p>
        </w:tc>
        <w:tc>
          <w:tcPr>
            <w:tcW w:w="2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(13,139,748)</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(4,167,448)</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Other assets.....................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27,004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9,795</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6,120,277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6,157,076</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$11,428,161</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$5,990,624</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9,430,087</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$(4,167,448)</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$22,681,424</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LIABILITIES</w:t>
            </w:r>
          </w:p>
        </w:tc>
        <w:tc>
          <w:tcPr>
            <w:tcW w:w="2600" w:type="dxa"/>
            <w:vAlign w:val="bottom"/>
            <w:gridSpan w:val="5"/>
          </w:tcPr>
          <w:p>
            <w:pPr>
              <w:jc w:val="right"/>
              <w:ind w:right="388"/>
              <w:spacing w:after="0"/>
              <w:rPr>
                <w:sz w:val="20"/>
                <w:szCs w:val="20"/>
                <w:color w:val="auto"/>
              </w:rPr>
            </w:pPr>
            <w:r>
              <w:rPr>
                <w:rFonts w:ascii="Courier New" w:cs="Courier New" w:eastAsia="Courier New" w:hAnsi="Courier New"/>
                <w:sz w:val="14"/>
                <w:szCs w:val="14"/>
                <w:color w:val="auto"/>
              </w:rPr>
              <w:t>AND STOCKHOLDERS' EQUITY</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Current maturities of long-term</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debt........................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$ 2,271,899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250,000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576,843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$ 3,098,742</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other</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accrued liabilities.........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100,978</w:t>
            </w:r>
          </w:p>
        </w:tc>
        <w:tc>
          <w:tcPr>
            <w:tcW w:w="30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325,644</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3,964,091</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4,390,713</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2,372,877</w:t>
            </w:r>
          </w:p>
        </w:tc>
        <w:tc>
          <w:tcPr>
            <w:tcW w:w="30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575,644</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4,540,934</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7,489,455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maturities.....................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3,953,932</w:t>
            </w:r>
          </w:p>
        </w:tc>
        <w:tc>
          <w:tcPr>
            <w:tcW w:w="30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3,507,853</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937,561</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8,399,346</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Other liabilities................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2,382,337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2,382,337</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Total liabilities......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6,326,809</w:t>
            </w:r>
          </w:p>
        </w:tc>
        <w:tc>
          <w:tcPr>
            <w:tcW w:w="30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4,083,497</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7,860,832</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18,271,138</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Minority interest in</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subsidiaries...................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7,674</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7,674</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Stockholders' equity.............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5,101,352</w:t>
            </w:r>
          </w:p>
        </w:tc>
        <w:tc>
          <w:tcPr>
            <w:tcW w:w="30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1,907,127</w:t>
            </w:r>
          </w:p>
        </w:tc>
        <w:tc>
          <w:tcPr>
            <w:tcW w:w="2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1,561,581</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(4,167,448)</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4,402,612</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 and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700" w:type="dxa"/>
            <w:vAlign w:val="bottom"/>
          </w:tcPr>
          <w:p>
            <w:pPr>
              <w:ind w:left="1060"/>
              <w:spacing w:after="0"/>
              <w:rPr>
                <w:sz w:val="20"/>
                <w:szCs w:val="20"/>
                <w:color w:val="auto"/>
              </w:rPr>
            </w:pPr>
            <w:r>
              <w:rPr>
                <w:rFonts w:ascii="Courier New" w:cs="Courier New" w:eastAsia="Courier New" w:hAnsi="Courier New"/>
                <w:sz w:val="14"/>
                <w:szCs w:val="14"/>
                <w:color w:val="auto"/>
              </w:rPr>
              <w:t>stockholders'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equity...............</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$11,428,161</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$5,990,624</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9,430,087</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$(4,167,448)</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$22,681,424</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111</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WASTE MANAGEMENT,</w:t>
            </w:r>
          </w:p>
        </w:tc>
        <w:tc>
          <w:tcPr>
            <w:tcW w:w="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4600" w:type="dxa"/>
            <w:vAlign w:val="bottom"/>
            <w:gridSpan w:val="5"/>
          </w:tcPr>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20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 (CONTINUED)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5300" w:type="dxa"/>
            <w:vAlign w:val="bottom"/>
            <w:gridSpan w:val="6"/>
          </w:tcPr>
          <w:p>
            <w:pPr>
              <w:jc w:val="center"/>
              <w:ind w:left="1508"/>
              <w:spacing w:after="0"/>
              <w:rPr>
                <w:sz w:val="20"/>
                <w:szCs w:val="20"/>
                <w:color w:val="auto"/>
              </w:rPr>
            </w:pPr>
            <w:r>
              <w:rPr>
                <w:rFonts w:ascii="Courier New" w:cs="Courier New" w:eastAsia="Courier New" w:hAnsi="Courier New"/>
                <w:sz w:val="14"/>
                <w:szCs w:val="14"/>
                <w:color w:val="auto"/>
              </w:rPr>
              <w:t>CONDENSED CONSOLIDATING BALANCE SHEET</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2700" w:type="dxa"/>
            <w:vAlign w:val="bottom"/>
          </w:tcPr>
          <w:p>
            <w:pPr>
              <w:spacing w:after="0"/>
              <w:rPr>
                <w:sz w:val="14"/>
                <w:szCs w:val="14"/>
                <w:color w:val="auto"/>
              </w:rPr>
            </w:pPr>
          </w:p>
        </w:tc>
        <w:tc>
          <w:tcPr>
            <w:tcW w:w="16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DECEMBER 31, 1998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68"/>
        </w:trPr>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PARENT</w:t>
            </w:r>
          </w:p>
        </w:tc>
        <w:tc>
          <w:tcPr>
            <w:tcW w:w="12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GUARANTOR</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NON-GUARANTOR</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ELIMINATIONS</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CONSOLIDATION</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27,726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(48,578)</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107,725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86,873</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Other current assets...........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8,220</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3,896,112</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3,904,332</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27,726</w:t>
            </w:r>
          </w:p>
        </w:tc>
        <w:tc>
          <w:tcPr>
            <w:tcW w:w="300" w:type="dxa"/>
            <w:vAlign w:val="bottom"/>
          </w:tcPr>
          <w:p>
            <w:pPr>
              <w:spacing w:after="0"/>
              <w:rPr>
                <w:sz w:val="14"/>
                <w:szCs w:val="14"/>
                <w:color w:val="auto"/>
              </w:rPr>
            </w:pP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(40,358)</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4,003,837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3,991,205</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Property and equipment, net......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11,625,657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11,625,657</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Intercompany and investment in</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subsidiaries...................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10,373,056</w:t>
            </w:r>
          </w:p>
        </w:tc>
        <w:tc>
          <w:tcPr>
            <w:tcW w:w="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6,271,497</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(12,371,573)</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(4,272,980)</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Other assets.....................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21,071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14,797</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7,229,434</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7,265,302</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$10,421,853</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$6,245,936</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$ 10,487,355</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$(4,272,980)</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$22,882,164</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LIABILITIES</w:t>
            </w:r>
          </w:p>
        </w:tc>
        <w:tc>
          <w:tcPr>
            <w:tcW w:w="26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AND STOCKHOLDERS' EQUITY</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Current maturities of long-term</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debt........................</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350,000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247,742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597,742</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other</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accrued liabilities.........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63,547</w:t>
            </w:r>
          </w:p>
        </w:tc>
        <w:tc>
          <w:tcPr>
            <w:tcW w:w="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231,529</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3,510,656</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3,805,732</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63,547</w:t>
            </w:r>
          </w:p>
        </w:tc>
        <w:tc>
          <w:tcPr>
            <w:tcW w:w="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581,529</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3,758,398</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4,403,474</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maturities.....................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5,197,013</w:t>
            </w:r>
          </w:p>
        </w:tc>
        <w:tc>
          <w:tcPr>
            <w:tcW w:w="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3,786,935</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2,150,671</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11,134,619</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Other liabilities................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2,859,499</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2,859,499</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Total liabilities......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5,260,560</w:t>
            </w:r>
          </w:p>
        </w:tc>
        <w:tc>
          <w:tcPr>
            <w:tcW w:w="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4,368,464</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8,768,568</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18,397,592</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Minority interest in</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subsidiaries...................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112,076</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112,076</w:t>
            </w:r>
          </w:p>
        </w:tc>
      </w:tr>
      <w:tr>
        <w:trPr>
          <w:trHeight w:val="167"/>
        </w:trPr>
        <w:tc>
          <w:tcPr>
            <w:tcW w:w="3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Stockholders' equity.............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5,161,293</w:t>
            </w:r>
          </w:p>
        </w:tc>
        <w:tc>
          <w:tcPr>
            <w:tcW w:w="3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1,877,472</w:t>
            </w:r>
          </w:p>
        </w:tc>
        <w:tc>
          <w:tcPr>
            <w:tcW w:w="1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1,606,711</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(4,272,980)</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4,372,496</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 and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700" w:type="dxa"/>
            <w:vAlign w:val="bottom"/>
          </w:tcPr>
          <w:p>
            <w:pPr>
              <w:ind w:left="1060"/>
              <w:spacing w:after="0"/>
              <w:rPr>
                <w:sz w:val="20"/>
                <w:szCs w:val="20"/>
                <w:color w:val="auto"/>
              </w:rPr>
            </w:pPr>
            <w:r>
              <w:rPr>
                <w:rFonts w:ascii="Courier New" w:cs="Courier New" w:eastAsia="Courier New" w:hAnsi="Courier New"/>
                <w:sz w:val="14"/>
                <w:szCs w:val="14"/>
                <w:color w:val="auto"/>
              </w:rPr>
              <w:t>stockholders'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equity...............</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$10,421,853</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$6,245,936</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$ 10,487,355</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$(4,272,980)</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$22,882,164</w:t>
            </w:r>
          </w:p>
        </w:tc>
      </w:tr>
      <w:tr>
        <w:trPr>
          <w:trHeight w:val="167"/>
        </w:trPr>
        <w:tc>
          <w:tcPr>
            <w:tcW w:w="27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112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2400" w:type="dxa"/>
            <w:vAlign w:val="bottom"/>
            <w:gridSpan w:val="4"/>
          </w:tcPr>
          <w:p>
            <w:pPr>
              <w:jc w:val="right"/>
              <w:ind w:right="408"/>
              <w:spacing w:after="0"/>
              <w:rPr>
                <w:sz w:val="20"/>
                <w:szCs w:val="20"/>
                <w:color w:val="auto"/>
              </w:rPr>
            </w:pPr>
            <w:r>
              <w:rPr>
                <w:rFonts w:ascii="Courier New" w:cs="Courier New" w:eastAsia="Courier New" w:hAnsi="Courier New"/>
                <w:sz w:val="14"/>
                <w:szCs w:val="14"/>
                <w:color w:val="auto"/>
              </w:rPr>
              <w:t>WASTE MANAGEMENT, INC.</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49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(CONTINUED)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6220" w:type="dxa"/>
            <w:vAlign w:val="bottom"/>
            <w:gridSpan w:val="7"/>
          </w:tcPr>
          <w:p>
            <w:pPr>
              <w:jc w:val="right"/>
              <w:ind w:right="668"/>
              <w:spacing w:after="0"/>
              <w:rPr>
                <w:sz w:val="20"/>
                <w:szCs w:val="20"/>
                <w:color w:val="auto"/>
              </w:rPr>
            </w:pPr>
            <w:r>
              <w:rPr>
                <w:rFonts w:ascii="Courier New" w:cs="Courier New" w:eastAsia="Courier New" w:hAnsi="Courier New"/>
                <w:sz w:val="14"/>
                <w:szCs w:val="14"/>
                <w:color w:val="auto"/>
              </w:rPr>
              <w:t>CONDENSED CONSOLIDATING STATEMENT OF OPERATIONS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92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YEAR ENDED DECEMBER 31, 1999</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PARENT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GUARANTOR</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NON-GUARANTOR</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ELIMINATIONS</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CONSOLIDATION</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w w:val="95"/>
              </w:rPr>
              <w:t>Operating revenues.............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$13,126,920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$13,126,920</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Costs and expenses.............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12,586,966</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12,586,966</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Income from operations.........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539,954</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539,954</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 (expense),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net.......................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(417,157)</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(269,038)</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(44,963)</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(731,158)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Equity in subsidiaries, net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of taxes..................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(136,841)</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31,308</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105,533</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Minority interest............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(24,181)</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(24,181)</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Other, net...................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52,653</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52,653</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(533,998)</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(237,730)</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(16,491)</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105,533</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(702,686)</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 income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taxes........................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(553,998)</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(237,730)</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523,463</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105,533</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(162,732)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Provision for (benefit from)</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income taxes.................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(156,434)</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(100,889)</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489,642</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232,319</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Loss from operations...........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(397,564)</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(136,841)</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33,821</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105,533</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(395,051)</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Extraordinary item.............</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(2,513)</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(2,513)</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w w:val="91"/>
              </w:rPr>
              <w:t>Net income (loss)....</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$(397,564)</w:t>
            </w:r>
          </w:p>
        </w:tc>
        <w:tc>
          <w:tcPr>
            <w:tcW w:w="11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$(136,841)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31,308</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$105,533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(397,564)</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6220" w:type="dxa"/>
            <w:vAlign w:val="bottom"/>
            <w:gridSpan w:val="7"/>
          </w:tcPr>
          <w:p>
            <w:pPr>
              <w:jc w:val="right"/>
              <w:ind w:right="668"/>
              <w:spacing w:after="0"/>
              <w:rPr>
                <w:sz w:val="20"/>
                <w:szCs w:val="20"/>
                <w:color w:val="auto"/>
              </w:rPr>
            </w:pPr>
            <w:r>
              <w:rPr>
                <w:rFonts w:ascii="Courier New" w:cs="Courier New" w:eastAsia="Courier New" w:hAnsi="Courier New"/>
                <w:sz w:val="14"/>
                <w:szCs w:val="14"/>
                <w:color w:val="auto"/>
              </w:rPr>
              <w:t>CONDENSED CONSOLIDATING STATEMENT OF OPERATIONS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92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YEAR ENDED DECEMBER 31, 1998</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PARENT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GUARANTOR</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NON-GUARANTOR</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ELIMINATIONS</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CONSOLIDATION</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w w:val="95"/>
              </w:rPr>
              <w:t>Operating revenues.............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$12,625,769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$12,625,769</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Costs and expenses.............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12,786,158</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12,786,158</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Income from operations.........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(160,389)</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(160,389)</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 (expense),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net.......................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(230,925)</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(307,591)</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(116,112)</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(654,628)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Equity in subsidiaries, net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of taxes..................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(626,374)</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(434,130)</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1,060,504</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Minority interest............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(24,254)</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(24,254)</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Other, net...................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139,392</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139,392</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(857,299)</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(741,721)</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(974)</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1,060,504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(539,490)</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 income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taxes........................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(857,299)</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(741,721)</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(161,363)</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1,060,504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(699,879)</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Provision for (benefit from)</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income</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taxes........................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(86,597)</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(115,347)</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268,867</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66,923</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Loss from operations...........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(770,702)</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(626,374)</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(430,230)</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1,060,504</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(766,802)</w:t>
            </w:r>
          </w:p>
        </w:tc>
      </w:tr>
      <w:tr>
        <w:trPr>
          <w:trHeight w:val="167"/>
        </w:trPr>
        <w:tc>
          <w:tcPr>
            <w:tcW w:w="2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Extraordinary item.............</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(3,900)</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(3,900)</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w w:val="91"/>
              </w:rPr>
              <w:t>Net income (loss)....</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$(770,702)</w:t>
            </w:r>
          </w:p>
        </w:tc>
        <w:tc>
          <w:tcPr>
            <w:tcW w:w="11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$(626,374)</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(434,130)</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$1,060,504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(770,702)</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113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gridSpan w:val="5"/>
          </w:tcPr>
          <w:p>
            <w:pPr>
              <w:ind w:left="2520"/>
              <w:spacing w:after="0"/>
              <w:rPr>
                <w:sz w:val="20"/>
                <w:szCs w:val="20"/>
                <w:color w:val="auto"/>
              </w:rPr>
            </w:pPr>
            <w:r>
              <w:rPr>
                <w:rFonts w:ascii="Courier New" w:cs="Courier New" w:eastAsia="Courier New" w:hAnsi="Courier New"/>
                <w:sz w:val="14"/>
                <w:szCs w:val="14"/>
                <w:color w:val="auto"/>
              </w:rPr>
              <w:t>WASTE MANAGEMENT, INC.</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4"/>
        </w:trPr>
        <w:tc>
          <w:tcPr>
            <w:tcW w:w="4920" w:type="dxa"/>
            <w:vAlign w:val="bottom"/>
            <w:gridSpan w:val="5"/>
          </w:tcPr>
          <w:p>
            <w:pPr>
              <w:ind w:left="960"/>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1820" w:type="dxa"/>
            <w:vAlign w:val="bottom"/>
            <w:gridSpan w:val="2"/>
          </w:tcPr>
          <w:p>
            <w:pPr>
              <w:jc w:val="right"/>
              <w:ind w:right="768"/>
              <w:spacing w:after="0"/>
              <w:rPr>
                <w:sz w:val="20"/>
                <w:szCs w:val="20"/>
                <w:color w:val="auto"/>
              </w:rPr>
            </w:pPr>
            <w:r>
              <w:rPr>
                <w:rFonts w:ascii="Courier New" w:cs="Courier New" w:eastAsia="Courier New" w:hAnsi="Courier New"/>
                <w:sz w:val="14"/>
                <w:szCs w:val="14"/>
                <w:color w:val="auto"/>
              </w:rPr>
              <w:t>(CONTINUED)</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5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CONDENSED CONSOLIDATING STATEMENT OF OPERATIONS</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4920" w:type="dxa"/>
            <w:vAlign w:val="bottom"/>
            <w:gridSpan w:val="5"/>
          </w:tcPr>
          <w:p>
            <w:pPr>
              <w:ind w:left="2260"/>
              <w:spacing w:after="0"/>
              <w:rPr>
                <w:sz w:val="20"/>
                <w:szCs w:val="20"/>
                <w:color w:val="auto"/>
              </w:rPr>
            </w:pPr>
            <w:r>
              <w:rPr>
                <w:rFonts w:ascii="Courier New" w:cs="Courier New" w:eastAsia="Courier New" w:hAnsi="Courier New"/>
                <w:sz w:val="14"/>
                <w:szCs w:val="14"/>
                <w:color w:val="auto"/>
              </w:rPr>
              <w:t>YEAR ENDED DECEMBER 31, 1997</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PARENT</w:t>
            </w:r>
          </w:p>
        </w:tc>
        <w:tc>
          <w:tcPr>
            <w:tcW w:w="160" w:type="dxa"/>
            <w:vAlign w:val="bottom"/>
          </w:tcPr>
          <w:p>
            <w:pPr>
              <w:spacing w:after="0"/>
              <w:rPr>
                <w:sz w:val="24"/>
                <w:szCs w:val="2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GUARANTOR</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NON-GUARANTOR</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ELIMINATIONS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CONSOLIDATION</w:t>
            </w:r>
          </w:p>
        </w:tc>
      </w:tr>
      <w:tr>
        <w:trPr>
          <w:trHeight w:val="167"/>
        </w:trPr>
        <w:tc>
          <w:tcPr>
            <w:tcW w:w="30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spacing w:after="0"/>
              <w:rPr>
                <w:sz w:val="24"/>
                <w:szCs w:val="2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$11,972,498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$11,972,498</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12,206,407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12,206,407</w:t>
            </w:r>
          </w:p>
        </w:tc>
      </w:tr>
      <w:tr>
        <w:trPr>
          <w:trHeight w:val="167"/>
        </w:trPr>
        <w:tc>
          <w:tcPr>
            <w:tcW w:w="30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(233,909)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(233,909)</w:t>
            </w:r>
          </w:p>
        </w:tc>
      </w:tr>
      <w:tr>
        <w:trPr>
          <w:trHeight w:val="167"/>
        </w:trPr>
        <w:tc>
          <w:tcPr>
            <w:tcW w:w="30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 (expense),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w:t>
            </w: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(74,073)</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(319,202)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(117,087)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(510,362)</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Equity in subsidiaries, net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(892,599)</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(693,098)</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1,585,697</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(45,442)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(45,442)</w:t>
            </w: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net......................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127,216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127,216</w:t>
            </w:r>
          </w:p>
        </w:tc>
      </w:tr>
      <w:tr>
        <w:trPr>
          <w:trHeight w:val="167"/>
        </w:trPr>
        <w:tc>
          <w:tcPr>
            <w:tcW w:w="30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(966,672)</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(1,012,300)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(35,313)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1,585,697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(428,588)</w:t>
            </w:r>
          </w:p>
        </w:tc>
      </w:tr>
      <w:tr>
        <w:trPr>
          <w:trHeight w:val="167"/>
        </w:trPr>
        <w:tc>
          <w:tcPr>
            <w:tcW w:w="30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Income (loss) from continuing</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operations before income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(966,672)</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(1,012,300)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(269,222)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1,585,697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(662,497)</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Provision for (benefit from)</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(27,777)</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(119,701)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510,819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363,341</w:t>
            </w:r>
          </w:p>
        </w:tc>
      </w:tr>
      <w:tr>
        <w:trPr>
          <w:trHeight w:val="167"/>
        </w:trPr>
        <w:tc>
          <w:tcPr>
            <w:tcW w:w="30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from operations..............</w:t>
            </w:r>
          </w:p>
        </w:tc>
        <w:tc>
          <w:tcPr>
            <w:tcW w:w="2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(938,895)</w:t>
            </w:r>
          </w:p>
        </w:tc>
        <w:tc>
          <w:tcPr>
            <w:tcW w:w="16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(892,599)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(780,041)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1,585,697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(1,025,838)</w:t>
            </w: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95,688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95,688</w:t>
            </w: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(6,809)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(6,809)</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principal, net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(1,936)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(1,936)</w:t>
            </w:r>
          </w:p>
        </w:tc>
      </w:tr>
      <w:tr>
        <w:trPr>
          <w:trHeight w:val="167"/>
        </w:trPr>
        <w:tc>
          <w:tcPr>
            <w:tcW w:w="30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(938,895)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(892,599)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(693,098)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$1,585,697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(938,895)</w:t>
            </w:r>
          </w:p>
        </w:tc>
      </w:tr>
      <w:tr>
        <w:trPr>
          <w:trHeight w:val="167"/>
        </w:trPr>
        <w:tc>
          <w:tcPr>
            <w:tcW w:w="3040" w:type="dxa"/>
            <w:vAlign w:val="bottom"/>
          </w:tcPr>
          <w:p>
            <w:pPr>
              <w:spacing w:after="0"/>
              <w:rPr>
                <w:sz w:val="14"/>
                <w:szCs w:val="14"/>
                <w:color w:val="auto"/>
              </w:rPr>
            </w:pP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114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2400" w:type="dxa"/>
            <w:vAlign w:val="bottom"/>
            <w:gridSpan w:val="4"/>
          </w:tcPr>
          <w:p>
            <w:pPr>
              <w:jc w:val="right"/>
              <w:ind w:right="408"/>
              <w:spacing w:after="0"/>
              <w:rPr>
                <w:sz w:val="20"/>
                <w:szCs w:val="20"/>
                <w:color w:val="auto"/>
              </w:rPr>
            </w:pPr>
            <w:r>
              <w:rPr>
                <w:rFonts w:ascii="Courier New" w:cs="Courier New" w:eastAsia="Courier New" w:hAnsi="Courier New"/>
                <w:sz w:val="14"/>
                <w:szCs w:val="14"/>
                <w:color w:val="auto"/>
              </w:rPr>
              <w:t>WASTE MANAGEMENT, INC.</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49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(CONTINUED)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4"/>
        </w:trPr>
        <w:tc>
          <w:tcPr>
            <w:tcW w:w="6220" w:type="dxa"/>
            <w:vAlign w:val="bottom"/>
            <w:gridSpan w:val="7"/>
          </w:tcPr>
          <w:p>
            <w:pPr>
              <w:jc w:val="right"/>
              <w:ind w:right="668"/>
              <w:spacing w:after="0"/>
              <w:rPr>
                <w:sz w:val="20"/>
                <w:szCs w:val="20"/>
                <w:color w:val="auto"/>
              </w:rPr>
            </w:pPr>
            <w:r>
              <w:rPr>
                <w:rFonts w:ascii="Courier New" w:cs="Courier New" w:eastAsia="Courier New" w:hAnsi="Courier New"/>
                <w:sz w:val="14"/>
                <w:szCs w:val="14"/>
                <w:color w:val="auto"/>
              </w:rPr>
              <w:t>CONDENSED CONSOLIDATING STATEMENT OF CASH FLOWS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92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YEAR ENDED DECEMBER 31, 1999</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8"/>
        </w:trPr>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PARENT</w:t>
            </w:r>
          </w:p>
        </w:tc>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GUARANTOR</w:t>
            </w:r>
          </w:p>
        </w:tc>
        <w:tc>
          <w:tcPr>
            <w:tcW w:w="386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NON-GUARANTOR   ELIMINATIONS   CONSOLIDATION</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(397,564)</w:t>
            </w:r>
          </w:p>
        </w:tc>
        <w:tc>
          <w:tcPr>
            <w:tcW w:w="11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$(136,841)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31,308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105,533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(397,564)</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Equity in earnings of</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subsidiaries............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136,841</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(31,308)</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(105,533)</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Other adjustments and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changes.................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69,292</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(9,915)</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2,027,776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2,087,153</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cash provided by (used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in) operations.............</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(191,431)</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(178,064)</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2,059,084</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1,689,589</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Cash flows from investing</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Short-term investments.....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(40,688)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(40,688)</w:t>
            </w: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Acquisitions of businesses,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net of cash acquired....</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(1,289,271)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(1,289,271)</w:t>
            </w: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(1,326,684)</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(1,326,684)</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650,512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650,512</w:t>
            </w: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Other, net.................</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(10,782)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(10,782)</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cash used in investing</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activities.................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(2,016,913)</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(2,016,913)</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Cash flows from financing</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Proceeds from issuance of</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4,056,510</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189,621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4,246,131</w:t>
            </w: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Principal payments on long-</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term debt...............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(3,029,957)</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(381,123)</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(575,597)</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(3,986,677)</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Proceeds from exercise of</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common stock options and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warrants................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175,861</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175,861</w:t>
            </w: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Cash dividends.............</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(6,196)</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(6,196)</w:t>
            </w: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(2,941)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(2,941)</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intercompany and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investments, net........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(998,823)</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612,261</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386,562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financing activities....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197,395</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231,138</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426,178</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Effect of exchange rate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changes on cash and cash</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(4,370)</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(4,370)</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Increase in cash and cash</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5,964</w:t>
            </w:r>
          </w:p>
        </w:tc>
        <w:tc>
          <w:tcPr>
            <w:tcW w:w="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53,074</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35,446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94,484</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at beginning of</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period..................</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27,726</w:t>
            </w: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(48,578)</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107,725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86,873</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at end of period........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33,690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143,171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181,357</w:t>
            </w:r>
          </w:p>
        </w:tc>
      </w:tr>
      <w:tr>
        <w:trPr>
          <w:trHeight w:val="167"/>
        </w:trPr>
        <w:tc>
          <w:tcPr>
            <w:tcW w:w="2520" w:type="dxa"/>
            <w:vAlign w:val="bottom"/>
          </w:tcPr>
          <w:p>
            <w:pPr>
              <w:spacing w:after="0"/>
              <w:rPr>
                <w:sz w:val="14"/>
                <w:szCs w:val="14"/>
                <w:color w:val="auto"/>
              </w:rPr>
            </w:pP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115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gridSpan w:val="4"/>
          </w:tcPr>
          <w:p>
            <w:pPr>
              <w:ind w:left="2520"/>
              <w:spacing w:after="0"/>
              <w:rPr>
                <w:sz w:val="20"/>
                <w:szCs w:val="20"/>
                <w:color w:val="auto"/>
              </w:rPr>
            </w:pPr>
            <w:r>
              <w:rPr>
                <w:rFonts w:ascii="Courier New" w:cs="Courier New" w:eastAsia="Courier New" w:hAnsi="Courier New"/>
                <w:sz w:val="14"/>
                <w:szCs w:val="14"/>
                <w:color w:val="auto"/>
              </w:rPr>
              <w:t>WASTE MANAGEMENT, INC.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4600" w:type="dxa"/>
            <w:vAlign w:val="bottom"/>
            <w:gridSpan w:val="4"/>
          </w:tcPr>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20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 (CONTINUED)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5560" w:type="dxa"/>
            <w:vAlign w:val="bottom"/>
            <w:gridSpan w:val="6"/>
          </w:tcPr>
          <w:p>
            <w:pPr>
              <w:ind w:left="1400"/>
              <w:spacing w:after="0"/>
              <w:rPr>
                <w:sz w:val="20"/>
                <w:szCs w:val="20"/>
                <w:color w:val="auto"/>
              </w:rPr>
            </w:pPr>
            <w:r>
              <w:rPr>
                <w:rFonts w:ascii="Courier New" w:cs="Courier New" w:eastAsia="Courier New" w:hAnsi="Courier New"/>
                <w:sz w:val="14"/>
                <w:szCs w:val="14"/>
                <w:color w:val="auto"/>
              </w:rPr>
              <w:t>CONDENSED CONSOLIDATING STATEMENT OF CASH FLOWS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300" w:type="dxa"/>
            <w:vAlign w:val="bottom"/>
            <w:gridSpan w:val="5"/>
          </w:tcPr>
          <w:p>
            <w:pPr>
              <w:ind w:left="2260"/>
              <w:spacing w:after="0"/>
              <w:rPr>
                <w:sz w:val="20"/>
                <w:szCs w:val="20"/>
                <w:color w:val="auto"/>
              </w:rPr>
            </w:pPr>
            <w:r>
              <w:rPr>
                <w:rFonts w:ascii="Courier New" w:cs="Courier New" w:eastAsia="Courier New" w:hAnsi="Courier New"/>
                <w:sz w:val="14"/>
                <w:szCs w:val="14"/>
                <w:color w:val="auto"/>
              </w:rPr>
              <w:t>YEAR ENDED DECEMBER 31, 1998</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8"/>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PARENT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GUARANTOR</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NON-GUARANTOR</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ELIMINATIONS</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CONSOLIDATION</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(770,702)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$(626,374)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(434,130)</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$ 1,060,504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(770,702)</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Equity in earnings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subsidiaries.................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626,374</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434,130</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(1,060,504)</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Other adjustments and charges...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35,724</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(18,848)</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2,255,861</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2,272,737</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(108,604)</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(211,092)</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1,821,731</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1,502,035</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flows from investing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 Short-term</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57,509</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57,509</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Acquisitions of businesses, net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cash acquired.............</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(1,946,197)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(1,946,197)</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(1,651,489)</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(1,651,489)</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assets....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621,387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621,387</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minority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(1,673,168)</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(1,673,168)</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36,821</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36,821</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cash used in investing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(4,555,137)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(4,555,137)</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flows from financing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Proceeds from issuance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5,547,318</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854,579</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6,401,897</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on long-term</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(2,395,466)</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(786,425)</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(1,225,019)</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(4,406,910)</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Cash dividends..................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(11,750)</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(82,060)</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(93,810)</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issuance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205,863</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205,863</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treasury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739,161</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739,161</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Proceeds from exercise of common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options and warrants...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133,119</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133,119</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intercompany and investments,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(3,357,384)</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249,208</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3,108,176</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(23,524)</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(23,524)</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121,700</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119,884</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2,714,212</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2,955,796</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exchange rate changes 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(5,763)</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(5,763)</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Increase (decrease) in cash and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cash equivalents................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13,096</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(91,208)</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(24,957)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(103,069)</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beginning of period.............</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14,630</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42,630</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132,682</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189,942</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of period.......................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27,726</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(48,578)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107,725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86,873</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113</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116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WASTE MANAGEMENT, INC.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4600" w:type="dxa"/>
            <w:vAlign w:val="bottom"/>
            <w:gridSpan w:val="4"/>
          </w:tcPr>
          <w:p>
            <w:pPr>
              <w:ind w:left="9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20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 (CONTINUED)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5560" w:type="dxa"/>
            <w:vAlign w:val="bottom"/>
            <w:gridSpan w:val="6"/>
          </w:tcPr>
          <w:p>
            <w:pPr>
              <w:ind w:left="1400"/>
              <w:spacing w:after="0"/>
              <w:rPr>
                <w:sz w:val="20"/>
                <w:szCs w:val="20"/>
                <w:color w:val="auto"/>
              </w:rPr>
            </w:pPr>
            <w:r>
              <w:rPr>
                <w:rFonts w:ascii="Courier New" w:cs="Courier New" w:eastAsia="Courier New" w:hAnsi="Courier New"/>
                <w:sz w:val="14"/>
                <w:szCs w:val="14"/>
                <w:color w:val="auto"/>
              </w:rPr>
              <w:t>CONDENSED CONSOLIDATING STATEMENT OF CASH FLOWS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300" w:type="dxa"/>
            <w:vAlign w:val="bottom"/>
            <w:gridSpan w:val="5"/>
          </w:tcPr>
          <w:p>
            <w:pPr>
              <w:ind w:left="2260"/>
              <w:spacing w:after="0"/>
              <w:rPr>
                <w:sz w:val="20"/>
                <w:szCs w:val="20"/>
                <w:color w:val="auto"/>
              </w:rPr>
            </w:pPr>
            <w:r>
              <w:rPr>
                <w:rFonts w:ascii="Courier New" w:cs="Courier New" w:eastAsia="Courier New" w:hAnsi="Courier New"/>
                <w:sz w:val="14"/>
                <w:szCs w:val="14"/>
                <w:color w:val="auto"/>
              </w:rPr>
              <w:t>YEAR ENDED DECEMBER 31, 1997</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8"/>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PARENT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GUARANTOR</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NON-GUARANTOR</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ELIMINATIONS</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CONSOLIDATION</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(938,895)</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$(892,599)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(693,098)</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$ 1,585,697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(938,895)</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Equity in earnings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subsidiaries.................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892,599</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693,098</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(1,585,697)</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Other adjustments and charges...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8,013</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2,996,733</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3,004,801</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(38,283)</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(199,446)</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2,303,635</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2,065,906</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flows from investing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 Short-term</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(117,668)</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(117,668)</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Acquisitions of businesses, net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of cash acquired.............</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(1,685,415)</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(1,685,415)</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(1,332,207)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(1,332,207)</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assets....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1,487,685</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1,487,685</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minority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interests....................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(104,165)</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(104,165)</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(25,758)</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(25,758)</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cash used in investing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(1,777,528)</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(1,777,528)</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flows from financing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Proceeds from issuance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long-term debt...............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2,660,865</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300,000</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1,655,853</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4,616,718</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on long-term</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debt.........................</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(1,884,500)</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(289,541)</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(2,204,911)</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(4,378,952)</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Cash dividends..................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(309,577)</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(309,577)</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issuance of</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580,833</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580,833</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Proceeds from exercise of common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stock options and warrants...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36,955</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41,220</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78,175</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Stock repurchases...............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(96,960)</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(903,248)</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(1,000,208)</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intercompany and investments,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440"/>
              <w:spacing w:after="0"/>
              <w:rPr>
                <w:sz w:val="20"/>
                <w:szCs w:val="20"/>
                <w:color w:val="auto"/>
              </w:rPr>
            </w:pPr>
            <w:r>
              <w:rPr>
                <w:rFonts w:ascii="Courier New" w:cs="Courier New" w:eastAsia="Courier New" w:hAnsi="Courier New"/>
                <w:sz w:val="14"/>
                <w:szCs w:val="14"/>
                <w:color w:val="auto"/>
              </w:rPr>
              <w:t>net..........................</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(1,250,395)</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1,329,375</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(78,980)</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(31,939)</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(31,939)</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financing activities............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46,798</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168,229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(659,977)</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(444,950)</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(5,788)</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(5,788)</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Increase (decrease) in cash and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cash equivalents................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8,515</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(31,217)</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(139,658)</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(162,360)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beginning of period.............</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6,115</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73,847</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272,340</w:t>
            </w:r>
          </w:p>
        </w:tc>
        <w:tc>
          <w:tcPr>
            <w:tcW w:w="2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352,302</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of period.......................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14,630</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42,630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132,682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189,942</w:t>
            </w:r>
          </w:p>
        </w:tc>
      </w:tr>
      <w:tr>
        <w:trPr>
          <w:trHeight w:val="167"/>
        </w:trPr>
        <w:tc>
          <w:tcPr>
            <w:tcW w:w="30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117</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SUBSEQUENT EVENTS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As part of its strategic plan, the Company announced in January 2000 that one of its subsidiaries has reached an agreement to sell its waste services operations in Finland to Lassila &amp; Tikanoja plc for approximately $100 million. The transaction is subject to the approval of the Finnish Competition Authority. In February 2000, the Company announced that one of its subsidiaries intends to sell the 60.5% interest in Waste Management New Zealand Limited that it owns. The sale is to be by way of a public and institutional offering in New Zealand and an institutional offering in selected overseas markets. The shares will not be or have not been registered under the United States Securities Act of 1933, as amended, and may not be offered and sold in the United States without registration thereof. In March 2000, the Company announced that one of its wholly-owned subsidiaries has reached an agreement to sell its waste services operations in The Netherlands to Shanks Group plc for approximately $328 million. The sale is subject to the Shanks Group's raising capital and obtaining financing. The Company expects each of these transactions to be completed in the second quarter of 2000.</w:t>
      </w:r>
    </w:p>
    <w:p>
      <w:pPr>
        <w:spacing w:after="0" w:line="339"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Additionally, in March 2000, the Company announced that one of its subsidiaries reached an agreement to sell its nuclear services business to GTS Duratek, Inc. for up to $65 million (unaudited) in cash, consisting of $55 million (unaudited) at closing and up to $10 million (unaudited) in additional cash consideration upon the satisfaction of certain post-closing conditions. The sale, which is subject to regulatory approvals and other customary conditions, is expected to occur in the second quarter of 2000.</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159"/>
          </w:cols>
          <w:pgMar w:left="300" w:top="286"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118</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information required by this Item concerning directors of the Company is set forth under the caption "Election of Directors" in the Company's definitive Proxy Statement for its 2000 Annual Meeting of Stockholders, to be filed pursuant to Regulation 14A under the Securities Exchange Act of 1934, as amended (the "2000 Proxy Statement"),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5" w:lineRule="exact"/>
        <w:rPr>
          <w:sz w:val="20"/>
          <w:szCs w:val="20"/>
          <w:color w:val="auto"/>
        </w:rPr>
      </w:pPr>
    </w:p>
    <w:p>
      <w:pPr>
        <w:ind w:right="3899" w:firstLine="434"/>
        <w:spacing w:after="0" w:line="254" w:lineRule="auto"/>
        <w:rPr>
          <w:sz w:val="20"/>
          <w:szCs w:val="20"/>
          <w:color w:val="auto"/>
        </w:rPr>
      </w:pPr>
      <w:r>
        <w:rPr>
          <w:rFonts w:ascii="Courier New" w:cs="Courier New" w:eastAsia="Courier New" w:hAnsi="Courier New"/>
          <w:sz w:val="14"/>
          <w:szCs w:val="14"/>
          <w:color w:val="auto"/>
        </w:rPr>
        <w:t>Set forth below are the names and ages, as of March 6, 2000, of the Company's executive officers (as defined by regulations of the SEC), the positions they hold with the Company, and summaries of their business experience.</w:t>
      </w:r>
    </w:p>
    <w:p>
      <w:pPr>
        <w:spacing w:after="0" w:line="163"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Robert P. Damico, age 51, has been Senior Vice President -- Midwest Area since the consummation of the WM Holdings Merger in July 1998. Prior thereto, Mr. Damico had served in various capacities at WM Holdings since 1980, including District Manager, Division Manager and Region Manager for the Mountain Region.</w:t>
      </w:r>
    </w:p>
    <w:p>
      <w:pPr>
        <w:spacing w:after="0" w:line="163"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David R. Hopkins, age 56, has been Senior Vice President -- International Operations since November 1998 and has been Chief Executive Officer of Waste Management International, Inc. during that same period. Prior thereto, Mr. Hopkins had served as Vice President, Controller and Chief Accounting Officer of Browning-Ferris Industries, Inc. since 1987.</w:t>
      </w:r>
    </w:p>
    <w:p>
      <w:pPr>
        <w:spacing w:after="0" w:line="162"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Ronald H. Jones, age 49, has been Vice President and Treasurer since joining the Company in June 1995. Prior to joining the Company, Mr. Jones was employed by Chambers Development Company, Inc. ("Chambers") as Vice President and Treasurer from July 1992 to June 1995, Director, Corporate Development from December 1990 to July 1992, and Assistant Vice President -- Finance from July 1989 to December 1990. Prior to joining Chambers, Mr. Jones was a Vice President and Manager of the Cincinnati regional office engaged in corporate and middle market lending with Bank of New York (formerly Irving Trust Company) and with Chase Manhattan Bank.</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Miller J. Mathews, Jr., age 62, has been the Senior Vice</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President -- Southern Area since the consummation of the WM Holdings Merger. Prior thereto, Mr. Mathews was the Company's Region Vice President -- Southern Region since 1995 when the waste company which he had owned since 1981, Sunray Services, Inc., was acquired by the Company.</w:t>
      </w:r>
    </w:p>
    <w:p>
      <w:pPr>
        <w:spacing w:after="0" w:line="163"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A. Maurice Myers, age 59, has been Chairman of the Board, Chief Executive Officer and President of the Company since November 1999. Mr. Myers was employed by Yellow Corporation, where he was Chairman, CEO and President since April</w:t>
      </w:r>
    </w:p>
    <w:p>
      <w:pPr>
        <w:spacing w:after="0" w:line="1"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1996. Yellow Corporation is the parent company of Yellow Freight, one of the nation's oldest and largest trucking companies. Prior to joining Yellow Corporation in 1996, Mr. Myers served as President and Chief Operating Officer of America West Airlines. Mr. Myers also served as President and CEO of Aloha Airlines, and held a senior management position with Continental Airlines.</w:t>
      </w:r>
    </w:p>
    <w:p>
      <w:pPr>
        <w:spacing w:after="0" w:line="162"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Lawrence O'Donnell, III, age 42, has been Senior Vice President, General Counsel and Secretary of the Company since January 2000. From 1991 until joining the Company, Mr. O'Donnell was with Baker Hughes Incorporated where he held various positions, including Vice President and General Counsel since 1995.</w:t>
      </w:r>
    </w:p>
    <w:p>
      <w:pPr>
        <w:spacing w:after="0" w:line="163" w:lineRule="exact"/>
        <w:rPr>
          <w:sz w:val="20"/>
          <w:szCs w:val="20"/>
          <w:color w:val="auto"/>
        </w:rPr>
      </w:pPr>
    </w:p>
    <w:p>
      <w:pPr>
        <w:ind w:right="3299" w:firstLine="434"/>
        <w:spacing w:after="0" w:line="253" w:lineRule="auto"/>
        <w:rPr>
          <w:sz w:val="20"/>
          <w:szCs w:val="20"/>
          <w:color w:val="auto"/>
        </w:rPr>
      </w:pPr>
      <w:r>
        <w:rPr>
          <w:rFonts w:ascii="Courier New" w:cs="Courier New" w:eastAsia="Courier New" w:hAnsi="Courier New"/>
          <w:sz w:val="14"/>
          <w:szCs w:val="14"/>
          <w:color w:val="auto"/>
        </w:rPr>
        <w:t>Susan J. Piller, age 47, has been Senior Vice President -- Employee Relations since May 1996. Prior to joining the Company, Ms. Piller was with Browning-Ferris Industries, Inc. from 1984 until 1996, where she held various labor and employment positions, including Vice President -- Employee Relations. Prior thereto, Ms. Piller was employed by the Houston law firm of Fulbright &amp; Jaworski.</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159"/>
          </w:cols>
          <w:pgMar w:left="300" w:top="286"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119</w:t>
      </w:r>
    </w:p>
    <w:p>
      <w:pPr>
        <w:spacing w:after="0" w:line="175"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Robert G. Simpson, age 48, has been Vice President -- Taxation since November 1998. From July 1997 to November 1998, Mr. Simpson served as Vice President and General Manager of Tenneco Inc. and Tenneco Business Services, a diversified industrial company. From April 1990 to July 1997, Mr. Simpson served as Vice President -- Tax of Tenneco Inc.</w:t>
      </w:r>
    </w:p>
    <w:p>
      <w:pPr>
        <w:spacing w:after="0" w:line="162"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Thomas L. Smith, age 61, has been Senior Vice President -- Information Systems since November 1999. From February 1997 through November 1999, Mr. Smith was Vice President of Information Systems of Yellow Services, Inc., and from November 1989 through February 1997 held the same position at America West Airlines.</w:t>
      </w:r>
    </w:p>
    <w:p>
      <w:pPr>
        <w:spacing w:after="0" w:line="162"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Bruce E. Snyder, age 44, has been Vice President and Chief Accounting Officer of the Company since July 1992. Prior to joining the Company, Mr. Snyder was employed by the international accounting firm of Coopers &amp; Lybrand L.L.P., serving there since 1989 as an audit manager.</w:t>
      </w:r>
    </w:p>
    <w:p>
      <w:pPr>
        <w:spacing w:after="0" w:line="163" w:lineRule="exact"/>
        <w:rPr>
          <w:sz w:val="20"/>
          <w:szCs w:val="20"/>
          <w:color w:val="auto"/>
        </w:rPr>
      </w:pPr>
    </w:p>
    <w:p>
      <w:pPr>
        <w:ind w:right="3199" w:firstLine="434"/>
        <w:spacing w:after="0" w:line="254" w:lineRule="auto"/>
        <w:rPr>
          <w:sz w:val="20"/>
          <w:szCs w:val="20"/>
          <w:color w:val="auto"/>
        </w:rPr>
      </w:pPr>
      <w:r>
        <w:rPr>
          <w:rFonts w:ascii="Courier New" w:cs="Courier New" w:eastAsia="Courier New" w:hAnsi="Courier New"/>
          <w:sz w:val="14"/>
          <w:szCs w:val="14"/>
          <w:color w:val="auto"/>
        </w:rPr>
        <w:t>Douglas G. Sobey, age 48, has been Senior Vice President -- Western Area, since July 1998. From 1996 to July 1998, Mr. Sobey was the Company's Region Vice President -- Northwest Region. From 1990 to 1996, Mr. Sobey held similar positions with Sanifill, Inc.</w:t>
      </w:r>
    </w:p>
    <w:p>
      <w:pPr>
        <w:spacing w:after="0" w:line="163"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William L. Trubeck, age 53, has been Senior Vice President and Chief Financial Officer since March 2000. Prior to joining the Company, Mr. Trubeck was employed by International Multifoods Corporation, where he was Senior Vice President -- Finance, and Chief Financial Officer since early 1997 and President, Latin American Operations, since 1998. Prior to joining International Multifoods, Mr. Trubeck was Senior Vice President -- Finance, and Chief Financial Officer of SPX Corporation from 1994 to 1997.</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Charles A. Wilcox, age 47, has been Senior Vice President -- Eastern Area since July 1998. From August 1996 to July 1998, Mr. Wilcox was Region Vice President -- Central Region. From December 1994 to August 1996, Mr. Wilcox served as an Executive Vice President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information required by this Item is set forth under the caption "Election of Directors -- Executive Compensation" in the 2000 Proxy Statement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The information required by this Item is set forth under the caption "Election of Directors -- Beneficial Ownership of Waste Management Common Stock" in the 2000 Proxy Statement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ind w:right="3199" w:firstLine="434"/>
        <w:spacing w:after="0" w:line="255" w:lineRule="auto"/>
        <w:rPr>
          <w:sz w:val="20"/>
          <w:szCs w:val="20"/>
          <w:color w:val="auto"/>
        </w:rPr>
      </w:pPr>
      <w:r>
        <w:rPr>
          <w:rFonts w:ascii="Courier New" w:cs="Courier New" w:eastAsia="Courier New" w:hAnsi="Courier New"/>
          <w:sz w:val="14"/>
          <w:szCs w:val="14"/>
          <w:color w:val="auto"/>
        </w:rPr>
        <w:t>The information required by this Item is set forth under the caption "Election of Directors -- Certain Relationships and Related Transactions" in the 2000 Proxy Statement and is incorporated herein by reference.</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FINANCIAL STATEMENT SCHEDULES, EXHIBITS, AND REPORTS ON FORM 8-K.</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(a)(1) Consolidated Financial Statements: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Consolidated Balance Sheets as of December 31, 1999 and 1998</w:t>
      </w:r>
    </w:p>
    <w:p>
      <w:pPr>
        <w:spacing w:after="0" w:line="175" w:lineRule="exact"/>
        <w:rPr>
          <w:sz w:val="20"/>
          <w:szCs w:val="20"/>
          <w:color w:val="auto"/>
        </w:rPr>
      </w:pPr>
    </w:p>
    <w:p>
      <w:pPr>
        <w:ind w:left="700" w:right="3379"/>
        <w:spacing w:after="0" w:line="258" w:lineRule="auto"/>
        <w:rPr>
          <w:sz w:val="20"/>
          <w:szCs w:val="20"/>
          <w:color w:val="auto"/>
        </w:rPr>
      </w:pPr>
      <w:r>
        <w:rPr>
          <w:rFonts w:ascii="Courier New" w:cs="Courier New" w:eastAsia="Courier New" w:hAnsi="Courier New"/>
          <w:sz w:val="14"/>
          <w:szCs w:val="14"/>
          <w:color w:val="auto"/>
        </w:rPr>
        <w:t>Consolidated Statements of Operations for the years ended December 31, 1999, 1998, and 1997</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159"/>
          </w:cols>
          <w:pgMar w:left="300" w:top="286" w:right="1440" w:bottom="1440" w:gutter="0" w:footer="0" w:header="0"/>
        </w:sectPr>
      </w:pPr>
    </w:p>
    <w:bookmarkStart w:id="123" w:name="page124"/>
    <w:bookmarkEnd w:id="123"/>
    <w:p>
      <w:pPr>
        <w:ind w:left="80"/>
        <w:spacing w:after="0"/>
        <w:rPr>
          <w:sz w:val="20"/>
          <w:szCs w:val="20"/>
          <w:color w:val="auto"/>
        </w:rPr>
      </w:pPr>
      <w:r>
        <w:rPr>
          <w:rFonts w:ascii="Courier New" w:cs="Courier New" w:eastAsia="Courier New" w:hAnsi="Courier New"/>
          <w:sz w:val="14"/>
          <w:szCs w:val="14"/>
          <w:color w:val="auto"/>
        </w:rPr>
        <w:t>120</w:t>
      </w:r>
    </w:p>
    <w:p>
      <w:pPr>
        <w:spacing w:after="0" w:line="175" w:lineRule="exact"/>
        <w:rPr>
          <w:sz w:val="20"/>
          <w:szCs w:val="20"/>
          <w:color w:val="auto"/>
        </w:rPr>
      </w:pPr>
    </w:p>
    <w:p>
      <w:pPr>
        <w:ind w:left="520" w:right="3639"/>
        <w:spacing w:after="0" w:line="258" w:lineRule="auto"/>
        <w:rPr>
          <w:sz w:val="20"/>
          <w:szCs w:val="20"/>
          <w:color w:val="auto"/>
        </w:rPr>
      </w:pPr>
      <w:r>
        <w:rPr>
          <w:rFonts w:ascii="Courier New" w:cs="Courier New" w:eastAsia="Courier New" w:hAnsi="Courier New"/>
          <w:sz w:val="14"/>
          <w:szCs w:val="14"/>
          <w:color w:val="auto"/>
        </w:rPr>
        <w:t>Consolidated Statements of Stockholders' Equity for the years ended December 31, 1999, 1998, and 1997</w:t>
      </w:r>
    </w:p>
    <w:p>
      <w:pPr>
        <w:spacing w:after="0" w:line="160" w:lineRule="exact"/>
        <w:rPr>
          <w:sz w:val="20"/>
          <w:szCs w:val="20"/>
          <w:color w:val="auto"/>
        </w:rPr>
      </w:pPr>
    </w:p>
    <w:p>
      <w:pPr>
        <w:jc w:val="both"/>
        <w:ind w:left="520" w:right="3379"/>
        <w:spacing w:after="0" w:line="258" w:lineRule="auto"/>
        <w:rPr>
          <w:sz w:val="20"/>
          <w:szCs w:val="20"/>
          <w:color w:val="auto"/>
        </w:rPr>
      </w:pPr>
      <w:r>
        <w:rPr>
          <w:rFonts w:ascii="Courier New" w:cs="Courier New" w:eastAsia="Courier New" w:hAnsi="Courier New"/>
          <w:sz w:val="14"/>
          <w:szCs w:val="14"/>
          <w:color w:val="auto"/>
        </w:rPr>
        <w:t>Consolidated Statements of Cash Flows for the years ended December 31, 1999, 1998, and 1997</w:t>
      </w:r>
    </w:p>
    <w:p>
      <w:pPr>
        <w:spacing w:after="0" w:line="160" w:lineRule="exact"/>
        <w:rPr>
          <w:sz w:val="20"/>
          <w:szCs w:val="20"/>
          <w:color w:val="auto"/>
        </w:rPr>
      </w:pPr>
    </w:p>
    <w:p>
      <w:pPr>
        <w:ind w:left="520" w:right="3639"/>
        <w:spacing w:after="0" w:line="258" w:lineRule="auto"/>
        <w:rPr>
          <w:sz w:val="20"/>
          <w:szCs w:val="20"/>
          <w:color w:val="auto"/>
        </w:rPr>
      </w:pPr>
      <w:r>
        <w:rPr>
          <w:rFonts w:ascii="Courier New" w:cs="Courier New" w:eastAsia="Courier New" w:hAnsi="Courier New"/>
          <w:sz w:val="14"/>
          <w:szCs w:val="14"/>
          <w:color w:val="auto"/>
        </w:rPr>
        <w:t>Consolidated Statements of Comprehensive Income for the years ended December 31, 1999, 1998, and 1997</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(a)(2) Consolidated Financial Statement Schedules: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5" w:lineRule="exact"/>
        <w:rPr>
          <w:sz w:val="20"/>
          <w:szCs w:val="20"/>
          <w:color w:val="auto"/>
        </w:rPr>
      </w:pPr>
    </w:p>
    <w:p>
      <w:pPr>
        <w:jc w:val="both"/>
        <w:ind w:left="520" w:right="3379"/>
        <w:spacing w:after="0" w:line="255" w:lineRule="auto"/>
        <w:rPr>
          <w:sz w:val="20"/>
          <w:szCs w:val="20"/>
          <w:color w:val="auto"/>
        </w:rPr>
      </w:pPr>
      <w:r>
        <w:rPr>
          <w:rFonts w:ascii="Courier New" w:cs="Courier New" w:eastAsia="Courier New" w:hAnsi="Courier New"/>
          <w:sz w:val="14"/>
          <w:szCs w:val="14"/>
          <w:color w:val="auto"/>
        </w:rPr>
        <w:t>All other schedules have been omitted because the required information is not significant or is included in the financial statements or notes thereto, or is not applicable.</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(a)(3) Exhibits: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EXHIBIT NO.*</w:t>
            </w:r>
          </w:p>
        </w:tc>
        <w:tc>
          <w:tcPr>
            <w:tcW w:w="1260" w:type="dxa"/>
            <w:vAlign w:val="bottom"/>
          </w:tcPr>
          <w:p>
            <w:pPr>
              <w:spacing w:after="0"/>
              <w:rPr>
                <w:sz w:val="14"/>
                <w:szCs w:val="14"/>
                <w:color w:val="auto"/>
              </w:rPr>
            </w:pPr>
          </w:p>
        </w:tc>
        <w:tc>
          <w:tcPr>
            <w:tcW w:w="4120" w:type="dxa"/>
            <w:vAlign w:val="bottom"/>
          </w:tcPr>
          <w:p>
            <w:pPr>
              <w:ind w:left="100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412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Agreement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Plan of Merger, dated as of April 13, 1997,</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by and among the Registrant, Riviera Acquisition</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Corporation and United Waste Systems, Inc. [Incorporated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by reference to Appendix A in the Registrant's</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Registration Statement on Form S-4, File No. 333-31979].</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Agreement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Plan of Merger, dated March 10, 1998, by</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and among</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the Registrant, Dome Merger Subsidiary, Inc.</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and Waste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Management, Inc. [Incorporated by reference to</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Exhibit 99.1 of the Registrant's Current Report on Form</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8-K dated</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March 10,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Agreement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Plan of Merger, dated as of February 16,</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1998, by and among the Registrant, C&amp;S Ohio Corp. and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American Waste Services, Inc. [Incorporated by reference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to Exhibit 10.70 to American Waste Services' Current</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Report on</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Form 8-K, dated February 6,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Agreement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Plan of Merger, dated as of August 16,</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1998, by and among the Registrant, Ocho Acquisition</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Corporation and Eastern Environmental Services, Inc.</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[Incorporated by reference to Annex A in the Registrant's</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Registration Statement on Form S-4, File No. 333-64239].</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Scheme of</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Arrangement between Waste Management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International plc and the Holders of the Scheme Shares</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dated September 7, 1998 [Incorporated by reference to the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Registrant's Schedule 13E-3 Transaction Statement dated</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September</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7,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Agreement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Plan of Merger by and among the Registrant,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TransAmerican Acquisition Corp., and TransAmerican Waste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Industries, Inc. dated January 1998 [Incorporated by</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reference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the Registrant's Registration Statement on</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Form S-4,</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File No. 333-49253].</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Agreement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Plan of Merger by and among Waste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Management, Inc., WMI Merger Sub, Inc. and Wheelabrator</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Technologies Inc. dated December 8, 1997 [Incorporated by</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reference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Exhibit A of WTI's Proxy Statement on</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Schedule 14A filed on March 3,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Restated Certificate of Incorporation, as amended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[Incorporated by reference to Exhibit 3.2 of the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Registrant's current Report on Form 8-K dated July 16,</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4120" w:type="dxa"/>
            <w:vAlign w:val="bottom"/>
          </w:tcPr>
          <w:p>
            <w:pPr>
              <w:spacing w:after="0"/>
              <w:rPr>
                <w:sz w:val="14"/>
                <w:szCs w:val="14"/>
                <w:color w:val="auto"/>
              </w:rPr>
            </w:pP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Bylaws [Incorporated by reference to Exhibit to</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Registrant's Form 10-Q for the quarter ended June 30,</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1999].</w:t>
            </w:r>
          </w:p>
        </w:tc>
        <w:tc>
          <w:tcPr>
            <w:tcW w:w="4120" w:type="dxa"/>
            <w:vAlign w:val="bottom"/>
          </w:tcPr>
          <w:p>
            <w:pPr>
              <w:spacing w:after="0"/>
              <w:rPr>
                <w:sz w:val="14"/>
                <w:szCs w:val="14"/>
                <w:color w:val="auto"/>
              </w:rPr>
            </w:pP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Specimen Stock Certificate [Incorporated by reference to</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Exhibit 4.1 to the Registrants Annual Report on Form 10-K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 the year ended December 31,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Indenture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for Subordinated Debt Securities dated February</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 1997, among the Registrant and Texas Commerce Bank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National Association, as trustee [Incorporated by</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reference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Exhibit 4.1 of the Registrant's Current</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Report on</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Form 8-K dated February 7, 1997].</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 Indenture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for Senior Debt Securities dated September 10,</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1997, among the Registrant and Texas Commerce Bank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National Association, as trustee [Incorporated by</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reference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Exhibit 4.1 of the Registrant's Current</w:t>
            </w:r>
          </w:p>
        </w:tc>
      </w:tr>
      <w:tr>
        <w:trPr>
          <w:trHeight w:val="167"/>
        </w:trPr>
        <w:tc>
          <w:tcPr>
            <w:tcW w:w="12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Report on</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Form 8-K dated September 10, 1997].</w:t>
            </w:r>
          </w:p>
        </w:tc>
      </w:tr>
    </w:tbl>
    <w:p>
      <w:pPr>
        <w:spacing w:after="0" w:line="200" w:lineRule="exact"/>
        <w:rPr>
          <w:sz w:val="20"/>
          <w:szCs w:val="20"/>
          <w:color w:val="auto"/>
        </w:rPr>
      </w:pPr>
    </w:p>
    <w:p>
      <w:pPr>
        <w:sectPr>
          <w:pgSz w:w="11900" w:h="16838" w:orient="portrait"/>
          <w:cols w:equalWidth="0" w:num="1">
            <w:col w:w="9979"/>
          </w:cols>
          <w:pgMar w:left="480" w:top="286" w:right="1440" w:bottom="1440" w:gutter="0" w:footer="0" w:header="0"/>
        </w:sectPr>
      </w:pPr>
    </w:p>
    <w:p>
      <w:pPr>
        <w:spacing w:after="0" w:line="1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118</w:t>
      </w:r>
    </w:p>
    <w:p>
      <w:pPr>
        <w:sectPr>
          <w:pgSz w:w="11900" w:h="16838" w:orient="portrait"/>
          <w:cols w:equalWidth="0" w:num="1">
            <w:col w:w="9979"/>
          </w:cols>
          <w:pgMar w:left="480" w:top="286" w:right="1440"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62"/>
        </w:trPr>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121</w:t>
            </w:r>
          </w:p>
        </w:tc>
        <w:tc>
          <w:tcPr>
            <w:tcW w:w="5380" w:type="dxa"/>
            <w:vAlign w:val="bottom"/>
          </w:tcPr>
          <w:p>
            <w:pPr>
              <w:spacing w:after="0"/>
              <w:rPr>
                <w:sz w:val="14"/>
                <w:szCs w:val="14"/>
                <w:color w:val="auto"/>
              </w:rPr>
            </w:pPr>
          </w:p>
        </w:tc>
      </w:tr>
      <w:tr>
        <w:trPr>
          <w:trHeight w:val="668"/>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5380" w:type="dxa"/>
            <w:vAlign w:val="bottom"/>
          </w:tcPr>
          <w:p>
            <w:pPr>
              <w:ind w:left="22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380" w:type="dxa"/>
            <w:vAlign w:val="bottom"/>
          </w:tcPr>
          <w:p>
            <w:pPr>
              <w:ind w:left="226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-- 1990 Stock Option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10.1 of the Registrant's Annual report on Form</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10-K for the year ended December 31, 1990].</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10.2</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Conformed copy of 1993 Stock Incentive Plan, as amended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and restated. [Incorporated by reference to Exhibit 10.2</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(and 10.3) to the Registrant's Annual Report on Form 10-K</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for the year ended December 31, 1998.]</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10.3</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Conformed copy of 1996 Stock Option Plan for Non-Employee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Directors, as amended.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10.2 (and 10.3) to the Registrant's Annual Report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on Form 10-K for the year ended December 31, 1998.]</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Envirofil, Inc. 1993 Stock Incentive Plan [Incorporated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by reference to Exhibit 4.1 of the Registrant's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Registration Statement on Form S-8, File No. 33-84990].</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10.5</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Western Waste Industries Amended and Restated 1983</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Incentive Stock Option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99.1 of the Registrant's Registration Statement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on Form S-8, File No. 333-02181].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10.6</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Western Waste Industries 1983 Non-Qualified Stock Option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Plan [Incorporated by reference to Exhibit 99.2 of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S-8, File No.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333-02181].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10.7</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Western Waste Industries 1992 Option Plan [Incorporated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by reference to Exhibit 99.3 of the Registrant's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Registration Statement on Form S-8, File No. 333-02181].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10.8</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Sanifill, Inc. 1994 Long-Term Incentive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99.1 of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S-8, File No.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333-08161].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10.9</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Sanifill, Inc. 1989 Stock Option Plan [Incorporated by</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reference to Exhibit 99.2 of the Registrant's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Registration Statement on Form S-8, File No. 333-08161].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10.10</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Waste Management, Inc. 1997 Equity Incentive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A to Waste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Management Holdings' Proxy Statement for its 1997 Annual</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Meeting of Shareholders].</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10.11</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WMX Technologies, Inc. 1996 Replacement Stock Option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4.13 to Waste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Management Holdings' Registration Statement on Form S-8,</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File No. 333-01325].</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10.12</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WMX Technologies, Inc. 1992 Stock Option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10.31 to Waste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Management Holdings' Registration Statement on Form S-1,</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File No. 33-44849].</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10.13</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WMX Technologies, Inc. 1992 Stock Option Plan for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Non-Employee Directors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10.23 to Waste Management Holdings' 1996 Annual</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Report on Form 10-K].</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10.14</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Waste Management, Inc. 1982 Stock Option Plan, as amended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to March 11, 1988 [Incorporated by reference to Exhibit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10.3 to Waste Management Holdings' 1988 Annual Report 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Form 10-K].</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10.15</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Wheelabrator Technologies Inc. 1992 Stock Option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10.45 to the 1991</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Annual Report on Form 10-K of Wheelabrator Technologies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10.16</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Wheelabrator Technologies Inc. 1988 Stock Plan for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Executive Employees of WTI and its Subsidiaries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28.1 to Amendment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No. 1 to the Registration Statement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 on Form S-8, File No. 33-31523].</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10.17</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Chemical Waste Management, Inc. 1992 Stock Option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10.19 to the 1991</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Annual Report on Form 10-K of Chemical Waste Management,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10.18</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-- 1991 Stock Option Plan for Non-Employee Directors of</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Wheelabrator Technologies, Inc. [Incorporated by</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reference to Exhibit 19.04 WTI's Quarterly Report for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quarterly period ended June 30, 1991].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10.19</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Amendments dated as of September 7, 1990 to the WTI 1988</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19.02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1990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bl>
    <w:p>
      <w:pPr>
        <w:spacing w:after="0" w:line="200" w:lineRule="exact"/>
        <w:rPr>
          <w:sz w:val="20"/>
          <w:szCs w:val="20"/>
          <w:color w:val="auto"/>
        </w:rPr>
      </w:pPr>
    </w:p>
    <w:p>
      <w:pPr>
        <w:sectPr>
          <w:pgSz w:w="11900" w:h="16838" w:orient="portrait"/>
          <w:cols w:equalWidth="0" w:num="1">
            <w:col w:w="9979"/>
          </w:cols>
          <w:pgMar w:left="480" w:top="286" w:right="1440" w:bottom="1440" w:gutter="0" w:footer="0" w:header="0"/>
        </w:sectPr>
      </w:pPr>
    </w:p>
    <w:p>
      <w:pPr>
        <w:spacing w:after="0" w:line="1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9979"/>
          </w:cols>
          <w:pgMar w:left="480" w:top="286" w:right="1440"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62"/>
        </w:trPr>
        <w:tc>
          <w:tcPr>
            <w:tcW w:w="12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122</w:t>
            </w:r>
          </w:p>
        </w:tc>
        <w:tc>
          <w:tcPr>
            <w:tcW w:w="5380" w:type="dxa"/>
            <w:vAlign w:val="bottom"/>
          </w:tcPr>
          <w:p>
            <w:pPr>
              <w:spacing w:after="0"/>
              <w:rPr>
                <w:sz w:val="14"/>
                <w:szCs w:val="14"/>
                <w:color w:val="auto"/>
              </w:rPr>
            </w:pPr>
          </w:p>
        </w:tc>
      </w:tr>
      <w:tr>
        <w:trPr>
          <w:trHeight w:val="668"/>
        </w:trPr>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EXHIBIT NO.*</w:t>
            </w:r>
          </w:p>
        </w:tc>
        <w:tc>
          <w:tcPr>
            <w:tcW w:w="5380" w:type="dxa"/>
            <w:vAlign w:val="bottom"/>
          </w:tcPr>
          <w:p>
            <w:pPr>
              <w:ind w:left="22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380" w:type="dxa"/>
            <w:vAlign w:val="bottom"/>
          </w:tcPr>
          <w:p>
            <w:pPr>
              <w:ind w:left="226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10.20</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 dated as of November 1, 1990 to the WTI 1988</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19.04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1990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10.21</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 dated as of November 1, 1990 to the WTI 1986</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19.03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1990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10.22</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 dated as of December 6, 1991 to the WTI 1986</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19.01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1991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10.23</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 dated as of December 6, 1991 to the WTI 1988</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19.02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1991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-- 1997 Employee Stock Purchase Plan [Incorporated by</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reference to Exhibit 10.10 of the Registrant's Annual</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Report on Form 10-K for the year ended December 31,</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10.25</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-- 401(k) Restoration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10.11 of the Registrant's Annual Report on Form</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10-K for the year ended December 31, 1997].</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10.26</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TransAmerican Waste Industries, Inc. Amended and Restated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1990 Stock Incentive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99.1 of the Registrant's Registration Statement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on Form S-8, File No. 333-51975].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10.27</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TransAmerican Waste Industries, Inc. 1997 Non-Employee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Director Stock Option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99.2 of the Registrant's Registration Statement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on Form S-8, File No. 333-51975].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10.28</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Eastern Environmental Services, Inc. 1997 Stock Option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Plan [Incorporated by reference to Exhibit 4.1 to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S-8, File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No.333-70055].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10.29</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Eastern Environmental Services, Inc. Amended and Restated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1996 Stock Option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4.2 to the Registrant's Registration Statement 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Form S-8, File No. 333-70055].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10.30</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Eastern Environmental Services, Inc. 1991 Stock Option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Plan [Incorporated by reference to Exhibit 4.3 to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S-8, File No.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333-70055].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Third Amended and Restated Revolving Credit Agreement,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dated as of December 15, 1999 among the Registrant,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Guarantors Bank of America, N.A., Morgan Guaranty Trust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Company of New York and other financial institutions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10.32 of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S-4, Reg. No.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333-87319].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10.32</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Amended and Restated Loan Agreement dated as of December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15, 1999, among the Registrant, the Guarantors, Bank</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Boston, N.A. Bank of America National Trust and Savings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Association, Chase Bank of Texas, N.A., Deutsche Bank AG,</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New York Branch, Morgan Guaranty Trust Company of New</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York and other financial institutions [Incorporated by</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reference to Exhibit 10.33 of the Registrant's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Registration Statement on Form S-4, Reg. No. 333-87319].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10.33</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-- 1998 Waste Management, Inc. Directors' Deferred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Compensation Plan [Incorporated by reference to Exhibit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10.1 to the Registrant's Quarterly Report on Form 10-Q</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for the Quarter ended March 31, 1999].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10.34</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-- 1999 Waste Management, Inc. Directors Deferred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Compensation Plan [Incorporated by reference to Exhibit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10.2 to the Registrants Quarterly Report on Form 10-Q for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quarter ended March 31, 1999.]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10.35</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A. Maurice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Myers, dated November 8, 1999.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10.36</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Lawrence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O'Donnell, III, dated January 21, 2000.</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10.37</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William L.</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Trubeck, dated February 16, 2000.</w:t>
            </w:r>
          </w:p>
        </w:tc>
      </w:tr>
    </w:tbl>
    <w:p>
      <w:pPr>
        <w:spacing w:after="0" w:line="200" w:lineRule="exact"/>
        <w:rPr>
          <w:sz w:val="20"/>
          <w:szCs w:val="20"/>
          <w:color w:val="auto"/>
        </w:rPr>
      </w:pPr>
    </w:p>
    <w:p>
      <w:pPr>
        <w:sectPr>
          <w:pgSz w:w="11900" w:h="16838" w:orient="portrait"/>
          <w:cols w:equalWidth="0" w:num="1">
            <w:col w:w="9979"/>
          </w:cols>
          <w:pgMar w:left="480" w:top="286" w:right="1440" w:bottom="1440" w:gutter="0" w:footer="0" w:header="0"/>
        </w:sectPr>
      </w:pPr>
    </w:p>
    <w:p>
      <w:pPr>
        <w:spacing w:after="0" w:line="1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9979"/>
          </w:cols>
          <w:pgMar w:left="480" w:top="286" w:right="1440" w:bottom="1440" w:gutter="0" w:footer="0" w:header="0"/>
          <w:type w:val="continuous"/>
        </w:sectPr>
      </w:pPr>
    </w:p>
    <w:bookmarkStart w:id="126" w:name="page127"/>
    <w:bookmarkEnd w:id="126"/>
    <w:tbl>
      <w:tblPr>
        <w:tblLayout w:type="fixed"/>
        <w:tblInd w:w="180" w:type="dxa"/>
        <w:tblCellMar>
          <w:top w:w="0" w:type="dxa"/>
          <w:left w:w="0" w:type="dxa"/>
          <w:bottom w:w="0" w:type="dxa"/>
          <w:right w:w="0" w:type="dxa"/>
        </w:tblCellMar>
      </w:tblPr>
      <w:tr>
        <w:trPr>
          <w:trHeight w:val="162"/>
        </w:trPr>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123</w:t>
            </w:r>
          </w:p>
        </w:tc>
        <w:tc>
          <w:tcPr>
            <w:tcW w:w="74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668"/>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740" w:type="dxa"/>
            <w:vAlign w:val="bottom"/>
          </w:tcPr>
          <w:p>
            <w:pPr>
              <w:spacing w:after="0"/>
              <w:rPr>
                <w:sz w:val="24"/>
                <w:szCs w:val="24"/>
                <w:color w:val="auto"/>
              </w:rPr>
            </w:pPr>
          </w:p>
        </w:tc>
        <w:tc>
          <w:tcPr>
            <w:tcW w:w="4640" w:type="dxa"/>
            <w:vAlign w:val="bottom"/>
          </w:tcPr>
          <w:p>
            <w:pPr>
              <w:ind w:left="152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4640" w:type="dxa"/>
            <w:vAlign w:val="bottom"/>
          </w:tcPr>
          <w:p>
            <w:pPr>
              <w:ind w:left="152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10.38</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Term Sheet for Employment of Thomas L. Smith by the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Company.</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10.39</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Robert A.</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Damico, dated December 17, 1998.</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10.40</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Charles A.</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Wilcox, dated February 3, 1998.</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Douglas G.</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Sobey, dated May 7, 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10.42</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Miller J.</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Mathews, Jr., dated October 1, 1998.</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10.43</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David R.</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Hopkins, dated January 1, 1999.</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10.44</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Robert G.</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Simpson, dated October 15, 1998.</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10.45</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and Amendment to Employment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Agreement between the Company and Susan J. Piller, dated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 of June 1, 1997 and December 7, 1997, respectively</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[Incorporated by reference to Exhibits 10.19 and 10.20 to</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Registrant's Annual Report on Form 10-K for the year</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ended December 31, 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10.46</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Ronald H.</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Jones, dated as of August 27, 1997 and December 7, 1997</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[Incorporated by reference to Exhibits 10.25 to the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Registrant's Annual Report on Form 10-K for the year</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ended December 31, 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10.47</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and Amendment to Employment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Agreement between the Company and William A. Rothrock,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dated as of October 7, 1997 and December 12, 1997,</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respectively [Incorporated by reference to Exhibits 10.21</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10.22 to the Registrant's Annual Report on Form 10-K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 the year ended December 31, 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10.48</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and Amendment to Employment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Agreement between the Company and Bruce E. Snyder, dated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 of June 1, 1997 and December 1, 1997 [Incorporated by</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reference to Exhibits 10.26 and 10.27 to the Registrant's</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Annual Report on Form 10-K for the year ended December</w:t>
            </w:r>
          </w:p>
        </w:tc>
      </w:tr>
      <w:tr>
        <w:trPr>
          <w:trHeight w:val="167"/>
        </w:trPr>
        <w:tc>
          <w:tcPr>
            <w:tcW w:w="122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31,</w:t>
            </w:r>
          </w:p>
        </w:tc>
        <w:tc>
          <w:tcPr>
            <w:tcW w:w="4640" w:type="dxa"/>
            <w:vAlign w:val="bottom"/>
          </w:tcPr>
          <w:p>
            <w:pPr>
              <w:jc w:val="right"/>
              <w:ind w:right="40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10.49</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-- 2000 Broad-Based Employee Plan</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12.1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Computation of Ratio of Earnings to Fixed Charges.</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21.1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Subsidiaries of the Registrant.</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23.1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Consent of Arthur Andersen LLP.</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23.2</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Consent of PricewaterhouseCoopers LLP.</w:t>
            </w:r>
          </w:p>
        </w:tc>
      </w:tr>
    </w:tbl>
    <w:p>
      <w:pPr>
        <w:spacing w:after="0" w:line="4" w:lineRule="exact"/>
        <w:rPr>
          <w:sz w:val="20"/>
          <w:szCs w:val="20"/>
          <w:color w:val="auto"/>
        </w:rPr>
      </w:pPr>
    </w:p>
    <w:p>
      <w:pPr>
        <w:ind w:left="1580" w:hanging="1050"/>
        <w:spacing w:after="0"/>
        <w:tabs>
          <w:tab w:leader="none" w:pos="1580" w:val="left"/>
        </w:tabs>
        <w:numPr>
          <w:ilvl w:val="2"/>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Financial Data Schedule.</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60" w:right="3199"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 the case of incorporation by reference to documents filed under the Securities Exchange Act of 1934, the Registrant's file number under that Act is 1-12154. Waste Management Holdings' file number under the Exchange Act is 1-7327, Chemical Waste Management, Inc.'s file number is 1-9253 and Wheelabrator Technologies Inc.'s file number is 0-14246.</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 Reports on Form 8-K:</w:t>
      </w:r>
    </w:p>
    <w:p>
      <w:pPr>
        <w:spacing w:after="0" w:line="175"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During the fourth quarter of 1999, the Company filed a Current Report on Form 8-K dated October 20, 1999 to report the resignation of Messrs. Heckmann, Kinder and Drury from the Board of Directors of the Company effective August 13, September 23 and October 19, 1999, respectively. The Company also reported that consistent with its plan to reduce the size of its Board of Directors, none of Messrs. Heckmann's, Kinder's or Drury's board positions would be filled.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10159"/>
          </w:cols>
          <w:pgMar w:left="300" w:top="286"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124</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199" w:firstLine="434"/>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3820"/>
        <w:spacing w:after="0"/>
        <w:tabs>
          <w:tab w:leader="none" w:pos="44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 MAURICE MYERS</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A. Maurice Myers</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8" w:lineRule="exact"/>
        <w:rPr>
          <w:sz w:val="20"/>
          <w:szCs w:val="20"/>
          <w:color w:val="auto"/>
        </w:rPr>
      </w:pPr>
    </w:p>
    <w:p>
      <w:pPr>
        <w:ind w:left="538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Chairman of the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30, 2000</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96" w:lineRule="exact"/>
        <w:rPr>
          <w:sz w:val="20"/>
          <w:szCs w:val="20"/>
          <w:color w:val="auto"/>
        </w:rPr>
      </w:pPr>
    </w:p>
    <w:p>
      <w:pPr>
        <w:ind w:left="1920"/>
        <w:spacing w:after="0"/>
        <w:tabs>
          <w:tab w:leader="none" w:pos="5720" w:val="left"/>
          <w:tab w:leader="none" w:pos="798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8" w:lineRule="exact"/>
        <w:rPr>
          <w:sz w:val="20"/>
          <w:szCs w:val="20"/>
          <w:color w:val="auto"/>
        </w:rPr>
      </w:pPr>
    </w:p>
    <w:p>
      <w:pPr>
        <w:ind w:left="1920"/>
        <w:spacing w:after="0"/>
        <w:tabs>
          <w:tab w:leader="none" w:pos="5720" w:val="left"/>
          <w:tab w:leader="none" w:pos="7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A. MAURICE MYERS</w:t>
      </w:r>
      <w:r>
        <w:rPr>
          <w:sz w:val="20"/>
          <w:szCs w:val="20"/>
          <w:color w:val="auto"/>
        </w:rPr>
        <w:tab/>
      </w:r>
      <w:r>
        <w:rPr>
          <w:rFonts w:ascii="Courier New" w:cs="Courier New" w:eastAsia="Courier New" w:hAnsi="Courier New"/>
          <w:sz w:val="14"/>
          <w:szCs w:val="14"/>
          <w:color w:val="auto"/>
        </w:rPr>
        <w:t>President, Chief Executive</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tabs>
          <w:tab w:leader="none" w:pos="51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Officer, Chairman of the</w:t>
      </w:r>
    </w:p>
    <w:p>
      <w:pPr>
        <w:spacing w:after="0" w:line="8" w:lineRule="exact"/>
        <w:rPr>
          <w:sz w:val="20"/>
          <w:szCs w:val="20"/>
          <w:color w:val="auto"/>
        </w:rPr>
      </w:pPr>
    </w:p>
    <w:p>
      <w:pPr>
        <w:ind w:left="1580"/>
        <w:spacing w:after="0"/>
        <w:tabs>
          <w:tab w:leader="none" w:pos="4940" w:val="left"/>
        </w:tabs>
        <w:rPr>
          <w:sz w:val="20"/>
          <w:szCs w:val="20"/>
          <w:color w:val="auto"/>
        </w:rPr>
      </w:pPr>
      <w:r>
        <w:rPr>
          <w:rFonts w:ascii="Courier New" w:cs="Courier New" w:eastAsia="Courier New" w:hAnsi="Courier New"/>
          <w:sz w:val="14"/>
          <w:szCs w:val="14"/>
          <w:color w:val="auto"/>
        </w:rPr>
        <w:t>A. Maurice Myers</w:t>
      </w:r>
      <w:r>
        <w:rPr>
          <w:sz w:val="20"/>
          <w:szCs w:val="20"/>
          <w:color w:val="auto"/>
        </w:rPr>
        <w:tab/>
      </w:r>
      <w:r>
        <w:rPr>
          <w:rFonts w:ascii="Courier New" w:cs="Courier New" w:eastAsia="Courier New" w:hAnsi="Courier New"/>
          <w:sz w:val="14"/>
          <w:szCs w:val="14"/>
          <w:color w:val="auto"/>
        </w:rPr>
        <w:t>Board, and Director</w:t>
      </w:r>
    </w:p>
    <w:p>
      <w:pPr>
        <w:spacing w:after="0" w:line="8"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(Principal Executive</w:t>
      </w:r>
    </w:p>
    <w:p>
      <w:pPr>
        <w:spacing w:after="0" w:line="8"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Officer)</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WILLIAM L. TRUBECK</w:t>
      </w:r>
      <w:r>
        <w:rPr>
          <w:sz w:val="20"/>
          <w:szCs w:val="20"/>
          <w:color w:val="auto"/>
        </w:rPr>
        <w:tab/>
      </w:r>
      <w:r>
        <w:rPr>
          <w:rFonts w:ascii="Courier New" w:cs="Courier New" w:eastAsia="Courier New" w:hAnsi="Courier New"/>
          <w:sz w:val="14"/>
          <w:szCs w:val="14"/>
          <w:color w:val="auto"/>
        </w:rPr>
        <w:t>Senior Vice President and</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tabs>
          <w:tab w:leader="none" w:pos="51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ind w:left="1480"/>
        <w:spacing w:after="0"/>
        <w:tabs>
          <w:tab w:leader="none" w:pos="4940" w:val="left"/>
        </w:tabs>
        <w:rPr>
          <w:sz w:val="20"/>
          <w:szCs w:val="20"/>
          <w:color w:val="auto"/>
        </w:rPr>
      </w:pPr>
      <w:r>
        <w:rPr>
          <w:rFonts w:ascii="Courier New" w:cs="Courier New" w:eastAsia="Courier New" w:hAnsi="Courier New"/>
          <w:sz w:val="14"/>
          <w:szCs w:val="14"/>
          <w:color w:val="auto"/>
        </w:rPr>
        <w:t>William L. Trubeck</w:t>
      </w:r>
      <w:r>
        <w:rPr>
          <w:sz w:val="20"/>
          <w:szCs w:val="20"/>
          <w:color w:val="auto"/>
        </w:rPr>
        <w:tab/>
      </w:r>
      <w:r>
        <w:rPr>
          <w:rFonts w:ascii="Courier New" w:cs="Courier New" w:eastAsia="Courier New" w:hAnsi="Courier New"/>
          <w:sz w:val="14"/>
          <w:szCs w:val="14"/>
          <w:color w:val="auto"/>
        </w:rPr>
        <w:t>(Principal Financial</w:t>
      </w:r>
    </w:p>
    <w:p>
      <w:pPr>
        <w:spacing w:after="0" w:line="8"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Officer)</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BRUCE E. SNYDER</w:t>
      </w:r>
      <w:r>
        <w:rPr>
          <w:sz w:val="20"/>
          <w:szCs w:val="20"/>
          <w:color w:val="auto"/>
        </w:rPr>
        <w:tab/>
      </w:r>
      <w:r>
        <w:rPr>
          <w:rFonts w:ascii="Courier New" w:cs="Courier New" w:eastAsia="Courier New" w:hAnsi="Courier New"/>
          <w:sz w:val="14"/>
          <w:szCs w:val="14"/>
          <w:color w:val="auto"/>
        </w:rPr>
        <w:t>Vice President and Chief</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tabs>
          <w:tab w:leader="none" w:pos="51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Accounting Officer</w:t>
      </w:r>
    </w:p>
    <w:p>
      <w:pPr>
        <w:spacing w:after="0" w:line="8" w:lineRule="exact"/>
        <w:rPr>
          <w:sz w:val="20"/>
          <w:szCs w:val="20"/>
          <w:color w:val="auto"/>
        </w:rPr>
      </w:pPr>
    </w:p>
    <w:p>
      <w:pPr>
        <w:ind w:left="1660"/>
        <w:spacing w:after="0"/>
        <w:tabs>
          <w:tab w:leader="none" w:pos="4940" w:val="left"/>
        </w:tabs>
        <w:rPr>
          <w:sz w:val="20"/>
          <w:szCs w:val="20"/>
          <w:color w:val="auto"/>
        </w:rPr>
      </w:pPr>
      <w:r>
        <w:rPr>
          <w:rFonts w:ascii="Courier New" w:cs="Courier New" w:eastAsia="Courier New" w:hAnsi="Courier New"/>
          <w:sz w:val="14"/>
          <w:szCs w:val="14"/>
          <w:color w:val="auto"/>
        </w:rPr>
        <w:t>Bruce E. Snyder</w:t>
      </w:r>
      <w:r>
        <w:rPr>
          <w:sz w:val="20"/>
          <w:szCs w:val="20"/>
          <w:color w:val="auto"/>
        </w:rPr>
        <w:tab/>
      </w:r>
      <w:r>
        <w:rPr>
          <w:rFonts w:ascii="Courier New" w:cs="Courier New" w:eastAsia="Courier New" w:hAnsi="Courier New"/>
          <w:sz w:val="14"/>
          <w:szCs w:val="14"/>
          <w:color w:val="auto"/>
        </w:rPr>
        <w:t>(Principal Accounting</w:t>
      </w:r>
    </w:p>
    <w:p>
      <w:pPr>
        <w:spacing w:after="0" w:line="8"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4"/>
          <w:szCs w:val="14"/>
          <w:color w:val="auto"/>
        </w:rPr>
        <w:t>Officer)</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H. JESSE ARNELLE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 Jesse Arnelle</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PASTORA SAN JUAN CAFFERTY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Pastora San Juan Cafferty</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RALPH F. COX</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Ralph F. Cox</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RODERICK M. HILLS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Roderick M. Hills</w:t>
      </w:r>
    </w:p>
    <w:p>
      <w:pPr>
        <w:spacing w:after="0" w:line="175" w:lineRule="exact"/>
        <w:rPr>
          <w:sz w:val="20"/>
          <w:szCs w:val="20"/>
          <w:color w:val="auto"/>
        </w:rPr>
      </w:pPr>
    </w:p>
    <w:p>
      <w:pPr>
        <w:jc w:val="both"/>
        <w:ind w:left="4780"/>
        <w:spacing w:after="0"/>
        <w:tabs>
          <w:tab w:leader="none" w:pos="7540" w:val="left"/>
        </w:tabs>
        <w:rPr>
          <w:sz w:val="20"/>
          <w:szCs w:val="20"/>
          <w:color w:val="auto"/>
        </w:rPr>
      </w:pP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Robert S. Miller</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PAUL M. MONTRONE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Paul M. Montrone</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JOHN C. POPE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John C. Pope</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STEVEN G. ROTHMEIER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Steven G. Rothmeier</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RALPH V. WHITWORTH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Ralph V. Whitworth</w:t>
      </w:r>
    </w:p>
    <w:p>
      <w:pPr>
        <w:spacing w:after="0" w:line="175" w:lineRule="exact"/>
        <w:rPr>
          <w:sz w:val="20"/>
          <w:szCs w:val="20"/>
          <w:color w:val="auto"/>
        </w:rPr>
      </w:pPr>
    </w:p>
    <w:p>
      <w:pPr>
        <w:jc w:val="right"/>
        <w:ind w:right="1379"/>
        <w:spacing w:after="0"/>
        <w:tabs>
          <w:tab w:leader="none" w:pos="3980" w:val="left"/>
          <w:tab w:leader="none" w:pos="1200" w:val="left"/>
        </w:tabs>
        <w:rPr>
          <w:sz w:val="20"/>
          <w:szCs w:val="20"/>
          <w:color w:val="auto"/>
        </w:rPr>
      </w:pPr>
      <w:r>
        <w:rPr>
          <w:rFonts w:ascii="Courier New" w:cs="Courier New" w:eastAsia="Courier New" w:hAnsi="Courier New"/>
          <w:sz w:val="14"/>
          <w:szCs w:val="14"/>
          <w:color w:val="auto"/>
        </w:rPr>
        <w:t>/s/ JEROME B. YORK</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Jerome B. York</w:t>
      </w:r>
    </w:p>
    <w:p>
      <w:pPr>
        <w:sectPr>
          <w:pgSz w:w="11900" w:h="16838" w:orient="portrait"/>
          <w:cols w:equalWidth="0" w:num="1">
            <w:col w:w="10159"/>
          </w:cols>
          <w:pgMar w:left="300" w:top="286" w:right="1440" w:bottom="1440" w:gutter="0" w:footer="0" w:header="0"/>
        </w:sectPr>
      </w:pP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0159"/>
          </w:cols>
          <w:pgMar w:left="300" w:top="286"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125</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and Board of Directors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Waste Management, Inc.:</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We have audited in accordance with auditing standards generally accepted in the United States, the consolidated financial statements of Waste Management, Inc. and subsidiaries included in this Annual Report on Form 10-K and have issued our report thereon dated March 27, 2000, in which we expressed an unqualified opinion based upon our audits and the report of other auditors. Our report contained an explanatory paragraph indicating that we attempted, but were unable, to review the quarterly financial data for the interim periods within 1999 included in Note 20 to the Company's consolidated financial statements. Our audits were made for the purpose of forming an opinion on the basic financial statements taken as a whole. Schedule II is the responsibility of the Company's management and is presented for purposes of complying with the Securities and Exchange Commission's rules and is not part of the basic financial statements. Schedule II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27, 2000</w:t>
      </w:r>
    </w:p>
    <w:p>
      <w:pPr>
        <w:sectPr>
          <w:pgSz w:w="11900" w:h="16838" w:orient="portrait"/>
          <w:cols w:equalWidth="0" w:num="1">
            <w:col w:w="10159"/>
          </w:cols>
          <w:pgMar w:left="300" w:top="286"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126</w:t>
      </w:r>
    </w:p>
    <w:p>
      <w:pPr>
        <w:spacing w:after="0" w:line="8"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WASTE MANAGEMENT, INC.</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680" w:type="dxa"/>
            <w:vAlign w:val="bottom"/>
          </w:tcPr>
          <w:p>
            <w:pPr>
              <w:ind w:left="2480"/>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8"/>
        </w:trPr>
        <w:tc>
          <w:tcPr>
            <w:tcW w:w="4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Charged</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Accounts</w:t>
            </w:r>
          </w:p>
        </w:tc>
        <w:tc>
          <w:tcPr>
            <w:tcW w:w="114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Effect of</w:t>
            </w:r>
          </w:p>
        </w:tc>
        <w:tc>
          <w:tcPr>
            <w:tcW w:w="940" w:type="dxa"/>
            <w:vAlign w:val="bottom"/>
          </w:tcPr>
          <w:p>
            <w:pPr>
              <w:spacing w:after="0"/>
              <w:rPr>
                <w:sz w:val="24"/>
                <w:szCs w:val="24"/>
                <w:color w:val="auto"/>
              </w:rPr>
            </w:pPr>
          </w:p>
        </w:tc>
      </w:tr>
      <w:tr>
        <w:trPr>
          <w:trHeight w:val="167"/>
        </w:trPr>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Balance</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(Credited)</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Written Off/</w:t>
            </w:r>
          </w:p>
        </w:tc>
        <w:tc>
          <w:tcPr>
            <w:tcW w:w="114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Balance</w:t>
            </w:r>
          </w:p>
        </w:tc>
      </w:tr>
      <w:tr>
        <w:trPr>
          <w:trHeight w:val="167"/>
        </w:trPr>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Beginning</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to</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Use of</w:t>
            </w:r>
          </w:p>
        </w:tc>
        <w:tc>
          <w:tcPr>
            <w:tcW w:w="114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Currency</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End of</w:t>
            </w:r>
          </w:p>
        </w:tc>
      </w:tr>
      <w:tr>
        <w:trPr>
          <w:trHeight w:val="167"/>
        </w:trPr>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of Year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Reserve</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Other (A)</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Translation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Reserve for doubtful accounts(B)</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76,662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69,592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(56,586)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7,336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94,399</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Reserve for doubtful accounts(B)</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94,399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70,727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(51,657)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118,917</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Reserve for doubtful accounts(B)</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118,917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268,379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(96,272)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7,222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294,999</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Merger and restructuring accruals(C)</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69,843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160,528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(109,039)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121,332</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Merger and restructuring accruals(C)</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121,332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675,200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(536,401)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261,237</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Merger and restructuring accruals(C)</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261,237</w:t>
            </w:r>
          </w:p>
        </w:tc>
        <w:tc>
          <w:tcPr>
            <w:tcW w:w="1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(8,182)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(141,348)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108,580</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Reserve for major maintenance</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00" w:type="dxa"/>
            <w:vAlign w:val="bottom"/>
          </w:tcPr>
          <w:p>
            <w:pPr>
              <w:spacing w:after="0"/>
              <w:rPr>
                <w:sz w:val="14"/>
                <w:szCs w:val="14"/>
                <w:color w:val="auto"/>
              </w:rPr>
            </w:pPr>
          </w:p>
        </w:tc>
        <w:tc>
          <w:tcPr>
            <w:tcW w:w="3680" w:type="dxa"/>
            <w:vAlign w:val="bottom"/>
          </w:tcPr>
          <w:p>
            <w:pPr>
              <w:ind w:left="400"/>
              <w:spacing w:after="0"/>
              <w:rPr>
                <w:sz w:val="20"/>
                <w:szCs w:val="20"/>
                <w:color w:val="auto"/>
              </w:rPr>
            </w:pPr>
            <w:r>
              <w:rPr>
                <w:rFonts w:ascii="Courier New" w:cs="Courier New" w:eastAsia="Courier New" w:hAnsi="Courier New"/>
                <w:sz w:val="14"/>
                <w:szCs w:val="14"/>
                <w:color w:val="auto"/>
              </w:rPr>
              <w:t>expenditures(D)</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63,790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64,795</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Reserve for major maintenance</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3680" w:type="dxa"/>
            <w:vAlign w:val="bottom"/>
          </w:tcPr>
          <w:p>
            <w:pPr>
              <w:ind w:left="400"/>
              <w:spacing w:after="0"/>
              <w:rPr>
                <w:sz w:val="20"/>
                <w:szCs w:val="20"/>
                <w:color w:val="auto"/>
              </w:rPr>
            </w:pPr>
            <w:r>
              <w:rPr>
                <w:rFonts w:ascii="Courier New" w:cs="Courier New" w:eastAsia="Courier New" w:hAnsi="Courier New"/>
                <w:sz w:val="14"/>
                <w:szCs w:val="14"/>
                <w:color w:val="auto"/>
              </w:rPr>
              <w:t>expenditures(D)</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64,795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4,289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(9,658)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59,426</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680" w:type="dxa"/>
            <w:vAlign w:val="bottom"/>
          </w:tcPr>
          <w:p>
            <w:pPr>
              <w:ind w:left="40"/>
              <w:spacing w:after="0"/>
              <w:rPr>
                <w:sz w:val="20"/>
                <w:szCs w:val="20"/>
                <w:color w:val="auto"/>
              </w:rPr>
            </w:pPr>
            <w:r>
              <w:rPr>
                <w:rFonts w:ascii="Courier New" w:cs="Courier New" w:eastAsia="Courier New" w:hAnsi="Courier New"/>
                <w:sz w:val="14"/>
                <w:szCs w:val="14"/>
                <w:color w:val="auto"/>
              </w:rPr>
              <w:t>- Reserve for major maintenance</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3680" w:type="dxa"/>
            <w:vAlign w:val="bottom"/>
          </w:tcPr>
          <w:p>
            <w:pPr>
              <w:ind w:left="400"/>
              <w:spacing w:after="0"/>
              <w:rPr>
                <w:sz w:val="20"/>
                <w:szCs w:val="20"/>
                <w:color w:val="auto"/>
              </w:rPr>
            </w:pPr>
            <w:r>
              <w:rPr>
                <w:rFonts w:ascii="Courier New" w:cs="Courier New" w:eastAsia="Courier New" w:hAnsi="Courier New"/>
                <w:sz w:val="14"/>
                <w:szCs w:val="14"/>
                <w:color w:val="auto"/>
              </w:rPr>
              <w:t>expenditures(D)</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59,426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8,881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(14,877)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53,430</w:t>
            </w:r>
          </w:p>
        </w:tc>
      </w:tr>
    </w:tbl>
    <w:p>
      <w:pPr>
        <w:spacing w:after="0" w:line="338" w:lineRule="exact"/>
        <w:rPr>
          <w:sz w:val="20"/>
          <w:szCs w:val="20"/>
          <w:color w:val="auto"/>
        </w:rPr>
      </w:pPr>
    </w:p>
    <w:p>
      <w:pPr>
        <w:ind w:left="440" w:right="4500" w:hanging="431"/>
        <w:spacing w:after="0" w:line="255"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reserves for doubtful accounts relative to purchase business combinations, reserves associated with dispositions of businesses, and reserves reclassified to operations held for sale.</w:t>
      </w:r>
    </w:p>
    <w:p>
      <w:pPr>
        <w:spacing w:after="0" w:line="16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reserves for doubtful long-term notes receivable.</w:t>
      </w:r>
    </w:p>
    <w:p>
      <w:pPr>
        <w:spacing w:after="0" w:line="175" w:lineRule="exact"/>
        <w:rPr>
          <w:rFonts w:ascii="Courier New" w:cs="Courier New" w:eastAsia="Courier New" w:hAnsi="Courier New"/>
          <w:sz w:val="14"/>
          <w:szCs w:val="14"/>
          <w:color w:val="auto"/>
        </w:rPr>
      </w:pPr>
    </w:p>
    <w:p>
      <w:pPr>
        <w:ind w:left="440" w:right="4420" w:hanging="431"/>
        <w:spacing w:after="0" w:line="255"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Accruals are included in accrued liabilities and other liabilities. These accruals represent transaction or deal costs, employee severance, separation, and transitional costs and restructuring charges.</w:t>
      </w:r>
    </w:p>
    <w:p>
      <w:pPr>
        <w:spacing w:after="0" w:line="161" w:lineRule="exact"/>
        <w:rPr>
          <w:rFonts w:ascii="Courier New" w:cs="Courier New" w:eastAsia="Courier New" w:hAnsi="Courier New"/>
          <w:sz w:val="14"/>
          <w:szCs w:val="14"/>
          <w:color w:val="auto"/>
        </w:rPr>
      </w:pPr>
    </w:p>
    <w:p>
      <w:pPr>
        <w:ind w:left="440" w:right="5380" w:hanging="431"/>
        <w:spacing w:after="0" w:line="258"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Accruals for major maintenance expenditures at the Company's waste-to-energy and independent power facilities.</w:t>
      </w:r>
    </w:p>
    <w:p>
      <w:pPr>
        <w:sectPr>
          <w:pgSz w:w="11900" w:h="16838" w:orient="portrait"/>
          <w:cols w:equalWidth="0" w:num="1">
            <w:col w:w="11020"/>
          </w:cols>
          <w:pgMar w:left="300" w:top="286" w:right="579" w:bottom="1440" w:gutter="0" w:footer="0" w:header="0"/>
        </w:sectPr>
      </w:pPr>
    </w:p>
    <w:bookmarkStart w:id="130" w:name="page131"/>
    <w:bookmarkEnd w:id="130"/>
    <w:p>
      <w:pPr>
        <w:ind w:left="80"/>
        <w:spacing w:after="0"/>
        <w:rPr>
          <w:sz w:val="20"/>
          <w:szCs w:val="20"/>
          <w:color w:val="auto"/>
        </w:rPr>
      </w:pPr>
      <w:r>
        <w:rPr>
          <w:rFonts w:ascii="Courier New" w:cs="Courier New" w:eastAsia="Courier New" w:hAnsi="Courier New"/>
          <w:sz w:val="14"/>
          <w:szCs w:val="14"/>
          <w:color w:val="auto"/>
        </w:rPr>
        <w:t>127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538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INDEX TO EXHIBITS</w:t>
            </w:r>
          </w:p>
        </w:tc>
      </w:tr>
      <w:tr>
        <w:trPr>
          <w:trHeight w:val="668"/>
        </w:trPr>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EXHIBIT NO.*</w:t>
            </w:r>
          </w:p>
        </w:tc>
        <w:tc>
          <w:tcPr>
            <w:tcW w:w="1520" w:type="dxa"/>
            <w:vAlign w:val="bottom"/>
          </w:tcPr>
          <w:p>
            <w:pPr>
              <w:spacing w:after="0"/>
              <w:rPr>
                <w:sz w:val="24"/>
                <w:szCs w:val="24"/>
                <w:color w:val="auto"/>
              </w:rPr>
            </w:pPr>
          </w:p>
        </w:tc>
        <w:tc>
          <w:tcPr>
            <w:tcW w:w="3860" w:type="dxa"/>
            <w:vAlign w:val="bottom"/>
          </w:tcPr>
          <w:p>
            <w:pPr>
              <w:ind w:left="74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38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Agreement and Plan of Merger, dated as of April 13, 1997,</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by and among</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the Registrant, Riviera Acquisition</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Corporation and United Waste Systems, Inc. [Incorporated</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by reference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to Appendix A in the Registrant's</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Registration</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Statement on Form S-4, File No. 333-31979].</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Agreement and Plan of Merger, dated March 10, 1998, by</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among the Registrant, Dome Merger Subsidiary, Inc.</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Waste Management, Inc. [Incorporated by reference to</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Exhibit 99.1</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of the Registrant's Current Report on Form</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8-K dated March 10,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Agreement and Plan of Merger, dated as of February 16,</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1998, by and</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among the Registrant, C&amp;S Ohio Corp. and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American Waste Services, Inc. [Incorporated by reference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to Exhibit 10.70 to American Waste Services' Current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Report on Form 8-K, dated February 6,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Agreement and Plan of Merger, dated as of August 16,</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1998, by and</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among the Registrant, Ocho Acquisition</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Corporation and Eastern Environmental Services, Inc.</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[Incorporated by reference to Annex A in the Registrant's</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Registration</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Statement on Form S-4, File No. 333-64239].</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Scheme of Arrangement between Waste Management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International plc and the Holders of the Scheme Shares</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dated September 7, 1998 [Incorporated by reference to the</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Registrant's</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Schedule 13E-3 Transaction Statement dated</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September 7,</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Agreement and Plan of Merger by and among the Registrant,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TransAmerican Acquisition Corp., and TransAmerican Waste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Industries, Inc. dated January 1998 [Incorporated by</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reference to</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the Registrant's Registration Statement on</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Form S-4, File No. 333-49253].</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Agreement and Plan of Merger by and among Waste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Management, Inc., WMI Merger Sub, Inc. and Wheelabrator</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Technologies</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Inc. dated December 8, 1997 [Incorporated by</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reference to</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Exhibit A of WTI's Proxy Statement on</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Schedule 14A</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filed on March 3,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Restated Certificate of Incorporation, as amended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[Incorporated by reference to Exhibit 3.2 of the</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Registrant's</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current Report on Form 8-K dated July 16,</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1998].</w:t>
            </w:r>
          </w:p>
        </w:tc>
        <w:tc>
          <w:tcPr>
            <w:tcW w:w="3860" w:type="dxa"/>
            <w:vAlign w:val="bottom"/>
          </w:tcPr>
          <w:p>
            <w:pPr>
              <w:spacing w:after="0"/>
              <w:rPr>
                <w:sz w:val="14"/>
                <w:szCs w:val="14"/>
                <w:color w:val="auto"/>
              </w:rPr>
            </w:pP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Bylaws [Incorporated by reference to Exhibit to</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Registrant's</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Form 10-Q for the quarter ended June 30,</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1999].</w:t>
            </w:r>
          </w:p>
        </w:tc>
        <w:tc>
          <w:tcPr>
            <w:tcW w:w="3860" w:type="dxa"/>
            <w:vAlign w:val="bottom"/>
          </w:tcPr>
          <w:p>
            <w:pPr>
              <w:spacing w:after="0"/>
              <w:rPr>
                <w:sz w:val="14"/>
                <w:szCs w:val="14"/>
                <w:color w:val="auto"/>
              </w:rPr>
            </w:pP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Specimen Stock Certificate [Incorporated by reference to</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Exhibit 4.1 to the Registrants Annual Report on Form 10-K</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for the year</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Indenture for Subordinated Debt Securities dated February</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 1997, among the Registrant and Texas Commerce Bank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National Association, as trustee [Incorporated by</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reference to</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Exhibit 4.1 of the Registrant's Current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Report on Form 8-K dated February 7, 1997].</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Indenture for Senior Debt Securities dated September 10,</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1997, among the Registrant and Texas Commerce Bank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National Association, as trustee [Incorporated by</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reference to</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Exhibit 4.1 of the Registrant's Current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Report on Form 8-K dated September 10, 1997].</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-- 1990 Stock Option Plan [Incorporated by reference to</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Exhibit 10.1</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of the Registrant's Annual report on Form</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10-K for the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year ended December 31, 1990].</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Conformed copy of 1993 Stock Incentive Plan, as amended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restated. [Incorporated by reference to Exhibit 10.2</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10.3) to the Registrant's Annual Report on Form 10-K</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for the year</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Conformed copy of 1996 Stock Option Plan for Non-Employee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Directors, as amended. [Incorporated by reference to</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Exhibit 10.2</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(and 10.3) to the Registrant's Annual Report</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on Form 10-K</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for the year ended December 31, 1998.]</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Envirofil, Inc. 1993 Stock Incentive Plan [Incorporated</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by reference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to Exhibit 4.1 of the Registrant's</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Registration</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Statement on Form S-8, File No. 33-84990].</w:t>
            </w:r>
          </w:p>
        </w:tc>
      </w:tr>
      <w:tr>
        <w:trPr>
          <w:trHeight w:val="167"/>
        </w:trPr>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Western Waste Industries Amended and Restated 1983</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Incentive Stock Option Plan [Incorporated by reference to</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Exhibit 99.1</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of the Registrant's Registration Statement</w:t>
            </w:r>
          </w:p>
        </w:tc>
      </w:tr>
      <w:tr>
        <w:trPr>
          <w:trHeight w:val="167"/>
        </w:trPr>
        <w:tc>
          <w:tcPr>
            <w:tcW w:w="1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on Form S-8,</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File No. 333-02181].</w:t>
            </w:r>
          </w:p>
        </w:tc>
      </w:tr>
    </w:tbl>
    <w:p>
      <w:pPr>
        <w:sectPr>
          <w:pgSz w:w="11900" w:h="16838" w:orient="portrait"/>
          <w:cols w:equalWidth="0" w:num="1">
            <w:col w:w="9979"/>
          </w:cols>
          <w:pgMar w:left="480" w:top="286" w:right="1440"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128</w:t>
            </w:r>
          </w:p>
        </w:tc>
        <w:tc>
          <w:tcPr>
            <w:tcW w:w="5380" w:type="dxa"/>
            <w:vAlign w:val="bottom"/>
          </w:tcPr>
          <w:p>
            <w:pPr>
              <w:spacing w:after="0"/>
              <w:rPr>
                <w:sz w:val="14"/>
                <w:szCs w:val="14"/>
                <w:color w:val="auto"/>
              </w:rPr>
            </w:pPr>
          </w:p>
        </w:tc>
      </w:tr>
      <w:tr>
        <w:trPr>
          <w:trHeight w:val="668"/>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5380" w:type="dxa"/>
            <w:vAlign w:val="bottom"/>
          </w:tcPr>
          <w:p>
            <w:pPr>
              <w:ind w:left="22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380" w:type="dxa"/>
            <w:vAlign w:val="bottom"/>
          </w:tcPr>
          <w:p>
            <w:pPr>
              <w:ind w:left="226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10.6</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Western Waste Industries 1983 Non-Qualified Stock Option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Plan [Incorporated by reference to Exhibit 99.2 of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S-8, File No.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333-02181].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10.7</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Western Waste Industries 1992 Option Plan [Incorporated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by reference to Exhibit 99.3 of the Registrant's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Registration Statement on Form S-8, File No. 333-02181].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10.8</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Sanifill, Inc. 1994 Long-Term Incentive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99.1 of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S-8, File No.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333-08161].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10.9</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Sanifill, Inc. 1989 Stock Option Plan [Incorporated by</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reference to Exhibit 99.2 of the Registrant's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Registration Statement on Form S-8, File No. 333-08161].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10.10</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Waste Management, Inc. 1997 Equity Incentive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A to Waste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Management Holdings' Proxy Statement for its 1997 Annual</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Meeting of Shareholders].</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10.11</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WMX Technologies, Inc. 1996 Replacement Stock Option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4.13 to Waste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Management Holdings' Registration Statement on Form S-8,</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File No. 333-01325].</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10.12</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WMX Technologies, Inc. 1992 Stock Option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10.31 to Waste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Management Holdings' Registration Statement on Form S-1,</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File No. 33-44849].</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10.13</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WMX Technologies, Inc. 1992 Stock Option Plan for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Non-Employee Directors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10.23 to Waste Management Holdings' 1996 Annual</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Report on Form 10-K].</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10.14</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Waste Management, Inc. 1982 Stock Option Plan, as amended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to March 11, 1988 [Incorporated by reference to Exhibit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10.3 to Waste Management Holdings' 1988 Annual Report 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Form 10-K].</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10.15</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Wheelabrator Technologies Inc. 1992 Stock Option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10.45 to the 1991</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Annual Report on Form 10-K of Wheelabrator Technologies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10.16</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Wheelabrator Technologies Inc. 1988 Stock Plan for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Executive Employees of WTI and its Subsidiaries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28.1 to Amendment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No. 1 to the Registration Statement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 on Form S-8, File No. 33-31523].</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10.17</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Chemical Waste Management, Inc. 1992 Stock Option Plan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10.19 to the 1991</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Annual Report on Form 10-K of Chemical Waste Management,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10.18</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-- 1991 Stock Option Plan for Non-Employee Directors of</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Wheelabrator Technologies, Inc. [Incorporated by</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reference to Exhibit 19.04 WTI's Quarterly Report for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quarterly period ended June 30, 1991].</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10.19</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Amendments dated as of September 7, 1990 to the WTI 1988</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19.02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1990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10.20</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 dated as of November 1, 1990 to the WTI 1988</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19.04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1990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10.21</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 dated as of November 1, 1990 to the WTI 1986</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19.03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1990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10.22</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 dated as of December 6, 1991 to the WTI 1986</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19.01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1991 Annual Report on Form 10-K of Wheelabrator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Technologies Inc.].</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10.23</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Amendment dated as of December 6, 1991 to the WTI 1988</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Stock Plan [Incorporated by reference to Exhibit 19.02 to</w:t>
            </w:r>
          </w:p>
        </w:tc>
      </w:tr>
    </w:tbl>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the 1991 Annual Report on Form 10-K of Wheelabrator</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Technologies Inc.].</w:t>
      </w:r>
    </w:p>
    <w:p>
      <w:pPr>
        <w:sectPr>
          <w:pgSz w:w="11900" w:h="16838" w:orient="portrait"/>
          <w:cols w:equalWidth="0" w:num="1">
            <w:col w:w="9979"/>
          </w:cols>
          <w:pgMar w:left="480" w:top="286"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2"/>
        </w:trPr>
        <w:tc>
          <w:tcPr>
            <w:tcW w:w="12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129</w:t>
            </w:r>
          </w:p>
        </w:tc>
        <w:tc>
          <w:tcPr>
            <w:tcW w:w="5380" w:type="dxa"/>
            <w:vAlign w:val="bottom"/>
          </w:tcPr>
          <w:p>
            <w:pPr>
              <w:spacing w:after="0"/>
              <w:rPr>
                <w:sz w:val="14"/>
                <w:szCs w:val="14"/>
                <w:color w:val="auto"/>
              </w:rPr>
            </w:pPr>
          </w:p>
        </w:tc>
      </w:tr>
      <w:tr>
        <w:trPr>
          <w:trHeight w:val="668"/>
        </w:trPr>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EXHIBIT NO.*</w:t>
            </w:r>
          </w:p>
        </w:tc>
        <w:tc>
          <w:tcPr>
            <w:tcW w:w="5380" w:type="dxa"/>
            <w:vAlign w:val="bottom"/>
          </w:tcPr>
          <w:p>
            <w:pPr>
              <w:ind w:left="22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380" w:type="dxa"/>
            <w:vAlign w:val="bottom"/>
          </w:tcPr>
          <w:p>
            <w:pPr>
              <w:ind w:left="226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-- 1997 Employee Stock Purchase Plan [Incorporated by</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reference to Exhibit 10.10 of the Registrant's Annual</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Report on Form 10-K for the year ended December 31,</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10.25</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-- 401 (k) Restoration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10.11 of the Registrant's Annual Report on Form</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10-K for the year ended December 31, 1997].</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10.26</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TransAmerican Waste Industries, Inc. Amended and Restated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1990 Stock Incentive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99.1 of the Registrant's Registration Statement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on Form S-8, File No. 333-51975].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10.27</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TransAmerican Waste Industries, Inc. 1997 Non-Employee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Director Stock Option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99.2 of the Registrant's Registration Statement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on Form S-8, File No. 333-51975].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10.28</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Eastern Environmental Services, Inc. 1997 Stock Option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Plan [Incorporated by reference to Exhibit 4.1 to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S-8, File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No.333-70055].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10.29</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Eastern Environmental Services, Inc. Amended and Restated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1996 Stock Option Plan [Incorporated by reference to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Exhibit 4.2 to the Registrant's Registration Statement 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Form S-8, File No. 333-70055].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10.30</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Eastern Environmental Services, Inc. 1991 Stock Option</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Plan [Incorporated by reference to Exhibit 4.3 to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S-8, File No.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333-70055].</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Third Amended and Restated Revolving Credit Agreement,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dated as of December 15, 1999 among the Registrant,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Guarantors Bank of America, N.A., Morgan Guaranty Trust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Company of New York and other financial institutions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Exhibit 10.32 of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Registrant's Registration Statement on Form S-4, Reg. No.</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333-87319].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10.32</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Amended and Restated Loan Agreement dated as of December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15, 1999, among the Registrant, the Guarantors, Bank</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Boston, N.A. Bank of America National Trust and Savings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Association, Chase Bank of Texas, N.A., Deutsche Bank AG,</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New York Branch, Morgan Guaranty Trust Company of New</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York and other financial institutions [Incorporated by</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reference to Exhibit 10.33 of the Registrant's</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Registration Statement on Form S-4, Reg. No. 333-87319].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10.33</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-- 1998 Waste Management, Inc. Directors' Deferred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Compensation Plan [Incorporated by reference to Exhibit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10.1 to the Registrant's Quarterly Report on Form 10-Q</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for the Quarter ended March 31, 1999].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10.34</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-- 1999 Waste Management, Inc. Directors Deferred</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Compensation Plan [Incorporated by reference to Exhibit</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10.2 to the Registrants Quarterly Report on Form 10-Q for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the quarter ended March 31, 1999.]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10.35</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A. Maurice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Myers, dated November 8, 1999.</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10.36</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Lawrence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O'Donnell, III, dated January 21, 2000.</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10.37</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William L.</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Trubeck, dated February 16, 2000.</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10.38</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Term Sheet for Employment of Thomas L. Smith by the</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Company.</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10.39</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Robert A.</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Damico, dated December 17, 1998.</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10.40</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Charles A.</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Wilcox, dated February 3, 1998.</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10.41</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Douglas G.</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Sobey, dated May 7, 1997.</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10.42</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Miller J.</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Mathews, Jr., dated October 1, 1998.</w:t>
            </w:r>
          </w:p>
        </w:tc>
      </w:tr>
      <w:tr>
        <w:trPr>
          <w:trHeight w:val="167"/>
        </w:trPr>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10.43</w:t>
            </w:r>
          </w:p>
        </w:tc>
        <w:tc>
          <w:tcPr>
            <w:tcW w:w="5380" w:type="dxa"/>
            <w:vAlign w:val="bottom"/>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David R.</w:t>
            </w:r>
          </w:p>
        </w:tc>
      </w:tr>
      <w:tr>
        <w:trPr>
          <w:trHeight w:val="167"/>
        </w:trPr>
        <w:tc>
          <w:tcPr>
            <w:tcW w:w="1220" w:type="dxa"/>
            <w:vAlign w:val="bottom"/>
          </w:tcPr>
          <w:p>
            <w:pPr>
              <w:spacing w:after="0"/>
              <w:rPr>
                <w:sz w:val="14"/>
                <w:szCs w:val="14"/>
                <w:color w:val="auto"/>
              </w:rPr>
            </w:pP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Hopkins, dated January 1, 1999.</w:t>
            </w:r>
          </w:p>
        </w:tc>
      </w:tr>
    </w:tbl>
    <w:p>
      <w:pPr>
        <w:sectPr>
          <w:pgSz w:w="11900" w:h="16838" w:orient="portrait"/>
          <w:cols w:equalWidth="0" w:num="1">
            <w:col w:w="9979"/>
          </w:cols>
          <w:pgMar w:left="480" w:top="286" w:right="1440" w:bottom="1440" w:gutter="0" w:footer="0" w:header="0"/>
        </w:sectPr>
      </w:pPr>
    </w:p>
    <w:bookmarkStart w:id="133" w:name="page134"/>
    <w:bookmarkEnd w:id="133"/>
    <w:p>
      <w:pPr>
        <w:spacing w:after="0" w:line="1" w:lineRule="exact"/>
        <w:rPr>
          <w:sz w:val="20"/>
          <w:szCs w:val="20"/>
          <w:color w:val="auto"/>
        </w:rPr>
      </w:pPr>
    </w:p>
    <w:tbl>
      <w:tblPr>
        <w:tblLayout w:type="fixed"/>
        <w:tblInd w:w="171" w:type="dxa"/>
        <w:tblCellMar>
          <w:top w:w="0" w:type="dxa"/>
          <w:left w:w="0" w:type="dxa"/>
          <w:bottom w:w="0" w:type="dxa"/>
          <w:right w:w="0" w:type="dxa"/>
        </w:tblCellMar>
      </w:tblPr>
      <w:tr>
        <w:trPr>
          <w:trHeight w:val="162"/>
        </w:trPr>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130</w:t>
            </w:r>
          </w:p>
        </w:tc>
        <w:tc>
          <w:tcPr>
            <w:tcW w:w="74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668"/>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740" w:type="dxa"/>
            <w:vAlign w:val="bottom"/>
          </w:tcPr>
          <w:p>
            <w:pPr>
              <w:spacing w:after="0"/>
              <w:rPr>
                <w:sz w:val="24"/>
                <w:szCs w:val="24"/>
                <w:color w:val="auto"/>
              </w:rPr>
            </w:pPr>
          </w:p>
        </w:tc>
        <w:tc>
          <w:tcPr>
            <w:tcW w:w="4640" w:type="dxa"/>
            <w:vAlign w:val="bottom"/>
          </w:tcPr>
          <w:p>
            <w:pPr>
              <w:ind w:left="152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4640" w:type="dxa"/>
            <w:vAlign w:val="bottom"/>
          </w:tcPr>
          <w:p>
            <w:pPr>
              <w:ind w:left="152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10.44</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Robert G.</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Simpson, dated October 15, 1998.</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10.45</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and Amendment to Employment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Agreement between the Company and Susan J. Piller, dated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 of June 1, 1997 and December 7, 1997, respectively</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[Incorporated by reference to Exhibits 10.19 and 10.20 to</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Registrant's Annual Report on Form 10-K for the year</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ended December 31, 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10.46</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between the Company and Ronald H.</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Jones, dated as of August 27, 1997 and December 7, 1997</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[Incorporated by reference to Exhibits 10.25 to the</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Registrant's Annual Report on Form 10-K for the year</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ended December 31, 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10.47</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and Amendment to Employment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Agreement between the Company and William A. Rothrock,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dated as of October 7, 1997 and December 12, 1997,</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respectively [Incorporated by reference to Exhibits 10.21</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10.22 to the Registrant's Annual Report on Form 10-K</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 the year ended December 31, 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10.48</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Employment Agreement and Amendment to Employment</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Agreement between the Company and Bruce E. Snyder, dated</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 of June 1, 1997 and December 1, 1997 [Incorporated by</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reference to Exhibits 10.26 and 10.27 to the Registrant's</w:t>
            </w:r>
          </w:p>
        </w:tc>
      </w:tr>
      <w:tr>
        <w:trPr>
          <w:trHeight w:val="167"/>
        </w:trPr>
        <w:tc>
          <w:tcPr>
            <w:tcW w:w="1220" w:type="dxa"/>
            <w:vAlign w:val="bottom"/>
          </w:tcPr>
          <w:p>
            <w:pPr>
              <w:spacing w:after="0"/>
              <w:rPr>
                <w:sz w:val="14"/>
                <w:szCs w:val="14"/>
                <w:color w:val="auto"/>
              </w:rPr>
            </w:pPr>
          </w:p>
        </w:tc>
        <w:tc>
          <w:tcPr>
            <w:tcW w:w="5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Annual Report on Form 10-K for the year ended December</w:t>
            </w:r>
          </w:p>
        </w:tc>
      </w:tr>
      <w:tr>
        <w:trPr>
          <w:trHeight w:val="167"/>
        </w:trPr>
        <w:tc>
          <w:tcPr>
            <w:tcW w:w="122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31,</w:t>
            </w:r>
          </w:p>
        </w:tc>
        <w:tc>
          <w:tcPr>
            <w:tcW w:w="4640" w:type="dxa"/>
            <w:vAlign w:val="bottom"/>
          </w:tcPr>
          <w:p>
            <w:pPr>
              <w:jc w:val="right"/>
              <w:ind w:right="40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10.49</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-- 2000 Broad-Based Employee Plan</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12.1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Computation of Ratio of Earnings to Fixed Charges.</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21.1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Subsidiaries of the Registrant.</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23.1</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Consent of Arthur Andersen LLP.</w:t>
            </w:r>
          </w:p>
        </w:tc>
      </w:tr>
      <w:tr>
        <w:trPr>
          <w:trHeight w:val="167"/>
        </w:trPr>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23.2</w:t>
            </w:r>
          </w:p>
        </w:tc>
        <w:tc>
          <w:tcPr>
            <w:tcW w:w="5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Consent of PricewaterhouseCoopers LLP.</w:t>
            </w:r>
          </w:p>
        </w:tc>
      </w:tr>
    </w:tbl>
    <w:p>
      <w:pPr>
        <w:spacing w:after="0" w:line="4" w:lineRule="exact"/>
        <w:rPr>
          <w:sz w:val="20"/>
          <w:szCs w:val="20"/>
          <w:color w:val="auto"/>
        </w:rPr>
      </w:pPr>
    </w:p>
    <w:p>
      <w:pPr>
        <w:ind w:left="1571" w:hanging="1050"/>
        <w:spacing w:after="0"/>
        <w:tabs>
          <w:tab w:leader="none" w:pos="1571" w:val="left"/>
        </w:tabs>
        <w:numPr>
          <w:ilvl w:val="2"/>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Financial Data Schedule.</w:t>
      </w:r>
    </w:p>
    <w:p>
      <w:pPr>
        <w:spacing w:after="0" w:line="342"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51" w:right="3199"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In the case of incorporation by reference to documents filed under the Securities Exchange Act of 1934, the Registrant's file number under that Act is 1-12154. Waste Management Holdings' file number under the Exchange Act is 1-7327, Chemical Waste Management, Inc.'s file number is 1-9253 and Wheelabrator Technologies Inc.'s file number is 0-14246.</w:t>
      </w:r>
    </w:p>
    <w:p>
      <w:pPr>
        <w:sectPr>
          <w:pgSz w:w="11900" w:h="16838" w:orient="portrait"/>
          <w:cols w:equalWidth="0" w:num="1">
            <w:col w:w="10150"/>
          </w:cols>
          <w:pgMar w:left="309" w:top="286"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10.35</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EMPLOYMENT AGREEMENT</w:t>
      </w:r>
    </w:p>
    <w:p>
      <w:pPr>
        <w:spacing w:after="0" w:line="342" w:lineRule="exact"/>
        <w:rPr>
          <w:sz w:val="20"/>
          <w:szCs w:val="20"/>
          <w:color w:val="auto"/>
        </w:rPr>
      </w:pPr>
    </w:p>
    <w:p>
      <w:pPr>
        <w:ind w:right="3299" w:firstLine="781"/>
        <w:spacing w:after="0" w:line="255" w:lineRule="auto"/>
        <w:rPr>
          <w:sz w:val="20"/>
          <w:szCs w:val="20"/>
          <w:color w:val="auto"/>
        </w:rPr>
      </w:pPr>
      <w:r>
        <w:rPr>
          <w:rFonts w:ascii="Courier New" w:cs="Courier New" w:eastAsia="Courier New" w:hAnsi="Courier New"/>
          <w:sz w:val="14"/>
          <w:szCs w:val="14"/>
          <w:color w:val="auto"/>
        </w:rPr>
        <w:t>WASTE MANAGEMENT, INC. (the "Company"), and A. Maurice Myers (the "Executive") hereby enter into this EMPLOYMENT AGREEMENT ("Agreement") dated as of November 8, 1999, as follows:</w:t>
      </w:r>
    </w:p>
    <w:p>
      <w:pPr>
        <w:spacing w:after="0" w:line="162" w:lineRule="exact"/>
        <w:rPr>
          <w:sz w:val="20"/>
          <w:szCs w:val="20"/>
          <w:color w:val="auto"/>
        </w:rPr>
      </w:pPr>
    </w:p>
    <w:p>
      <w:pPr>
        <w:ind w:left="520" w:hanging="511"/>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Company shall employ Executive, and Executive shall be employed by the Company upon the terms and subject to the conditions set forth in this Agreement.</w:t>
      </w:r>
    </w:p>
    <w:p>
      <w:pPr>
        <w:spacing w:after="0" w:line="162" w:lineRule="exact"/>
        <w:rPr>
          <w:sz w:val="20"/>
          <w:szCs w:val="20"/>
          <w:color w:val="auto"/>
        </w:rPr>
      </w:pPr>
    </w:p>
    <w:p>
      <w:pPr>
        <w:ind w:left="520" w:hanging="511"/>
        <w:spacing w:after="0"/>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period of Executive's employment under this Agreement shall commence on November 10, 1999 and be for a continuously renewing (on a daily basis) five (5)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65" w:lineRule="exact"/>
        <w:rPr>
          <w:sz w:val="20"/>
          <w:szCs w:val="20"/>
          <w:color w:val="auto"/>
        </w:rPr>
      </w:pPr>
    </w:p>
    <w:p>
      <w:pPr>
        <w:ind w:left="520" w:hanging="511"/>
        <w:spacing w:after="0"/>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RESPONSIBILITIES.</w:t>
      </w:r>
    </w:p>
    <w:p>
      <w:pPr>
        <w:spacing w:after="0" w:line="175" w:lineRule="exact"/>
        <w:rPr>
          <w:sz w:val="20"/>
          <w:szCs w:val="20"/>
          <w:color w:val="auto"/>
        </w:rPr>
      </w:pPr>
    </w:p>
    <w:p>
      <w:pPr>
        <w:ind w:left="520" w:right="3199" w:hanging="511"/>
        <w:spacing w:after="0" w:line="253"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Chief Executive Officer and President of the Company and shall serve as Chairman of the Board of Directors of the Company (the "Board"). In such capacities, Executive shall perform such duties and have the power, authority and functions commensurate with such positions in similarly sized public companies and such other authority and functions consistent with such positions as may be assigned to Executive from time to time by the Board.</w:t>
      </w:r>
    </w:p>
    <w:p>
      <w:pPr>
        <w:spacing w:after="0" w:line="164" w:lineRule="exact"/>
        <w:rPr>
          <w:rFonts w:ascii="Courier New" w:cs="Courier New" w:eastAsia="Courier New" w:hAnsi="Courier New"/>
          <w:sz w:val="14"/>
          <w:szCs w:val="14"/>
          <w:color w:val="auto"/>
        </w:rPr>
      </w:pPr>
    </w:p>
    <w:p>
      <w:pPr>
        <w:ind w:left="520" w:right="3299" w:hanging="511"/>
        <w:spacing w:after="0" w:line="253"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(which shall not unreasonably be withheld or delayed) serve on boards of other for profit entities, provided such activities do not materially interfere with the performance of his duties hereunder. Service on the for profit boards that Executive is currently serving on are hereby approved.</w:t>
      </w:r>
    </w:p>
    <w:p>
      <w:pPr>
        <w:spacing w:after="0" w:line="164" w:lineRule="exact"/>
        <w:rPr>
          <w:sz w:val="20"/>
          <w:szCs w:val="20"/>
          <w:color w:val="auto"/>
        </w:rPr>
      </w:pPr>
    </w:p>
    <w:p>
      <w:pPr>
        <w:ind w:left="520" w:hanging="511"/>
        <w:spacing w:after="0"/>
        <w:tabs>
          <w:tab w:leader="none" w:pos="5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sz w:val="20"/>
          <w:szCs w:val="20"/>
          <w:color w:val="auto"/>
        </w:rPr>
      </w:pPr>
    </w:p>
    <w:p>
      <w:pPr>
        <w:ind w:left="520" w:right="3199" w:hanging="511"/>
        <w:spacing w:after="0" w:line="255" w:lineRule="auto"/>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Company shall pay Executive a base salary at the annual rate of eight hundred fifty thousand ($850,000) dollars per</w:t>
      </w:r>
    </w:p>
    <w:p>
      <w:pPr>
        <w:sectPr>
          <w:pgSz w:w="11900" w:h="16838" w:orient="portrait"/>
          <w:cols w:equalWidth="0" w:num="1">
            <w:col w:w="10159"/>
          </w:cols>
          <w:pgMar w:left="300" w:top="141" w:right="1440" w:bottom="1440" w:gutter="0" w:footer="0" w:header="0"/>
        </w:sectPr>
      </w:pPr>
    </w:p>
    <w:bookmarkStart w:id="135" w:name="page136"/>
    <w:bookmarkEnd w:id="135"/>
    <w:p>
      <w:pPr>
        <w:ind w:left="251"/>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511" w:right="3199"/>
        <w:spacing w:after="0" w:line="254" w:lineRule="auto"/>
        <w:rPr>
          <w:sz w:val="20"/>
          <w:szCs w:val="20"/>
          <w:color w:val="auto"/>
        </w:rPr>
      </w:pPr>
      <w:r>
        <w:rPr>
          <w:rFonts w:ascii="Courier New" w:cs="Courier New" w:eastAsia="Courier New" w:hAnsi="Courier New"/>
          <w:sz w:val="14"/>
          <w:szCs w:val="14"/>
          <w:color w:val="auto"/>
        </w:rPr>
        <w:t>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163" w:lineRule="exact"/>
        <w:rPr>
          <w:sz w:val="20"/>
          <w:szCs w:val="20"/>
          <w:color w:val="auto"/>
        </w:rPr>
      </w:pPr>
    </w:p>
    <w:p>
      <w:pPr>
        <w:ind w:left="511" w:right="3199" w:hanging="511"/>
        <w:spacing w:after="0" w:line="253" w:lineRule="auto"/>
        <w:tabs>
          <w:tab w:leader="none" w:pos="51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During the Employment Period, Executive will be entitled to participate in an annual incentive compensation plan of the Company. The Executive's target annual bonus will be 100% of his Base Salary as in effect for such year (the "Target Bonus"), and his actual annual bonus may range from 0% to 200%, and will be determined based upon achievement of performance goals established by the Compensation Committee of the Board pursuant to such plan.</w:t>
      </w:r>
    </w:p>
    <w:p>
      <w:pPr>
        <w:spacing w:after="0" w:line="164" w:lineRule="exact"/>
        <w:rPr>
          <w:rFonts w:ascii="Courier New" w:cs="Courier New" w:eastAsia="Courier New" w:hAnsi="Courier New"/>
          <w:sz w:val="14"/>
          <w:szCs w:val="14"/>
          <w:color w:val="auto"/>
        </w:rPr>
      </w:pPr>
    </w:p>
    <w:p>
      <w:pPr>
        <w:ind w:left="511" w:right="3199" w:hanging="511"/>
        <w:spacing w:after="0" w:line="255" w:lineRule="auto"/>
        <w:tabs>
          <w:tab w:leader="none" w:pos="51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AWARDS. In order to address certain forfeitures that Executive will face upon termination of his employment with his prior employer, Executive shall be awarded or receive the following:</w:t>
      </w:r>
    </w:p>
    <w:p>
      <w:pPr>
        <w:spacing w:after="0" w:line="161" w:lineRule="exact"/>
        <w:rPr>
          <w:rFonts w:ascii="Courier New" w:cs="Courier New" w:eastAsia="Courier New" w:hAnsi="Courier New"/>
          <w:sz w:val="14"/>
          <w:szCs w:val="14"/>
          <w:color w:val="auto"/>
        </w:rPr>
      </w:pPr>
    </w:p>
    <w:p>
      <w:pPr>
        <w:ind w:left="1051" w:right="3199" w:hanging="530"/>
        <w:spacing w:after="0" w:line="258" w:lineRule="auto"/>
        <w:tabs>
          <w:tab w:leader="none" w:pos="1051"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Award. Within thirty (30) days after the Commencement Date, the Company will pay Executive $650,000.</w:t>
      </w:r>
    </w:p>
    <w:p>
      <w:pPr>
        <w:spacing w:after="0" w:line="159" w:lineRule="exact"/>
        <w:rPr>
          <w:rFonts w:ascii="Courier New" w:cs="Courier New" w:eastAsia="Courier New" w:hAnsi="Courier New"/>
          <w:sz w:val="14"/>
          <w:szCs w:val="14"/>
          <w:color w:val="auto"/>
        </w:rPr>
      </w:pPr>
    </w:p>
    <w:p>
      <w:pPr>
        <w:ind w:left="1051" w:right="3199" w:hanging="530"/>
        <w:spacing w:after="0" w:line="253" w:lineRule="auto"/>
        <w:tabs>
          <w:tab w:leader="none" w:pos="1051"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 Effective as of November 11, 1999 (the "Grant Date"), the Company will grant Executive an award of 265,000 restricted shares of the Company's common stock (the "Stock") under the Waste Management, Inc. 1993 Stock Incentive Plan (the "Stock Incentive Plan") that will vest in equal installments on each of the first three anniversaries of the Commencement Date, subject (except as otherwise provided herein) to Executive's continuous employment with the Company through the applicable vesting date (the "Restricted Stock Grant"). The Restricted Stock Grant shall be deemed outstanding shares for all purposes and Executive shall be fully vested in any cash dividends paid therein (and non cash dividends being subject to the same forfeiture provisions as the underlying Restricted Stock Grant shares).</w:t>
      </w:r>
    </w:p>
    <w:p>
      <w:pPr>
        <w:spacing w:after="0" w:line="162" w:lineRule="exact"/>
        <w:rPr>
          <w:rFonts w:ascii="Courier New" w:cs="Courier New" w:eastAsia="Courier New" w:hAnsi="Courier New"/>
          <w:sz w:val="14"/>
          <w:szCs w:val="14"/>
          <w:color w:val="auto"/>
        </w:rPr>
      </w:pPr>
    </w:p>
    <w:p>
      <w:pPr>
        <w:ind w:left="1051" w:right="3199" w:hanging="530"/>
        <w:spacing w:after="0" w:line="253" w:lineRule="auto"/>
        <w:tabs>
          <w:tab w:leader="none" w:pos="1051"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Effective as of the Grant Date, Executive will be granted a ten-year stock option award under the Stock Incentive Plan to purchase 650,000 shares of Stock. The exercise price shall be the fair market value as on the Grant Date, and the options shall vest on the fifth anniversary of the Commencement Date, provided that the options shall earlier vest as follows, if the average of the closing price of the Stock on the New York Stock Exchange (or, if not listed on the New York Stock Exchange, such primary exchange or market on which the Stock is listed) for any continuous sixty trading-day period exceeds the following: one-third shall vest if such average closing price exceeds $21.50, an additional one-third shall vest if such average closing price exceeds $27.00 and the remaining one-third shall vest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0"/>
          </w:cols>
          <w:pgMar w:left="309" w:top="286"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1320" w:right="3199"/>
        <w:spacing w:after="0" w:line="253" w:lineRule="auto"/>
        <w:rPr>
          <w:sz w:val="20"/>
          <w:szCs w:val="20"/>
          <w:color w:val="auto"/>
        </w:rPr>
      </w:pPr>
      <w:r>
        <w:rPr>
          <w:rFonts w:ascii="Courier New" w:cs="Courier New" w:eastAsia="Courier New" w:hAnsi="Courier New"/>
          <w:sz w:val="14"/>
          <w:szCs w:val="14"/>
          <w:color w:val="auto"/>
        </w:rPr>
        <w:t>such average closing stock price exceeds $34.00. Such closing stock price targets shall be appropriately adjusted to reflect any stock split, reverse stock split, extraordinary dividend or other similar event with respect to the stock in each case, subject (except as otherwise provided herein) to Executive's continuous employment with the Company through the applicable vesting date.</w:t>
      </w:r>
    </w:p>
    <w:p>
      <w:pPr>
        <w:spacing w:after="0" w:line="165" w:lineRule="exact"/>
        <w:rPr>
          <w:sz w:val="20"/>
          <w:szCs w:val="20"/>
          <w:color w:val="auto"/>
        </w:rPr>
      </w:pPr>
    </w:p>
    <w:p>
      <w:pPr>
        <w:ind w:left="800" w:right="3199" w:hanging="530"/>
        <w:spacing w:after="0" w:line="252" w:lineRule="auto"/>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 TERM INCENTIVE AWARD. Effective as of the Grant Date, Executive will be granted a 10-year stock option award to purchase 1,000,000 shares of Stock. The exercise price of the options will be the fair market value per share of Stock on the Grant Date. The option award shall be divided into three equal tranches: The first tranche shall vest one-third on the Grant Date, one-third on the second anniversary of the Commencement Date and one-third on the third anniversary; the second tranche shall vest in three equal annual installments commencing on the second anniversary of the Commencement Date; and the third tranche shall vest in three equal annual installments commencing on the third anniversary of the Commencement Date, in each case subject (except as otherwise provided herein) to Executive's continuous employment with the Company through the applicable vesting date. Notwithstanding the foregoing, because of the maximum per individual per year grant limits in the Stock Incentive Plan, 150,000 options of the third tranche (the "Shortfall") will not be permitted to be granted until January 1, 2000. Such options plus an Adjustment Amount, if appropriate, will be granted on such date at the then fair market value. The Adjustment Amount shall be granted only if the fair market value is greater on January 1, 2000 than it is on the Grant Date and shall be equal to the Shortfall multiplied by the difference in fair market value between the two dates and further multiplied by .7432. The Options under (c) and (d) shall be transferable to family members in accordance with Section 9.2 of the Stock Incentive Plan.</w:t>
      </w:r>
    </w:p>
    <w:p>
      <w:pPr>
        <w:spacing w:after="0" w:line="342" w:lineRule="exact"/>
        <w:rPr>
          <w:rFonts w:ascii="Courier New" w:cs="Courier New" w:eastAsia="Courier New" w:hAnsi="Courier New"/>
          <w:sz w:val="14"/>
          <w:szCs w:val="14"/>
          <w:color w:val="auto"/>
        </w:rPr>
      </w:pPr>
    </w:p>
    <w:p>
      <w:pPr>
        <w:ind w:left="800" w:right="3199" w:hanging="530"/>
        <w:spacing w:after="0" w:line="253" w:lineRule="auto"/>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COMPENSATION. Executive shall be entitled to participate in any incentive or supplemental compensation plan or arrangement maintained or instituted by the Company, and covering its principal executive officers, at a level commensurate with his positions and to receive additional compensation from the Company in such form, and to such extent, if any, as the Compensation Committee may in its sole discretion from time to time specify.</w:t>
      </w:r>
    </w:p>
    <w:p>
      <w:pPr>
        <w:spacing w:after="0" w:line="164" w:lineRule="exact"/>
        <w:rPr>
          <w:rFonts w:ascii="Courier New" w:cs="Courier New" w:eastAsia="Courier New" w:hAnsi="Courier New"/>
          <w:sz w:val="14"/>
          <w:szCs w:val="14"/>
          <w:color w:val="auto"/>
        </w:rPr>
      </w:pPr>
    </w:p>
    <w:p>
      <w:pPr>
        <w:ind w:left="800" w:right="3199" w:hanging="530"/>
        <w:spacing w:after="0" w:line="253" w:lineRule="auto"/>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positions. All waiting periods for welfare plans shall be waived. During the Employment Period, Executive shall be entitled to vacation each year in accordance with the Company's policies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99"/>
          </w:cols>
          <w:pgMar w:left="560" w:top="286" w:right="1440" w:bottom="1440" w:gutter="0" w:footer="0" w:header="0"/>
        </w:sectPr>
      </w:pPr>
    </w:p>
    <w:bookmarkStart w:id="137" w:name="page138"/>
    <w:bookmarkEnd w:id="137"/>
    <w:p>
      <w:pPr>
        <w:ind w:left="251"/>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511" w:right="3199"/>
        <w:spacing w:after="0" w:line="254" w:lineRule="auto"/>
        <w:rPr>
          <w:sz w:val="20"/>
          <w:szCs w:val="20"/>
          <w:color w:val="auto"/>
        </w:rPr>
      </w:pPr>
      <w:r>
        <w:rPr>
          <w:rFonts w:ascii="Courier New" w:cs="Courier New" w:eastAsia="Courier New" w:hAnsi="Courier New"/>
          <w:sz w:val="14"/>
          <w:szCs w:val="14"/>
          <w:color w:val="auto"/>
        </w:rPr>
        <w:t>from time to time, but in no event less than four (4) weeks paid vacation per calendar year. The Executive shall also be entitled to such periods of sick leave as is customarily provided by the Company for its senior executive employees.</w:t>
      </w:r>
    </w:p>
    <w:p>
      <w:pPr>
        <w:spacing w:after="0" w:line="163" w:lineRule="exact"/>
        <w:rPr>
          <w:sz w:val="20"/>
          <w:szCs w:val="20"/>
          <w:color w:val="auto"/>
        </w:rPr>
      </w:pPr>
    </w:p>
    <w:p>
      <w:pPr>
        <w:ind w:left="511" w:right="3199" w:hanging="511"/>
        <w:spacing w:after="0" w:line="253" w:lineRule="auto"/>
        <w:tabs>
          <w:tab w:leader="none" w:pos="51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RETIREMENT BENEFIT. Executive (or his surviving spouse) shall be entitled to the supplemental retirement benefit payable by the Company set forth below (the "Supplemental Retirement Benefit"). One Hundred Thousand Dollars ($100,000) of such retirement benefit shall first become payable on May 1, 2001 or, if earlier, the termination of Executive's employment with the Company and the remainder upon the termination of Executive's employment with the Company and shall be payable each year to Executive through the remainder of his life in quarterly calendar installments (with a prorated initial installment if necessary), with a one hundred percent right of survivorship.</w:t>
      </w:r>
    </w:p>
    <w:p>
      <w:pPr>
        <w:spacing w:after="0" w:line="163" w:lineRule="exact"/>
        <w:rPr>
          <w:rFonts w:ascii="Courier New" w:cs="Courier New" w:eastAsia="Courier New" w:hAnsi="Courier New"/>
          <w:sz w:val="14"/>
          <w:szCs w:val="14"/>
          <w:color w:val="auto"/>
        </w:rPr>
      </w:pPr>
    </w:p>
    <w:p>
      <w:pPr>
        <w:ind w:left="1051" w:right="3199" w:hanging="530"/>
        <w:spacing w:after="0" w:line="255" w:lineRule="auto"/>
        <w:tabs>
          <w:tab w:leader="none" w:pos="1051"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In the event Executive voluntarily terminates his employment other than for Good Reason or is terminated for Cause, the Supplemental Retirement Benefit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71"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Date of</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Employment Termination</w:t>
            </w:r>
          </w:p>
        </w:tc>
        <w:tc>
          <w:tcPr>
            <w:tcW w:w="3820" w:type="dxa"/>
            <w:vAlign w:val="bottom"/>
            <w:gridSpan w:val="2"/>
          </w:tcPr>
          <w:p>
            <w:pPr>
              <w:jc w:val="center"/>
              <w:ind w:left="868"/>
              <w:spacing w:after="0"/>
              <w:rPr>
                <w:sz w:val="20"/>
                <w:szCs w:val="20"/>
                <w:color w:val="auto"/>
              </w:rPr>
            </w:pPr>
            <w:r>
              <w:rPr>
                <w:rFonts w:ascii="Courier New" w:cs="Courier New" w:eastAsia="Courier New" w:hAnsi="Courier New"/>
                <w:sz w:val="14"/>
                <w:szCs w:val="14"/>
                <w:color w:val="auto"/>
              </w:rPr>
              <w:t>Supplemental Retirement Benefit</w:t>
            </w:r>
          </w:p>
        </w:tc>
      </w:tr>
      <w:tr>
        <w:trPr>
          <w:trHeight w:val="167"/>
        </w:trPr>
        <w:tc>
          <w:tcPr>
            <w:tcW w:w="1340" w:type="dxa"/>
            <w:vAlign w:val="bottom"/>
            <w:gridSpan w:val="2"/>
          </w:tcPr>
          <w:p>
            <w:pPr>
              <w:spacing w:after="0"/>
              <w:rPr>
                <w:sz w:val="20"/>
                <w:szCs w:val="20"/>
                <w:color w:val="auto"/>
              </w:rPr>
            </w:pPr>
            <w:r>
              <w:rPr>
                <w:rFonts w:ascii="Courier New" w:cs="Courier New" w:eastAsia="Courier New" w:hAnsi="Courier New"/>
                <w:sz w:val="6"/>
                <w:szCs w:val="6"/>
                <w:color w:val="auto"/>
                <w:w w:val="74"/>
              </w:rPr>
              <w:t>-------------------------------------------------</w:t>
            </w:r>
          </w:p>
        </w:tc>
        <w:tc>
          <w:tcPr>
            <w:tcW w:w="3260" w:type="dxa"/>
            <w:vAlign w:val="bottom"/>
          </w:tcPr>
          <w:p>
            <w:pPr>
              <w:spacing w:after="0"/>
              <w:rPr>
                <w:sz w:val="14"/>
                <w:szCs w:val="14"/>
                <w:color w:val="auto"/>
              </w:rPr>
            </w:pP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520" w:type="dxa"/>
            <w:vAlign w:val="bottom"/>
          </w:tcPr>
          <w:p>
            <w:pPr>
              <w:spacing w:after="0"/>
              <w:rPr>
                <w:sz w:val="20"/>
                <w:szCs w:val="20"/>
                <w:color w:val="auto"/>
              </w:rPr>
            </w:pPr>
            <w:r>
              <w:rPr>
                <w:rFonts w:ascii="Courier New" w:cs="Courier New" w:eastAsia="Courier New" w:hAnsi="Courier New"/>
                <w:sz w:val="14"/>
                <w:szCs w:val="14"/>
                <w:color w:val="auto"/>
              </w:rPr>
              <w:t>On or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after the</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fifth anniversary of the</w:t>
            </w: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Commencement Date</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600,000</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On or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after the</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fourth anniversary of the</w:t>
            </w: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Commencement Date</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500,000</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On or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after the</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third anniversary of the</w:t>
            </w: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Commencement Date</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400,000</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On or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after the</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18-month anniversary of the</w:t>
            </w: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Commencement Date</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100,000</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Prior</w:t>
            </w:r>
          </w:p>
        </w:tc>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to the 18-month anniversary of the</w:t>
            </w:r>
          </w:p>
        </w:tc>
        <w:tc>
          <w:tcPr>
            <w:tcW w:w="2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Commencement Date</w:t>
            </w:r>
          </w:p>
        </w:tc>
        <w:tc>
          <w:tcPr>
            <w:tcW w:w="2040" w:type="dxa"/>
            <w:vAlign w:val="bottom"/>
          </w:tcPr>
          <w:p>
            <w:pPr>
              <w:spacing w:after="0"/>
              <w:rPr>
                <w:sz w:val="14"/>
                <w:szCs w:val="14"/>
                <w:color w:val="auto"/>
              </w:rPr>
            </w:pPr>
          </w:p>
        </w:tc>
        <w:tc>
          <w:tcPr>
            <w:tcW w:w="1780" w:type="dxa"/>
            <w:vAlign w:val="bottom"/>
          </w:tcPr>
          <w:p>
            <w:pPr>
              <w:jc w:val="center"/>
              <w:ind w:right="1108"/>
              <w:spacing w:after="0"/>
              <w:rPr>
                <w:sz w:val="20"/>
                <w:szCs w:val="20"/>
                <w:color w:val="auto"/>
              </w:rPr>
            </w:pPr>
            <w:r>
              <w:rPr>
                <w:rFonts w:ascii="Courier New" w:cs="Courier New" w:eastAsia="Courier New" w:hAnsi="Courier New"/>
                <w:sz w:val="14"/>
                <w:szCs w:val="14"/>
                <w:color w:val="auto"/>
              </w:rPr>
              <w:t>none</w:t>
            </w:r>
          </w:p>
        </w:tc>
      </w:tr>
    </w:tbl>
    <w:p>
      <w:pPr>
        <w:spacing w:after="0" w:line="200" w:lineRule="exact"/>
        <w:rPr>
          <w:sz w:val="20"/>
          <w:szCs w:val="20"/>
          <w:color w:val="auto"/>
        </w:rPr>
      </w:pPr>
    </w:p>
    <w:p>
      <w:pPr>
        <w:spacing w:after="0" w:line="305" w:lineRule="exact"/>
        <w:rPr>
          <w:sz w:val="20"/>
          <w:szCs w:val="20"/>
          <w:color w:val="auto"/>
        </w:rPr>
      </w:pPr>
    </w:p>
    <w:p>
      <w:pPr>
        <w:ind w:left="1051" w:right="3299" w:hanging="530"/>
        <w:spacing w:after="0" w:line="253" w:lineRule="auto"/>
        <w:tabs>
          <w:tab w:leader="none" w:pos="105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Involuntary Terminations. In the event Executive's employment terminates as a result of his death or Total Disability, the Company terminates his employment other than for Cause or Executive terminates his employment for Good Reason, the Supplemental Retirement Benefit shall be (with proration between specified dates based on the number of three-month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0"/>
          </w:cols>
          <w:pgMar w:left="309" w:top="286" w:right="1440" w:bottom="1440" w:gutter="0" w:footer="0" w:header="0"/>
        </w:sectPr>
      </w:pPr>
    </w:p>
    <w:bookmarkStart w:id="138" w:name="page139"/>
    <w:bookmarkEnd w:id="138"/>
    <w:p>
      <w:pPr>
        <w:ind w:left="251"/>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1051" w:right="3199"/>
        <w:spacing w:after="0" w:line="258" w:lineRule="auto"/>
        <w:rPr>
          <w:sz w:val="20"/>
          <w:szCs w:val="20"/>
          <w:color w:val="auto"/>
        </w:rPr>
      </w:pPr>
      <w:r>
        <w:rPr>
          <w:rFonts w:ascii="Courier New" w:cs="Courier New" w:eastAsia="Courier New" w:hAnsi="Courier New"/>
          <w:sz w:val="14"/>
          <w:szCs w:val="14"/>
          <w:color w:val="auto"/>
        </w:rPr>
        <w:t>periods in which he was employed compared to 4 and, in any event $600,000 if after, at, or in contemplation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871"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3980" w:type="dxa"/>
            <w:vAlign w:val="bottom"/>
          </w:tcPr>
          <w:p>
            <w:pPr>
              <w:ind w:left="340"/>
              <w:spacing w:after="0"/>
              <w:rPr>
                <w:sz w:val="20"/>
                <w:szCs w:val="20"/>
                <w:color w:val="auto"/>
              </w:rPr>
            </w:pPr>
            <w:r>
              <w:rPr>
                <w:rFonts w:ascii="Courier New" w:cs="Courier New" w:eastAsia="Courier New" w:hAnsi="Courier New"/>
                <w:sz w:val="14"/>
                <w:szCs w:val="14"/>
                <w:color w:val="auto"/>
              </w:rPr>
              <w:t>Date of Employment Termination</w:t>
            </w:r>
          </w:p>
        </w:tc>
        <w:tc>
          <w:tcPr>
            <w:tcW w:w="3920" w:type="dxa"/>
            <w:vAlign w:val="bottom"/>
            <w:gridSpan w:val="2"/>
          </w:tcPr>
          <w:p>
            <w:pPr>
              <w:jc w:val="center"/>
              <w:ind w:left="968"/>
              <w:spacing w:after="0"/>
              <w:rPr>
                <w:sz w:val="20"/>
                <w:szCs w:val="20"/>
                <w:color w:val="auto"/>
              </w:rPr>
            </w:pPr>
            <w:r>
              <w:rPr>
                <w:rFonts w:ascii="Courier New" w:cs="Courier New" w:eastAsia="Courier New" w:hAnsi="Courier New"/>
                <w:sz w:val="14"/>
                <w:szCs w:val="14"/>
                <w:color w:val="auto"/>
              </w:rPr>
              <w:t>Supplemental Retirement Benefit</w:t>
            </w:r>
          </w:p>
        </w:tc>
      </w:tr>
      <w:tr>
        <w:trPr>
          <w:trHeight w:val="167"/>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520" w:type="dxa"/>
            <w:vAlign w:val="bottom"/>
          </w:tcPr>
          <w:p>
            <w:pPr>
              <w:spacing w:after="0"/>
              <w:rPr>
                <w:sz w:val="20"/>
                <w:szCs w:val="20"/>
                <w:color w:val="auto"/>
              </w:rPr>
            </w:pPr>
            <w:r>
              <w:rPr>
                <w:rFonts w:ascii="Courier New" w:cs="Courier New" w:eastAsia="Courier New" w:hAnsi="Courier New"/>
                <w:sz w:val="14"/>
                <w:szCs w:val="14"/>
                <w:color w:val="auto"/>
              </w:rPr>
              <w:t>On or</w:t>
            </w:r>
          </w:p>
        </w:tc>
        <w:tc>
          <w:tcPr>
            <w:tcW w:w="3980" w:type="dxa"/>
            <w:vAlign w:val="bottom"/>
          </w:tcPr>
          <w:p>
            <w:pPr>
              <w:spacing w:after="0"/>
              <w:rPr>
                <w:sz w:val="20"/>
                <w:szCs w:val="20"/>
                <w:color w:val="auto"/>
              </w:rPr>
            </w:pPr>
            <w:r>
              <w:rPr>
                <w:rFonts w:ascii="Courier New" w:cs="Courier New" w:eastAsia="Courier New" w:hAnsi="Courier New"/>
                <w:sz w:val="14"/>
                <w:szCs w:val="14"/>
                <w:color w:val="auto"/>
              </w:rPr>
              <w:t>after the fourth anniversary of the</w:t>
            </w:r>
          </w:p>
        </w:tc>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Commencement Date</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600,000</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On or</w:t>
            </w:r>
          </w:p>
        </w:tc>
        <w:tc>
          <w:tcPr>
            <w:tcW w:w="3980" w:type="dxa"/>
            <w:vAlign w:val="bottom"/>
          </w:tcPr>
          <w:p>
            <w:pPr>
              <w:spacing w:after="0"/>
              <w:rPr>
                <w:sz w:val="20"/>
                <w:szCs w:val="20"/>
                <w:color w:val="auto"/>
              </w:rPr>
            </w:pPr>
            <w:r>
              <w:rPr>
                <w:rFonts w:ascii="Courier New" w:cs="Courier New" w:eastAsia="Courier New" w:hAnsi="Courier New"/>
                <w:sz w:val="14"/>
                <w:szCs w:val="14"/>
                <w:color w:val="auto"/>
              </w:rPr>
              <w:t>after the third anniversary of the</w:t>
            </w:r>
          </w:p>
        </w:tc>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Commencement Date</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500,000</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On or</w:t>
            </w:r>
          </w:p>
        </w:tc>
        <w:tc>
          <w:tcPr>
            <w:tcW w:w="3980" w:type="dxa"/>
            <w:vAlign w:val="bottom"/>
          </w:tcPr>
          <w:p>
            <w:pPr>
              <w:spacing w:after="0"/>
              <w:rPr>
                <w:sz w:val="20"/>
                <w:szCs w:val="20"/>
                <w:color w:val="auto"/>
              </w:rPr>
            </w:pPr>
            <w:r>
              <w:rPr>
                <w:rFonts w:ascii="Courier New" w:cs="Courier New" w:eastAsia="Courier New" w:hAnsi="Courier New"/>
                <w:sz w:val="14"/>
                <w:szCs w:val="14"/>
                <w:color w:val="auto"/>
              </w:rPr>
              <w:t>after the second anniversary of the</w:t>
            </w:r>
          </w:p>
        </w:tc>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Commencement Date</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400,000</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On or</w:t>
            </w:r>
          </w:p>
        </w:tc>
        <w:tc>
          <w:tcPr>
            <w:tcW w:w="3980" w:type="dxa"/>
            <w:vAlign w:val="bottom"/>
          </w:tcPr>
          <w:p>
            <w:pPr>
              <w:spacing w:after="0"/>
              <w:rPr>
                <w:sz w:val="20"/>
                <w:szCs w:val="20"/>
                <w:color w:val="auto"/>
              </w:rPr>
            </w:pPr>
            <w:r>
              <w:rPr>
                <w:rFonts w:ascii="Courier New" w:cs="Courier New" w:eastAsia="Courier New" w:hAnsi="Courier New"/>
                <w:sz w:val="14"/>
                <w:szCs w:val="14"/>
                <w:color w:val="auto"/>
              </w:rPr>
              <w:t>after the first anniversary of the</w:t>
            </w:r>
          </w:p>
        </w:tc>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Commencement Date</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300,000</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Prior</w:t>
            </w:r>
          </w:p>
        </w:tc>
        <w:tc>
          <w:tcPr>
            <w:tcW w:w="3980" w:type="dxa"/>
            <w:vAlign w:val="bottom"/>
          </w:tcPr>
          <w:p>
            <w:pPr>
              <w:spacing w:after="0"/>
              <w:rPr>
                <w:sz w:val="20"/>
                <w:szCs w:val="20"/>
                <w:color w:val="auto"/>
              </w:rPr>
            </w:pPr>
            <w:r>
              <w:rPr>
                <w:rFonts w:ascii="Courier New" w:cs="Courier New" w:eastAsia="Courier New" w:hAnsi="Courier New"/>
                <w:sz w:val="14"/>
                <w:szCs w:val="14"/>
                <w:color w:val="auto"/>
              </w:rPr>
              <w:t>to the first anniversary of the</w:t>
            </w:r>
          </w:p>
        </w:tc>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Commencement Date</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right="1028"/>
              <w:spacing w:after="0"/>
              <w:rPr>
                <w:sz w:val="20"/>
                <w:szCs w:val="20"/>
                <w:color w:val="auto"/>
              </w:rPr>
            </w:pPr>
            <w:r>
              <w:rPr>
                <w:rFonts w:ascii="Courier New" w:cs="Courier New" w:eastAsia="Courier New" w:hAnsi="Courier New"/>
                <w:sz w:val="14"/>
                <w:szCs w:val="14"/>
                <w:color w:val="auto"/>
              </w:rPr>
              <w:t>200,000</w:t>
            </w:r>
          </w:p>
        </w:tc>
      </w:tr>
    </w:tbl>
    <w:p>
      <w:pPr>
        <w:spacing w:after="0" w:line="200" w:lineRule="exact"/>
        <w:rPr>
          <w:sz w:val="20"/>
          <w:szCs w:val="20"/>
          <w:color w:val="auto"/>
        </w:rPr>
      </w:pPr>
    </w:p>
    <w:p>
      <w:pPr>
        <w:spacing w:after="0" w:line="305" w:lineRule="exact"/>
        <w:rPr>
          <w:sz w:val="20"/>
          <w:szCs w:val="20"/>
          <w:color w:val="auto"/>
        </w:rPr>
      </w:pPr>
    </w:p>
    <w:p>
      <w:pPr>
        <w:ind w:left="511" w:right="3299" w:hanging="511"/>
        <w:spacing w:after="0" w:line="254" w:lineRule="auto"/>
        <w:tabs>
          <w:tab w:leader="none" w:pos="51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 LIFE INSURANCE POLICY. During the Employment Period the Company shall pay the premiums on the $1 million whole life insurance policy that Executive's prior employer has heretofore paid in the amount of approximately $2,400 per month.</w:t>
      </w:r>
    </w:p>
    <w:p>
      <w:pPr>
        <w:spacing w:after="0" w:line="163" w:lineRule="exact"/>
        <w:rPr>
          <w:rFonts w:ascii="Courier New" w:cs="Courier New" w:eastAsia="Courier New" w:hAnsi="Courier New"/>
          <w:sz w:val="14"/>
          <w:szCs w:val="14"/>
          <w:color w:val="auto"/>
        </w:rPr>
      </w:pPr>
    </w:p>
    <w:p>
      <w:pPr>
        <w:ind w:left="511" w:right="3199" w:hanging="511"/>
        <w:spacing w:after="0" w:line="252" w:lineRule="auto"/>
        <w:tabs>
          <w:tab w:leader="none" w:pos="51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 In addition the Company shall (i) pay for the reasonable costs, fees and expenses incurred by Executive, his consultants or legal advisors in connection with the negotiation and execution of this Agreement (in an amount not to exceed $25,000 (or such greater amount as the parties may agree)) and (ii) reimburse Executive (on a fully grossed up basis for any amounts taxable to Executive) for reasonable costs incurred in connection with the relocation of his principal residence to the Houston, Texas area at a level commensurate with Executive's position and the type of relocation benefits provided by public companies of similar size to their executives, which shall in any event include the purchase by the Company (or a relocation company) of such residence at its fair market value if not sold within 90 days of the Commencement Date, any real estate commissions incurred in connection with the sale of such residence and any points on a loan for a new home. In addition, the Company shall provide Executive temporary housing in the Houston area for up to six (6) months.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0"/>
          </w:cols>
          <w:pgMar w:left="309" w:top="286"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520" w:right="3199" w:hanging="511"/>
        <w:spacing w:after="0" w:line="253"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LOAN. In the event Executive's stock options to purchase securities of his prior employer would expire at a time that he could not sell the stock issued on their exercise for security law reasons, at the Executive's request, the Company shall lend or arrange to be loaned to the Executive (until the earlier of six (6) months after such loan or sale of the underlying corresponding stock) on an unsecured basis, but with interest at the applicable federal rate, an amount sufficient to exercise such option and to pay any necessary withholding on the income from such exercise.</w:t>
      </w:r>
    </w:p>
    <w:p>
      <w:pPr>
        <w:spacing w:after="0" w:line="331" w:lineRule="exact"/>
        <w:rPr>
          <w:rFonts w:ascii="Courier New" w:cs="Courier New" w:eastAsia="Courier New" w:hAnsi="Courier New"/>
          <w:sz w:val="14"/>
          <w:szCs w:val="14"/>
          <w:color w:val="auto"/>
        </w:rPr>
      </w:pPr>
    </w:p>
    <w:p>
      <w:pPr>
        <w:ind w:left="520" w:right="3559" w:hanging="511"/>
        <w:spacing w:after="0" w:line="255"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NEEDS. The Company will provide Executive and his family with personal safety and security protection as appropriate and reasonable under the circumstances.</w:t>
      </w:r>
    </w:p>
    <w:p>
      <w:pPr>
        <w:spacing w:after="0" w:line="162" w:lineRule="exact"/>
        <w:rPr>
          <w:sz w:val="20"/>
          <w:szCs w:val="20"/>
          <w:color w:val="auto"/>
        </w:rPr>
      </w:pPr>
    </w:p>
    <w:p>
      <w:pPr>
        <w:ind w:left="520" w:hanging="511"/>
        <w:spacing w:after="0"/>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4079"/>
        <w:spacing w:after="0" w:line="258" w:lineRule="auto"/>
        <w:rPr>
          <w:sz w:val="20"/>
          <w:szCs w:val="20"/>
          <w:color w:val="auto"/>
        </w:rPr>
      </w:pPr>
      <w:r>
        <w:rPr>
          <w:rFonts w:ascii="Courier New" w:cs="Courier New" w:eastAsia="Courier New" w:hAnsi="Courier New"/>
          <w:sz w:val="14"/>
          <w:szCs w:val="14"/>
          <w:color w:val="auto"/>
        </w:rPr>
        <w:t>Executive's employment hereunder may be terminated under the following circumstances:</w:t>
      </w:r>
    </w:p>
    <w:p>
      <w:pPr>
        <w:spacing w:after="0" w:line="160" w:lineRule="exact"/>
        <w:rPr>
          <w:sz w:val="20"/>
          <w:szCs w:val="20"/>
          <w:color w:val="auto"/>
        </w:rPr>
      </w:pPr>
    </w:p>
    <w:p>
      <w:pPr>
        <w:ind w:left="520" w:right="3379" w:hanging="511"/>
        <w:spacing w:after="0" w:line="258"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Executive's employment hereunder shall terminate upon Executive's death.</w:t>
      </w:r>
    </w:p>
    <w:p>
      <w:pPr>
        <w:spacing w:after="0" w:line="159" w:lineRule="exact"/>
        <w:rPr>
          <w:rFonts w:ascii="Courier New" w:cs="Courier New" w:eastAsia="Courier New" w:hAnsi="Courier New"/>
          <w:sz w:val="14"/>
          <w:szCs w:val="14"/>
          <w:color w:val="auto"/>
        </w:rPr>
      </w:pPr>
    </w:p>
    <w:p>
      <w:pPr>
        <w:ind w:left="520" w:right="3199" w:hanging="511"/>
        <w:spacing w:after="0" w:line="253"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 (30) 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62" w:lineRule="exact"/>
        <w:rPr>
          <w:rFonts w:ascii="Courier New" w:cs="Courier New" w:eastAsia="Courier New" w:hAnsi="Courier New"/>
          <w:sz w:val="14"/>
          <w:szCs w:val="14"/>
          <w:color w:val="auto"/>
        </w:rPr>
      </w:pPr>
    </w:p>
    <w:p>
      <w:pPr>
        <w:ind w:left="520" w:right="3559" w:hanging="511"/>
        <w:spacing w:after="0" w:line="252"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within ninety</w:t>
      </w:r>
    </w:p>
    <w:p>
      <w:pPr>
        <w:ind w:left="520" w:right="3379" w:firstLine="10"/>
        <w:spacing w:after="0" w:line="258" w:lineRule="auto"/>
        <w:tabs>
          <w:tab w:leader="none" w:pos="954"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Chairman of the Audit or Governance Committee of the Board has knowledge thereof.</w:t>
      </w:r>
    </w:p>
    <w:p>
      <w:pPr>
        <w:spacing w:after="0" w:line="159" w:lineRule="exact"/>
        <w:rPr>
          <w:rFonts w:ascii="Courier New" w:cs="Courier New" w:eastAsia="Courier New" w:hAnsi="Courier New"/>
          <w:sz w:val="14"/>
          <w:szCs w:val="14"/>
          <w:color w:val="auto"/>
        </w:rPr>
      </w:pPr>
    </w:p>
    <w:p>
      <w:pPr>
        <w:ind w:left="520" w:right="3199" w:firstLine="444"/>
        <w:spacing w:after="0" w:line="253" w:lineRule="auto"/>
        <w:tabs>
          <w:tab w:leader="none" w:pos="1301" w:val="left"/>
        </w:tabs>
        <w:numPr>
          <w:ilvl w:val="2"/>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be limited to (1) willful misconduct by Executive with regard to the Company which has a material adverse effect on the Company; (2) the willful refusal of Executive to attempt to follow the proper written direction of the Board,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6" w:right="1440" w:bottom="1440" w:gutter="0" w:footer="0" w:header="0"/>
        </w:sectPr>
      </w:pPr>
    </w:p>
    <w:bookmarkStart w:id="140" w:name="page141"/>
    <w:bookmarkEnd w:id="140"/>
    <w:p>
      <w:pPr>
        <w:ind w:left="251"/>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511" w:right="3299"/>
        <w:spacing w:after="0" w:line="253" w:lineRule="auto"/>
        <w:rPr>
          <w:sz w:val="20"/>
          <w:szCs w:val="20"/>
          <w:color w:val="auto"/>
        </w:rPr>
      </w:pPr>
      <w:r>
        <w:rPr>
          <w:rFonts w:ascii="Courier New" w:cs="Courier New" w:eastAsia="Courier New" w:hAnsi="Courier New"/>
          <w:sz w:val="14"/>
          <w:szCs w:val="14"/>
          <w:color w:val="auto"/>
        </w:rPr>
        <w:t>performance is delivered to the Executive by the Board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164" w:lineRule="exact"/>
        <w:rPr>
          <w:sz w:val="20"/>
          <w:szCs w:val="20"/>
          <w:color w:val="auto"/>
        </w:rPr>
      </w:pPr>
    </w:p>
    <w:p>
      <w:pPr>
        <w:ind w:left="511" w:right="3199" w:firstLine="617"/>
        <w:spacing w:after="0" w:line="252" w:lineRule="auto"/>
        <w:tabs>
          <w:tab w:leader="none" w:pos="1552" w:val="left"/>
        </w:tabs>
        <w:numPr>
          <w:ilvl w:val="2"/>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 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 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339" w:lineRule="exact"/>
        <w:rPr>
          <w:rFonts w:ascii="Courier New" w:cs="Courier New" w:eastAsia="Courier New" w:hAnsi="Courier New"/>
          <w:sz w:val="14"/>
          <w:szCs w:val="14"/>
          <w:color w:val="auto"/>
        </w:rPr>
      </w:pPr>
    </w:p>
    <w:p>
      <w:pPr>
        <w:ind w:left="511" w:right="3379" w:hanging="511"/>
        <w:spacing w:after="0" w:line="255" w:lineRule="auto"/>
        <w:tabs>
          <w:tab w:leader="none" w:pos="51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Executive may terminate employment hereunder with or without Good Reason at any time upon written notice to the Company.</w:t>
      </w:r>
    </w:p>
    <w:p>
      <w:pPr>
        <w:spacing w:after="0" w:line="161" w:lineRule="exact"/>
        <w:rPr>
          <w:rFonts w:ascii="Courier New" w:cs="Courier New" w:eastAsia="Courier New" w:hAnsi="Courier New"/>
          <w:sz w:val="14"/>
          <w:szCs w:val="14"/>
          <w:color w:val="auto"/>
        </w:rPr>
      </w:pPr>
    </w:p>
    <w:p>
      <w:pPr>
        <w:ind w:left="511" w:right="3199" w:firstLine="444"/>
        <w:spacing w:after="0" w:line="252" w:lineRule="auto"/>
        <w:tabs>
          <w:tab w:leader="none" w:pos="1292"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(1) any material diminution of Executive's positions, duties or responsibilities hereunder (except in each case in connection with the termination of Executive's employment for Cause or Total Disability or as a result of Executive's death, or temporarily as a result of Executive's illness or other absence), or, the assignment to Executive of duties or responsibilities that are inconsistent with Executive's then position; provided that if the Company becomes a fifty percent or more subsidiary of any other entity, Executive shall be deemed to have a material diminution of his position unless he is also Chairman and Chief Executive Officer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0"/>
          </w:cols>
          <w:pgMar w:left="309" w:top="286" w:right="1440" w:bottom="1440" w:gutter="0" w:footer="0" w:header="0"/>
        </w:sectPr>
      </w:pPr>
    </w:p>
    <w:bookmarkStart w:id="141" w:name="page142"/>
    <w:bookmarkEnd w:id="141"/>
    <w:p>
      <w:pPr>
        <w:ind w:left="251"/>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left="511" w:right="3199"/>
        <w:spacing w:after="0" w:line="252" w:lineRule="auto"/>
        <w:rPr>
          <w:sz w:val="20"/>
          <w:szCs w:val="20"/>
          <w:color w:val="auto"/>
        </w:rPr>
      </w:pPr>
      <w:r>
        <w:rPr>
          <w:rFonts w:ascii="Courier New" w:cs="Courier New" w:eastAsia="Courier New" w:hAnsi="Courier New"/>
          <w:sz w:val="14"/>
          <w:szCs w:val="14"/>
          <w:color w:val="auto"/>
        </w:rPr>
        <w:t>the ultimate parent entity; (2) removal of, or the nonreelection of, the Executive from officer positions with the Company specified herein or removal of the Executive from any of his then officer positions; (3) requiring Executive's principal place of business to be located other than in the Houston, Texas greater Metropolitan region;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w:t>
      </w:r>
    </w:p>
    <w:p>
      <w:pPr>
        <w:spacing w:after="0" w:line="4" w:lineRule="exact"/>
        <w:rPr>
          <w:sz w:val="20"/>
          <w:szCs w:val="20"/>
          <w:color w:val="auto"/>
        </w:rPr>
      </w:pPr>
    </w:p>
    <w:p>
      <w:pPr>
        <w:ind w:left="511" w:right="3199" w:firstLine="10"/>
        <w:spacing w:after="0" w:line="253" w:lineRule="auto"/>
        <w:tabs>
          <w:tab w:leader="none" w:pos="858"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(6) Executive's removal from or failure to be elected or reelected to the Board; or (7)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330" w:lineRule="exact"/>
        <w:rPr>
          <w:rFonts w:ascii="Courier New" w:cs="Courier New" w:eastAsia="Courier New" w:hAnsi="Courier New"/>
          <w:sz w:val="14"/>
          <w:szCs w:val="14"/>
          <w:color w:val="auto"/>
        </w:rPr>
      </w:pPr>
    </w:p>
    <w:p>
      <w:pPr>
        <w:ind w:left="511" w:right="3199" w:firstLine="444"/>
        <w:spacing w:after="0" w:line="253" w:lineRule="auto"/>
        <w:tabs>
          <w:tab w:leader="none" w:pos="1379"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(i)(1) or (2) the date may be five (5) days after the giving of such notice.</w:t>
      </w:r>
    </w:p>
    <w:p>
      <w:pPr>
        <w:spacing w:after="0" w:line="162" w:lineRule="exact"/>
        <w:rPr>
          <w:rFonts w:ascii="Courier New" w:cs="Courier New" w:eastAsia="Courier New" w:hAnsi="Courier New"/>
          <w:sz w:val="14"/>
          <w:szCs w:val="14"/>
          <w:color w:val="auto"/>
        </w:rPr>
      </w:pPr>
    </w:p>
    <w:p>
      <w:pPr>
        <w:ind w:left="511" w:right="3459" w:hanging="511"/>
        <w:spacing w:after="0" w:line="255" w:lineRule="auto"/>
        <w:tabs>
          <w:tab w:leader="none" w:pos="51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upon written notice to Executive.</w:t>
      </w:r>
    </w:p>
    <w:p>
      <w:pPr>
        <w:spacing w:after="0" w:line="161" w:lineRule="exact"/>
        <w:rPr>
          <w:rFonts w:ascii="Courier New" w:cs="Courier New" w:eastAsia="Courier New" w:hAnsi="Courier New"/>
          <w:sz w:val="14"/>
          <w:szCs w:val="14"/>
          <w:color w:val="auto"/>
        </w:rPr>
      </w:pPr>
    </w:p>
    <w:p>
      <w:pPr>
        <w:jc w:val="both"/>
        <w:ind w:left="511" w:right="3199" w:hanging="511"/>
        <w:spacing w:after="0" w:line="255" w:lineRule="auto"/>
        <w:tabs>
          <w:tab w:leader="none" w:pos="51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Upon any termination of employment, Executive shall immediately resign from all Board memberships and other positions with the Company or any of its subsidiaries held by him at such time.</w:t>
      </w:r>
    </w:p>
    <w:p>
      <w:pPr>
        <w:spacing w:after="0" w:line="200" w:lineRule="exact"/>
        <w:rPr>
          <w:sz w:val="20"/>
          <w:szCs w:val="20"/>
          <w:color w:val="auto"/>
        </w:rPr>
      </w:pPr>
    </w:p>
    <w:p>
      <w:pPr>
        <w:spacing w:after="0" w:line="296"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0"/>
          </w:cols>
          <w:pgMar w:left="309" w:top="286"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520" w:hanging="511"/>
        <w:spacing w:after="0"/>
        <w:tabs>
          <w:tab w:leader="none" w:pos="5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FOLLOWING TERMINATION OF EMPLOYMENT.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the event that Executive's employment hereunder is terminated, Executive shall be entitled to the following compensation and benefits upon such termination:</w:t>
      </w:r>
    </w:p>
    <w:p>
      <w:pPr>
        <w:spacing w:after="0" w:line="162" w:lineRule="exact"/>
        <w:rPr>
          <w:sz w:val="20"/>
          <w:szCs w:val="20"/>
          <w:color w:val="auto"/>
        </w:rPr>
      </w:pPr>
    </w:p>
    <w:p>
      <w:pPr>
        <w:ind w:left="520" w:right="3379" w:hanging="511"/>
        <w:spacing w:after="0" w:line="255" w:lineRule="auto"/>
        <w:tabs>
          <w:tab w:leader="none" w:pos="5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161" w:lineRule="exact"/>
        <w:rPr>
          <w:rFonts w:ascii="Courier New" w:cs="Courier New" w:eastAsia="Courier New" w:hAnsi="Courier New"/>
          <w:sz w:val="14"/>
          <w:szCs w:val="14"/>
          <w:color w:val="auto"/>
        </w:rPr>
      </w:pPr>
    </w:p>
    <w:p>
      <w:pPr>
        <w:ind w:left="1060" w:right="3199" w:hanging="530"/>
        <w:spacing w:after="0" w:line="253" w:lineRule="auto"/>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 pro-rata "bonus" or incentive compensation payment to the extent payments are awarded senior executives and paid at the same time as senior executives are paid, and any vacation accrued to the date of death.</w:t>
      </w:r>
    </w:p>
    <w:p>
      <w:pPr>
        <w:spacing w:after="0" w:line="331" w:lineRule="exact"/>
        <w:rPr>
          <w:rFonts w:ascii="Courier New" w:cs="Courier New" w:eastAsia="Courier New" w:hAnsi="Courier New"/>
          <w:sz w:val="14"/>
          <w:szCs w:val="14"/>
          <w:color w:val="auto"/>
        </w:rPr>
      </w:pPr>
    </w:p>
    <w:p>
      <w:pPr>
        <w:ind w:left="1060" w:right="3299" w:hanging="530"/>
        <w:spacing w:after="0" w:line="254" w:lineRule="auto"/>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 4(f) hereof), as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060" w:right="3299" w:hanging="530"/>
        <w:spacing w:after="0" w:line="253" w:lineRule="auto"/>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331" w:lineRule="exact"/>
        <w:rPr>
          <w:rFonts w:ascii="Courier New" w:cs="Courier New" w:eastAsia="Courier New" w:hAnsi="Courier New"/>
          <w:sz w:val="14"/>
          <w:szCs w:val="14"/>
          <w:color w:val="auto"/>
        </w:rPr>
      </w:pPr>
    </w:p>
    <w:p>
      <w:pPr>
        <w:ind w:left="1060" w:right="3199" w:hanging="530"/>
        <w:spacing w:after="0" w:line="254" w:lineRule="auto"/>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death, stock options awarded to Executive and the Restricted Stock Grant shall be fully vested and Executive's estate or beneficiary shall have up to one (1) year from the date of death to exercise all such options.</w:t>
      </w:r>
    </w:p>
    <w:p>
      <w:pPr>
        <w:spacing w:after="0" w:line="163"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rFonts w:ascii="Courier New" w:cs="Courier New" w:eastAsia="Courier New" w:hAnsi="Courier New"/>
          <w:sz w:val="14"/>
          <w:szCs w:val="14"/>
          <w:color w:val="auto"/>
        </w:rPr>
      </w:pPr>
    </w:p>
    <w:p>
      <w:pPr>
        <w:ind w:left="520" w:right="3379" w:hanging="511"/>
        <w:spacing w:after="0" w:line="254" w:lineRule="auto"/>
        <w:tabs>
          <w:tab w:leader="none" w:pos="5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63" w:lineRule="exact"/>
        <w:rPr>
          <w:rFonts w:ascii="Courier New" w:cs="Courier New" w:eastAsia="Courier New" w:hAnsi="Courier New"/>
          <w:sz w:val="14"/>
          <w:szCs w:val="14"/>
          <w:color w:val="auto"/>
        </w:rPr>
      </w:pPr>
    </w:p>
    <w:p>
      <w:pPr>
        <w:ind w:left="1060" w:right="3199" w:hanging="530"/>
        <w:spacing w:after="0" w:line="254" w:lineRule="auto"/>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6" w:right="1440" w:bottom="1440" w:gutter="0" w:footer="0" w:header="0"/>
        </w:sectPr>
      </w:pPr>
    </w:p>
    <w:bookmarkStart w:id="143" w:name="page144"/>
    <w:bookmarkEnd w:id="143"/>
    <w:p>
      <w:pPr>
        <w:ind w:left="251"/>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1051" w:right="3299"/>
        <w:spacing w:after="0" w:line="254" w:lineRule="auto"/>
        <w:rPr>
          <w:sz w:val="20"/>
          <w:szCs w:val="20"/>
          <w:color w:val="auto"/>
        </w:rPr>
      </w:pPr>
      <w:r>
        <w:rPr>
          <w:rFonts w:ascii="Courier New" w:cs="Courier New" w:eastAsia="Courier New" w:hAnsi="Courier New"/>
          <w:sz w:val="14"/>
          <w:szCs w:val="14"/>
          <w:color w:val="auto"/>
        </w:rPr>
        <w:t>any earned but unpaid bonuses for any prior period. Executive shall also be eligible for a pro-rata bonus or incentive compensation payment to the extent such awards are made to senior executives for the year in which Executive is terminated.</w:t>
      </w:r>
    </w:p>
    <w:p>
      <w:pPr>
        <w:spacing w:after="0" w:line="163" w:lineRule="exact"/>
        <w:rPr>
          <w:sz w:val="20"/>
          <w:szCs w:val="20"/>
          <w:color w:val="auto"/>
        </w:rPr>
      </w:pPr>
    </w:p>
    <w:p>
      <w:pPr>
        <w:ind w:left="1051" w:right="3199" w:hanging="530"/>
        <w:spacing w:after="0" w:line="254" w:lineRule="auto"/>
        <w:tabs>
          <w:tab w:leader="none" w:pos="105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 4(f)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051" w:right="3199" w:hanging="530"/>
        <w:spacing w:after="0" w:line="253" w:lineRule="auto"/>
        <w:tabs>
          <w:tab w:leader="none" w:pos="105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164" w:lineRule="exact"/>
        <w:rPr>
          <w:rFonts w:ascii="Courier New" w:cs="Courier New" w:eastAsia="Courier New" w:hAnsi="Courier New"/>
          <w:sz w:val="14"/>
          <w:szCs w:val="14"/>
          <w:color w:val="auto"/>
        </w:rPr>
      </w:pPr>
    </w:p>
    <w:p>
      <w:pPr>
        <w:ind w:left="1051" w:right="3199" w:hanging="530"/>
        <w:spacing w:after="0" w:line="254" w:lineRule="auto"/>
        <w:tabs>
          <w:tab w:leader="none" w:pos="105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total disability, Executive shall be fully vested in all stock option awards and the Restricted Stock Grant and Executive shall have up to one (1) year from the date of termination by reason of total disability to exercise all such options.</w:t>
      </w:r>
    </w:p>
    <w:p>
      <w:pPr>
        <w:spacing w:after="0" w:line="162"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rFonts w:ascii="Courier New" w:cs="Courier New" w:eastAsia="Courier New" w:hAnsi="Courier New"/>
          <w:sz w:val="14"/>
          <w:szCs w:val="14"/>
          <w:color w:val="auto"/>
        </w:rPr>
      </w:pPr>
    </w:p>
    <w:p>
      <w:pPr>
        <w:ind w:left="511" w:right="3379" w:hanging="511"/>
        <w:spacing w:after="0" w:line="255" w:lineRule="auto"/>
        <w:tabs>
          <w:tab w:leader="none" w:pos="51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In the event that Executive's employment is terminated by the Company for Cause, the Company shall pay the following amounts to Executive:</w:t>
      </w:r>
    </w:p>
    <w:p>
      <w:pPr>
        <w:spacing w:after="0" w:line="161" w:lineRule="exact"/>
        <w:rPr>
          <w:rFonts w:ascii="Courier New" w:cs="Courier New" w:eastAsia="Courier New" w:hAnsi="Courier New"/>
          <w:sz w:val="14"/>
          <w:szCs w:val="14"/>
          <w:color w:val="auto"/>
        </w:rPr>
      </w:pPr>
    </w:p>
    <w:p>
      <w:pPr>
        <w:ind w:left="1051" w:right="3199" w:hanging="530"/>
        <w:spacing w:after="0" w:line="254" w:lineRule="auto"/>
        <w:tabs>
          <w:tab w:leader="none" w:pos="105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3" w:lineRule="exact"/>
        <w:rPr>
          <w:rFonts w:ascii="Courier New" w:cs="Courier New" w:eastAsia="Courier New" w:hAnsi="Courier New"/>
          <w:sz w:val="14"/>
          <w:szCs w:val="14"/>
          <w:color w:val="auto"/>
        </w:rPr>
      </w:pPr>
    </w:p>
    <w:p>
      <w:pPr>
        <w:ind w:left="1051" w:right="3199" w:hanging="530"/>
        <w:spacing w:after="0" w:line="254" w:lineRule="auto"/>
        <w:tabs>
          <w:tab w:leader="none" w:pos="105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 4(f)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sz w:val="20"/>
          <w:szCs w:val="20"/>
          <w:color w:val="auto"/>
        </w:rPr>
      </w:pPr>
    </w:p>
    <w:p>
      <w:pPr>
        <w:ind w:left="511" w:right="3299"/>
        <w:spacing w:after="0" w:line="255" w:lineRule="auto"/>
        <w:rPr>
          <w:sz w:val="20"/>
          <w:szCs w:val="20"/>
          <w:color w:val="auto"/>
        </w:rPr>
      </w:pPr>
      <w:r>
        <w:rPr>
          <w:rFonts w:ascii="Courier New" w:cs="Courier New" w:eastAsia="Courier New" w:hAnsi="Courier New"/>
          <w:sz w:val="14"/>
          <w:szCs w:val="14"/>
          <w:color w:val="auto"/>
        </w:rPr>
        <w:t>Any options, restricted stock or other awards that have not vested prior to the date of such termination of employment shall be cancelled and any options held by Executive shall be cancelled, whether or not then vested.</w:t>
      </w:r>
    </w:p>
    <w:p>
      <w:pPr>
        <w:spacing w:after="0" w:line="200" w:lineRule="exact"/>
        <w:rPr>
          <w:sz w:val="20"/>
          <w:szCs w:val="20"/>
          <w:color w:val="auto"/>
        </w:rPr>
      </w:pPr>
    </w:p>
    <w:p>
      <w:pPr>
        <w:spacing w:after="0" w:line="296"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0"/>
          </w:cols>
          <w:pgMar w:left="309" w:top="286" w:right="1440" w:bottom="1440" w:gutter="0" w:footer="0" w:header="0"/>
        </w:sectPr>
      </w:pPr>
    </w:p>
    <w:bookmarkStart w:id="144" w:name="page145"/>
    <w:bookmarkEnd w:id="144"/>
    <w:p>
      <w:pPr>
        <w:ind w:left="251"/>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511" w:right="3299" w:hanging="511"/>
        <w:spacing w:after="0" w:line="255" w:lineRule="auto"/>
        <w:tabs>
          <w:tab w:leader="none" w:pos="511"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voluntarily terminates employment other than for Good Reason, the Company shall pay the following amounts to Executive:</w:t>
      </w:r>
    </w:p>
    <w:p>
      <w:pPr>
        <w:spacing w:after="0" w:line="161" w:lineRule="exact"/>
        <w:rPr>
          <w:rFonts w:ascii="Courier New" w:cs="Courier New" w:eastAsia="Courier New" w:hAnsi="Courier New"/>
          <w:sz w:val="14"/>
          <w:szCs w:val="14"/>
          <w:color w:val="auto"/>
        </w:rPr>
      </w:pPr>
    </w:p>
    <w:p>
      <w:pPr>
        <w:ind w:left="1051" w:right="3199" w:hanging="530"/>
        <w:spacing w:after="0" w:line="254" w:lineRule="auto"/>
        <w:tabs>
          <w:tab w:leader="none" w:pos="1051"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3" w:lineRule="exact"/>
        <w:rPr>
          <w:rFonts w:ascii="Courier New" w:cs="Courier New" w:eastAsia="Courier New" w:hAnsi="Courier New"/>
          <w:sz w:val="14"/>
          <w:szCs w:val="14"/>
          <w:color w:val="auto"/>
        </w:rPr>
      </w:pPr>
    </w:p>
    <w:p>
      <w:pPr>
        <w:ind w:left="1051" w:right="3199" w:hanging="530"/>
        <w:spacing w:after="0" w:line="254" w:lineRule="auto"/>
        <w:tabs>
          <w:tab w:leader="none" w:pos="1051"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 4(f)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sz w:val="20"/>
          <w:szCs w:val="20"/>
          <w:color w:val="auto"/>
        </w:rPr>
      </w:pPr>
    </w:p>
    <w:p>
      <w:pPr>
        <w:ind w:left="511" w:right="3379"/>
        <w:spacing w:after="0" w:line="254" w:lineRule="auto"/>
        <w:rPr>
          <w:sz w:val="20"/>
          <w:szCs w:val="20"/>
          <w:color w:val="auto"/>
        </w:rPr>
      </w:pPr>
      <w:r>
        <w:rPr>
          <w:rFonts w:ascii="Courier New" w:cs="Courier New" w:eastAsia="Courier New" w:hAnsi="Courier New"/>
          <w:sz w:val="14"/>
          <w:szCs w:val="14"/>
          <w:color w:val="auto"/>
        </w:rPr>
        <w:t>Any options, restricted stock or other awards that have not vested prior to the date of such termination of employment shall be cancelled and Executive shall have 90 days following termination of employment to exercise any previously vested options (or, if earlier, until the stated expiration thereof).</w:t>
      </w:r>
    </w:p>
    <w:p>
      <w:pPr>
        <w:spacing w:after="0" w:line="162" w:lineRule="exact"/>
        <w:rPr>
          <w:sz w:val="20"/>
          <w:szCs w:val="20"/>
          <w:color w:val="auto"/>
        </w:rPr>
      </w:pPr>
    </w:p>
    <w:p>
      <w:pPr>
        <w:ind w:left="511" w:right="3199" w:hanging="511"/>
        <w:spacing w:after="0" w:line="254" w:lineRule="auto"/>
        <w:tabs>
          <w:tab w:leader="none" w:pos="51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162" w:lineRule="exact"/>
        <w:rPr>
          <w:rFonts w:ascii="Courier New" w:cs="Courier New" w:eastAsia="Courier New" w:hAnsi="Courier New"/>
          <w:sz w:val="14"/>
          <w:szCs w:val="14"/>
          <w:color w:val="auto"/>
        </w:rPr>
      </w:pPr>
    </w:p>
    <w:p>
      <w:pPr>
        <w:ind w:left="1051" w:right="3199" w:hanging="530"/>
        <w:spacing w:after="0" w:line="254" w:lineRule="auto"/>
        <w:tabs>
          <w:tab w:leader="none" w:pos="1051"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3" w:lineRule="exact"/>
        <w:rPr>
          <w:rFonts w:ascii="Courier New" w:cs="Courier New" w:eastAsia="Courier New" w:hAnsi="Courier New"/>
          <w:sz w:val="14"/>
          <w:szCs w:val="14"/>
          <w:color w:val="auto"/>
        </w:rPr>
      </w:pPr>
    </w:p>
    <w:p>
      <w:pPr>
        <w:ind w:left="1051" w:right="3299" w:hanging="530"/>
        <w:spacing w:after="0" w:line="254" w:lineRule="auto"/>
        <w:tabs>
          <w:tab w:leader="none" w:pos="1051"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4(f)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051" w:right="3199" w:hanging="530"/>
        <w:spacing w:after="0" w:line="253" w:lineRule="auto"/>
        <w:tabs>
          <w:tab w:leader="none" w:pos="1051"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200" w:lineRule="exact"/>
        <w:rPr>
          <w:sz w:val="20"/>
          <w:szCs w:val="20"/>
          <w:color w:val="auto"/>
        </w:rPr>
      </w:pPr>
    </w:p>
    <w:p>
      <w:pPr>
        <w:spacing w:after="0" w:line="298"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0"/>
          </w:cols>
          <w:pgMar w:left="309" w:top="286" w:right="1440" w:bottom="1440" w:gutter="0" w:footer="0" w:header="0"/>
        </w:sectPr>
      </w:pPr>
    </w:p>
    <w:bookmarkStart w:id="145" w:name="page146"/>
    <w:bookmarkEnd w:id="145"/>
    <w:p>
      <w:pPr>
        <w:ind w:left="251"/>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1051" w:right="3199" w:hanging="530"/>
        <w:spacing w:after="0" w:line="252" w:lineRule="auto"/>
        <w:tabs>
          <w:tab w:leader="none" w:pos="105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 (A) two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339" w:lineRule="exact"/>
        <w:rPr>
          <w:rFonts w:ascii="Courier New" w:cs="Courier New" w:eastAsia="Courier New" w:hAnsi="Courier New"/>
          <w:sz w:val="14"/>
          <w:szCs w:val="14"/>
          <w:color w:val="auto"/>
        </w:rPr>
      </w:pPr>
    </w:p>
    <w:p>
      <w:pPr>
        <w:ind w:left="1051" w:right="3199" w:hanging="530"/>
        <w:spacing w:after="0" w:line="253" w:lineRule="auto"/>
        <w:tabs>
          <w:tab w:leader="none" w:pos="105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pro-rated for the fiscal year in which the Executive is terminated.</w:t>
      </w:r>
    </w:p>
    <w:p>
      <w:pPr>
        <w:spacing w:after="0" w:line="330" w:lineRule="exact"/>
        <w:rPr>
          <w:rFonts w:ascii="Courier New" w:cs="Courier New" w:eastAsia="Courier New" w:hAnsi="Courier New"/>
          <w:sz w:val="14"/>
          <w:szCs w:val="14"/>
          <w:color w:val="auto"/>
        </w:rPr>
      </w:pPr>
    </w:p>
    <w:p>
      <w:pPr>
        <w:ind w:left="1051" w:right="3199" w:hanging="530"/>
        <w:spacing w:after="0" w:line="252" w:lineRule="auto"/>
        <w:tabs>
          <w:tab w:leader="none" w:pos="105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continue to vest in all stock option awards or restricted stock awards over the two (2) year period commencing on the date of such termination of employment. Executive shall have two</w:t>
      </w:r>
    </w:p>
    <w:p>
      <w:pPr>
        <w:spacing w:after="0" w:line="1" w:lineRule="exact"/>
        <w:rPr>
          <w:rFonts w:ascii="Courier New" w:cs="Courier New" w:eastAsia="Courier New" w:hAnsi="Courier New"/>
          <w:sz w:val="14"/>
          <w:szCs w:val="14"/>
          <w:color w:val="auto"/>
        </w:rPr>
      </w:pPr>
    </w:p>
    <w:p>
      <w:pPr>
        <w:ind w:left="1051" w:right="3719" w:hanging="10"/>
        <w:spacing w:after="0" w:line="255" w:lineRule="auto"/>
        <w:tabs>
          <w:tab w:leader="none" w:pos="1398"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and six (6) months after the date of termination to exercise all options, unless by virtue of the particular stock option award, the option grant expires on an earlier date.</w:t>
      </w:r>
    </w:p>
    <w:p>
      <w:pPr>
        <w:spacing w:after="0" w:line="161"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rFonts w:ascii="Courier New" w:cs="Courier New" w:eastAsia="Courier New" w:hAnsi="Courier New"/>
          <w:sz w:val="14"/>
          <w:szCs w:val="14"/>
          <w:color w:val="auto"/>
        </w:rPr>
      </w:pPr>
    </w:p>
    <w:p>
      <w:pPr>
        <w:ind w:left="511" w:right="3199" w:hanging="511"/>
        <w:spacing w:after="0" w:line="253" w:lineRule="auto"/>
        <w:tabs>
          <w:tab w:leader="none" w:pos="51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200" w:lineRule="exact"/>
        <w:rPr>
          <w:sz w:val="20"/>
          <w:szCs w:val="20"/>
          <w:color w:val="auto"/>
        </w:rPr>
      </w:pPr>
    </w:p>
    <w:p>
      <w:pPr>
        <w:spacing w:after="0" w:line="298"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0"/>
          </w:cols>
          <w:pgMar w:left="309" w:top="286" w:right="1440" w:bottom="1440" w:gutter="0" w:footer="0" w:header="0"/>
        </w:sectPr>
      </w:pPr>
    </w:p>
    <w:bookmarkStart w:id="146" w:name="page147"/>
    <w:bookmarkEnd w:id="146"/>
    <w:p>
      <w:pPr>
        <w:ind w:left="251"/>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511" w:right="3199" w:hanging="511"/>
        <w:spacing w:after="0" w:line="253" w:lineRule="auto"/>
        <w:tabs>
          <w:tab w:leader="none" w:pos="51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331" w:lineRule="exact"/>
        <w:rPr>
          <w:sz w:val="20"/>
          <w:szCs w:val="20"/>
          <w:color w:val="auto"/>
        </w:rPr>
      </w:pPr>
    </w:p>
    <w:p>
      <w:pPr>
        <w:ind w:left="511" w:right="3979" w:hanging="511"/>
        <w:spacing w:after="0" w:line="258" w:lineRule="auto"/>
        <w:tabs>
          <w:tab w:leader="none" w:pos="51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BY EXECUTIVE FOR GOOD REASON AND COMPENSATION PAYABLE FOLLOWING CHANGE IN CONTROL.</w:t>
      </w:r>
    </w:p>
    <w:p>
      <w:pPr>
        <w:spacing w:after="0" w:line="160" w:lineRule="exact"/>
        <w:rPr>
          <w:sz w:val="20"/>
          <w:szCs w:val="20"/>
          <w:color w:val="auto"/>
        </w:rPr>
      </w:pPr>
    </w:p>
    <w:p>
      <w:pPr>
        <w:ind w:left="511" w:right="3299" w:hanging="511"/>
        <w:spacing w:after="0" w:line="253" w:lineRule="auto"/>
        <w:tabs>
          <w:tab w:leader="none" w:pos="51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164"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payments and benefits provided for in Section 6(e), except that</w:t>
      </w:r>
    </w:p>
    <w:p>
      <w:pPr>
        <w:spacing w:after="0" w:line="8" w:lineRule="exact"/>
        <w:rPr>
          <w:rFonts w:ascii="Courier New" w:cs="Courier New" w:eastAsia="Courier New" w:hAnsi="Courier New"/>
          <w:sz w:val="14"/>
          <w:szCs w:val="14"/>
          <w:color w:val="auto"/>
        </w:rPr>
      </w:pPr>
    </w:p>
    <w:p>
      <w:pPr>
        <w:ind w:left="1051" w:right="3199" w:hanging="10"/>
        <w:spacing w:after="0" w:line="254" w:lineRule="auto"/>
        <w:tabs>
          <w:tab w:leader="none" w:pos="1398"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with respect to which severance is calculated pursuant to Section 6(e)(iii) will be three (3) years and the amount shall be paid in a lump-sum and (B) the benefit continuation period in Section 6(e)(iv) shall be three years.</w:t>
      </w:r>
    </w:p>
    <w:p>
      <w:pPr>
        <w:spacing w:after="0" w:line="163" w:lineRule="exact"/>
        <w:rPr>
          <w:rFonts w:ascii="Courier New" w:cs="Courier New" w:eastAsia="Courier New" w:hAnsi="Courier New"/>
          <w:sz w:val="14"/>
          <w:szCs w:val="14"/>
          <w:color w:val="auto"/>
        </w:rPr>
      </w:pPr>
    </w:p>
    <w:p>
      <w:pPr>
        <w:ind w:left="1051" w:right="3199" w:hanging="530"/>
        <w:spacing w:after="0" w:line="252" w:lineRule="auto"/>
        <w:tabs>
          <w:tab w:leader="none" w:pos="1051"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 grants and stock awards, all of such stock options exercisable for three (3) years following Termination) accrued but unpaid as of the date of termination under any non-qualified pension plan, supplemental and/or incentive compensation or bonus plans, in which Executive was a participant as of the date of termination and will be fully vested in the $600,000 retirement benefit provided under Section 4(g) hereof.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0"/>
          </w:cols>
          <w:pgMar w:left="309" w:top="286" w:right="1440" w:bottom="1440" w:gutter="0" w:footer="0" w:header="0"/>
        </w:sectPr>
      </w:pPr>
    </w:p>
    <w:bookmarkStart w:id="147" w:name="page148"/>
    <w:bookmarkEnd w:id="147"/>
    <w:p>
      <w:pPr>
        <w:ind w:left="251"/>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left="1051" w:right="3299"/>
        <w:spacing w:after="0" w:line="258" w:lineRule="auto"/>
        <w:rPr>
          <w:sz w:val="20"/>
          <w:szCs w:val="20"/>
          <w:color w:val="auto"/>
        </w:rPr>
      </w:pPr>
      <w:r>
        <w:rPr>
          <w:rFonts w:ascii="Courier New" w:cs="Courier New" w:eastAsia="Courier New" w:hAnsi="Courier New"/>
          <w:sz w:val="14"/>
          <w:szCs w:val="14"/>
          <w:color w:val="auto"/>
        </w:rPr>
        <w:t>participate in any other plan, arrangement or benefit, with respect to future periods after such resignation or termination.</w:t>
      </w:r>
    </w:p>
    <w:p>
      <w:pPr>
        <w:spacing w:after="0" w:line="160" w:lineRule="exact"/>
        <w:rPr>
          <w:sz w:val="20"/>
          <w:szCs w:val="20"/>
          <w:color w:val="auto"/>
        </w:rPr>
      </w:pPr>
    </w:p>
    <w:p>
      <w:pPr>
        <w:ind w:left="511" w:hanging="511"/>
        <w:spacing w:after="0"/>
        <w:tabs>
          <w:tab w:leader="none" w:pos="51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175" w:lineRule="exact"/>
        <w:rPr>
          <w:rFonts w:ascii="Courier New" w:cs="Courier New" w:eastAsia="Courier New" w:hAnsi="Courier New"/>
          <w:sz w:val="14"/>
          <w:szCs w:val="14"/>
          <w:color w:val="auto"/>
        </w:rPr>
      </w:pPr>
    </w:p>
    <w:p>
      <w:pPr>
        <w:ind w:left="1051" w:right="3199" w:hanging="530"/>
        <w:spacing w:after="0" w:line="252" w:lineRule="auto"/>
        <w:tabs>
          <w:tab w:leader="none" w:pos="105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340" w:lineRule="exact"/>
        <w:rPr>
          <w:rFonts w:ascii="Courier New" w:cs="Courier New" w:eastAsia="Courier New" w:hAnsi="Courier New"/>
          <w:sz w:val="14"/>
          <w:szCs w:val="14"/>
          <w:color w:val="auto"/>
        </w:rPr>
      </w:pPr>
    </w:p>
    <w:p>
      <w:pPr>
        <w:ind w:left="1051" w:right="3199" w:hanging="530"/>
        <w:spacing w:after="0" w:line="252" w:lineRule="auto"/>
        <w:tabs>
          <w:tab w:leader="none" w:pos="105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340" w:lineRule="exact"/>
        <w:rPr>
          <w:rFonts w:ascii="Courier New" w:cs="Courier New" w:eastAsia="Courier New" w:hAnsi="Courier New"/>
          <w:sz w:val="14"/>
          <w:szCs w:val="14"/>
          <w:color w:val="auto"/>
        </w:rPr>
      </w:pPr>
    </w:p>
    <w:p>
      <w:pPr>
        <w:ind w:left="1051" w:right="3299" w:hanging="530"/>
        <w:spacing w:after="0" w:line="254" w:lineRule="auto"/>
        <w:tabs>
          <w:tab w:leader="none" w:pos="105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amount of the Gross-up Payment, the Executive shall be deemed to pay U.S. federal income taxes at the highest marginal rate of U.S. federal income taxation in the calendar year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0"/>
          </w:cols>
          <w:pgMar w:left="309" w:top="286"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left="800" w:right="3199"/>
        <w:spacing w:after="0" w:line="252" w:lineRule="auto"/>
        <w:rPr>
          <w:sz w:val="20"/>
          <w:szCs w:val="20"/>
          <w:color w:val="auto"/>
        </w:rPr>
      </w:pPr>
      <w:r>
        <w:rPr>
          <w:rFonts w:ascii="Courier New" w:cs="Courier New" w:eastAsia="Courier New" w:hAnsi="Courier New"/>
          <w:sz w:val="14"/>
          <w:szCs w:val="14"/>
          <w:color w:val="auto"/>
        </w:rPr>
        <w:t>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343" w:lineRule="exact"/>
        <w:rPr>
          <w:sz w:val="20"/>
          <w:szCs w:val="20"/>
          <w:color w:val="auto"/>
        </w:rPr>
      </w:pPr>
    </w:p>
    <w:p>
      <w:pPr>
        <w:ind w:left="800" w:right="3199"/>
        <w:spacing w:after="0" w:line="253" w:lineRule="auto"/>
        <w:rPr>
          <w:sz w:val="20"/>
          <w:szCs w:val="20"/>
          <w:color w:val="auto"/>
        </w:rPr>
      </w:pPr>
      <w:r>
        <w:rPr>
          <w:rFonts w:ascii="Courier New" w:cs="Courier New" w:eastAsia="Courier New" w:hAnsi="Courier New"/>
          <w:sz w:val="14"/>
          <w:szCs w:val="14"/>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331" w:lineRule="exact"/>
        <w:rPr>
          <w:sz w:val="20"/>
          <w:szCs w:val="20"/>
          <w:color w:val="auto"/>
        </w:rPr>
      </w:pPr>
    </w:p>
    <w:p>
      <w:pPr>
        <w:ind w:left="800" w:hanging="530"/>
        <w:spacing w:after="0"/>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Gross-up Payment or portion thereof provided for in subsection</w:t>
      </w:r>
    </w:p>
    <w:p>
      <w:pPr>
        <w:spacing w:after="0" w:line="8" w:lineRule="exact"/>
        <w:rPr>
          <w:rFonts w:ascii="Courier New" w:cs="Courier New" w:eastAsia="Courier New" w:hAnsi="Courier New"/>
          <w:sz w:val="14"/>
          <w:szCs w:val="14"/>
          <w:color w:val="auto"/>
        </w:rPr>
      </w:pPr>
    </w:p>
    <w:p>
      <w:pPr>
        <w:ind w:left="800" w:right="3199" w:hanging="10"/>
        <w:spacing w:after="0" w:line="253" w:lineRule="auto"/>
        <w:tabs>
          <w:tab w:leader="none" w:pos="132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899"/>
          </w:cols>
          <w:pgMar w:left="560" w:top="286" w:right="1440" w:bottom="1440" w:gutter="0" w:footer="0" w:header="0"/>
        </w:sectPr>
      </w:pPr>
    </w:p>
    <w:bookmarkStart w:id="149" w:name="page150"/>
    <w:bookmarkEnd w:id="149"/>
    <w:p>
      <w:pPr>
        <w:ind w:left="251"/>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left="1051" w:right="3199"/>
        <w:spacing w:after="0" w:line="253" w:lineRule="auto"/>
        <w:rPr>
          <w:sz w:val="20"/>
          <w:szCs w:val="20"/>
          <w:color w:val="auto"/>
        </w:rPr>
      </w:pPr>
      <w:r>
        <w:rPr>
          <w:rFonts w:ascii="Courier New" w:cs="Courier New" w:eastAsia="Courier New" w:hAnsi="Courier New"/>
          <w:sz w:val="14"/>
          <w:szCs w:val="14"/>
          <w:color w:val="auto"/>
        </w:rPr>
        <w:t>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331" w:lineRule="exact"/>
        <w:rPr>
          <w:sz w:val="20"/>
          <w:szCs w:val="20"/>
          <w:color w:val="auto"/>
        </w:rPr>
      </w:pPr>
    </w:p>
    <w:p>
      <w:pPr>
        <w:ind w:left="1051" w:right="3199" w:hanging="530"/>
        <w:spacing w:after="0" w:line="253" w:lineRule="auto"/>
        <w:tabs>
          <w:tab w:leader="none" w:pos="1051"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329"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responsible for all charges of the Accountant.</w:t>
      </w:r>
    </w:p>
    <w:p>
      <w:pPr>
        <w:spacing w:after="0" w:line="175" w:lineRule="exact"/>
        <w:rPr>
          <w:rFonts w:ascii="Courier New" w:cs="Courier New" w:eastAsia="Courier New" w:hAnsi="Courier New"/>
          <w:sz w:val="14"/>
          <w:szCs w:val="14"/>
          <w:color w:val="auto"/>
        </w:rPr>
      </w:pPr>
    </w:p>
    <w:p>
      <w:pPr>
        <w:ind w:left="1051" w:right="3379" w:hanging="530"/>
        <w:spacing w:after="0" w:line="254" w:lineRule="auto"/>
        <w:tabs>
          <w:tab w:leader="none" w:pos="1051"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63" w:lineRule="exact"/>
        <w:rPr>
          <w:rFonts w:ascii="Courier New" w:cs="Courier New" w:eastAsia="Courier New" w:hAnsi="Courier New"/>
          <w:sz w:val="14"/>
          <w:szCs w:val="14"/>
          <w:color w:val="auto"/>
        </w:rPr>
      </w:pPr>
    </w:p>
    <w:p>
      <w:pPr>
        <w:ind w:left="511" w:right="3559" w:hanging="511"/>
        <w:spacing w:after="0" w:line="258" w:lineRule="auto"/>
        <w:tabs>
          <w:tab w:leader="none" w:pos="51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purposes of this Agreement, "Change in Control" means the occurrence of any of the following events:</w:t>
      </w:r>
    </w:p>
    <w:p>
      <w:pPr>
        <w:spacing w:after="0" w:line="159" w:lineRule="exact"/>
        <w:rPr>
          <w:rFonts w:ascii="Courier New" w:cs="Courier New" w:eastAsia="Courier New" w:hAnsi="Courier New"/>
          <w:sz w:val="14"/>
          <w:szCs w:val="14"/>
          <w:color w:val="auto"/>
        </w:rPr>
      </w:pPr>
    </w:p>
    <w:p>
      <w:pPr>
        <w:ind w:left="1051" w:right="3199" w:hanging="530"/>
        <w:spacing w:after="0" w:line="253" w:lineRule="auto"/>
        <w:tabs>
          <w:tab w:leader="none" w:pos="1051"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65" w:lineRule="exact"/>
        <w:rPr>
          <w:rFonts w:ascii="Courier New" w:cs="Courier New" w:eastAsia="Courier New" w:hAnsi="Courier New"/>
          <w:sz w:val="14"/>
          <w:szCs w:val="14"/>
          <w:color w:val="auto"/>
        </w:rPr>
      </w:pPr>
    </w:p>
    <w:p>
      <w:pPr>
        <w:ind w:left="1051" w:right="3299" w:hanging="530"/>
        <w:spacing w:after="0" w:line="253" w:lineRule="auto"/>
        <w:tabs>
          <w:tab w:leader="none" w:pos="1051"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0"/>
          </w:cols>
          <w:pgMar w:left="309" w:top="286"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17</w:t>
      </w:r>
    </w:p>
    <w:p>
      <w:pPr>
        <w:spacing w:after="0" w:line="342" w:lineRule="exact"/>
        <w:rPr>
          <w:sz w:val="20"/>
          <w:szCs w:val="20"/>
          <w:color w:val="auto"/>
        </w:rPr>
      </w:pPr>
    </w:p>
    <w:p>
      <w:pPr>
        <w:ind w:left="1060" w:right="3199"/>
        <w:spacing w:after="0" w:line="253" w:lineRule="auto"/>
        <w:rPr>
          <w:sz w:val="20"/>
          <w:szCs w:val="20"/>
          <w:color w:val="auto"/>
        </w:rPr>
      </w:pPr>
      <w:r>
        <w:rPr>
          <w:rFonts w:ascii="Courier New" w:cs="Courier New" w:eastAsia="Courier New" w:hAnsi="Courier New"/>
          <w:sz w:val="14"/>
          <w:szCs w:val="14"/>
          <w:color w:val="auto"/>
        </w:rPr>
        <w:t>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 appointment, election or nomination for election was previously so approved or recommended;</w:t>
      </w:r>
    </w:p>
    <w:p>
      <w:pPr>
        <w:spacing w:after="0" w:line="332" w:lineRule="exact"/>
        <w:rPr>
          <w:sz w:val="20"/>
          <w:szCs w:val="20"/>
          <w:color w:val="auto"/>
        </w:rPr>
      </w:pPr>
    </w:p>
    <w:p>
      <w:pPr>
        <w:ind w:left="1060" w:right="3199" w:hanging="530"/>
        <w:spacing w:after="0" w:line="252" w:lineRule="auto"/>
        <w:tabs>
          <w:tab w:leader="none" w:pos="10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72" w:lineRule="exact"/>
        <w:rPr>
          <w:rFonts w:ascii="Courier New" w:cs="Courier New" w:eastAsia="Courier New" w:hAnsi="Courier New"/>
          <w:sz w:val="14"/>
          <w:szCs w:val="14"/>
          <w:color w:val="auto"/>
        </w:rPr>
      </w:pPr>
    </w:p>
    <w:p>
      <w:pPr>
        <w:ind w:left="1060" w:right="3199" w:hanging="530"/>
        <w:spacing w:after="0" w:line="253" w:lineRule="auto"/>
        <w:tabs>
          <w:tab w:leader="none" w:pos="10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holders of the Company approve a plan of complete liquidation of the Company or there is consummated on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64" w:lineRule="exact"/>
        <w:rPr>
          <w:sz w:val="20"/>
          <w:szCs w:val="20"/>
          <w:color w:val="auto"/>
        </w:rPr>
      </w:pPr>
    </w:p>
    <w:p>
      <w:pPr>
        <w:ind w:right="3199" w:firstLine="955"/>
        <w:spacing w:after="0" w:line="258" w:lineRule="auto"/>
        <w:rPr>
          <w:sz w:val="20"/>
          <w:szCs w:val="20"/>
          <w:color w:val="auto"/>
        </w:rPr>
      </w:pPr>
      <w:r>
        <w:rPr>
          <w:rFonts w:ascii="Courier New" w:cs="Courier New" w:eastAsia="Courier New" w:hAnsi="Courier New"/>
          <w:sz w:val="14"/>
          <w:szCs w:val="14"/>
          <w:color w:val="auto"/>
        </w:rPr>
        <w:t>For purposes of this Section 7(c), the following terms shall have the following meanings:</w:t>
      </w:r>
    </w:p>
    <w:p>
      <w:pPr>
        <w:spacing w:after="0" w:line="160" w:lineRule="exact"/>
        <w:rPr>
          <w:sz w:val="20"/>
          <w:szCs w:val="20"/>
          <w:color w:val="auto"/>
        </w:rPr>
      </w:pPr>
    </w:p>
    <w:p>
      <w:pPr>
        <w:ind w:left="1660" w:hanging="349"/>
        <w:spacing w:after="0"/>
        <w:tabs>
          <w:tab w:leader="none" w:pos="166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 affiliate of the Company, as</w:t>
      </w:r>
    </w:p>
    <w:p>
      <w:pPr>
        <w:spacing w:after="0" w:line="8" w:lineRule="exact"/>
        <w:rPr>
          <w:rFonts w:ascii="Courier New" w:cs="Courier New" w:eastAsia="Courier New" w:hAnsi="Courier New"/>
          <w:sz w:val="14"/>
          <w:szCs w:val="14"/>
          <w:color w:val="auto"/>
        </w:rPr>
      </w:pPr>
    </w:p>
    <w:p>
      <w:pPr>
        <w:ind w:left="1060" w:right="3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defined in Rule 12b-2 promulgated under Section 12 of the Securities Exchange Act of 1934, as amended from time to time (the "Exchange Act");</w:t>
      </w:r>
    </w:p>
    <w:p>
      <w:pPr>
        <w:spacing w:after="0" w:line="161" w:lineRule="exact"/>
        <w:rPr>
          <w:rFonts w:ascii="Courier New" w:cs="Courier New" w:eastAsia="Courier New" w:hAnsi="Courier New"/>
          <w:sz w:val="14"/>
          <w:szCs w:val="14"/>
          <w:color w:val="auto"/>
        </w:rPr>
      </w:pPr>
    </w:p>
    <w:p>
      <w:pPr>
        <w:ind w:left="1060" w:right="3299" w:firstLine="251"/>
        <w:spacing w:after="0" w:line="258" w:lineRule="auto"/>
        <w:tabs>
          <w:tab w:leader="none" w:pos="175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shall have the meaning set forth in Rule 13d-3 under the Exchange Act;</w:t>
      </w:r>
    </w:p>
    <w:p>
      <w:pPr>
        <w:spacing w:after="0" w:line="159"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have the meaning set forth in Section</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3(a)(9) of the Exchange Act, as modified and used in Sections 13(d)</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and 14(d)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6" w:right="1440" w:bottom="1440" w:gutter="0" w:footer="0" w:header="0"/>
        </w:sectPr>
      </w:pPr>
    </w:p>
    <w:bookmarkStart w:id="151" w:name="page152"/>
    <w:bookmarkEnd w:id="151"/>
    <w:p>
      <w:pPr>
        <w:ind w:left="251"/>
        <w:spacing w:after="0"/>
        <w:rPr>
          <w:sz w:val="20"/>
          <w:szCs w:val="20"/>
          <w:color w:val="auto"/>
        </w:rPr>
      </w:pPr>
      <w:r>
        <w:rPr>
          <w:rFonts w:ascii="Courier New" w:cs="Courier New" w:eastAsia="Courier New" w:hAnsi="Courier New"/>
          <w:sz w:val="14"/>
          <w:szCs w:val="14"/>
          <w:color w:val="auto"/>
        </w:rPr>
        <w:t>18</w:t>
      </w:r>
    </w:p>
    <w:p>
      <w:pPr>
        <w:spacing w:after="0" w:line="342" w:lineRule="exact"/>
        <w:rPr>
          <w:sz w:val="20"/>
          <w:szCs w:val="20"/>
          <w:color w:val="auto"/>
        </w:rPr>
      </w:pPr>
    </w:p>
    <w:p>
      <w:pPr>
        <w:ind w:left="1051" w:right="3199"/>
        <w:spacing w:after="0" w:line="253" w:lineRule="auto"/>
        <w:rPr>
          <w:sz w:val="20"/>
          <w:szCs w:val="20"/>
          <w:color w:val="auto"/>
        </w:rPr>
      </w:pPr>
      <w:r>
        <w:rPr>
          <w:rFonts w:ascii="Courier New" w:cs="Courier New" w:eastAsia="Courier New" w:hAnsi="Courier New"/>
          <w:sz w:val="14"/>
          <w:szCs w:val="14"/>
          <w:color w:val="auto"/>
        </w:rPr>
        <w:t>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65" w:lineRule="exact"/>
        <w:rPr>
          <w:sz w:val="20"/>
          <w:szCs w:val="20"/>
          <w:color w:val="auto"/>
        </w:rPr>
      </w:pPr>
    </w:p>
    <w:p>
      <w:pPr>
        <w:ind w:left="511" w:hanging="511"/>
        <w:spacing w:after="0"/>
        <w:tabs>
          <w:tab w:leader="none" w:pos="51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sz w:val="20"/>
          <w:szCs w:val="20"/>
          <w:color w:val="auto"/>
        </w:rPr>
      </w:pPr>
    </w:p>
    <w:p>
      <w:pPr>
        <w:ind w:left="511" w:right="3199" w:hanging="511"/>
        <w:spacing w:after="0" w:line="252" w:lineRule="auto"/>
        <w:tabs>
          <w:tab w:leader="none" w:pos="51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for two (2) 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 or indirectly, is materially engaged in the waste management business competitive with 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not more than 10% composed of revenues from the waste disposal business. Notwithstanding the foregoing, Executive may be employed by or provide services to, an investment banking firm or consulting firm that provides services to entities described in the previous sentence, provided that Executive does not personally represent or provide services to such entities.</w:t>
      </w:r>
    </w:p>
    <w:p>
      <w:pPr>
        <w:spacing w:after="0" w:line="173" w:lineRule="exact"/>
        <w:rPr>
          <w:rFonts w:ascii="Courier New" w:cs="Courier New" w:eastAsia="Courier New" w:hAnsi="Courier New"/>
          <w:sz w:val="14"/>
          <w:szCs w:val="14"/>
          <w:color w:val="auto"/>
        </w:rPr>
      </w:pPr>
    </w:p>
    <w:p>
      <w:pPr>
        <w:ind w:left="511" w:right="3199" w:hanging="511"/>
        <w:spacing w:after="0" w:line="252" w:lineRule="auto"/>
        <w:tabs>
          <w:tab w:leader="none" w:pos="51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two</w:t>
      </w:r>
    </w:p>
    <w:p>
      <w:pPr>
        <w:ind w:left="511" w:right="3199" w:firstLine="10"/>
        <w:spacing w:after="0" w:line="252" w:lineRule="auto"/>
        <w:tabs>
          <w:tab w:leader="none" w:pos="858"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after the Termination thereof, whether such termination is voluntary or involuntary by wrongful 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Employee, or any person, firm, association or corporation with which Executive is affiliated without prior written consent of the Company. The foregoing shall not prevent Executive from serving as a reference for employees.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0"/>
          </w:cols>
          <w:pgMar w:left="309" w:top="286" w:right="1440" w:bottom="1440" w:gutter="0" w:footer="0" w:header="0"/>
        </w:sectPr>
      </w:pPr>
    </w:p>
    <w:bookmarkStart w:id="152" w:name="page153"/>
    <w:bookmarkEnd w:id="152"/>
    <w:p>
      <w:pPr>
        <w:ind w:left="251"/>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left="511" w:right="3199" w:hanging="511"/>
        <w:spacing w:after="0" w:line="252" w:lineRule="auto"/>
        <w:tabs>
          <w:tab w:leader="none" w:pos="51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 provided that (i) while employed by the Company, Executive may in good faith make disclosures he believes desirable, and</w:t>
      </w:r>
    </w:p>
    <w:p>
      <w:pPr>
        <w:spacing w:after="0" w:line="6" w:lineRule="exact"/>
        <w:rPr>
          <w:rFonts w:ascii="Courier New" w:cs="Courier New" w:eastAsia="Courier New" w:hAnsi="Courier New"/>
          <w:sz w:val="14"/>
          <w:szCs w:val="14"/>
          <w:color w:val="auto"/>
        </w:rPr>
      </w:pPr>
    </w:p>
    <w:p>
      <w:pPr>
        <w:ind w:left="951" w:hanging="430"/>
        <w:spacing w:after="0"/>
        <w:tabs>
          <w:tab w:leader="none" w:pos="95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may comply with legal process.</w:t>
      </w:r>
    </w:p>
    <w:p>
      <w:pPr>
        <w:spacing w:after="0" w:line="175" w:lineRule="exact"/>
        <w:rPr>
          <w:sz w:val="20"/>
          <w:szCs w:val="20"/>
          <w:color w:val="auto"/>
        </w:rPr>
      </w:pPr>
    </w:p>
    <w:p>
      <w:pPr>
        <w:ind w:left="511" w:hanging="511"/>
        <w:spacing w:after="0"/>
        <w:tabs>
          <w:tab w:leader="none" w:pos="511"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OF COVENANTS.</w:t>
      </w:r>
    </w:p>
    <w:p>
      <w:pPr>
        <w:spacing w:after="0" w:line="175" w:lineRule="exact"/>
        <w:rPr>
          <w:sz w:val="20"/>
          <w:szCs w:val="20"/>
          <w:color w:val="auto"/>
        </w:rPr>
      </w:pPr>
    </w:p>
    <w:p>
      <w:pPr>
        <w:ind w:left="511" w:right="3199" w:hanging="511"/>
        <w:spacing w:after="0" w:line="253" w:lineRule="auto"/>
        <w:tabs>
          <w:tab w:leader="none" w:pos="51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63" w:lineRule="exact"/>
        <w:rPr>
          <w:rFonts w:ascii="Courier New" w:cs="Courier New" w:eastAsia="Courier New" w:hAnsi="Courier New"/>
          <w:sz w:val="14"/>
          <w:szCs w:val="14"/>
          <w:color w:val="auto"/>
        </w:rPr>
      </w:pPr>
    </w:p>
    <w:p>
      <w:pPr>
        <w:ind w:left="511" w:right="3199" w:hanging="511"/>
        <w:spacing w:after="0" w:line="253" w:lineRule="auto"/>
        <w:tabs>
          <w:tab w:leader="none" w:pos="51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0"/>
          </w:cols>
          <w:pgMar w:left="309" w:top="286"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65" w:lineRule="exact"/>
        <w:rPr>
          <w:sz w:val="20"/>
          <w:szCs w:val="20"/>
          <w:color w:val="auto"/>
        </w:rPr>
      </w:pPr>
    </w:p>
    <w:p>
      <w:pPr>
        <w:ind w:left="520" w:hanging="511"/>
        <w:spacing w:after="0"/>
        <w:tabs>
          <w:tab w:leader="none" w:pos="5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Company shall indemnify and hold harmless Executive to the fullest extent permitted by law for any action or inaction of Executive while serving as an officer and director of the Company or, at the Company's request, as an officer or director of any other entity or as a fiduciary of any benefit plan. The Company shall cover the Executive under directors and officers liability insurance both during and, while potential liability exists, after the Employment Term in the same amount and to the same extent as the Company covers its other officers and directors.</w:t>
      </w:r>
    </w:p>
    <w:p>
      <w:pPr>
        <w:spacing w:after="0" w:line="164" w:lineRule="exact"/>
        <w:rPr>
          <w:sz w:val="20"/>
          <w:szCs w:val="20"/>
          <w:color w:val="auto"/>
        </w:rPr>
      </w:pPr>
    </w:p>
    <w:p>
      <w:pPr>
        <w:ind w:left="520" w:hanging="511"/>
        <w:spacing w:after="0"/>
        <w:tabs>
          <w:tab w:leader="none" w:pos="5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AND PAYMENT OF ATTORNEY'S FEES.</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339" w:lineRule="exact"/>
        <w:rPr>
          <w:sz w:val="20"/>
          <w:szCs w:val="20"/>
          <w:color w:val="auto"/>
        </w:rPr>
      </w:pPr>
    </w:p>
    <w:p>
      <w:pPr>
        <w:ind w:left="520" w:hanging="511"/>
        <w:spacing w:after="0"/>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60" w:lineRule="exact"/>
        <w:rPr>
          <w:sz w:val="20"/>
          <w:szCs w:val="20"/>
          <w:color w:val="auto"/>
        </w:rPr>
      </w:pPr>
    </w:p>
    <w:p>
      <w:pPr>
        <w:ind w:left="520" w:hanging="511"/>
        <w:spacing w:after="0"/>
        <w:tabs>
          <w:tab w:leader="none" w:pos="5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86"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21</w:t>
      </w:r>
    </w:p>
    <w:p>
      <w:pPr>
        <w:spacing w:after="0" w:line="34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63" w:lineRule="exact"/>
        <w:rPr>
          <w:sz w:val="20"/>
          <w:szCs w:val="20"/>
          <w:color w:val="auto"/>
        </w:rPr>
      </w:pPr>
    </w:p>
    <w:p>
      <w:pPr>
        <w:ind w:left="520" w:hanging="511"/>
        <w:spacing w:after="0"/>
        <w:tabs>
          <w:tab w:leader="none" w:pos="5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339" w:lineRule="exact"/>
        <w:rPr>
          <w:sz w:val="20"/>
          <w:szCs w:val="20"/>
          <w:color w:val="auto"/>
        </w:rPr>
      </w:pPr>
    </w:p>
    <w:p>
      <w:pPr>
        <w:ind w:left="520" w:hanging="511"/>
        <w:spacing w:after="0"/>
        <w:tabs>
          <w:tab w:leader="none" w:pos="5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62" w:lineRule="exact"/>
        <w:rPr>
          <w:sz w:val="20"/>
          <w:szCs w:val="20"/>
          <w:color w:val="auto"/>
        </w:rPr>
      </w:pPr>
    </w:p>
    <w:p>
      <w:pPr>
        <w:ind w:left="520" w:hanging="511"/>
        <w:spacing w:after="0"/>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Texas applicable to agreements made and to be performed in that State, without regard to its conflict of laws provisions.</w:t>
      </w:r>
    </w:p>
    <w:p>
      <w:pPr>
        <w:spacing w:after="0" w:line="162" w:lineRule="exact"/>
        <w:rPr>
          <w:sz w:val="20"/>
          <w:szCs w:val="20"/>
          <w:color w:val="auto"/>
        </w:rPr>
      </w:pPr>
    </w:p>
    <w:p>
      <w:pPr>
        <w:ind w:left="520" w:hanging="511"/>
        <w:spacing w:after="0"/>
        <w:tabs>
          <w:tab w:leader="none" w:pos="5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 OF TIMELY PAYMENTS.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286"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22</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shall the amount of interest contracted for, charged or received hereunder, exceed the maximum non-usurious amount of interest allowed by applicable law.</w:t>
      </w:r>
    </w:p>
    <w:p>
      <w:pPr>
        <w:spacing w:after="0" w:line="160" w:lineRule="exact"/>
        <w:rPr>
          <w:sz w:val="20"/>
          <w:szCs w:val="20"/>
          <w:color w:val="auto"/>
        </w:rPr>
      </w:pPr>
    </w:p>
    <w:p>
      <w:pPr>
        <w:ind w:left="520" w:hanging="511"/>
        <w:spacing w:after="0"/>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the Company:</w:t>
            </w:r>
          </w:p>
        </w:tc>
        <w:tc>
          <w:tcPr>
            <w:tcW w:w="2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Waste Management ,</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1001 Fannin, Suite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Houston, Texas</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77002</w:t>
            </w:r>
          </w:p>
        </w:tc>
      </w:tr>
      <w:tr>
        <w:trPr>
          <w:trHeight w:val="167"/>
        </w:trPr>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3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Attention: Corporate Secretary</w:t>
            </w:r>
          </w:p>
        </w:tc>
      </w:tr>
      <w:tr>
        <w:trPr>
          <w:trHeight w:val="334"/>
        </w:trPr>
        <w:tc>
          <w:tcPr>
            <w:tcW w:w="2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Executive:</w:t>
            </w:r>
          </w:p>
        </w:tc>
        <w:tc>
          <w:tcPr>
            <w:tcW w:w="1700" w:type="dxa"/>
            <w:vAlign w:val="bottom"/>
          </w:tcPr>
          <w:p>
            <w:pPr>
              <w:ind w:left="440"/>
              <w:spacing w:after="0"/>
              <w:rPr>
                <w:sz w:val="20"/>
                <w:szCs w:val="20"/>
                <w:color w:val="auto"/>
              </w:rPr>
            </w:pPr>
            <w:r>
              <w:rPr>
                <w:rFonts w:ascii="Courier New" w:cs="Courier New" w:eastAsia="Courier New" w:hAnsi="Courier New"/>
                <w:sz w:val="14"/>
                <w:szCs w:val="14"/>
                <w:color w:val="auto"/>
              </w:rPr>
              <w:t>At the address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Executive set forth below.</w:t>
            </w:r>
          </w:p>
        </w:tc>
      </w:tr>
    </w:tbl>
    <w:p>
      <w:pPr>
        <w:spacing w:after="0" w:line="171" w:lineRule="exact"/>
        <w:rPr>
          <w:sz w:val="20"/>
          <w:szCs w:val="20"/>
          <w:color w:val="auto"/>
        </w:rPr>
      </w:pPr>
    </w:p>
    <w:p>
      <w:pPr>
        <w:ind w:left="520" w:hanging="511"/>
        <w:spacing w:after="0"/>
        <w:tabs>
          <w:tab w:leader="none" w:pos="5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520" w:right="3199" w:hanging="511"/>
        <w:spacing w:after="0" w:line="254" w:lineRule="auto"/>
        <w:tabs>
          <w:tab w:leader="none" w:pos="5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520" w:right="3199" w:hanging="511"/>
        <w:spacing w:after="0" w:line="254" w:lineRule="auto"/>
        <w:tabs>
          <w:tab w:leader="none" w:pos="5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62" w:lineRule="exact"/>
        <w:rPr>
          <w:rFonts w:ascii="Courier New" w:cs="Courier New" w:eastAsia="Courier New" w:hAnsi="Courier New"/>
          <w:sz w:val="14"/>
          <w:szCs w:val="14"/>
          <w:color w:val="auto"/>
        </w:rPr>
      </w:pPr>
    </w:p>
    <w:p>
      <w:pPr>
        <w:ind w:left="520" w:right="3299" w:hanging="511"/>
        <w:spacing w:after="0" w:line="258" w:lineRule="auto"/>
        <w:tabs>
          <w:tab w:leader="none" w:pos="5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159" w:lineRule="exact"/>
        <w:rPr>
          <w:rFonts w:ascii="Courier New" w:cs="Courier New" w:eastAsia="Courier New" w:hAnsi="Courier New"/>
          <w:sz w:val="14"/>
          <w:szCs w:val="14"/>
          <w:color w:val="auto"/>
        </w:rPr>
      </w:pPr>
    </w:p>
    <w:p>
      <w:pPr>
        <w:ind w:left="520" w:right="3459" w:hanging="511"/>
        <w:spacing w:after="0" w:line="258" w:lineRule="auto"/>
        <w:tabs>
          <w:tab w:leader="none" w:pos="5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9" w:lineRule="exact"/>
        <w:rPr>
          <w:rFonts w:ascii="Courier New" w:cs="Courier New" w:eastAsia="Courier New" w:hAnsi="Courier New"/>
          <w:sz w:val="14"/>
          <w:szCs w:val="14"/>
          <w:color w:val="auto"/>
        </w:rPr>
      </w:pPr>
    </w:p>
    <w:p>
      <w:pPr>
        <w:ind w:left="520" w:right="3199" w:hanging="511"/>
        <w:spacing w:after="0" w:line="255" w:lineRule="auto"/>
        <w:tabs>
          <w:tab w:leader="none" w:pos="5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286"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199" w:firstLine="694"/>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ectPr>
          <w:pgSz w:w="11900" w:h="16838" w:orient="portrait"/>
          <w:cols w:equalWidth="0" w:num="1">
            <w:col w:w="10159"/>
          </w:cols>
          <w:pgMar w:left="30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Ralph V. Whitworth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60" w:space="0"/>
            <w:col w:w="989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Ralph V. Whitworth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40" w:space="0"/>
            <w:col w:w="971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Chairman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20" w:space="0"/>
            <w:col w:w="963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November 8,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 w:space="0"/>
            <w:col w:w="9719"/>
          </w:cols>
          <w:pgMar w:left="30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 Maurice Myers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November</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8, 1999</w:t>
            </w:r>
          </w:p>
        </w:tc>
      </w:tr>
      <w:tr>
        <w:trPr>
          <w:trHeight w:val="167"/>
        </w:trPr>
        <w:tc>
          <w:tcPr>
            <w:tcW w:w="37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13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1111 Caroline,</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Apt. 2805</w:t>
            </w:r>
          </w:p>
        </w:tc>
      </w:tr>
      <w:tr>
        <w:trPr>
          <w:trHeight w:val="167"/>
        </w:trPr>
        <w:tc>
          <w:tcPr>
            <w:tcW w:w="84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Houston,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Texas</w:t>
            </w: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77010</w:t>
            </w:r>
          </w:p>
        </w:tc>
      </w:tr>
      <w:tr>
        <w:trPr>
          <w:trHeight w:val="668"/>
        </w:trPr>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bl>
    <w:p>
      <w:pPr>
        <w:sectPr>
          <w:pgSz w:w="11900" w:h="16838" w:orient="portrait"/>
          <w:cols w:equalWidth="0" w:num="1">
            <w:col w:w="10159"/>
          </w:cols>
          <w:pgMar w:left="300" w:top="286" w:right="1440" w:bottom="1440" w:gutter="0" w:footer="0" w:header="0"/>
          <w:type w:val="continuous"/>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WASTE MANAGEMENT, INC. (the "Company"), and LAWRENCE O'DONNELL, III (the "Executive") hereby enter into this EMPLOYMENT AGREEMENT ("Agreement") dated as of January 21, 2000, as follows:</w:t>
      </w:r>
    </w:p>
    <w:p>
      <w:pPr>
        <w:spacing w:after="0" w:line="162" w:lineRule="exact"/>
        <w:rPr>
          <w:sz w:val="20"/>
          <w:szCs w:val="20"/>
          <w:color w:val="auto"/>
        </w:rPr>
      </w:pPr>
    </w:p>
    <w:p>
      <w:pPr>
        <w:ind w:left="800" w:hanging="791"/>
        <w:spacing w:after="0"/>
        <w:tabs>
          <w:tab w:leader="none" w:pos="8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Company shall employ Executive, and Executive shall be employed by the Company upon the terms and subject to the conditions set forth in this Agreement.</w:t>
      </w:r>
    </w:p>
    <w:p>
      <w:pPr>
        <w:spacing w:after="0" w:line="162" w:lineRule="exact"/>
        <w:rPr>
          <w:sz w:val="20"/>
          <w:szCs w:val="20"/>
          <w:color w:val="auto"/>
        </w:rPr>
      </w:pPr>
    </w:p>
    <w:p>
      <w:pPr>
        <w:ind w:left="800" w:hanging="791"/>
        <w:spacing w:after="0"/>
        <w:tabs>
          <w:tab w:leader="none" w:pos="8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period of Executive's employment under this Agreement shall commence on February 14, 2000, or sooner at the option of the Executive, and be for a continuously renewing (on a daily basis) five (5)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64" w:lineRule="exact"/>
        <w:rPr>
          <w:sz w:val="20"/>
          <w:szCs w:val="20"/>
          <w:color w:val="auto"/>
        </w:rPr>
      </w:pPr>
    </w:p>
    <w:p>
      <w:pPr>
        <w:ind w:left="800" w:hanging="791"/>
        <w:spacing w:after="0"/>
        <w:tabs>
          <w:tab w:leader="none" w:pos="80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RESPONSIBILITIES.</w:t>
      </w:r>
    </w:p>
    <w:p>
      <w:pPr>
        <w:spacing w:after="0" w:line="175" w:lineRule="exact"/>
        <w:rPr>
          <w:sz w:val="20"/>
          <w:szCs w:val="20"/>
          <w:color w:val="auto"/>
        </w:rPr>
      </w:pPr>
    </w:p>
    <w:p>
      <w:pPr>
        <w:ind w:left="800" w:right="3199" w:hanging="791"/>
        <w:spacing w:after="0" w:line="253" w:lineRule="auto"/>
        <w:tabs>
          <w:tab w:leader="none" w:pos="8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Senior Vice President and General Counsel, and shall serve as Secretary to the Board of Directors of the Company (the "Board"). In such capacities, Executive shall perform such duties and have the power, authority and functions commensurate with such positions in similarly sized public companies and such other authority and functions consistent with such positions as may be assigned to Executive from time to time by the Board.</w:t>
      </w:r>
    </w:p>
    <w:p>
      <w:pPr>
        <w:spacing w:after="0" w:line="164" w:lineRule="exact"/>
        <w:rPr>
          <w:rFonts w:ascii="Courier New" w:cs="Courier New" w:eastAsia="Courier New" w:hAnsi="Courier New"/>
          <w:sz w:val="14"/>
          <w:szCs w:val="14"/>
          <w:color w:val="auto"/>
        </w:rPr>
      </w:pPr>
    </w:p>
    <w:p>
      <w:pPr>
        <w:ind w:left="800" w:right="3199" w:hanging="791"/>
        <w:spacing w:after="0" w:line="253" w:lineRule="auto"/>
        <w:tabs>
          <w:tab w:leader="none" w:pos="8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(which shall not unreasonably be withheld or delayed) serve on boards of other for profit entities, provided such activities do not materially interfere with the performance of his duties hereunder. Service on the for profit boards that Executive is currently serving on are hereby approved.</w:t>
      </w:r>
    </w:p>
    <w:p>
      <w:pPr>
        <w:spacing w:after="0" w:line="331" w:lineRule="exact"/>
        <w:rPr>
          <w:sz w:val="20"/>
          <w:szCs w:val="20"/>
          <w:color w:val="auto"/>
        </w:rPr>
      </w:pPr>
    </w:p>
    <w:p>
      <w:pPr>
        <w:ind w:left="800" w:hanging="791"/>
        <w:spacing w:after="0"/>
        <w:tabs>
          <w:tab w:leader="none" w:pos="8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sz w:val="20"/>
          <w:szCs w:val="20"/>
          <w:color w:val="auto"/>
        </w:rPr>
      </w:pPr>
    </w:p>
    <w:p>
      <w:pPr>
        <w:ind w:left="800" w:right="3299" w:hanging="791"/>
        <w:spacing w:after="0" w:line="253" w:lineRule="auto"/>
        <w:tabs>
          <w:tab w:leader="none" w:pos="80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Company shall pay Executive a base salary at the annual rate of four hundred seventy thousand ($470,000) dollars per year or such higher rate as may be determined from time to time by the Company ("Base Salary"). Such Base Salary shall be paid in accordance with the Company's standard payroll practice for its executive officers. Once increased, Base Salary shall not be reduced.</w:t>
      </w:r>
    </w:p>
    <w:p>
      <w:pPr>
        <w:sectPr>
          <w:pgSz w:w="11900" w:h="16838" w:orient="portrait"/>
          <w:cols w:equalWidth="0" w:num="1">
            <w:col w:w="10159"/>
          </w:cols>
          <w:pgMar w:left="300" w:top="141" w:right="1440" w:bottom="1440" w:gutter="0" w:footer="0" w:header="0"/>
        </w:sectPr>
      </w:pPr>
    </w:p>
    <w:bookmarkStart w:id="158" w:name="page159"/>
    <w:bookmarkEnd w:id="158"/>
    <w:p>
      <w:pPr>
        <w:ind w:left="251"/>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791" w:right="3199" w:hanging="791"/>
        <w:spacing w:after="0" w:line="253" w:lineRule="auto"/>
        <w:tabs>
          <w:tab w:leader="none" w:pos="79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During the Employment Period, Executive will be entitled to participate in an annual incentive compensation plan of the Company. The Executive's target annual bonus will be sixty percent (60%) of his Base Salary as in effect for such year (the "Target Bonus"), and his actual annual bonus may range from 0% to 120% (two times target), and will be determined based upon achievement of performance goals (seventy percent [70%] financial [return on capital investments and EBITDA] and thirty percent [30%] personal) as approved by the Compensation Committee of the Board.</w:t>
      </w:r>
    </w:p>
    <w:p>
      <w:pPr>
        <w:spacing w:after="0" w:line="164" w:lineRule="exact"/>
        <w:rPr>
          <w:rFonts w:ascii="Courier New" w:cs="Courier New" w:eastAsia="Courier New" w:hAnsi="Courier New"/>
          <w:sz w:val="14"/>
          <w:szCs w:val="14"/>
          <w:color w:val="auto"/>
        </w:rPr>
      </w:pPr>
    </w:p>
    <w:p>
      <w:pPr>
        <w:ind w:left="791" w:right="3199" w:hanging="791"/>
        <w:spacing w:after="0" w:line="255" w:lineRule="auto"/>
        <w:tabs>
          <w:tab w:leader="none" w:pos="79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SIGN-ON BONUS. Within thirty (30) days after the Commencement Date, the Company will pay Executive a two hundred thousand ($200,000) dollar sign-on bonus.</w:t>
      </w:r>
    </w:p>
    <w:p>
      <w:pPr>
        <w:spacing w:after="0" w:line="161" w:lineRule="exact"/>
        <w:rPr>
          <w:rFonts w:ascii="Courier New" w:cs="Courier New" w:eastAsia="Courier New" w:hAnsi="Courier New"/>
          <w:sz w:val="14"/>
          <w:szCs w:val="14"/>
          <w:color w:val="auto"/>
        </w:rPr>
      </w:pPr>
    </w:p>
    <w:p>
      <w:pPr>
        <w:jc w:val="both"/>
        <w:ind w:left="791" w:right="3559" w:hanging="791"/>
        <w:spacing w:after="0" w:line="255" w:lineRule="auto"/>
        <w:tabs>
          <w:tab w:leader="none" w:pos="79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BONUS GUARANTEED. The Company will pay to Executive a minimum guaranteed bonus in the amount of one hundred eighty-eight thousand ($188,000) dollars, to be paid in 2001.</w:t>
      </w:r>
    </w:p>
    <w:p>
      <w:pPr>
        <w:spacing w:after="0" w:line="161"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5"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date of this Agreement, Executive will be granted a ten-year stock option award under the Stock Incentive Plan to purchase three hundred fifty thousand (350,000) shares of Stock. The exercise price shall be the fair market value on such date, and the options shall vest in equal installments in each of the first four (4) anniversaries of the date of this Agreement.</w:t>
      </w:r>
    </w:p>
    <w:p>
      <w:pPr>
        <w:spacing w:after="0" w:line="165"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February/March, 2001 meeting of the Compensation Committee of the Board of Directors, Executive will be granted a ten (10) year stock option award under the Stock Incentive Plan to purchase one hundred seventy-five thousand (175,000) shares of Stock. The exercise price shall be the fair market value on the date the Compensation Committee meets to award the options, and the options shall vest in equal installments over five (5) years. Thereafter, Executive shall participate in the Company's annual stock option award program as administered by, and at the discretion of, the Compensation Committee of the Board of Directors.</w:t>
      </w:r>
    </w:p>
    <w:p>
      <w:pPr>
        <w:spacing w:after="0" w:line="163" w:lineRule="exact"/>
        <w:rPr>
          <w:rFonts w:ascii="Courier New" w:cs="Courier New" w:eastAsia="Courier New" w:hAnsi="Courier New"/>
          <w:sz w:val="14"/>
          <w:szCs w:val="14"/>
          <w:color w:val="auto"/>
        </w:rPr>
      </w:pPr>
    </w:p>
    <w:p>
      <w:pPr>
        <w:ind w:left="791" w:right="3379" w:hanging="791"/>
        <w:spacing w:after="0" w:line="255" w:lineRule="auto"/>
        <w:tabs>
          <w:tab w:leader="none" w:pos="79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AWARDS. In order to address certain forfeitures that Executive will face upon termination of his employment with his prior employer, Executive shall be awarded or receive the following:</w:t>
      </w:r>
    </w:p>
    <w:p>
      <w:pPr>
        <w:spacing w:after="0" w:line="162" w:lineRule="exact"/>
        <w:rPr>
          <w:sz w:val="20"/>
          <w:szCs w:val="20"/>
          <w:color w:val="auto"/>
        </w:rPr>
      </w:pPr>
    </w:p>
    <w:p>
      <w:pPr>
        <w:ind w:left="1211" w:right="3199"/>
        <w:spacing w:after="0" w:line="253" w:lineRule="auto"/>
        <w:rPr>
          <w:sz w:val="20"/>
          <w:szCs w:val="20"/>
          <w:color w:val="auto"/>
        </w:rPr>
      </w:pPr>
      <w:r>
        <w:rPr>
          <w:rFonts w:ascii="Courier New" w:cs="Courier New" w:eastAsia="Courier New" w:hAnsi="Courier New"/>
          <w:sz w:val="14"/>
          <w:szCs w:val="14"/>
          <w:color w:val="auto"/>
        </w:rPr>
        <w:t>Restricted Stock Award. Effective as of the Commencement Date, the Company will grant Executive an award of restricted shares of the Company's common stock (the "Stock") (valued at three hundred thousand [$300,000] dollars on the date of grant) under the Waste Management, Inc. 1993 Stock Incentive Plan (the "Stock Incentive Plan") that will vest in equal installments on each of the first four (4) anniversaries of the Commencement Date, subject (except as otherwise provided herein) to Executive's continuous employment with the Company through the applicable vesting date (the "Restricted Stock Grant"). The Restricted Stock Grant shall be deemed outstanding shares for all purposes and Executive shall be fully vested in any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2 of 19</w:t>
      </w:r>
    </w:p>
    <w:p>
      <w:pPr>
        <w:sectPr>
          <w:pgSz w:w="11900" w:h="16838" w:orient="portrait"/>
          <w:cols w:equalWidth="0" w:num="1">
            <w:col w:w="10150"/>
          </w:cols>
          <w:pgMar w:left="309" w:top="286" w:right="1440" w:bottom="1440" w:gutter="0" w:footer="0" w:header="0"/>
        </w:sectPr>
      </w:pPr>
    </w:p>
    <w:bookmarkStart w:id="159" w:name="page160"/>
    <w:bookmarkEnd w:id="159"/>
    <w:p>
      <w:pPr>
        <w:ind w:left="251"/>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1211" w:right="3299"/>
        <w:spacing w:after="0" w:line="255" w:lineRule="auto"/>
        <w:rPr>
          <w:sz w:val="20"/>
          <w:szCs w:val="20"/>
          <w:color w:val="auto"/>
        </w:rPr>
      </w:pPr>
      <w:r>
        <w:rPr>
          <w:rFonts w:ascii="Courier New" w:cs="Courier New" w:eastAsia="Courier New" w:hAnsi="Courier New"/>
          <w:sz w:val="14"/>
          <w:szCs w:val="14"/>
          <w:color w:val="auto"/>
        </w:rPr>
        <w:t>dividends paid therein (and non cash dividends being subject to the same forfeiture provisions as the underlying Restricted Stock Grant shares).</w:t>
      </w:r>
    </w:p>
    <w:p>
      <w:pPr>
        <w:spacing w:after="0" w:line="162" w:lineRule="exact"/>
        <w:rPr>
          <w:sz w:val="20"/>
          <w:szCs w:val="20"/>
          <w:color w:val="auto"/>
        </w:rPr>
      </w:pPr>
    </w:p>
    <w:p>
      <w:pPr>
        <w:ind w:left="791" w:right="3299" w:hanging="791"/>
        <w:spacing w:after="0" w:line="253" w:lineRule="auto"/>
        <w:tabs>
          <w:tab w:leader="none" w:pos="79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COMPENSATION. Executive shall be entitled to participate in the Company's "Executive Deferral Plan" and any incentive or supplemental compensation plan, or arrangement maintained or instituted by the Company, and covering its principal executive officers, at a level commensurate with his positions and to receive additional compensation from the Company in such form, and to such extent, if any, as the Compensation Committee may in its sole discretion from time to time specify.</w:t>
      </w:r>
    </w:p>
    <w:p>
      <w:pPr>
        <w:spacing w:after="0" w:line="164" w:lineRule="exact"/>
        <w:rPr>
          <w:rFonts w:ascii="Courier New" w:cs="Courier New" w:eastAsia="Courier New" w:hAnsi="Courier New"/>
          <w:sz w:val="14"/>
          <w:szCs w:val="14"/>
          <w:color w:val="auto"/>
        </w:rPr>
      </w:pPr>
    </w:p>
    <w:p>
      <w:pPr>
        <w:ind w:left="791" w:right="3199" w:hanging="791"/>
        <w:spacing w:after="0" w:line="252" w:lineRule="auto"/>
        <w:tabs>
          <w:tab w:leader="none" w:pos="79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AND VACATION. Executive shall be eligible to participate in or receive benefits under any pension plan, profit sharing plan, medical and dental benefits plan, life insurance plan, short-term and long-term disability plans, or any other health, welfare or fringe benefit plan, generally made available by the Company to its executive officers at a level commensurate with his positions. All waiting periods for welfare plans shall be waived, and pre-existing medical conditions for Executive and Executive's family members will not be a basis for withholding medical insurance benefits. During the Employment Period, Executive shall be entitled to vacation each year in accordance with the Company's policies in effect from time to time, but in no event less than four (4) weeks paid vacation per calendar year. The Executive shall also be entitled to such periods of sick leave as is customarily provided by the Company for its senior executive employees. Executive shall be eligible to participate in the Company's 401(k) Plan after 90 days of employment.</w:t>
      </w:r>
    </w:p>
    <w:p>
      <w:pPr>
        <w:spacing w:after="0" w:line="339" w:lineRule="exact"/>
        <w:rPr>
          <w:rFonts w:ascii="Courier New" w:cs="Courier New" w:eastAsia="Courier New" w:hAnsi="Courier New"/>
          <w:sz w:val="14"/>
          <w:szCs w:val="14"/>
          <w:color w:val="auto"/>
        </w:rPr>
      </w:pPr>
    </w:p>
    <w:p>
      <w:pPr>
        <w:ind w:left="791" w:right="3899" w:hanging="791"/>
        <w:spacing w:after="0" w:line="258" w:lineRule="auto"/>
        <w:tabs>
          <w:tab w:leader="none" w:pos="79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PERQUISITES. Executive shall be entitled to the following benefits:</w:t>
      </w:r>
    </w:p>
    <w:p>
      <w:pPr>
        <w:spacing w:after="0" w:line="159" w:lineRule="exact"/>
        <w:rPr>
          <w:rFonts w:ascii="Courier New" w:cs="Courier New" w:eastAsia="Courier New" w:hAnsi="Courier New"/>
          <w:sz w:val="14"/>
          <w:szCs w:val="14"/>
          <w:color w:val="auto"/>
        </w:rPr>
      </w:pPr>
    </w:p>
    <w:p>
      <w:pPr>
        <w:ind w:left="1311" w:right="3199" w:hanging="530"/>
        <w:spacing w:after="0" w:line="258" w:lineRule="auto"/>
        <w:tabs>
          <w:tab w:leader="none" w:pos="1311"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 Allowance in the amount of one thousand ($1,000) dollars per month;</w:t>
      </w:r>
    </w:p>
    <w:p>
      <w:pPr>
        <w:spacing w:after="0" w:line="159" w:lineRule="exact"/>
        <w:rPr>
          <w:rFonts w:ascii="Courier New" w:cs="Courier New" w:eastAsia="Courier New" w:hAnsi="Courier New"/>
          <w:sz w:val="14"/>
          <w:szCs w:val="14"/>
          <w:color w:val="auto"/>
        </w:rPr>
      </w:pPr>
    </w:p>
    <w:p>
      <w:pPr>
        <w:ind w:left="1311" w:right="3559" w:hanging="530"/>
        <w:spacing w:after="0" w:line="258" w:lineRule="auto"/>
        <w:tabs>
          <w:tab w:leader="none" w:pos="1311"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Planning Services at actual cost, and not to exceed fifteen thousand ($15,000) dollars annually;</w:t>
      </w:r>
    </w:p>
    <w:p>
      <w:pPr>
        <w:spacing w:after="0" w:line="159" w:lineRule="exact"/>
        <w:rPr>
          <w:rFonts w:ascii="Courier New" w:cs="Courier New" w:eastAsia="Courier New" w:hAnsi="Courier New"/>
          <w:sz w:val="14"/>
          <w:szCs w:val="14"/>
          <w:color w:val="auto"/>
        </w:rPr>
      </w:pPr>
    </w:p>
    <w:p>
      <w:pPr>
        <w:ind w:left="1311" w:right="3719" w:hanging="530"/>
        <w:spacing w:after="0" w:line="258" w:lineRule="auto"/>
        <w:tabs>
          <w:tab w:leader="none" w:pos="1311"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Club Dues and Assessments at actual cost, and not to exceed twelve thousand ($12,000) dollars annually; and</w:t>
      </w:r>
    </w:p>
    <w:p>
      <w:pPr>
        <w:spacing w:after="0" w:line="159" w:lineRule="exact"/>
        <w:rPr>
          <w:rFonts w:ascii="Courier New" w:cs="Courier New" w:eastAsia="Courier New" w:hAnsi="Courier New"/>
          <w:sz w:val="14"/>
          <w:szCs w:val="14"/>
          <w:color w:val="auto"/>
        </w:rPr>
      </w:pPr>
    </w:p>
    <w:p>
      <w:pPr>
        <w:ind w:left="1311" w:right="3559" w:hanging="530"/>
        <w:spacing w:after="0" w:line="258" w:lineRule="auto"/>
        <w:tabs>
          <w:tab w:leader="none" w:pos="1311"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Physical Examination on a program designated by the Company.</w:t>
      </w:r>
    </w:p>
    <w:p>
      <w:pPr>
        <w:spacing w:after="0" w:line="159" w:lineRule="exact"/>
        <w:rPr>
          <w:rFonts w:ascii="Courier New" w:cs="Courier New" w:eastAsia="Courier New" w:hAnsi="Courier New"/>
          <w:sz w:val="14"/>
          <w:szCs w:val="14"/>
          <w:color w:val="auto"/>
        </w:rPr>
      </w:pPr>
    </w:p>
    <w:p>
      <w:pPr>
        <w:ind w:left="791" w:right="3299" w:hanging="791"/>
        <w:spacing w:after="0" w:line="253" w:lineRule="auto"/>
        <w:tabs>
          <w:tab w:leader="none" w:pos="79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 In addition the Company shall (i) pay for the reasonable costs, fees and expenses incurred by Executive, his consultants or legal advisors in connection with the negotiation and execution of this Agreement in an amount not to exceed ten thousand ($10,000) dollars.</w:t>
      </w:r>
    </w:p>
    <w:p>
      <w:pPr>
        <w:spacing w:after="0" w:line="331"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3 of 19</w:t>
      </w:r>
    </w:p>
    <w:p>
      <w:pPr>
        <w:sectPr>
          <w:pgSz w:w="11900" w:h="16838" w:orient="portrait"/>
          <w:cols w:equalWidth="0" w:num="1">
            <w:col w:w="10150"/>
          </w:cols>
          <w:pgMar w:left="309" w:top="286"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800" w:hanging="791"/>
        <w:spacing w:after="0"/>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4079"/>
        <w:spacing w:after="0" w:line="258" w:lineRule="auto"/>
        <w:rPr>
          <w:sz w:val="20"/>
          <w:szCs w:val="20"/>
          <w:color w:val="auto"/>
        </w:rPr>
      </w:pPr>
      <w:r>
        <w:rPr>
          <w:rFonts w:ascii="Courier New" w:cs="Courier New" w:eastAsia="Courier New" w:hAnsi="Courier New"/>
          <w:sz w:val="14"/>
          <w:szCs w:val="14"/>
          <w:color w:val="auto"/>
        </w:rPr>
        <w:t>Executive's employment hereunder may be terminated under the following circumstances:</w:t>
      </w:r>
    </w:p>
    <w:p>
      <w:pPr>
        <w:spacing w:after="0" w:line="160" w:lineRule="exact"/>
        <w:rPr>
          <w:sz w:val="20"/>
          <w:szCs w:val="20"/>
          <w:color w:val="auto"/>
        </w:rPr>
      </w:pPr>
    </w:p>
    <w:p>
      <w:pPr>
        <w:ind w:left="800" w:right="4159" w:hanging="791"/>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Executive's employment hereunder shall terminate upon Executive's death.</w:t>
      </w:r>
    </w:p>
    <w:p>
      <w:pPr>
        <w:spacing w:after="0" w:line="159"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w:t>
      </w:r>
    </w:p>
    <w:p>
      <w:pPr>
        <w:spacing w:after="0" w:line="3" w:lineRule="exact"/>
        <w:rPr>
          <w:rFonts w:ascii="Courier New" w:cs="Courier New" w:eastAsia="Courier New" w:hAnsi="Courier New"/>
          <w:sz w:val="14"/>
          <w:szCs w:val="14"/>
          <w:color w:val="auto"/>
        </w:rPr>
      </w:pPr>
    </w:p>
    <w:p>
      <w:pPr>
        <w:ind w:left="800" w:right="3379" w:hanging="10"/>
        <w:spacing w:after="0" w:line="254" w:lineRule="auto"/>
        <w:tabs>
          <w:tab w:leader="none" w:pos="1234"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63" w:lineRule="exact"/>
        <w:rPr>
          <w:rFonts w:ascii="Courier New" w:cs="Courier New" w:eastAsia="Courier New" w:hAnsi="Courier New"/>
          <w:sz w:val="14"/>
          <w:szCs w:val="14"/>
          <w:color w:val="auto"/>
        </w:rPr>
      </w:pPr>
    </w:p>
    <w:p>
      <w:pPr>
        <w:ind w:left="800" w:right="3299" w:hanging="791"/>
        <w:spacing w:after="0" w:line="252"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within ninety</w:t>
      </w:r>
    </w:p>
    <w:p>
      <w:pPr>
        <w:ind w:left="800" w:right="3459" w:hanging="10"/>
        <w:spacing w:after="0" w:line="258" w:lineRule="auto"/>
        <w:tabs>
          <w:tab w:leader="none" w:pos="1234"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Chairman of the Audit or Governance Committee of the Board has knowledge thereof.</w:t>
      </w:r>
    </w:p>
    <w:p>
      <w:pPr>
        <w:spacing w:after="0" w:line="160" w:lineRule="exact"/>
        <w:rPr>
          <w:sz w:val="20"/>
          <w:szCs w:val="20"/>
          <w:color w:val="auto"/>
        </w:rPr>
      </w:pPr>
    </w:p>
    <w:p>
      <w:pPr>
        <w:ind w:left="1320" w:right="3199" w:hanging="530"/>
        <w:spacing w:after="0" w:line="252" w:lineRule="auto"/>
        <w:tabs>
          <w:tab w:leader="none" w:pos="13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be limited to (1) willful misconduct by Executive with regard to the Company which has a material adverse effect on the Company; (2) the willful refusal of Executive to attempt to follow the proper written direction of the Board,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Board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 or omitted to be done, by him not in good faith and without reasonable belief that his action or omission was in the best interests of the Company.</w:t>
      </w:r>
    </w:p>
    <w:p>
      <w:pPr>
        <w:spacing w:after="0" w:line="341" w:lineRule="exact"/>
        <w:rPr>
          <w:rFonts w:ascii="Courier New" w:cs="Courier New" w:eastAsia="Courier New" w:hAnsi="Courier New"/>
          <w:sz w:val="14"/>
          <w:szCs w:val="14"/>
          <w:color w:val="auto"/>
        </w:rPr>
      </w:pPr>
    </w:p>
    <w:p>
      <w:pPr>
        <w:ind w:left="1320" w:right="3299" w:hanging="530"/>
        <w:spacing w:after="0" w:line="254" w:lineRule="auto"/>
        <w:tabs>
          <w:tab w:leader="none" w:pos="132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4 of 19</w:t>
      </w:r>
    </w:p>
    <w:p>
      <w:pPr>
        <w:sectPr>
          <w:pgSz w:w="11900" w:h="16838" w:orient="portrait"/>
          <w:cols w:equalWidth="0" w:num="1">
            <w:col w:w="10159"/>
          </w:cols>
          <w:pgMar w:left="300" w:top="286" w:right="1440" w:bottom="1440" w:gutter="0" w:footer="0" w:header="0"/>
        </w:sectPr>
      </w:pPr>
    </w:p>
    <w:bookmarkStart w:id="161" w:name="page162"/>
    <w:bookmarkEnd w:id="161"/>
    <w:p>
      <w:pPr>
        <w:ind w:left="251"/>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1311" w:right="3199"/>
        <w:spacing w:after="0" w:line="252" w:lineRule="auto"/>
        <w:rPr>
          <w:sz w:val="20"/>
          <w:szCs w:val="20"/>
          <w:color w:val="auto"/>
        </w:rPr>
      </w:pPr>
      <w:r>
        <w:rPr>
          <w:rFonts w:ascii="Courier New" w:cs="Courier New" w:eastAsia="Courier New" w:hAnsi="Courier New"/>
          <w:sz w:val="14"/>
          <w:szCs w:val="14"/>
          <w:color w:val="auto"/>
        </w:rPr>
        <w:t>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 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172" w:lineRule="exact"/>
        <w:rPr>
          <w:sz w:val="20"/>
          <w:szCs w:val="20"/>
          <w:color w:val="auto"/>
        </w:rPr>
      </w:pPr>
    </w:p>
    <w:p>
      <w:pPr>
        <w:ind w:left="791" w:right="3299" w:hanging="791"/>
        <w:spacing w:after="0" w:line="255" w:lineRule="auto"/>
        <w:tabs>
          <w:tab w:leader="none" w:pos="79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Executive may terminate employment hereunder with or without Good Reason at any time upon written notice to the Company.</w:t>
      </w:r>
    </w:p>
    <w:p>
      <w:pPr>
        <w:spacing w:after="0" w:line="161" w:lineRule="exact"/>
        <w:rPr>
          <w:rFonts w:ascii="Courier New" w:cs="Courier New" w:eastAsia="Courier New" w:hAnsi="Courier New"/>
          <w:sz w:val="14"/>
          <w:szCs w:val="14"/>
          <w:color w:val="auto"/>
        </w:rPr>
      </w:pPr>
    </w:p>
    <w:p>
      <w:pPr>
        <w:ind w:left="1311" w:right="3199" w:hanging="530"/>
        <w:spacing w:after="0" w:line="252" w:lineRule="auto"/>
        <w:tabs>
          <w:tab w:leader="none" w:pos="1311"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w:t>
      </w:r>
    </w:p>
    <w:p>
      <w:pPr>
        <w:spacing w:after="0" w:line="2" w:lineRule="exact"/>
        <w:rPr>
          <w:rFonts w:ascii="Courier New" w:cs="Courier New" w:eastAsia="Courier New" w:hAnsi="Courier New"/>
          <w:sz w:val="14"/>
          <w:szCs w:val="14"/>
          <w:color w:val="auto"/>
        </w:rPr>
      </w:pPr>
    </w:p>
    <w:p>
      <w:pPr>
        <w:ind w:left="1311" w:right="3199" w:hanging="9"/>
        <w:spacing w:after="0" w:line="252" w:lineRule="auto"/>
        <w:tabs>
          <w:tab w:leader="none" w:pos="1658"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diminution of Executive's positions, duties or responsibilities hereunder (except in each case in connection with the termination of Executive's employment for Cause or Total Disability or as a result of Executive's death, or temporarily as a result of Executive's illness or other absence), or, the assignment to Executive of duties or responsibilities that are inconsistent with Executive's then position; provided that if the Company becomes a fifty percent or more subsidiary of any other entity, Executive shall be deemed to have a material diminution of his position unless he is also Senior Vice President and General Counsel, and Secretary to the Board of the ultimate parent entity; (2) removal of, or the non-re-election of, the Executive from officer positions with the Company specified herein or removal of the Executive from any of his then officer positions; (3) requiring Executive's principal place of business to be located other than in the Houston, Texas greater Metropolitan region;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 the form in effect prior to such modification and (y) 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or (6) failure of 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5 of 19</w:t>
      </w:r>
    </w:p>
    <w:p>
      <w:pPr>
        <w:sectPr>
          <w:pgSz w:w="11900" w:h="16838" w:orient="portrait"/>
          <w:cols w:equalWidth="0" w:num="1">
            <w:col w:w="10150"/>
          </w:cols>
          <w:pgMar w:left="309" w:top="286"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1320" w:right="3199"/>
        <w:spacing w:after="0" w:line="254" w:lineRule="auto"/>
        <w:rPr>
          <w:sz w:val="20"/>
          <w:szCs w:val="20"/>
          <w:color w:val="auto"/>
        </w:rPr>
      </w:pPr>
      <w:r>
        <w:rPr>
          <w:rFonts w:ascii="Courier New" w:cs="Courier New" w:eastAsia="Courier New" w:hAnsi="Courier New"/>
          <w:sz w:val="14"/>
          <w:szCs w:val="14"/>
          <w:color w:val="auto"/>
        </w:rPr>
        <w:t>successor to the Company (whether direct or indirect and whether by merger, acquisition, consolidation or otherwise) to assume in a writing delivered to Executive upon the assignee becoming such, the obligations of the Company hereunder.</w:t>
      </w:r>
    </w:p>
    <w:p>
      <w:pPr>
        <w:spacing w:after="0" w:line="163" w:lineRule="exact"/>
        <w:rPr>
          <w:sz w:val="20"/>
          <w:szCs w:val="20"/>
          <w:color w:val="auto"/>
        </w:rPr>
      </w:pPr>
    </w:p>
    <w:p>
      <w:pPr>
        <w:ind w:left="1320" w:right="3199" w:hanging="530"/>
        <w:spacing w:after="0" w:line="253" w:lineRule="auto"/>
        <w:tabs>
          <w:tab w:leader="none" w:pos="132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(i)(1) or (2) the date may be five (5) days after the giving of such notice.</w:t>
      </w:r>
    </w:p>
    <w:p>
      <w:pPr>
        <w:spacing w:after="0" w:line="329" w:lineRule="exact"/>
        <w:rPr>
          <w:rFonts w:ascii="Courier New" w:cs="Courier New" w:eastAsia="Courier New" w:hAnsi="Courier New"/>
          <w:sz w:val="14"/>
          <w:szCs w:val="14"/>
          <w:color w:val="auto"/>
        </w:rPr>
      </w:pPr>
    </w:p>
    <w:p>
      <w:pPr>
        <w:ind w:left="800" w:right="3199" w:hanging="791"/>
        <w:spacing w:after="0" w:line="255" w:lineRule="auto"/>
        <w:tabs>
          <w:tab w:leader="none" w:pos="8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upon written notice to Executive.</w:t>
      </w:r>
    </w:p>
    <w:p>
      <w:pPr>
        <w:spacing w:after="0" w:line="161" w:lineRule="exact"/>
        <w:rPr>
          <w:rFonts w:ascii="Courier New" w:cs="Courier New" w:eastAsia="Courier New" w:hAnsi="Courier New"/>
          <w:sz w:val="14"/>
          <w:szCs w:val="14"/>
          <w:color w:val="auto"/>
        </w:rPr>
      </w:pPr>
    </w:p>
    <w:p>
      <w:pPr>
        <w:ind w:left="800" w:right="3199" w:hanging="791"/>
        <w:spacing w:after="0" w:line="255" w:lineRule="auto"/>
        <w:tabs>
          <w:tab w:leader="none" w:pos="8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Upon any termination of employment, Executive shall immediately resign from all Board memberships and other positions with the Company or any of its subsidiaries held by him at such time.</w:t>
      </w:r>
    </w:p>
    <w:p>
      <w:pPr>
        <w:spacing w:after="0" w:line="162" w:lineRule="exact"/>
        <w:rPr>
          <w:sz w:val="20"/>
          <w:szCs w:val="20"/>
          <w:color w:val="auto"/>
        </w:rPr>
      </w:pPr>
    </w:p>
    <w:p>
      <w:pPr>
        <w:ind w:left="800" w:hanging="791"/>
        <w:spacing w:after="0"/>
        <w:tabs>
          <w:tab w:leader="none" w:pos="8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FOLLOWING TERMINATION OF EMPLOYMENT.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the event that Executive's employment hereunder is terminated, Executive shall be entitled to the following compensation and benefits upon such termination:</w:t>
      </w:r>
    </w:p>
    <w:p>
      <w:pPr>
        <w:spacing w:after="0" w:line="162" w:lineRule="exact"/>
        <w:rPr>
          <w:sz w:val="20"/>
          <w:szCs w:val="20"/>
          <w:color w:val="auto"/>
        </w:rPr>
      </w:pPr>
    </w:p>
    <w:p>
      <w:pPr>
        <w:ind w:left="800" w:right="3379" w:hanging="791"/>
        <w:spacing w:after="0" w:line="255" w:lineRule="auto"/>
        <w:tabs>
          <w:tab w:leader="none" w:pos="8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161" w:lineRule="exact"/>
        <w:rPr>
          <w:rFonts w:ascii="Courier New" w:cs="Courier New" w:eastAsia="Courier New" w:hAnsi="Courier New"/>
          <w:sz w:val="14"/>
          <w:szCs w:val="14"/>
          <w:color w:val="auto"/>
        </w:rPr>
      </w:pPr>
    </w:p>
    <w:p>
      <w:pPr>
        <w:ind w:left="1320" w:right="3199" w:hanging="530"/>
        <w:spacing w:after="0" w:line="253" w:lineRule="auto"/>
        <w:tabs>
          <w:tab w:leader="none" w:pos="132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 pro-rata "bonus" or incentive compensation payment to the extent payments are awarded senior executives and paid at the same time as senior executives are paid, and any vacation accrued to the date of death.</w:t>
      </w:r>
    </w:p>
    <w:p>
      <w:pPr>
        <w:spacing w:after="0" w:line="164" w:lineRule="exact"/>
        <w:rPr>
          <w:rFonts w:ascii="Courier New" w:cs="Courier New" w:eastAsia="Courier New" w:hAnsi="Courier New"/>
          <w:sz w:val="14"/>
          <w:szCs w:val="14"/>
          <w:color w:val="auto"/>
        </w:rPr>
      </w:pPr>
    </w:p>
    <w:p>
      <w:pPr>
        <w:ind w:left="1320" w:right="3299" w:hanging="530"/>
        <w:spacing w:after="0" w:line="254" w:lineRule="auto"/>
        <w:tabs>
          <w:tab w:leader="none" w:pos="132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Sections 4(g)-(i) hereof), as determined and paid in accordance with the terms of such plans, policies and arrangements.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6 of 19</w:t>
      </w:r>
    </w:p>
    <w:p>
      <w:pPr>
        <w:sectPr>
          <w:pgSz w:w="11900" w:h="16838" w:orient="portrait"/>
          <w:cols w:equalWidth="0" w:num="1">
            <w:col w:w="10159"/>
          </w:cols>
          <w:pgMar w:left="300" w:top="286" w:right="1440" w:bottom="1440" w:gutter="0" w:footer="0" w:header="0"/>
        </w:sectPr>
      </w:pPr>
    </w:p>
    <w:bookmarkStart w:id="163" w:name="page164"/>
    <w:bookmarkEnd w:id="163"/>
    <w:p>
      <w:pPr>
        <w:ind w:left="251"/>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1311" w:right="3299" w:hanging="530"/>
        <w:spacing w:after="0" w:line="253" w:lineRule="auto"/>
        <w:tabs>
          <w:tab w:leader="none" w:pos="1311"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64" w:lineRule="exact"/>
        <w:rPr>
          <w:rFonts w:ascii="Courier New" w:cs="Courier New" w:eastAsia="Courier New" w:hAnsi="Courier New"/>
          <w:sz w:val="14"/>
          <w:szCs w:val="14"/>
          <w:color w:val="auto"/>
        </w:rPr>
      </w:pPr>
    </w:p>
    <w:p>
      <w:pPr>
        <w:ind w:left="1311" w:right="3199" w:hanging="530"/>
        <w:spacing w:after="0" w:line="254" w:lineRule="auto"/>
        <w:tabs>
          <w:tab w:leader="none" w:pos="1311"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death, stock options awarded to Executive and the Restricted Stock Grant shall be fully vested and Executive's estate or beneficiary shall have up to one (1) year from the date of death to exercise all such options.</w:t>
      </w:r>
    </w:p>
    <w:p>
      <w:pPr>
        <w:spacing w:after="0" w:line="162" w:lineRule="exact"/>
        <w:rPr>
          <w:rFonts w:ascii="Courier New" w:cs="Courier New" w:eastAsia="Courier New" w:hAnsi="Courier New"/>
          <w:sz w:val="14"/>
          <w:szCs w:val="14"/>
          <w:color w:val="auto"/>
        </w:rPr>
      </w:pPr>
    </w:p>
    <w:p>
      <w:pPr>
        <w:ind w:left="1311" w:hanging="530"/>
        <w:spacing w:after="0"/>
        <w:tabs>
          <w:tab w:leader="none" w:pos="1311"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rFonts w:ascii="Courier New" w:cs="Courier New" w:eastAsia="Courier New" w:hAnsi="Courier New"/>
          <w:sz w:val="14"/>
          <w:szCs w:val="14"/>
          <w:color w:val="auto"/>
        </w:rPr>
      </w:pPr>
    </w:p>
    <w:p>
      <w:pPr>
        <w:ind w:left="791" w:right="3379" w:hanging="791"/>
        <w:spacing w:after="0" w:line="254" w:lineRule="auto"/>
        <w:tabs>
          <w:tab w:leader="none" w:pos="79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63"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for the year in which Executive is terminated.</w:t>
      </w:r>
    </w:p>
    <w:p>
      <w:pPr>
        <w:spacing w:after="0" w:line="331"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Sections 4(g)-(i)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331" w:lineRule="exact"/>
        <w:rPr>
          <w:rFonts w:ascii="Courier New" w:cs="Courier New" w:eastAsia="Courier New" w:hAnsi="Courier New"/>
          <w:sz w:val="14"/>
          <w:szCs w:val="14"/>
          <w:color w:val="auto"/>
        </w:rPr>
      </w:pPr>
    </w:p>
    <w:p>
      <w:pPr>
        <w:ind w:left="1311" w:right="3199" w:hanging="530"/>
        <w:spacing w:after="0" w:line="254" w:lineRule="auto"/>
        <w:tabs>
          <w:tab w:leader="none" w:pos="1311"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Total Disability, Executive shall be fully vested in all stock option awards and the Restricted Stock Grant and Executive shall have up to one (1) year from the date of termination by reason of Total Disability to exercise all such options.</w:t>
      </w:r>
    </w:p>
    <w:p>
      <w:pPr>
        <w:spacing w:after="0" w:line="162" w:lineRule="exact"/>
        <w:rPr>
          <w:rFonts w:ascii="Courier New" w:cs="Courier New" w:eastAsia="Courier New" w:hAnsi="Courier New"/>
          <w:sz w:val="14"/>
          <w:szCs w:val="14"/>
          <w:color w:val="auto"/>
        </w:rPr>
      </w:pPr>
    </w:p>
    <w:p>
      <w:pPr>
        <w:ind w:left="1311" w:hanging="530"/>
        <w:spacing w:after="0"/>
        <w:tabs>
          <w:tab w:leader="none" w:pos="1311"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7 of 19</w:t>
      </w:r>
    </w:p>
    <w:p>
      <w:pPr>
        <w:sectPr>
          <w:pgSz w:w="11900" w:h="16838" w:orient="portrait"/>
          <w:cols w:equalWidth="0" w:num="1">
            <w:col w:w="10150"/>
          </w:cols>
          <w:pgMar w:left="309" w:top="286" w:right="1440" w:bottom="1440" w:gutter="0" w:footer="0" w:header="0"/>
        </w:sectPr>
      </w:pPr>
    </w:p>
    <w:bookmarkStart w:id="164" w:name="page165"/>
    <w:bookmarkEnd w:id="164"/>
    <w:p>
      <w:pPr>
        <w:ind w:left="251"/>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791" w:right="3639" w:hanging="791"/>
        <w:spacing w:after="0" w:line="255" w:lineRule="auto"/>
        <w:tabs>
          <w:tab w:leader="none" w:pos="79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In the event that Executive's employment is terminated by the Company for Cause, the Company shall pay the following amounts to Executive:</w:t>
      </w:r>
    </w:p>
    <w:p>
      <w:pPr>
        <w:spacing w:after="0" w:line="161"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2"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Sections 4(g)-(i)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311" w:hanging="530"/>
        <w:spacing w:after="0"/>
        <w:tabs>
          <w:tab w:leader="none" w:pos="131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sz w:val="20"/>
          <w:szCs w:val="20"/>
          <w:color w:val="auto"/>
        </w:rPr>
      </w:pPr>
    </w:p>
    <w:p>
      <w:pPr>
        <w:ind w:left="791" w:right="3299"/>
        <w:spacing w:after="0" w:line="254" w:lineRule="auto"/>
        <w:rPr>
          <w:sz w:val="20"/>
          <w:szCs w:val="20"/>
          <w:color w:val="auto"/>
        </w:rPr>
      </w:pPr>
      <w:r>
        <w:rPr>
          <w:rFonts w:ascii="Courier New" w:cs="Courier New" w:eastAsia="Courier New" w:hAnsi="Courier New"/>
          <w:sz w:val="14"/>
          <w:szCs w:val="14"/>
          <w:color w:val="auto"/>
        </w:rPr>
        <w:t>Any options, restricted stock or other awards that have not vested prior to the date of such termination of employment shall be cancelled and any options held by Executive shall be cancelled, whether or not then vested.</w:t>
      </w:r>
    </w:p>
    <w:p>
      <w:pPr>
        <w:spacing w:after="0" w:line="163" w:lineRule="exact"/>
        <w:rPr>
          <w:sz w:val="20"/>
          <w:szCs w:val="20"/>
          <w:color w:val="auto"/>
        </w:rPr>
      </w:pPr>
    </w:p>
    <w:p>
      <w:pPr>
        <w:ind w:left="791" w:right="3719" w:hanging="791"/>
        <w:spacing w:after="0" w:line="255" w:lineRule="auto"/>
        <w:tabs>
          <w:tab w:leader="none" w:pos="79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voluntarily terminates employment other than for Good Reason, the Company shall pay the following amounts to Executive:</w:t>
      </w:r>
    </w:p>
    <w:p>
      <w:pPr>
        <w:spacing w:after="0" w:line="161"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2"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Sections 4(g)-(i)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311" w:hanging="530"/>
        <w:spacing w:after="0"/>
        <w:tabs>
          <w:tab w:leader="none" w:pos="1311"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sz w:val="20"/>
          <w:szCs w:val="20"/>
          <w:color w:val="auto"/>
        </w:rPr>
      </w:pPr>
    </w:p>
    <w:p>
      <w:pPr>
        <w:ind w:left="791" w:right="3199"/>
        <w:spacing w:after="0" w:line="254" w:lineRule="auto"/>
        <w:rPr>
          <w:sz w:val="20"/>
          <w:szCs w:val="20"/>
          <w:color w:val="auto"/>
        </w:rPr>
      </w:pPr>
      <w:r>
        <w:rPr>
          <w:rFonts w:ascii="Courier New" w:cs="Courier New" w:eastAsia="Courier New" w:hAnsi="Courier New"/>
          <w:sz w:val="14"/>
          <w:szCs w:val="14"/>
          <w:color w:val="auto"/>
        </w:rPr>
        <w:t>Any options, restricted stock or other awards that have not vested prior to the date of such termination of employment shall be cancelled and Executive shall have 90 days following termination of employment to exercise any previously vested options (or, if earlier, until the stated expiration thereof).</w:t>
      </w:r>
    </w:p>
    <w:p>
      <w:pPr>
        <w:spacing w:after="0" w:line="162" w:lineRule="exact"/>
        <w:rPr>
          <w:sz w:val="20"/>
          <w:szCs w:val="20"/>
          <w:color w:val="auto"/>
        </w:rPr>
      </w:pPr>
    </w:p>
    <w:p>
      <w:pPr>
        <w:ind w:left="791" w:right="3199" w:hanging="791"/>
        <w:spacing w:after="0" w:line="254" w:lineRule="auto"/>
        <w:tabs>
          <w:tab w:leader="none" w:pos="79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8 of 19</w:t>
      </w:r>
    </w:p>
    <w:p>
      <w:pPr>
        <w:sectPr>
          <w:pgSz w:w="11900" w:h="16838" w:orient="portrait"/>
          <w:cols w:equalWidth="0" w:num="1">
            <w:col w:w="10150"/>
          </w:cols>
          <w:pgMar w:left="309" w:top="286"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1060" w:right="3299" w:hanging="530"/>
        <w:spacing w:after="0" w:line="254" w:lineRule="auto"/>
        <w:tabs>
          <w:tab w:leader="none" w:pos="10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2" w:lineRule="exact"/>
        <w:rPr>
          <w:rFonts w:ascii="Courier New" w:cs="Courier New" w:eastAsia="Courier New" w:hAnsi="Courier New"/>
          <w:sz w:val="14"/>
          <w:szCs w:val="14"/>
          <w:color w:val="auto"/>
        </w:rPr>
      </w:pPr>
    </w:p>
    <w:p>
      <w:pPr>
        <w:ind w:left="1060" w:right="3199" w:hanging="530"/>
        <w:spacing w:after="0" w:line="254" w:lineRule="auto"/>
        <w:tabs>
          <w:tab w:leader="none" w:pos="10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Sections 4(g)-(i)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two times the sum of Executive's Base Salary plus his Target Annual Bonus (in each case as then in effect), of which one-half shall be paid in a lump sum within ten (10) days after such termination and one-half shall be paid during the two</w:t>
      </w:r>
    </w:p>
    <w:p>
      <w:pPr>
        <w:spacing w:after="0" w:line="1" w:lineRule="exact"/>
        <w:rPr>
          <w:rFonts w:ascii="Courier New" w:cs="Courier New" w:eastAsia="Courier New" w:hAnsi="Courier New"/>
          <w:sz w:val="14"/>
          <w:szCs w:val="14"/>
          <w:color w:val="auto"/>
        </w:rPr>
      </w:pPr>
    </w:p>
    <w:p>
      <w:pPr>
        <w:ind w:left="1060" w:right="3199" w:hanging="9"/>
        <w:spacing w:after="0" w:line="254" w:lineRule="auto"/>
        <w:tabs>
          <w:tab w:leader="none" w:pos="1407"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period beginning on the date of Executive's termination and shall be paid at the same time and in the same manner as Base Salary would have been paid if Executive had remained in active employment until the end of such period.</w:t>
      </w:r>
    </w:p>
    <w:p>
      <w:pPr>
        <w:spacing w:after="0" w:line="163"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 (A) two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340" w:lineRule="exact"/>
        <w:rPr>
          <w:rFonts w:ascii="Courier New" w:cs="Courier New" w:eastAsia="Courier New" w:hAnsi="Courier New"/>
          <w:sz w:val="14"/>
          <w:szCs w:val="14"/>
          <w:color w:val="auto"/>
        </w:rPr>
      </w:pPr>
    </w:p>
    <w:p>
      <w:pPr>
        <w:ind w:left="1060" w:right="3199" w:hanging="530"/>
        <w:spacing w:after="0" w:line="253" w:lineRule="auto"/>
        <w:tabs>
          <w:tab w:leader="none" w:pos="10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pro-rated for the fiscal year in which the Executive is terminated.</w:t>
      </w:r>
    </w:p>
    <w:p>
      <w:pPr>
        <w:spacing w:after="0" w:line="163"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such termination of employment, the stock options awarded to Executive pursuant to Section 4(e)(i) hereof and the Restricted Stock Grant shall be fully vested. Executive shall continue to vest in all other stock option awards or restricted stock awards over the two (2) year period commencing on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9 of 19</w:t>
      </w:r>
    </w:p>
    <w:p>
      <w:pPr>
        <w:sectPr>
          <w:pgSz w:w="11900" w:h="16838" w:orient="portrait"/>
          <w:cols w:equalWidth="0" w:num="1">
            <w:col w:w="9899"/>
          </w:cols>
          <w:pgMar w:left="560" w:top="286" w:right="1440" w:bottom="1440" w:gutter="0" w:footer="0" w:header="0"/>
        </w:sectPr>
      </w:pPr>
    </w:p>
    <w:bookmarkStart w:id="166" w:name="page167"/>
    <w:bookmarkEnd w:id="166"/>
    <w:p>
      <w:pPr>
        <w:ind w:left="251"/>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1311" w:right="3199"/>
        <w:spacing w:after="0" w:line="254" w:lineRule="auto"/>
        <w:rPr>
          <w:sz w:val="20"/>
          <w:szCs w:val="20"/>
          <w:color w:val="auto"/>
        </w:rPr>
      </w:pPr>
      <w:r>
        <w:rPr>
          <w:rFonts w:ascii="Courier New" w:cs="Courier New" w:eastAsia="Courier New" w:hAnsi="Courier New"/>
          <w:sz w:val="14"/>
          <w:szCs w:val="14"/>
          <w:color w:val="auto"/>
        </w:rPr>
        <w:t>such termination. Executive shall have two (2) years and six (6) months after the date of termination to exercise all options, unless by virtue of the particular stock option award, the option grant expires on an earlier date.</w:t>
      </w:r>
    </w:p>
    <w:p>
      <w:pPr>
        <w:spacing w:after="0" w:line="163" w:lineRule="exact"/>
        <w:rPr>
          <w:sz w:val="20"/>
          <w:szCs w:val="20"/>
          <w:color w:val="auto"/>
        </w:rPr>
      </w:pPr>
    </w:p>
    <w:p>
      <w:pPr>
        <w:ind w:left="1311" w:hanging="530"/>
        <w:spacing w:after="0"/>
        <w:tabs>
          <w:tab w:leader="none" w:pos="1311"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64" w:lineRule="exact"/>
        <w:rPr>
          <w:rFonts w:ascii="Courier New" w:cs="Courier New" w:eastAsia="Courier New" w:hAnsi="Courier New"/>
          <w:sz w:val="14"/>
          <w:szCs w:val="14"/>
          <w:color w:val="auto"/>
        </w:rPr>
      </w:pPr>
    </w:p>
    <w:p>
      <w:pPr>
        <w:ind w:left="791" w:right="3299" w:hanging="791"/>
        <w:spacing w:after="0" w:line="253" w:lineRule="auto"/>
        <w:tabs>
          <w:tab w:leader="none" w:pos="79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164" w:lineRule="exact"/>
        <w:rPr>
          <w:sz w:val="20"/>
          <w:szCs w:val="20"/>
          <w:color w:val="auto"/>
        </w:rPr>
      </w:pPr>
    </w:p>
    <w:p>
      <w:pPr>
        <w:ind w:left="511" w:right="3979" w:hanging="511"/>
        <w:spacing w:after="0" w:line="258" w:lineRule="auto"/>
        <w:tabs>
          <w:tab w:leader="none" w:pos="51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BY EXECUTIVE FOR GOOD REASON AND COMPENSATION PAYABLE FOLLOWING CHANGE IN CONTROL.</w:t>
      </w:r>
    </w:p>
    <w:p>
      <w:pPr>
        <w:spacing w:after="0" w:line="160" w:lineRule="exact"/>
        <w:rPr>
          <w:sz w:val="20"/>
          <w:szCs w:val="20"/>
          <w:color w:val="auto"/>
        </w:rPr>
      </w:pPr>
    </w:p>
    <w:p>
      <w:pPr>
        <w:ind w:left="791" w:right="3199" w:hanging="791"/>
        <w:spacing w:after="0" w:line="253" w:lineRule="auto"/>
        <w:tabs>
          <w:tab w:leader="none" w:pos="79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331" w:lineRule="exact"/>
        <w:rPr>
          <w:rFonts w:ascii="Courier New" w:cs="Courier New" w:eastAsia="Courier New" w:hAnsi="Courier New"/>
          <w:sz w:val="14"/>
          <w:szCs w:val="14"/>
          <w:color w:val="auto"/>
        </w:rPr>
      </w:pPr>
    </w:p>
    <w:p>
      <w:pPr>
        <w:ind w:left="1311" w:right="3199" w:hanging="530"/>
        <w:spacing w:after="0" w:line="254" w:lineRule="auto"/>
        <w:tabs>
          <w:tab w:leader="none" w:pos="1311"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payments and benefits provided for in Section 6(e), except that (A) the period with respect to which severance is calculated pursuant to Section 6(e)(iii) will be three (3) years and the amount shall be paid in a lump-sum and (B) the benefit continuation period in Section 6(e)(iv) shall be three years.</w:t>
      </w:r>
    </w:p>
    <w:p>
      <w:pPr>
        <w:spacing w:after="0" w:line="162"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 grants and stock awards, all of such stock options exercisable for three (3) years following Termination)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10 of 19</w:t>
      </w:r>
    </w:p>
    <w:p>
      <w:pPr>
        <w:sectPr>
          <w:pgSz w:w="11900" w:h="16838" w:orient="portrait"/>
          <w:cols w:equalWidth="0" w:num="1">
            <w:col w:w="10150"/>
          </w:cols>
          <w:pgMar w:left="309" w:top="286" w:right="1440" w:bottom="1440" w:gutter="0" w:footer="0" w:header="0"/>
        </w:sectPr>
      </w:pPr>
    </w:p>
    <w:bookmarkStart w:id="167" w:name="page168"/>
    <w:bookmarkEnd w:id="167"/>
    <w:p>
      <w:pPr>
        <w:ind w:left="251"/>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left="1311" w:right="3199"/>
        <w:spacing w:after="0" w:line="253" w:lineRule="auto"/>
        <w:rPr>
          <w:sz w:val="20"/>
          <w:szCs w:val="20"/>
          <w:color w:val="auto"/>
        </w:rPr>
      </w:pPr>
      <w:r>
        <w:rPr>
          <w:rFonts w:ascii="Courier New" w:cs="Courier New" w:eastAsia="Courier New" w:hAnsi="Courier New"/>
          <w:sz w:val="14"/>
          <w:szCs w:val="14"/>
          <w:color w:val="auto"/>
        </w:rPr>
        <w:t>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64" w:lineRule="exact"/>
        <w:rPr>
          <w:sz w:val="20"/>
          <w:szCs w:val="20"/>
          <w:color w:val="auto"/>
        </w:rPr>
      </w:pPr>
    </w:p>
    <w:p>
      <w:pPr>
        <w:ind w:left="791" w:hanging="791"/>
        <w:spacing w:after="0"/>
        <w:tabs>
          <w:tab w:leader="none" w:pos="79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175" w:lineRule="exact"/>
        <w:rPr>
          <w:rFonts w:ascii="Courier New" w:cs="Courier New" w:eastAsia="Courier New" w:hAnsi="Courier New"/>
          <w:sz w:val="14"/>
          <w:szCs w:val="14"/>
          <w:color w:val="auto"/>
        </w:rPr>
      </w:pPr>
    </w:p>
    <w:p>
      <w:pPr>
        <w:ind w:left="1311" w:right="3199" w:hanging="530"/>
        <w:spacing w:after="0" w:line="252" w:lineRule="auto"/>
        <w:tabs>
          <w:tab w:leader="none" w:pos="131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73" w:lineRule="exact"/>
        <w:rPr>
          <w:rFonts w:ascii="Courier New" w:cs="Courier New" w:eastAsia="Courier New" w:hAnsi="Courier New"/>
          <w:sz w:val="14"/>
          <w:szCs w:val="14"/>
          <w:color w:val="auto"/>
        </w:rPr>
      </w:pPr>
    </w:p>
    <w:p>
      <w:pPr>
        <w:ind w:left="1311" w:right="3199" w:hanging="530"/>
        <w:spacing w:after="0" w:line="252" w:lineRule="auto"/>
        <w:tabs>
          <w:tab w:leader="none" w:pos="131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173" w:lineRule="exact"/>
        <w:rPr>
          <w:rFonts w:ascii="Courier New" w:cs="Courier New" w:eastAsia="Courier New" w:hAnsi="Courier New"/>
          <w:sz w:val="14"/>
          <w:szCs w:val="14"/>
          <w:color w:val="auto"/>
        </w:rPr>
      </w:pPr>
    </w:p>
    <w:p>
      <w:pPr>
        <w:ind w:left="1311" w:right="3199" w:hanging="530"/>
        <w:spacing w:after="0" w:line="255" w:lineRule="auto"/>
        <w:tabs>
          <w:tab w:leader="none" w:pos="1311"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amount of the Gross-up Payment, the Executive shall be deemed to pay U.S. federal income taxes at the highest marginal rate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11 of 19</w:t>
      </w:r>
    </w:p>
    <w:p>
      <w:pPr>
        <w:sectPr>
          <w:pgSz w:w="11900" w:h="16838" w:orient="portrait"/>
          <w:cols w:equalWidth="0" w:num="1">
            <w:col w:w="10150"/>
          </w:cols>
          <w:pgMar w:left="309" w:top="286"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left="1060" w:right="3199"/>
        <w:spacing w:after="0" w:line="252" w:lineRule="auto"/>
        <w:rPr>
          <w:sz w:val="20"/>
          <w:szCs w:val="20"/>
          <w:color w:val="auto"/>
        </w:rPr>
      </w:pPr>
      <w:r>
        <w:rPr>
          <w:rFonts w:ascii="Courier New" w:cs="Courier New" w:eastAsia="Courier New" w:hAnsi="Courier New"/>
          <w:sz w:val="14"/>
          <w:szCs w:val="14"/>
          <w:color w:val="auto"/>
        </w:rPr>
        <w:t>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344" w:lineRule="exact"/>
        <w:rPr>
          <w:sz w:val="20"/>
          <w:szCs w:val="20"/>
          <w:color w:val="auto"/>
        </w:rPr>
      </w:pPr>
    </w:p>
    <w:p>
      <w:pPr>
        <w:ind w:left="1060" w:right="3199"/>
        <w:spacing w:after="0" w:line="253" w:lineRule="auto"/>
        <w:rPr>
          <w:sz w:val="20"/>
          <w:szCs w:val="20"/>
          <w:color w:val="auto"/>
        </w:rPr>
      </w:pPr>
      <w:r>
        <w:rPr>
          <w:rFonts w:ascii="Courier New" w:cs="Courier New" w:eastAsia="Courier New" w:hAnsi="Courier New"/>
          <w:sz w:val="14"/>
          <w:szCs w:val="14"/>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64" w:lineRule="exact"/>
        <w:rPr>
          <w:sz w:val="20"/>
          <w:szCs w:val="20"/>
          <w:color w:val="auto"/>
        </w:rPr>
      </w:pPr>
    </w:p>
    <w:p>
      <w:pPr>
        <w:ind w:left="1060" w:right="3199" w:hanging="530"/>
        <w:spacing w:after="0" w:line="252" w:lineRule="auto"/>
        <w:tabs>
          <w:tab w:leader="none" w:pos="10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Page 12 of 19</w:t>
      </w:r>
    </w:p>
    <w:p>
      <w:pPr>
        <w:sectPr>
          <w:pgSz w:w="11900" w:h="16838" w:orient="portrait"/>
          <w:cols w:equalWidth="0" w:num="1">
            <w:col w:w="9899"/>
          </w:cols>
          <w:pgMar w:left="560" w:top="286" w:right="1440" w:bottom="1440" w:gutter="0" w:footer="0" w:header="0"/>
        </w:sectPr>
      </w:pPr>
    </w:p>
    <w:bookmarkStart w:id="169" w:name="page170"/>
    <w:bookmarkEnd w:id="169"/>
    <w:p>
      <w:pPr>
        <w:ind w:left="251"/>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left="1311" w:right="3379"/>
        <w:spacing w:after="0" w:line="255" w:lineRule="auto"/>
        <w:rPr>
          <w:sz w:val="20"/>
          <w:szCs w:val="20"/>
          <w:color w:val="auto"/>
        </w:rPr>
      </w:pPr>
      <w:r>
        <w:rPr>
          <w:rFonts w:ascii="Courier New" w:cs="Courier New" w:eastAsia="Courier New" w:hAnsi="Courier New"/>
          <w:sz w:val="14"/>
          <w:szCs w:val="14"/>
          <w:color w:val="auto"/>
        </w:rPr>
        <w:t>to the Executive, payable on the fifth day after demand by the Company (together with interest at the rate provided in Section 1274(b)(2)(B) of the Code).</w:t>
      </w:r>
    </w:p>
    <w:p>
      <w:pPr>
        <w:spacing w:after="0" w:line="162" w:lineRule="exact"/>
        <w:rPr>
          <w:sz w:val="20"/>
          <w:szCs w:val="20"/>
          <w:color w:val="auto"/>
        </w:rPr>
      </w:pPr>
    </w:p>
    <w:p>
      <w:pPr>
        <w:ind w:left="1311" w:right="3199" w:hanging="530"/>
        <w:spacing w:after="0" w:line="252" w:lineRule="auto"/>
        <w:tabs>
          <w:tab w:leader="none" w:pos="1311"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172" w:lineRule="exact"/>
        <w:rPr>
          <w:rFonts w:ascii="Courier New" w:cs="Courier New" w:eastAsia="Courier New" w:hAnsi="Courier New"/>
          <w:sz w:val="14"/>
          <w:szCs w:val="14"/>
          <w:color w:val="auto"/>
        </w:rPr>
      </w:pPr>
    </w:p>
    <w:p>
      <w:pPr>
        <w:ind w:left="1311" w:right="4079" w:hanging="530"/>
        <w:spacing w:after="0" w:line="258" w:lineRule="auto"/>
        <w:tabs>
          <w:tab w:leader="none" w:pos="1311"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responsible for all charges of the Accountant.</w:t>
      </w:r>
    </w:p>
    <w:p>
      <w:pPr>
        <w:spacing w:after="0" w:line="159"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63" w:lineRule="exact"/>
        <w:rPr>
          <w:rFonts w:ascii="Courier New" w:cs="Courier New" w:eastAsia="Courier New" w:hAnsi="Courier New"/>
          <w:sz w:val="14"/>
          <w:szCs w:val="14"/>
          <w:color w:val="auto"/>
        </w:rPr>
      </w:pPr>
    </w:p>
    <w:p>
      <w:pPr>
        <w:ind w:left="791" w:right="3299" w:hanging="791"/>
        <w:spacing w:after="0" w:line="258" w:lineRule="auto"/>
        <w:tabs>
          <w:tab w:leader="none" w:pos="79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purposes of this Agreement, "Change in Control" means the occurrence of any of the following events:</w:t>
      </w:r>
    </w:p>
    <w:p>
      <w:pPr>
        <w:spacing w:after="0" w:line="159"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65" w:lineRule="exact"/>
        <w:rPr>
          <w:rFonts w:ascii="Courier New" w:cs="Courier New" w:eastAsia="Courier New" w:hAnsi="Courier New"/>
          <w:sz w:val="14"/>
          <w:szCs w:val="14"/>
          <w:color w:val="auto"/>
        </w:rPr>
      </w:pPr>
    </w:p>
    <w:p>
      <w:pPr>
        <w:ind w:left="1311" w:right="3379" w:hanging="530"/>
        <w:spacing w:after="0" w:line="253" w:lineRule="auto"/>
        <w:tabs>
          <w:tab w:leader="none" w:pos="1311"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 appointment, election or nomination for election was previously so approved or recommended;</w:t>
      </w:r>
    </w:p>
    <w:p>
      <w:pPr>
        <w:spacing w:after="0" w:line="162" w:lineRule="exact"/>
        <w:rPr>
          <w:rFonts w:ascii="Courier New" w:cs="Courier New" w:eastAsia="Courier New" w:hAnsi="Courier New"/>
          <w:sz w:val="14"/>
          <w:szCs w:val="14"/>
          <w:color w:val="auto"/>
        </w:rPr>
      </w:pPr>
    </w:p>
    <w:p>
      <w:pPr>
        <w:ind w:left="1311" w:right="3199" w:hanging="530"/>
        <w:spacing w:after="0" w:line="254" w:lineRule="auto"/>
        <w:tabs>
          <w:tab w:leader="none" w:pos="1311"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consummated merger or consolidation of the Company or any direct or indirect subsidiary of the Company with any other corporation, other than (A) a merger or consolidation which would result in the voting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13 of 19</w:t>
      </w:r>
    </w:p>
    <w:p>
      <w:pPr>
        <w:sectPr>
          <w:pgSz w:w="11900" w:h="16838" w:orient="portrait"/>
          <w:cols w:equalWidth="0" w:num="1">
            <w:col w:w="10150"/>
          </w:cols>
          <w:pgMar w:left="309" w:top="286"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left="1320" w:right="3199"/>
        <w:spacing w:after="0" w:line="253" w:lineRule="auto"/>
        <w:rPr>
          <w:sz w:val="20"/>
          <w:szCs w:val="20"/>
          <w:color w:val="auto"/>
        </w:rPr>
      </w:pPr>
      <w:r>
        <w:rPr>
          <w:rFonts w:ascii="Courier New" w:cs="Courier New" w:eastAsia="Courier New" w:hAnsi="Courier New"/>
          <w:sz w:val="14"/>
          <w:szCs w:val="14"/>
          <w:color w:val="auto"/>
        </w:rPr>
        <w:t>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63" w:lineRule="exact"/>
        <w:rPr>
          <w:sz w:val="20"/>
          <w:szCs w:val="20"/>
          <w:color w:val="auto"/>
        </w:rPr>
      </w:pPr>
    </w:p>
    <w:p>
      <w:pPr>
        <w:ind w:left="1320" w:right="3199" w:hanging="530"/>
        <w:spacing w:after="0" w:line="253" w:lineRule="auto"/>
        <w:tabs>
          <w:tab w:leader="none" w:pos="13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For purposes of this Section 7(c), the following terms shall have the following meanings:</w:t>
      </w:r>
    </w:p>
    <w:p>
      <w:pPr>
        <w:spacing w:after="0" w:line="160" w:lineRule="exact"/>
        <w:rPr>
          <w:sz w:val="20"/>
          <w:szCs w:val="20"/>
          <w:color w:val="auto"/>
        </w:rPr>
      </w:pPr>
    </w:p>
    <w:p>
      <w:pPr>
        <w:ind w:left="1320" w:right="3559" w:hanging="9"/>
        <w:spacing w:after="0" w:line="254" w:lineRule="auto"/>
        <w:tabs>
          <w:tab w:leader="none" w:pos="166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 affiliate of the Company, as defined in Rule 12b-2 promulgated under Section 12 of the Securities Exchange Act of 1934, as amended from time to time (the "Exchange Act");</w:t>
      </w:r>
    </w:p>
    <w:p>
      <w:pPr>
        <w:spacing w:after="0" w:line="163" w:lineRule="exact"/>
        <w:rPr>
          <w:rFonts w:ascii="Courier New" w:cs="Courier New" w:eastAsia="Courier New" w:hAnsi="Courier New"/>
          <w:sz w:val="14"/>
          <w:szCs w:val="14"/>
          <w:color w:val="auto"/>
        </w:rPr>
      </w:pPr>
    </w:p>
    <w:p>
      <w:pPr>
        <w:ind w:left="1320" w:right="3299" w:hanging="9"/>
        <w:spacing w:after="0" w:line="258" w:lineRule="auto"/>
        <w:tabs>
          <w:tab w:leader="none" w:pos="175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shall have the meaning set forth in Rule 13d-3 under the Exchange Act;</w:t>
      </w:r>
    </w:p>
    <w:p>
      <w:pPr>
        <w:spacing w:after="0" w:line="159"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have the meaning set forth in Section</w:t>
      </w:r>
    </w:p>
    <w:p>
      <w:pPr>
        <w:spacing w:after="0" w:line="8" w:lineRule="exact"/>
        <w:rPr>
          <w:sz w:val="20"/>
          <w:szCs w:val="20"/>
          <w:color w:val="auto"/>
        </w:rPr>
      </w:pPr>
    </w:p>
    <w:p>
      <w:pPr>
        <w:ind w:left="1320" w:right="3299"/>
        <w:spacing w:after="0" w:line="252" w:lineRule="auto"/>
        <w:rPr>
          <w:sz w:val="20"/>
          <w:szCs w:val="20"/>
          <w:color w:val="auto"/>
        </w:rPr>
      </w:pPr>
      <w:r>
        <w:rPr>
          <w:rFonts w:ascii="Courier New" w:cs="Courier New" w:eastAsia="Courier New" w:hAnsi="Courier New"/>
          <w:sz w:val="14"/>
          <w:szCs w:val="14"/>
          <w:color w:val="auto"/>
        </w:rPr>
        <w:t>3(a)(9) of the Exchange Act, as modified and used in Sections 13(d) and 14(d) thereof, except that such term shall not include</w:t>
      </w:r>
    </w:p>
    <w:p>
      <w:pPr>
        <w:spacing w:after="0" w:line="1" w:lineRule="exact"/>
        <w:rPr>
          <w:sz w:val="20"/>
          <w:szCs w:val="20"/>
          <w:color w:val="auto"/>
        </w:rPr>
      </w:pPr>
    </w:p>
    <w:p>
      <w:pPr>
        <w:ind w:left="1320" w:right="3299" w:hanging="9"/>
        <w:spacing w:after="0" w:line="253" w:lineRule="auto"/>
        <w:tabs>
          <w:tab w:leader="none" w:pos="1667"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64"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sz w:val="20"/>
          <w:szCs w:val="20"/>
          <w:color w:val="auto"/>
        </w:rPr>
      </w:pPr>
    </w:p>
    <w:p>
      <w:pPr>
        <w:ind w:left="800" w:right="3299" w:hanging="791"/>
        <w:spacing w:after="0" w:line="252" w:lineRule="auto"/>
        <w:tabs>
          <w:tab w:leader="none" w:pos="8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for two</w:t>
      </w:r>
    </w:p>
    <w:p>
      <w:pPr>
        <w:ind w:left="800" w:right="3199" w:hanging="10"/>
        <w:spacing w:after="0" w:line="253" w:lineRule="auto"/>
        <w:tabs>
          <w:tab w:leader="none" w:pos="1147"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14 of 19</w:t>
      </w:r>
    </w:p>
    <w:p>
      <w:pPr>
        <w:sectPr>
          <w:pgSz w:w="11900" w:h="16838" w:orient="portrait"/>
          <w:cols w:equalWidth="0" w:num="1">
            <w:col w:w="10159"/>
          </w:cols>
          <w:pgMar w:left="300" w:top="286" w:right="1440" w:bottom="1440" w:gutter="0" w:footer="0" w:header="0"/>
        </w:sectPr>
      </w:pPr>
    </w:p>
    <w:bookmarkStart w:id="171" w:name="page172"/>
    <w:bookmarkEnd w:id="171"/>
    <w:p>
      <w:pPr>
        <w:ind w:left="251"/>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left="791" w:right="3299"/>
        <w:spacing w:after="0" w:line="253" w:lineRule="auto"/>
        <w:rPr>
          <w:sz w:val="20"/>
          <w:szCs w:val="20"/>
          <w:color w:val="auto"/>
        </w:rPr>
      </w:pPr>
      <w:r>
        <w:rPr>
          <w:rFonts w:ascii="Courier New" w:cs="Courier New" w:eastAsia="Courier New" w:hAnsi="Courier New"/>
          <w:sz w:val="14"/>
          <w:szCs w:val="14"/>
          <w:color w:val="auto"/>
        </w:rPr>
        <w:t>or indirectly, is materially engaged in the waste management business competitive with 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 Notwithstanding the foregoing, Executive may be employed by or provide services to, an investment banking firm, law firm or consulting firm that provides services to entities described in the previous sentence, provided that Executive does not personally represent or provide services to such entities.</w:t>
      </w:r>
    </w:p>
    <w:p>
      <w:pPr>
        <w:spacing w:after="0" w:line="330" w:lineRule="exact"/>
        <w:rPr>
          <w:sz w:val="20"/>
          <w:szCs w:val="20"/>
          <w:color w:val="auto"/>
        </w:rPr>
      </w:pPr>
    </w:p>
    <w:p>
      <w:pPr>
        <w:ind w:left="791" w:right="3199" w:hanging="791"/>
        <w:spacing w:after="0" w:line="252" w:lineRule="auto"/>
        <w:tabs>
          <w:tab w:leader="none" w:pos="791"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two (2) years after the Termination thereof, whether such termination is voluntary or involuntary by wrongful 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340" w:lineRule="exact"/>
        <w:rPr>
          <w:rFonts w:ascii="Courier New" w:cs="Courier New" w:eastAsia="Courier New" w:hAnsi="Courier New"/>
          <w:sz w:val="14"/>
          <w:szCs w:val="14"/>
          <w:color w:val="auto"/>
        </w:rPr>
      </w:pPr>
    </w:p>
    <w:p>
      <w:pPr>
        <w:ind w:left="791" w:right="3299" w:hanging="791"/>
        <w:spacing w:after="0" w:line="252" w:lineRule="auto"/>
        <w:tabs>
          <w:tab w:leader="none" w:pos="791"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2" w:lineRule="exact"/>
        <w:rPr>
          <w:rFonts w:ascii="Courier New" w:cs="Courier New" w:eastAsia="Courier New" w:hAnsi="Courier New"/>
          <w:sz w:val="14"/>
          <w:szCs w:val="14"/>
          <w:color w:val="auto"/>
        </w:rPr>
      </w:pPr>
    </w:p>
    <w:p>
      <w:pPr>
        <w:ind w:left="791" w:right="3199" w:hanging="10"/>
        <w:spacing w:after="0" w:line="253" w:lineRule="auto"/>
        <w:tabs>
          <w:tab w:leader="none" w:pos="1225"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 provided that (i) while employed by the Company, Executive may in good faith make disclosures he believes desirable, and (ii) Executive may comply with legal process.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15 of 19</w:t>
      </w:r>
    </w:p>
    <w:p>
      <w:pPr>
        <w:sectPr>
          <w:pgSz w:w="11900" w:h="16838" w:orient="portrait"/>
          <w:cols w:equalWidth="0" w:num="1">
            <w:col w:w="10150"/>
          </w:cols>
          <w:pgMar w:left="309" w:top="286"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left="800" w:hanging="791"/>
        <w:spacing w:after="0"/>
        <w:tabs>
          <w:tab w:leader="none" w:pos="8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OF COVENANTS.</w:t>
      </w:r>
    </w:p>
    <w:p>
      <w:pPr>
        <w:spacing w:after="0" w:line="175" w:lineRule="exact"/>
        <w:rPr>
          <w:sz w:val="20"/>
          <w:szCs w:val="20"/>
          <w:color w:val="auto"/>
        </w:rPr>
      </w:pPr>
    </w:p>
    <w:p>
      <w:pPr>
        <w:ind w:left="800" w:right="3199" w:hanging="791"/>
        <w:spacing w:after="0" w:line="253" w:lineRule="auto"/>
        <w:tabs>
          <w:tab w:leader="none" w:pos="8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63"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71" w:lineRule="exact"/>
        <w:rPr>
          <w:rFonts w:ascii="Courier New" w:cs="Courier New" w:eastAsia="Courier New" w:hAnsi="Courier New"/>
          <w:sz w:val="14"/>
          <w:szCs w:val="14"/>
          <w:color w:val="auto"/>
        </w:rPr>
      </w:pPr>
    </w:p>
    <w:p>
      <w:pPr>
        <w:ind w:left="80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65" w:lineRule="exact"/>
        <w:rPr>
          <w:sz w:val="20"/>
          <w:szCs w:val="20"/>
          <w:color w:val="auto"/>
        </w:rPr>
      </w:pPr>
    </w:p>
    <w:p>
      <w:pPr>
        <w:ind w:left="800" w:hanging="791"/>
        <w:spacing w:after="0"/>
        <w:tabs>
          <w:tab w:leader="none" w:pos="80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Company shall indemnify and hold harmless Executive to the fullest extent permitted by law for any action or inaction of Executive while serving as an officer and director of the Company or, at the Company's request, as an officer or director of any other entity or as a fiduciary of any benefit plan. The Company shall cover the Executive under directors and officers liability insurance both during and, while potential liability exists, after the Employment Term in the same amount and to the same extent as the Company covers its other officers and directors.</w:t>
      </w:r>
    </w:p>
    <w:p>
      <w:pPr>
        <w:spacing w:after="0" w:line="164" w:lineRule="exact"/>
        <w:rPr>
          <w:sz w:val="20"/>
          <w:szCs w:val="20"/>
          <w:color w:val="auto"/>
        </w:rPr>
      </w:pPr>
    </w:p>
    <w:p>
      <w:pPr>
        <w:ind w:left="800" w:hanging="791"/>
        <w:spacing w:after="0"/>
        <w:tabs>
          <w:tab w:leader="none" w:pos="80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AND PAYMENT OF ATTORNEY'S FEES.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16 of 19</w:t>
      </w:r>
    </w:p>
    <w:p>
      <w:pPr>
        <w:sectPr>
          <w:pgSz w:w="11900" w:h="16838" w:orient="portrait"/>
          <w:cols w:equalWidth="0" w:num="1">
            <w:col w:w="10159"/>
          </w:cols>
          <w:pgMar w:left="300" w:top="286"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17</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331" w:lineRule="exact"/>
        <w:rPr>
          <w:sz w:val="20"/>
          <w:szCs w:val="20"/>
          <w:color w:val="auto"/>
        </w:rPr>
      </w:pPr>
    </w:p>
    <w:p>
      <w:pPr>
        <w:ind w:left="800" w:hanging="791"/>
        <w:spacing w:after="0"/>
        <w:tabs>
          <w:tab w:leader="none" w:pos="80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60" w:lineRule="exact"/>
        <w:rPr>
          <w:sz w:val="20"/>
          <w:szCs w:val="20"/>
          <w:color w:val="auto"/>
        </w:rPr>
      </w:pPr>
    </w:p>
    <w:p>
      <w:pPr>
        <w:ind w:left="800" w:hanging="791"/>
        <w:spacing w:after="0"/>
        <w:tabs>
          <w:tab w:leader="none" w:pos="80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31" w:lineRule="exact"/>
        <w:rPr>
          <w:sz w:val="20"/>
          <w:szCs w:val="20"/>
          <w:color w:val="auto"/>
        </w:rPr>
      </w:pPr>
    </w:p>
    <w:p>
      <w:pPr>
        <w:ind w:left="800" w:hanging="791"/>
        <w:spacing w:after="0"/>
        <w:tabs>
          <w:tab w:leader="none" w:pos="80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339" w:lineRule="exact"/>
        <w:rPr>
          <w:sz w:val="20"/>
          <w:szCs w:val="20"/>
          <w:color w:val="auto"/>
        </w:rPr>
      </w:pPr>
    </w:p>
    <w:p>
      <w:pPr>
        <w:ind w:left="800" w:hanging="791"/>
        <w:spacing w:after="0"/>
        <w:tabs>
          <w:tab w:leader="none" w:pos="8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17 of 19</w:t>
      </w:r>
    </w:p>
    <w:p>
      <w:pPr>
        <w:sectPr>
          <w:pgSz w:w="11900" w:h="16838" w:orient="portrait"/>
          <w:cols w:equalWidth="0" w:num="1">
            <w:col w:w="10159"/>
          </w:cols>
          <w:pgMar w:left="300" w:top="286"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left="800" w:hanging="791"/>
        <w:spacing w:after="0"/>
        <w:tabs>
          <w:tab w:leader="none" w:pos="80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Texas applicable to agreements made and to be performed in that State, without regard to its conflict of laws provisions.</w:t>
      </w:r>
    </w:p>
    <w:p>
      <w:pPr>
        <w:spacing w:after="0" w:line="162" w:lineRule="exact"/>
        <w:rPr>
          <w:sz w:val="20"/>
          <w:szCs w:val="20"/>
          <w:color w:val="auto"/>
        </w:rPr>
      </w:pPr>
    </w:p>
    <w:p>
      <w:pPr>
        <w:ind w:left="800" w:hanging="791"/>
        <w:spacing w:after="0"/>
        <w:tabs>
          <w:tab w:leader="none" w:pos="8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 OF TIMELY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64" w:lineRule="exact"/>
        <w:rPr>
          <w:sz w:val="20"/>
          <w:szCs w:val="20"/>
          <w:color w:val="auto"/>
        </w:rPr>
      </w:pPr>
    </w:p>
    <w:p>
      <w:pPr>
        <w:ind w:left="800" w:hanging="791"/>
        <w:spacing w:after="0"/>
        <w:tabs>
          <w:tab w:leader="none" w:pos="8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the Company:</w:t>
            </w:r>
          </w:p>
        </w:tc>
        <w:tc>
          <w:tcPr>
            <w:tcW w:w="1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Waste Management ,</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1001 Fannin, Suite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Houston, Texas</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77002</w:t>
            </w:r>
          </w:p>
        </w:tc>
      </w:tr>
      <w:tr>
        <w:trPr>
          <w:trHeight w:val="167"/>
        </w:trPr>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Attention: Corporate Secretary</w:t>
            </w:r>
          </w:p>
        </w:tc>
      </w:tr>
      <w:tr>
        <w:trPr>
          <w:trHeight w:val="334"/>
        </w:trPr>
        <w:tc>
          <w:tcPr>
            <w:tcW w:w="20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Executive:</w:t>
            </w: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At the address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Executive set forth below.</w:t>
            </w:r>
          </w:p>
        </w:tc>
      </w:tr>
    </w:tbl>
    <w:p>
      <w:pPr>
        <w:spacing w:after="0" w:line="171" w:lineRule="exact"/>
        <w:rPr>
          <w:sz w:val="20"/>
          <w:szCs w:val="20"/>
          <w:color w:val="auto"/>
        </w:rPr>
      </w:pPr>
    </w:p>
    <w:p>
      <w:pPr>
        <w:ind w:left="800" w:hanging="791"/>
        <w:spacing w:after="0"/>
        <w:tabs>
          <w:tab w:leader="none" w:pos="8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800" w:right="3199" w:hanging="791"/>
        <w:spacing w:after="0" w:line="254" w:lineRule="auto"/>
        <w:tabs>
          <w:tab w:leader="none" w:pos="8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800" w:right="3299" w:hanging="791"/>
        <w:spacing w:after="0" w:line="254" w:lineRule="auto"/>
        <w:tabs>
          <w:tab w:leader="none" w:pos="8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200" w:lineRule="exact"/>
        <w:rPr>
          <w:sz w:val="20"/>
          <w:szCs w:val="20"/>
          <w:color w:val="auto"/>
        </w:rPr>
      </w:pPr>
    </w:p>
    <w:p>
      <w:pPr>
        <w:spacing w:after="0" w:line="29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18 of 19</w:t>
      </w:r>
    </w:p>
    <w:p>
      <w:pPr>
        <w:sectPr>
          <w:pgSz w:w="11900" w:h="16838" w:orient="portrait"/>
          <w:cols w:equalWidth="0" w:num="1">
            <w:col w:w="10159"/>
          </w:cols>
          <w:pgMar w:left="300" w:top="286"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left="800" w:right="3199" w:hanging="791"/>
        <w:spacing w:after="0" w:line="260" w:lineRule="auto"/>
        <w:tabs>
          <w:tab w:leader="none" w:pos="8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323" w:lineRule="exact"/>
        <w:rPr>
          <w:rFonts w:ascii="Courier New" w:cs="Courier New" w:eastAsia="Courier New" w:hAnsi="Courier New"/>
          <w:sz w:val="14"/>
          <w:szCs w:val="14"/>
          <w:color w:val="auto"/>
        </w:rPr>
      </w:pPr>
    </w:p>
    <w:p>
      <w:pPr>
        <w:ind w:left="800" w:right="3199" w:hanging="791"/>
        <w:spacing w:after="0" w:line="258" w:lineRule="auto"/>
        <w:tabs>
          <w:tab w:leader="none" w:pos="8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9" w:lineRule="exact"/>
        <w:rPr>
          <w:rFonts w:ascii="Courier New" w:cs="Courier New" w:eastAsia="Courier New" w:hAnsi="Courier New"/>
          <w:sz w:val="14"/>
          <w:szCs w:val="14"/>
          <w:color w:val="auto"/>
        </w:rPr>
      </w:pPr>
    </w:p>
    <w:p>
      <w:pPr>
        <w:ind w:left="800" w:right="3819" w:hanging="791"/>
        <w:spacing w:after="0" w:line="254" w:lineRule="auto"/>
        <w:tabs>
          <w:tab w:leader="none" w:pos="8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 Maurice Myers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 Maurice Myers</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Chairman, Chief Executive Officer and President</w:t>
      </w:r>
    </w:p>
    <w:p>
      <w:pPr>
        <w:sectPr>
          <w:pgSz w:w="11900" w:h="16838" w:orient="portrait"/>
          <w:cols w:equalWidth="0" w:num="1">
            <w:col w:w="10159"/>
          </w:cols>
          <w:pgMar w:left="30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2000</w:t>
      </w:r>
    </w:p>
    <w:p>
      <w:pPr>
        <w:spacing w:after="0" w:line="8" w:lineRule="exact"/>
        <w:rPr>
          <w:sz w:val="20"/>
          <w:szCs w:val="20"/>
          <w:color w:val="auto"/>
        </w:rPr>
      </w:pPr>
    </w:p>
    <w:p>
      <w:pPr>
        <w:sectPr>
          <w:pgSz w:w="11900" w:h="16838" w:orient="portrait"/>
          <w:cols w:equalWidth="0" w:num="2">
            <w:col w:w="440" w:space="440"/>
            <w:col w:w="9279"/>
          </w:cols>
          <w:pgMar w:left="300" w:top="28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 Lawrence O'Donnell, III</w:t>
      </w:r>
    </w:p>
    <w:p>
      <w:pPr>
        <w:spacing w:after="0" w:line="8" w:lineRule="exact"/>
        <w:rPr>
          <w:sz w:val="20"/>
          <w:szCs w:val="20"/>
          <w:color w:val="auto"/>
        </w:rPr>
      </w:pPr>
    </w:p>
    <w:p>
      <w:pPr>
        <w:ind w:left="180" w:hanging="171"/>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Lawrence O'Donnell, III</w:t>
      </w:r>
    </w:p>
    <w:p>
      <w:pPr>
        <w:spacing w:after="0" w:line="1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January 21, 2000</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Social Security Number: ###-##-####</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Address:</w:t>
        <w:tab/>
        <w:t>221 Bryn Mawr Circle</w:t>
      </w:r>
    </w:p>
    <w:p>
      <w:pPr>
        <w:spacing w:after="0" w:line="8" w:lineRule="exact"/>
        <w:rPr>
          <w:sz w:val="20"/>
          <w:szCs w:val="20"/>
          <w:color w:val="auto"/>
        </w:rPr>
      </w:pPr>
    </w:p>
    <w:p>
      <w:pPr>
        <w:ind w:left="880"/>
        <w:spacing w:after="0"/>
        <w:tabs>
          <w:tab w:leader="none" w:pos="2240" w:val="left"/>
        </w:tabs>
        <w:rPr>
          <w:sz w:val="20"/>
          <w:szCs w:val="20"/>
          <w:color w:val="auto"/>
        </w:rPr>
      </w:pPr>
      <w:r>
        <w:rPr>
          <w:rFonts w:ascii="Courier New" w:cs="Courier New" w:eastAsia="Courier New" w:hAnsi="Courier New"/>
          <w:sz w:val="14"/>
          <w:szCs w:val="14"/>
          <w:color w:val="auto"/>
        </w:rPr>
        <w:t>Houston, Texas</w:t>
        <w:tab/>
        <w:t>77024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19 of 19</w:t>
      </w:r>
    </w:p>
    <w:p>
      <w:pPr>
        <w:sectPr>
          <w:pgSz w:w="11900" w:h="16838" w:orient="portrait"/>
          <w:cols w:equalWidth="0" w:num="1">
            <w:col w:w="10159"/>
          </w:cols>
          <w:pgMar w:left="300" w:top="286" w:right="1440" w:bottom="1440" w:gutter="0" w:footer="0" w:header="0"/>
          <w:type w:val="continuous"/>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9"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10.37</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WASTE MANAGEMENT, INC. (the "Company"), and WILLIAM L. TRUBECK (the "Executive") hereby enter into this EMPLOYMENT AGREEMENT ("Agreement") dated as of February 16, 2000 (the "Agreement Date"), as follows:</w:t>
      </w:r>
    </w:p>
    <w:p>
      <w:pPr>
        <w:spacing w:after="0" w:line="162" w:lineRule="exact"/>
        <w:rPr>
          <w:sz w:val="20"/>
          <w:szCs w:val="20"/>
          <w:color w:val="auto"/>
        </w:rPr>
      </w:pPr>
    </w:p>
    <w:p>
      <w:pPr>
        <w:ind w:left="800" w:hanging="791"/>
        <w:spacing w:after="0"/>
        <w:tabs>
          <w:tab w:leader="none" w:pos="8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Company shall employ Executive, and Executive shall be employed by the Company upon the terms and subject to the conditions set forth in this Agreement.</w:t>
      </w:r>
    </w:p>
    <w:p>
      <w:pPr>
        <w:spacing w:after="0" w:line="162" w:lineRule="exact"/>
        <w:rPr>
          <w:sz w:val="20"/>
          <w:szCs w:val="20"/>
          <w:color w:val="auto"/>
        </w:rPr>
      </w:pPr>
    </w:p>
    <w:p>
      <w:pPr>
        <w:ind w:left="800" w:hanging="791"/>
        <w:spacing w:after="0"/>
        <w:tabs>
          <w:tab w:leader="none" w:pos="8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period of Executive's employment under this Agreement shall commence on March 13, 2000, or sooner at the option of the Executive, and be for a continuously renewing (on a daily basis) five (5) year term, without any further action by either the Company or Executive, unless Executive's employment is terminated in accordance with Section 5 below. The date on which Executive commences employment with the Company shall be referred to as the "Commencement Date" and the period during which Executive is employed hereunder shall be referred to as the "Employment Period".</w:t>
      </w:r>
    </w:p>
    <w:p>
      <w:pPr>
        <w:spacing w:after="0" w:line="164" w:lineRule="exact"/>
        <w:rPr>
          <w:sz w:val="20"/>
          <w:szCs w:val="20"/>
          <w:color w:val="auto"/>
        </w:rPr>
      </w:pPr>
    </w:p>
    <w:p>
      <w:pPr>
        <w:ind w:left="800" w:hanging="791"/>
        <w:spacing w:after="0"/>
        <w:tabs>
          <w:tab w:leader="none" w:pos="8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RESPONSIBILITIES.</w:t>
      </w:r>
    </w:p>
    <w:p>
      <w:pPr>
        <w:spacing w:after="0" w:line="175" w:lineRule="exact"/>
        <w:rPr>
          <w:sz w:val="20"/>
          <w:szCs w:val="20"/>
          <w:color w:val="auto"/>
        </w:rPr>
      </w:pPr>
    </w:p>
    <w:p>
      <w:pPr>
        <w:ind w:left="800" w:right="3199" w:hanging="791"/>
        <w:spacing w:after="0" w:line="253" w:lineRule="auto"/>
        <w:tabs>
          <w:tab w:leader="none" w:pos="8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Senior Vice President and Chief Financial Officer reporting to the Chief Executive Officer of the Company. In such capacities, Executive shall perform such duties and have the power, authority and functions commensurate with such positions in similarly sized public companies and such other authority and functions consistent with such positions as may be assigned to Executive from time to time by the Board of Directors of the Company (the "Board").</w:t>
      </w:r>
    </w:p>
    <w:p>
      <w:pPr>
        <w:spacing w:after="0" w:line="164" w:lineRule="exact"/>
        <w:rPr>
          <w:rFonts w:ascii="Courier New" w:cs="Courier New" w:eastAsia="Courier New" w:hAnsi="Courier New"/>
          <w:sz w:val="14"/>
          <w:szCs w:val="14"/>
          <w:color w:val="auto"/>
        </w:rPr>
      </w:pPr>
    </w:p>
    <w:p>
      <w:pPr>
        <w:ind w:left="800" w:right="3199" w:hanging="791"/>
        <w:spacing w:after="0" w:line="253" w:lineRule="auto"/>
        <w:tabs>
          <w:tab w:leader="none" w:pos="8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devote substantially all of his working time, attention and energies to the business of the Company, and affiliated entities. Executive may make and manage his personal investments (provided such investments in other activities do not violate, in any material respect, the provisions of Section 8 of this Agreement), be involved in charitable and professional activities and, with the consent of the Board (which shall not unreasonably be withheld or delayed) serve on boards of other for profit entities, provided such activities do not materially interfere with the performance of his duties hereunder. Service on the for profit boards that Executive is currently serving on (Bush Brothers &amp; Company, Yellow Corporation and Vision Technologies) are hereby approved.</w:t>
      </w:r>
    </w:p>
    <w:p>
      <w:pPr>
        <w:spacing w:after="0" w:line="330" w:lineRule="exact"/>
        <w:rPr>
          <w:sz w:val="20"/>
          <w:szCs w:val="20"/>
          <w:color w:val="auto"/>
        </w:rPr>
      </w:pPr>
    </w:p>
    <w:p>
      <w:pPr>
        <w:ind w:left="800" w:hanging="791"/>
        <w:spacing w:after="0"/>
        <w:tabs>
          <w:tab w:leader="none" w:pos="8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sz w:val="20"/>
          <w:szCs w:val="20"/>
          <w:color w:val="auto"/>
        </w:rPr>
      </w:pPr>
    </w:p>
    <w:p>
      <w:pPr>
        <w:ind w:left="800" w:right="3299" w:hanging="791"/>
        <w:spacing w:after="0" w:line="253" w:lineRule="auto"/>
        <w:tabs>
          <w:tab w:leader="none" w:pos="8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Period, the Company shall pay Executive a base salary at the annual rate of five hundred thousand ($500,000) dollars per year or such higher rate as may be determined from time to time by the Company ("Base Salary"). Such Base Salary shall be paid in accordance with the Company's standard payroll practice for its executive officers. Once increased, Base Salary shall not be reduced.</w:t>
      </w:r>
    </w:p>
    <w:p>
      <w:pPr>
        <w:sectPr>
          <w:pgSz w:w="11900" w:h="16838" w:orient="portrait"/>
          <w:cols w:equalWidth="0" w:num="1">
            <w:col w:w="10159"/>
          </w:cols>
          <w:pgMar w:left="300" w:top="142" w:right="1440" w:bottom="1440" w:gutter="0" w:footer="0" w:header="0"/>
        </w:sectPr>
      </w:pPr>
    </w:p>
    <w:bookmarkStart w:id="177" w:name="page178"/>
    <w:bookmarkEnd w:id="177"/>
    <w:p>
      <w:pPr>
        <w:ind w:left="251"/>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791" w:right="3199" w:hanging="791"/>
        <w:spacing w:after="0" w:line="253" w:lineRule="auto"/>
        <w:tabs>
          <w:tab w:leader="none" w:pos="79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BONUS. During the Employment Period, Executive will be entitled to participate in an annual incentive compensation plan of the Company. The Executive's target annual bonus will be sixty percent (60%) of his Base Salary as in effect for such year (the "Target Bonus"), and his actual annual bonus may range from 0% to 120% (two times target), and will be determined based upon achievement of performance goals (seventy percent (70%) financial (return on capital investments and EBITDA) and thirty percent (30%) personal) as approved by the Compensation Committee of the Board. The annual bonus will be paid within 30 days following the Compensation Committee's first meeting following the year end accounting close.</w:t>
      </w:r>
    </w:p>
    <w:p>
      <w:pPr>
        <w:spacing w:after="0" w:line="163" w:lineRule="exact"/>
        <w:rPr>
          <w:rFonts w:ascii="Courier New" w:cs="Courier New" w:eastAsia="Courier New" w:hAnsi="Courier New"/>
          <w:sz w:val="14"/>
          <w:szCs w:val="14"/>
          <w:color w:val="auto"/>
        </w:rPr>
      </w:pPr>
    </w:p>
    <w:p>
      <w:pPr>
        <w:ind w:left="791" w:right="3199" w:hanging="791"/>
        <w:spacing w:after="0" w:line="255" w:lineRule="auto"/>
        <w:tabs>
          <w:tab w:leader="none" w:pos="79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SIGN-ON BONUS. Within thirty (30) days after the Commencement Date, the Company will pay Executive a two hundred thousand ($200,000) dollar sign-on bonus.</w:t>
      </w:r>
    </w:p>
    <w:p>
      <w:pPr>
        <w:spacing w:after="0" w:line="161" w:lineRule="exact"/>
        <w:rPr>
          <w:rFonts w:ascii="Courier New" w:cs="Courier New" w:eastAsia="Courier New" w:hAnsi="Courier New"/>
          <w:sz w:val="14"/>
          <w:szCs w:val="14"/>
          <w:color w:val="auto"/>
        </w:rPr>
      </w:pPr>
    </w:p>
    <w:p>
      <w:pPr>
        <w:ind w:left="791" w:right="3459" w:hanging="791"/>
        <w:spacing w:after="0" w:line="254" w:lineRule="auto"/>
        <w:tabs>
          <w:tab w:leader="none" w:pos="79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BONUS GUARANTEED. The Company will pay to Executive a minimum guaranteed bonus in the amount of two hundred thousand ($200,000) dollars, to be paid within 30 days following the Compensation Committee's first meeting following the year end accounting close in 2001.</w:t>
      </w:r>
    </w:p>
    <w:p>
      <w:pPr>
        <w:spacing w:after="0" w:line="162"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5"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Agreement Date, Executive will be granted a ten-year stock option award under the Company's Stock Incentive Plan to purchase four hundred thousand (400,000) shares of common stock of the Company ("Stock"). The exercise price shall be the fair market value on the Agreement Date, and the options shall vest in equal installments on each of the first four (4) anniversaries of the Agreement Date.</w:t>
      </w:r>
    </w:p>
    <w:p>
      <w:pPr>
        <w:spacing w:after="0" w:line="164"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February/March, 2001 meeting of the Compensation Committee of the Board, Executive will, subject to approval by the Compensation Committee, be granted a ten (10) year stock option award under the Company's Stock Incentive Plan to purchase two hundred thousand (200,000) shares of Stock. The exercise price shall be the fair market value on the date the Compensation Committee awards the options, and the options shall vest in equal installments over four (4) years, commencing on the first anniversary of the date of grant. Thereafter, Executive shall participate in the Company's annual stock option award program as administered by, and at the discretion of, the Compensation Committee of the Board.</w:t>
      </w:r>
    </w:p>
    <w:p>
      <w:pPr>
        <w:spacing w:after="0" w:line="163" w:lineRule="exact"/>
        <w:rPr>
          <w:rFonts w:ascii="Courier New" w:cs="Courier New" w:eastAsia="Courier New" w:hAnsi="Courier New"/>
          <w:sz w:val="14"/>
          <w:szCs w:val="14"/>
          <w:color w:val="auto"/>
        </w:rPr>
      </w:pPr>
    </w:p>
    <w:p>
      <w:pPr>
        <w:ind w:left="791" w:right="3299" w:hanging="791"/>
        <w:spacing w:after="0" w:line="253" w:lineRule="auto"/>
        <w:tabs>
          <w:tab w:leader="none" w:pos="79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COMPENSATION. Executive shall be entitled to participate in the Company's "Executive Deferral Plan" and any incentive or supplemental compensation plan, or arrangement maintained or instituted by the Company, and covering its principal executive officers, at a level commensurate with his positions and to receive additional compensation from the Company in such form, and to such extent, if any, as the Compensation Committee may in its sole discretion from time to time specify.</w:t>
      </w:r>
    </w:p>
    <w:p>
      <w:pPr>
        <w:spacing w:after="0" w:line="164" w:lineRule="exact"/>
        <w:rPr>
          <w:rFonts w:ascii="Courier New" w:cs="Courier New" w:eastAsia="Courier New" w:hAnsi="Courier New"/>
          <w:sz w:val="14"/>
          <w:szCs w:val="14"/>
          <w:color w:val="auto"/>
        </w:rPr>
      </w:pPr>
    </w:p>
    <w:p>
      <w:pPr>
        <w:ind w:left="791" w:right="3299" w:hanging="791"/>
        <w:spacing w:after="0" w:line="255" w:lineRule="auto"/>
        <w:tabs>
          <w:tab w:leader="none" w:pos="79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AND VACATION. Executive shall be eligible to participate in or receive benefits under any pension plan, profit sharing plan, medical and dental benefits plan,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2 of 19</w:t>
      </w:r>
    </w:p>
    <w:p>
      <w:pPr>
        <w:sectPr>
          <w:pgSz w:w="11900" w:h="16838" w:orient="portrait"/>
          <w:cols w:equalWidth="0" w:num="1">
            <w:col w:w="10150"/>
          </w:cols>
          <w:pgMar w:left="309" w:top="286"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800" w:right="3199"/>
        <w:spacing w:after="0" w:line="252" w:lineRule="auto"/>
        <w:rPr>
          <w:sz w:val="20"/>
          <w:szCs w:val="20"/>
          <w:color w:val="auto"/>
        </w:rPr>
      </w:pPr>
      <w:r>
        <w:rPr>
          <w:rFonts w:ascii="Courier New" w:cs="Courier New" w:eastAsia="Courier New" w:hAnsi="Courier New"/>
          <w:sz w:val="14"/>
          <w:szCs w:val="14"/>
          <w:color w:val="auto"/>
        </w:rPr>
        <w:t>insurance plan, short-term and long-term disability plans, or any other health, welfare or fringe benefit plan, generally made available by the Company to its executive officers at a level commensurate with his positions. All waiting periods for welfare and health plans shall be waived, and pre-existing medical conditions for Executive and Executive's family members will not be a basis for withholding medical insurance benefits. During the Employment Period, Executive shall be entitled to vacation each year in accordance with the Company's policies in effect from time to time, but in no event less than four</w:t>
      </w:r>
    </w:p>
    <w:p>
      <w:pPr>
        <w:spacing w:after="0" w:line="3" w:lineRule="exact"/>
        <w:rPr>
          <w:sz w:val="20"/>
          <w:szCs w:val="20"/>
          <w:color w:val="auto"/>
        </w:rPr>
      </w:pPr>
    </w:p>
    <w:p>
      <w:pPr>
        <w:ind w:left="800" w:right="3299" w:hanging="10"/>
        <w:spacing w:after="0" w:line="254" w:lineRule="auto"/>
        <w:tabs>
          <w:tab w:leader="none" w:pos="1147"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weeks paid vacation per calendar year. The Executive shall also be entitled to such periods of sick leave as is customarily provided by the Company for its senior executive employees. Executive shall be eligible to participate in the Company's 401(k) Plan after 90 days of employment.</w:t>
      </w:r>
    </w:p>
    <w:p>
      <w:pPr>
        <w:spacing w:after="0" w:line="329" w:lineRule="exact"/>
        <w:rPr>
          <w:rFonts w:ascii="Courier New" w:cs="Courier New" w:eastAsia="Courier New" w:hAnsi="Courier New"/>
          <w:sz w:val="14"/>
          <w:szCs w:val="14"/>
          <w:color w:val="auto"/>
        </w:rPr>
      </w:pPr>
    </w:p>
    <w:p>
      <w:pPr>
        <w:ind w:left="800" w:right="3899" w:hanging="791"/>
        <w:spacing w:after="0" w:line="258" w:lineRule="auto"/>
        <w:tabs>
          <w:tab w:leader="none" w:pos="8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PERQUISITES. Executive shall be entitled to the following benefits:</w:t>
      </w:r>
    </w:p>
    <w:p>
      <w:pPr>
        <w:spacing w:after="0" w:line="160" w:lineRule="exact"/>
        <w:rPr>
          <w:sz w:val="20"/>
          <w:szCs w:val="20"/>
          <w:color w:val="auto"/>
        </w:rPr>
      </w:pPr>
    </w:p>
    <w:p>
      <w:pPr>
        <w:ind w:left="1320" w:right="3199" w:hanging="530"/>
        <w:spacing w:after="0" w:line="258" w:lineRule="auto"/>
        <w:tabs>
          <w:tab w:leader="none" w:pos="132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 Allowance in the amount of one thousand ($1,000) dollars per month;</w:t>
      </w:r>
    </w:p>
    <w:p>
      <w:pPr>
        <w:spacing w:after="0" w:line="159" w:lineRule="exact"/>
        <w:rPr>
          <w:rFonts w:ascii="Courier New" w:cs="Courier New" w:eastAsia="Courier New" w:hAnsi="Courier New"/>
          <w:sz w:val="14"/>
          <w:szCs w:val="14"/>
          <w:color w:val="auto"/>
        </w:rPr>
      </w:pPr>
    </w:p>
    <w:p>
      <w:pPr>
        <w:ind w:left="1320" w:right="3199" w:hanging="530"/>
        <w:spacing w:after="0" w:line="255" w:lineRule="auto"/>
        <w:tabs>
          <w:tab w:leader="none" w:pos="132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Planning Services, including tax preparation, at actual cost, and not to exceed fifteen thousand ($15,000) dollars annually;</w:t>
      </w:r>
    </w:p>
    <w:p>
      <w:pPr>
        <w:spacing w:after="0" w:line="161"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Club Dues and Assessments at actual cost, and not to exceed twelve thousand ($12,000) dollars annually; and</w:t>
      </w:r>
    </w:p>
    <w:p>
      <w:pPr>
        <w:spacing w:after="0" w:line="159" w:lineRule="exact"/>
        <w:rPr>
          <w:rFonts w:ascii="Courier New" w:cs="Courier New" w:eastAsia="Courier New" w:hAnsi="Courier New"/>
          <w:sz w:val="14"/>
          <w:szCs w:val="14"/>
          <w:color w:val="auto"/>
        </w:rPr>
      </w:pPr>
    </w:p>
    <w:p>
      <w:pPr>
        <w:ind w:left="1320" w:right="3559" w:hanging="530"/>
        <w:spacing w:after="0" w:line="258" w:lineRule="auto"/>
        <w:tabs>
          <w:tab w:leader="none" w:pos="132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Physical Examination on a program designated by the Company.</w:t>
      </w:r>
    </w:p>
    <w:p>
      <w:pPr>
        <w:spacing w:after="0" w:line="159"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 In addition the Company shall (i) pay for the reasonable costs, fees and expenses incurred by Executive, his consultants or legal advisors in connection with the negotiation and execution of this Agreement in an amount not to exceed ten thousand ($10,000) dollars and (ii) reimburse Executive (on a fully grossed up basis for any amounts taxable to Executive) for reasonable costs incurred in connection with the relocation of his principal residence to the Houston, Texas area at a level commensurate with Executive's position and the type of relocation benefits provided by public companies of similar size to their executives, which shall in any event include any points on a loan for a new home. In addition, the Company shall provide Executive temporary housing in the Houston area for up to six (6) months.</w:t>
      </w:r>
    </w:p>
    <w:p>
      <w:pPr>
        <w:spacing w:after="0" w:line="172" w:lineRule="exact"/>
        <w:rPr>
          <w:rFonts w:ascii="Courier New" w:cs="Courier New" w:eastAsia="Courier New" w:hAnsi="Courier New"/>
          <w:sz w:val="14"/>
          <w:szCs w:val="14"/>
          <w:color w:val="auto"/>
        </w:rPr>
      </w:pPr>
    </w:p>
    <w:p>
      <w:pPr>
        <w:ind w:left="800" w:right="3379" w:hanging="791"/>
        <w:spacing w:after="0" w:line="255" w:lineRule="auto"/>
        <w:tabs>
          <w:tab w:leader="none" w:pos="8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AWARD. In order to address certain forfeitures that Executive will face upon termination of his employment with his prior employer, Executive shall be awarded or receive the following:</w:t>
      </w:r>
    </w:p>
    <w:p>
      <w:pPr>
        <w:spacing w:after="0" w:line="162"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Restricted Stock Award. Effective as of the Commencement Date,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will grant Executive an award of restricted shares of the Company's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(the "Stock") (valued at three hundred, eighty-five thousand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($385,000) dollars on the date of grant) under the Company's Stock Incentive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that will vest in equal installments on each of the first four (4)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19</w:t>
      </w:r>
    </w:p>
    <w:p>
      <w:pPr>
        <w:sectPr>
          <w:pgSz w:w="11900" w:h="16838" w:orient="portrait"/>
          <w:cols w:equalWidth="0" w:num="1">
            <w:col w:w="10159"/>
          </w:cols>
          <w:pgMar w:left="300" w:top="286"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anniversaries of the Commencement Date, subject (except as otherwise provided herein) to Executive's continuous employment with the Company through the applicable vesting date (the "Restricted Stock Grant"). The Restricted Stock Grant shall be deemed outstanding shares for all purposes and Executive shall be fully vested in any cash dividends paid therein (and non-cash dividends being subject to the same forfeiture provisions as the underlying Restricted Stock Grant shares).</w:t>
      </w:r>
    </w:p>
    <w:p>
      <w:pPr>
        <w:spacing w:after="0" w:line="332" w:lineRule="exact"/>
        <w:rPr>
          <w:sz w:val="20"/>
          <w:szCs w:val="20"/>
          <w:color w:val="auto"/>
        </w:rPr>
      </w:pPr>
    </w:p>
    <w:p>
      <w:pPr>
        <w:ind w:left="800" w:hanging="791"/>
        <w:spacing w:after="0"/>
        <w:tabs>
          <w:tab w:leader="none" w:pos="8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4079"/>
        <w:spacing w:after="0" w:line="258" w:lineRule="auto"/>
        <w:rPr>
          <w:sz w:val="20"/>
          <w:szCs w:val="20"/>
          <w:color w:val="auto"/>
        </w:rPr>
      </w:pPr>
      <w:r>
        <w:rPr>
          <w:rFonts w:ascii="Courier New" w:cs="Courier New" w:eastAsia="Courier New" w:hAnsi="Courier New"/>
          <w:sz w:val="14"/>
          <w:szCs w:val="14"/>
          <w:color w:val="auto"/>
        </w:rPr>
        <w:t>Executive's employment hereunder may be terminated under the following circumstances:</w:t>
      </w:r>
    </w:p>
    <w:p>
      <w:pPr>
        <w:spacing w:after="0" w:line="327" w:lineRule="exact"/>
        <w:rPr>
          <w:sz w:val="20"/>
          <w:szCs w:val="20"/>
          <w:color w:val="auto"/>
        </w:rPr>
      </w:pPr>
    </w:p>
    <w:p>
      <w:pPr>
        <w:ind w:left="800" w:right="4159" w:hanging="791"/>
        <w:spacing w:after="0" w:line="258" w:lineRule="auto"/>
        <w:tabs>
          <w:tab w:leader="none" w:pos="8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Executive's employment hereunder shall terminate upon Executive's death.</w:t>
      </w:r>
    </w:p>
    <w:p>
      <w:pPr>
        <w:spacing w:after="0" w:line="326"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has been physically or mentally incapacitated so as to render Executive incapable of performing Executive's material usual and customary duties under this Agreement for six (6) consecutive months (such consecutive absence not being deemed interrupted by Executive's return to service for less than 10 consecutive business days if absent thereafter for the same illness or disability). Any such termination shall be upon thirty</w:t>
      </w:r>
    </w:p>
    <w:p>
      <w:pPr>
        <w:spacing w:after="0" w:line="3" w:lineRule="exact"/>
        <w:rPr>
          <w:rFonts w:ascii="Courier New" w:cs="Courier New" w:eastAsia="Courier New" w:hAnsi="Courier New"/>
          <w:sz w:val="14"/>
          <w:szCs w:val="14"/>
          <w:color w:val="auto"/>
        </w:rPr>
      </w:pPr>
    </w:p>
    <w:p>
      <w:pPr>
        <w:ind w:left="800" w:right="3379" w:hanging="10"/>
        <w:spacing w:after="0" w:line="254" w:lineRule="auto"/>
        <w:tabs>
          <w:tab w:leader="none" w:pos="1234"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written notice given at any time thereafter while Executive remains Totally Disabled, provided that a termination for Total Disability hereunder shall not be effective if Executive returns to full performance of his duties within such thirty (30) day period.</w:t>
      </w:r>
    </w:p>
    <w:p>
      <w:pPr>
        <w:spacing w:after="0" w:line="163" w:lineRule="exact"/>
        <w:rPr>
          <w:rFonts w:ascii="Courier New" w:cs="Courier New" w:eastAsia="Courier New" w:hAnsi="Courier New"/>
          <w:sz w:val="14"/>
          <w:szCs w:val="14"/>
          <w:color w:val="auto"/>
        </w:rPr>
      </w:pPr>
    </w:p>
    <w:p>
      <w:pPr>
        <w:ind w:left="800" w:right="3299" w:hanging="791"/>
        <w:spacing w:after="0" w:line="252" w:lineRule="auto"/>
        <w:tabs>
          <w:tab w:leader="none" w:pos="8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within ninety</w:t>
      </w:r>
    </w:p>
    <w:p>
      <w:pPr>
        <w:ind w:left="800" w:right="3459" w:hanging="10"/>
        <w:spacing w:after="0" w:line="258" w:lineRule="auto"/>
        <w:tabs>
          <w:tab w:leader="none" w:pos="1234"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Chairman of the Audit or Governance Committee of the Board has knowledge thereof.</w:t>
      </w:r>
    </w:p>
    <w:p>
      <w:pPr>
        <w:spacing w:after="0" w:line="160" w:lineRule="exact"/>
        <w:rPr>
          <w:sz w:val="20"/>
          <w:szCs w:val="20"/>
          <w:color w:val="auto"/>
        </w:rPr>
      </w:pPr>
    </w:p>
    <w:p>
      <w:pPr>
        <w:ind w:left="1320" w:right="3199" w:hanging="530"/>
        <w:spacing w:after="0" w:line="252" w:lineRule="auto"/>
        <w:tabs>
          <w:tab w:leader="none" w:pos="13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be limited to (1) willful misconduct by Executive with regard to the Company which has a material adverse effect on the Company; (2) the willful refusal of Executive to attempt to follow the proper written direction of the Board, provided that the foregoing refusal shall not be "Cause" if Executive in good faith believes that such direction is illegal, unethical or immoral and promptly so notifies the Board; (3) substantial and continuing willful refusal by the Executive to attempt to perform the duties required of him hereunder (other than any such failure resulting from incapacity due to physical or mental illness) after a written demand for substantial performance is delivered to the Executive by the Board which specifically identifies the manner in which it is believed that the Executive has substantially and continually refused to attempt to perform his duties hereunder; or (4) the Executive being convicted of a felony (other than a felony involving a traffic violation or as a result of vicarious liability). For purposes of this paragraph, no act, or failure to act, on Executive's part shall be considered "willful" unless done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4 of 19</w:t>
      </w:r>
    </w:p>
    <w:p>
      <w:pPr>
        <w:sectPr>
          <w:pgSz w:w="11900" w:h="16838" w:orient="portrait"/>
          <w:cols w:equalWidth="0" w:num="1">
            <w:col w:w="10159"/>
          </w:cols>
          <w:pgMar w:left="300" w:top="286" w:right="1440" w:bottom="1440" w:gutter="0" w:footer="0" w:header="0"/>
        </w:sectPr>
      </w:pPr>
    </w:p>
    <w:bookmarkStart w:id="180" w:name="page181"/>
    <w:bookmarkEnd w:id="180"/>
    <w:p>
      <w:pPr>
        <w:ind w:left="251"/>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1311" w:right="3559"/>
        <w:spacing w:after="0" w:line="255" w:lineRule="auto"/>
        <w:rPr>
          <w:sz w:val="20"/>
          <w:szCs w:val="20"/>
          <w:color w:val="auto"/>
        </w:rPr>
      </w:pPr>
      <w:r>
        <w:rPr>
          <w:rFonts w:ascii="Courier New" w:cs="Courier New" w:eastAsia="Courier New" w:hAnsi="Courier New"/>
          <w:sz w:val="14"/>
          <w:szCs w:val="14"/>
          <w:color w:val="auto"/>
        </w:rPr>
        <w:t>or omitted to be done, by him not in good faith and without reasonable belief that his action or omission was in the best interests of the Company.</w:t>
      </w:r>
    </w:p>
    <w:p>
      <w:pPr>
        <w:spacing w:after="0" w:line="162" w:lineRule="exact"/>
        <w:rPr>
          <w:sz w:val="20"/>
          <w:szCs w:val="20"/>
          <w:color w:val="auto"/>
        </w:rPr>
      </w:pPr>
    </w:p>
    <w:p>
      <w:pPr>
        <w:ind w:left="1311" w:right="3199" w:hanging="530"/>
        <w:spacing w:after="0" w:line="252" w:lineRule="auto"/>
        <w:tabs>
          <w:tab w:leader="none" w:pos="1311"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Cause shall mean a notice that shall indicate the specific termination provision in Section 5(c)(i) relied upon and shall set forth in reasonable detail the facts and circumstances which provide for a basis for termination for Cause. Further, a Notification for Cause shall be required to include a copy of a resolution duly adopted by at least two-thirds (2/3rds) of the entire membership of the Board at a meeting of the Board which was called for the purpose of considering such termination and which Executive and his representative had the right to attend and address the Board, finding that, in the good faith of the Board, Executive engaged in conduct set forth in the definition of Cause herein and specifying the particulars thereof in reasonable detail. The date of termination for a termination for Cause shall be the date indicated in the Notice of Termination.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340" w:lineRule="exact"/>
        <w:rPr>
          <w:rFonts w:ascii="Courier New" w:cs="Courier New" w:eastAsia="Courier New" w:hAnsi="Courier New"/>
          <w:sz w:val="14"/>
          <w:szCs w:val="14"/>
          <w:color w:val="auto"/>
        </w:rPr>
      </w:pPr>
    </w:p>
    <w:p>
      <w:pPr>
        <w:ind w:left="791" w:right="3299" w:hanging="791"/>
        <w:spacing w:after="0" w:line="255" w:lineRule="auto"/>
        <w:tabs>
          <w:tab w:leader="none" w:pos="79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Executive may terminate employment hereunder with or without Good Reason at any time upon written notice to the Company.</w:t>
      </w:r>
    </w:p>
    <w:p>
      <w:pPr>
        <w:spacing w:after="0" w:line="161" w:lineRule="exact"/>
        <w:rPr>
          <w:rFonts w:ascii="Courier New" w:cs="Courier New" w:eastAsia="Courier New" w:hAnsi="Courier New"/>
          <w:sz w:val="14"/>
          <w:szCs w:val="14"/>
          <w:color w:val="auto"/>
        </w:rPr>
      </w:pPr>
    </w:p>
    <w:p>
      <w:pPr>
        <w:ind w:left="1311" w:right="3199" w:hanging="530"/>
        <w:spacing w:after="0" w:line="252" w:lineRule="auto"/>
        <w:tabs>
          <w:tab w:leader="none" w:pos="1311"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for Good Reason means a termination by Executive by written notice given within ninety (90) days after the occurrence of the Good Reason event, unless such circumstances are fully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w:t>
      </w:r>
    </w:p>
    <w:p>
      <w:pPr>
        <w:spacing w:after="0" w:line="2" w:lineRule="exact"/>
        <w:rPr>
          <w:rFonts w:ascii="Courier New" w:cs="Courier New" w:eastAsia="Courier New" w:hAnsi="Courier New"/>
          <w:sz w:val="14"/>
          <w:szCs w:val="14"/>
          <w:color w:val="auto"/>
        </w:rPr>
      </w:pPr>
    </w:p>
    <w:p>
      <w:pPr>
        <w:ind w:left="1311" w:right="3199" w:hanging="9"/>
        <w:spacing w:after="0" w:line="252" w:lineRule="auto"/>
        <w:tabs>
          <w:tab w:leader="none" w:pos="1658" w:val="left"/>
        </w:tabs>
        <w:numPr>
          <w:ilvl w:val="2"/>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diminution of Executive's positions, duties or responsibilities hereunder (except in each case in connection with the termination of Executive's employment for Cause or Total Disability or as a result of Executive's death, or temporarily as a result of Executive's illness or other absence), the cessation of Executive to report to the Chief Executive Officer of the Company or the assignment to Executive of duties or responsibilities that are inconsistent with Executive's then position; provided that if the Company becomes a fifty percent or more subsidiary of any other entity, Executive shall be deemed to have a material diminution of his position unless he is also Senior Vice President and Chief Financial Officer reporting to the Chief Executive Officer of the ultimate parent entity; (2) removal of, or the non-re-election of, the Executive from officer positions with the Company specified herein or removal of the Executive from any of his then officer positions; (3) requiring Executive's principal place of business to be located other than in the Houston, Texas greater Metropolitan region; (4) a failure by the Company (I) to continue any bonus plan, program or arrangement in which Executive is entitled to participate (the "Bonus Plans"), provided that any such Bonus Plans may be modified at the Company's discretion from time to time but shall be deemed terminated if (x) any such plan does not remain substantially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5 of 19</w:t>
      </w:r>
    </w:p>
    <w:p>
      <w:pPr>
        <w:sectPr>
          <w:pgSz w:w="11900" w:h="16838" w:orient="portrait"/>
          <w:cols w:equalWidth="0" w:num="1">
            <w:col w:w="10150"/>
          </w:cols>
          <w:pgMar w:left="309" w:top="28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1320" w:right="3199"/>
        <w:spacing w:after="0" w:line="253" w:lineRule="auto"/>
        <w:rPr>
          <w:sz w:val="20"/>
          <w:szCs w:val="20"/>
          <w:color w:val="auto"/>
        </w:rPr>
      </w:pPr>
      <w:r>
        <w:rPr>
          <w:rFonts w:ascii="Courier New" w:cs="Courier New" w:eastAsia="Courier New" w:hAnsi="Courier New"/>
          <w:sz w:val="14"/>
          <w:szCs w:val="14"/>
          <w:color w:val="auto"/>
        </w:rPr>
        <w:t>the form in effect prior to such modification and (y) if plans providing Executive with substantially similar benefits are not substituted therefor ("Substitute Plans"), or (II) to continue Executive as a participant in the Bonus Plans and Substitute Plans on at least the same basis as to potential amount of the bonus as Executive participated in prior to any change in such plans or awards, in accordance with the Bonus Plans and the Substitute Plans; (5) any material breach by the Company of any provision of this Agreement, including without limitation Section 10 hereof; or (6)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330" w:lineRule="exact"/>
        <w:rPr>
          <w:sz w:val="20"/>
          <w:szCs w:val="20"/>
          <w:color w:val="auto"/>
        </w:rPr>
      </w:pPr>
    </w:p>
    <w:p>
      <w:pPr>
        <w:ind w:left="1320" w:right="3199" w:hanging="530"/>
        <w:spacing w:after="0" w:line="253" w:lineRule="auto"/>
        <w:tabs>
          <w:tab w:leader="none" w:pos="132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(i)(1) or (2) the date may be five (5) days after the giving of such notice.</w:t>
      </w:r>
    </w:p>
    <w:p>
      <w:pPr>
        <w:spacing w:after="0" w:line="329" w:lineRule="exact"/>
        <w:rPr>
          <w:rFonts w:ascii="Courier New" w:cs="Courier New" w:eastAsia="Courier New" w:hAnsi="Courier New"/>
          <w:sz w:val="14"/>
          <w:szCs w:val="14"/>
          <w:color w:val="auto"/>
        </w:rPr>
      </w:pPr>
    </w:p>
    <w:p>
      <w:pPr>
        <w:ind w:left="800" w:right="3199" w:hanging="791"/>
        <w:spacing w:after="0" w:line="255" w:lineRule="auto"/>
        <w:tabs>
          <w:tab w:leader="none" w:pos="8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upon written notice to Executive.</w:t>
      </w:r>
    </w:p>
    <w:p>
      <w:pPr>
        <w:spacing w:after="0" w:line="161" w:lineRule="exact"/>
        <w:rPr>
          <w:rFonts w:ascii="Courier New" w:cs="Courier New" w:eastAsia="Courier New" w:hAnsi="Courier New"/>
          <w:sz w:val="14"/>
          <w:szCs w:val="14"/>
          <w:color w:val="auto"/>
        </w:rPr>
      </w:pPr>
    </w:p>
    <w:p>
      <w:pPr>
        <w:ind w:left="800" w:right="3199" w:hanging="791"/>
        <w:spacing w:after="0" w:line="255" w:lineRule="auto"/>
        <w:tabs>
          <w:tab w:leader="none" w:pos="8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Upon any termination of employment, Executive shall immediately resign from all Board memberships and other positions with the Company or any of its subsidiaries held by him at such time.</w:t>
      </w:r>
    </w:p>
    <w:p>
      <w:pPr>
        <w:spacing w:after="0" w:line="162" w:lineRule="exact"/>
        <w:rPr>
          <w:sz w:val="20"/>
          <w:szCs w:val="20"/>
          <w:color w:val="auto"/>
        </w:rPr>
      </w:pPr>
    </w:p>
    <w:p>
      <w:pPr>
        <w:ind w:left="800" w:hanging="791"/>
        <w:spacing w:after="0"/>
        <w:tabs>
          <w:tab w:leader="none" w:pos="80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FOLLOWING TERMINATION OF EMPLOYMENT.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the event that Executive's employment hereunder is terminated, Executive shall be entitled to the following compensation and benefits upon such termination:</w:t>
      </w:r>
    </w:p>
    <w:p>
      <w:pPr>
        <w:spacing w:after="0" w:line="162" w:lineRule="exact"/>
        <w:rPr>
          <w:sz w:val="20"/>
          <w:szCs w:val="20"/>
          <w:color w:val="auto"/>
        </w:rPr>
      </w:pPr>
    </w:p>
    <w:p>
      <w:pPr>
        <w:ind w:left="800" w:right="3379" w:hanging="791"/>
        <w:spacing w:after="0" w:line="255" w:lineRule="auto"/>
        <w:tabs>
          <w:tab w:leader="none" w:pos="80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161" w:lineRule="exact"/>
        <w:rPr>
          <w:rFonts w:ascii="Courier New" w:cs="Courier New" w:eastAsia="Courier New" w:hAnsi="Courier New"/>
          <w:sz w:val="14"/>
          <w:szCs w:val="14"/>
          <w:color w:val="auto"/>
        </w:rPr>
      </w:pPr>
    </w:p>
    <w:p>
      <w:pPr>
        <w:ind w:left="1320" w:right="3199" w:hanging="530"/>
        <w:spacing w:after="0" w:line="254" w:lineRule="auto"/>
        <w:tabs>
          <w:tab w:leader="none" w:pos="132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 pro-rata "bonus" or incentive compensation payment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6 of 19</w:t>
      </w:r>
    </w:p>
    <w:p>
      <w:pPr>
        <w:sectPr>
          <w:pgSz w:w="11900" w:h="16838" w:orient="portrait"/>
          <w:cols w:equalWidth="0" w:num="1">
            <w:col w:w="10159"/>
          </w:cols>
          <w:pgMar w:left="300" w:top="286" w:right="1440" w:bottom="1440" w:gutter="0" w:footer="0" w:header="0"/>
        </w:sectPr>
      </w:pPr>
    </w:p>
    <w:bookmarkStart w:id="182" w:name="page183"/>
    <w:bookmarkEnd w:id="182"/>
    <w:p>
      <w:pPr>
        <w:ind w:left="251"/>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1311" w:right="3199"/>
        <w:spacing w:after="0" w:line="255" w:lineRule="auto"/>
        <w:rPr>
          <w:sz w:val="20"/>
          <w:szCs w:val="20"/>
          <w:color w:val="auto"/>
        </w:rPr>
      </w:pPr>
      <w:r>
        <w:rPr>
          <w:rFonts w:ascii="Courier New" w:cs="Courier New" w:eastAsia="Courier New" w:hAnsi="Courier New"/>
          <w:sz w:val="14"/>
          <w:szCs w:val="14"/>
          <w:color w:val="auto"/>
        </w:rPr>
        <w:t>extent payments are awarded senior executives and paid at the same time as senior executives are paid, and any vacation accrued to the date of death.</w:t>
      </w:r>
    </w:p>
    <w:p>
      <w:pPr>
        <w:spacing w:after="0" w:line="162" w:lineRule="exact"/>
        <w:rPr>
          <w:sz w:val="20"/>
          <w:szCs w:val="20"/>
          <w:color w:val="auto"/>
        </w:rPr>
      </w:pPr>
    </w:p>
    <w:p>
      <w:pPr>
        <w:ind w:left="1311" w:right="3299" w:hanging="530"/>
        <w:spacing w:after="0" w:line="254" w:lineRule="auto"/>
        <w:tabs>
          <w:tab w:leader="none" w:pos="1311"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Sections 4(f)-(h) hereof), as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311" w:right="3299" w:hanging="530"/>
        <w:spacing w:after="0" w:line="253" w:lineRule="auto"/>
        <w:tabs>
          <w:tab w:leader="none" w:pos="1311"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164" w:lineRule="exact"/>
        <w:rPr>
          <w:rFonts w:ascii="Courier New" w:cs="Courier New" w:eastAsia="Courier New" w:hAnsi="Courier New"/>
          <w:sz w:val="14"/>
          <w:szCs w:val="14"/>
          <w:color w:val="auto"/>
        </w:rPr>
      </w:pPr>
    </w:p>
    <w:p>
      <w:pPr>
        <w:ind w:left="1311" w:right="3379" w:hanging="530"/>
        <w:spacing w:after="0" w:line="254" w:lineRule="auto"/>
        <w:tabs>
          <w:tab w:leader="none" w:pos="1311"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death, stock options awarded to Executive shall be fully vested and Executive's estate or beneficiary shall have up to one (1) year from the date of death to exercise all such options.</w:t>
      </w:r>
    </w:p>
    <w:p>
      <w:pPr>
        <w:spacing w:after="0" w:line="163" w:lineRule="exact"/>
        <w:rPr>
          <w:rFonts w:ascii="Courier New" w:cs="Courier New" w:eastAsia="Courier New" w:hAnsi="Courier New"/>
          <w:sz w:val="14"/>
          <w:szCs w:val="14"/>
          <w:color w:val="auto"/>
        </w:rPr>
      </w:pPr>
    </w:p>
    <w:p>
      <w:pPr>
        <w:ind w:left="1311" w:hanging="530"/>
        <w:spacing w:after="0"/>
        <w:tabs>
          <w:tab w:leader="none" w:pos="1311"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rFonts w:ascii="Courier New" w:cs="Courier New" w:eastAsia="Courier New" w:hAnsi="Courier New"/>
          <w:sz w:val="14"/>
          <w:szCs w:val="14"/>
          <w:color w:val="auto"/>
        </w:rPr>
      </w:pPr>
    </w:p>
    <w:p>
      <w:pPr>
        <w:ind w:left="791" w:right="3379" w:hanging="791"/>
        <w:spacing w:after="0" w:line="254" w:lineRule="auto"/>
        <w:tabs>
          <w:tab w:leader="none" w:pos="79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63"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for the year in which Executive is terminated.</w:t>
      </w:r>
    </w:p>
    <w:p>
      <w:pPr>
        <w:spacing w:after="0" w:line="331"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Sections 4(f)-(h)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331" w:lineRule="exact"/>
        <w:rPr>
          <w:rFonts w:ascii="Courier New" w:cs="Courier New" w:eastAsia="Courier New" w:hAnsi="Courier New"/>
          <w:sz w:val="14"/>
          <w:szCs w:val="14"/>
          <w:color w:val="auto"/>
        </w:rPr>
      </w:pPr>
    </w:p>
    <w:p>
      <w:pPr>
        <w:ind w:left="1311" w:right="3379" w:hanging="530"/>
        <w:spacing w:after="0" w:line="255" w:lineRule="auto"/>
        <w:tabs>
          <w:tab w:leader="none" w:pos="1311"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Total Disability, Executive shall be fully vested in all stock option awards and Executive shall have up to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7 of 19</w:t>
      </w:r>
    </w:p>
    <w:p>
      <w:pPr>
        <w:sectPr>
          <w:pgSz w:w="11900" w:h="16838" w:orient="portrait"/>
          <w:cols w:equalWidth="0" w:num="1">
            <w:col w:w="10150"/>
          </w:cols>
          <w:pgMar w:left="309" w:top="286" w:right="1440" w:bottom="1440" w:gutter="0" w:footer="0" w:header="0"/>
        </w:sectPr>
      </w:pPr>
    </w:p>
    <w:bookmarkStart w:id="183" w:name="page184"/>
    <w:bookmarkEnd w:id="183"/>
    <w:p>
      <w:pPr>
        <w:ind w:left="251"/>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left="1311" w:right="3979" w:hanging="9"/>
        <w:spacing w:after="0" w:line="258" w:lineRule="auto"/>
        <w:tabs>
          <w:tab w:leader="none" w:pos="1658" w:val="left"/>
        </w:tabs>
        <w:numPr>
          <w:ilvl w:val="2"/>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from the date of termination by reason of Total Disability to exercise all such options.</w:t>
      </w:r>
    </w:p>
    <w:p>
      <w:pPr>
        <w:spacing w:after="0" w:line="159" w:lineRule="exact"/>
        <w:rPr>
          <w:rFonts w:ascii="Courier New" w:cs="Courier New" w:eastAsia="Courier New" w:hAnsi="Courier New"/>
          <w:sz w:val="14"/>
          <w:szCs w:val="14"/>
          <w:color w:val="auto"/>
        </w:rPr>
      </w:pPr>
    </w:p>
    <w:p>
      <w:pPr>
        <w:ind w:left="1311" w:hanging="530"/>
        <w:spacing w:after="0"/>
        <w:tabs>
          <w:tab w:leader="none" w:pos="1311"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rFonts w:ascii="Courier New" w:cs="Courier New" w:eastAsia="Courier New" w:hAnsi="Courier New"/>
          <w:sz w:val="14"/>
          <w:szCs w:val="14"/>
          <w:color w:val="auto"/>
        </w:rPr>
      </w:pPr>
    </w:p>
    <w:p>
      <w:pPr>
        <w:ind w:left="791" w:right="3639" w:hanging="791"/>
        <w:spacing w:after="0" w:line="255" w:lineRule="auto"/>
        <w:tabs>
          <w:tab w:leader="none" w:pos="791"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In the event that Executive's employment is terminated by the Company for Cause, the Company shall pay the following amounts to Executive:</w:t>
      </w:r>
    </w:p>
    <w:p>
      <w:pPr>
        <w:spacing w:after="0" w:line="161"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2" w:lineRule="exact"/>
        <w:rPr>
          <w:sz w:val="20"/>
          <w:szCs w:val="20"/>
          <w:color w:val="auto"/>
        </w:rPr>
      </w:pPr>
    </w:p>
    <w:p>
      <w:pPr>
        <w:ind w:left="1311" w:right="3299" w:hanging="530"/>
        <w:spacing w:after="0" w:line="254" w:lineRule="auto"/>
        <w:tabs>
          <w:tab w:leader="none" w:pos="131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Sections 4(f)-(h)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311" w:hanging="530"/>
        <w:spacing w:after="0"/>
        <w:tabs>
          <w:tab w:leader="none" w:pos="131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sz w:val="20"/>
          <w:szCs w:val="20"/>
          <w:color w:val="auto"/>
        </w:rPr>
      </w:pPr>
    </w:p>
    <w:p>
      <w:pPr>
        <w:ind w:left="791" w:right="3299"/>
        <w:spacing w:after="0" w:line="254" w:lineRule="auto"/>
        <w:rPr>
          <w:sz w:val="20"/>
          <w:szCs w:val="20"/>
          <w:color w:val="auto"/>
        </w:rPr>
      </w:pPr>
      <w:r>
        <w:rPr>
          <w:rFonts w:ascii="Courier New" w:cs="Courier New" w:eastAsia="Courier New" w:hAnsi="Courier New"/>
          <w:sz w:val="14"/>
          <w:szCs w:val="14"/>
          <w:color w:val="auto"/>
        </w:rPr>
        <w:t>Any options, restricted stock or other awards that have not vested prior to the date of such termination of employment shall be cancelled and any options held by Executive shall be cancelled, whether or not then vested.</w:t>
      </w:r>
    </w:p>
    <w:p>
      <w:pPr>
        <w:spacing w:after="0" w:line="163" w:lineRule="exact"/>
        <w:rPr>
          <w:sz w:val="20"/>
          <w:szCs w:val="20"/>
          <w:color w:val="auto"/>
        </w:rPr>
      </w:pPr>
    </w:p>
    <w:p>
      <w:pPr>
        <w:ind w:left="791" w:right="3719" w:hanging="791"/>
        <w:spacing w:after="0" w:line="255" w:lineRule="auto"/>
        <w:tabs>
          <w:tab w:leader="none" w:pos="791"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voluntarily terminates employment other than for Good Reason, the Company shall pay the following amounts to Executive:</w:t>
      </w:r>
    </w:p>
    <w:p>
      <w:pPr>
        <w:spacing w:after="0" w:line="161"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2"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Sections 4(f)-(h)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311" w:hanging="530"/>
        <w:spacing w:after="0"/>
        <w:tabs>
          <w:tab w:leader="none" w:pos="1311"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sz w:val="20"/>
          <w:szCs w:val="20"/>
          <w:color w:val="auto"/>
        </w:rPr>
      </w:pPr>
    </w:p>
    <w:p>
      <w:pPr>
        <w:ind w:left="791" w:right="3199"/>
        <w:spacing w:after="0" w:line="254" w:lineRule="auto"/>
        <w:rPr>
          <w:sz w:val="20"/>
          <w:szCs w:val="20"/>
          <w:color w:val="auto"/>
        </w:rPr>
      </w:pPr>
      <w:r>
        <w:rPr>
          <w:rFonts w:ascii="Courier New" w:cs="Courier New" w:eastAsia="Courier New" w:hAnsi="Courier New"/>
          <w:sz w:val="14"/>
          <w:szCs w:val="14"/>
          <w:color w:val="auto"/>
        </w:rPr>
        <w:t>Any options, restricted stock or other awards that have not vested prior to the date of such termination of employment shall be cancelled and Executive shall have 90 days following termination of employment to exercise any previously vested options (or, if earlier, until the stated expiration thereof).</w:t>
      </w:r>
    </w:p>
    <w:p>
      <w:pPr>
        <w:spacing w:after="0" w:line="200" w:lineRule="exact"/>
        <w:rPr>
          <w:sz w:val="20"/>
          <w:szCs w:val="20"/>
          <w:color w:val="auto"/>
        </w:rPr>
      </w:pPr>
    </w:p>
    <w:p>
      <w:pPr>
        <w:spacing w:after="0" w:line="29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8 of 19</w:t>
      </w:r>
    </w:p>
    <w:p>
      <w:pPr>
        <w:sectPr>
          <w:pgSz w:w="11900" w:h="16838" w:orient="portrait"/>
          <w:cols w:equalWidth="0" w:num="1">
            <w:col w:w="10150"/>
          </w:cols>
          <w:pgMar w:left="309" w:top="286" w:right="1440" w:bottom="1440" w:gutter="0" w:footer="0" w:header="0"/>
        </w:sectPr>
      </w:pPr>
    </w:p>
    <w:bookmarkStart w:id="184" w:name="page185"/>
    <w:bookmarkEnd w:id="184"/>
    <w:p>
      <w:pPr>
        <w:ind w:left="251"/>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791" w:right="3199" w:hanging="791"/>
        <w:spacing w:after="0" w:line="254" w:lineRule="auto"/>
        <w:tabs>
          <w:tab w:leader="none" w:pos="791"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162"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162" w:lineRule="exact"/>
        <w:rPr>
          <w:rFonts w:ascii="Courier New" w:cs="Courier New" w:eastAsia="Courier New" w:hAnsi="Courier New"/>
          <w:sz w:val="14"/>
          <w:szCs w:val="14"/>
          <w:color w:val="auto"/>
        </w:rPr>
      </w:pPr>
    </w:p>
    <w:p>
      <w:pPr>
        <w:ind w:left="1311" w:right="3199" w:hanging="530"/>
        <w:spacing w:after="0" w:line="254" w:lineRule="auto"/>
        <w:tabs>
          <w:tab w:leader="none" w:pos="131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Sections 4(f)-(h)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311" w:right="3199" w:hanging="530"/>
        <w:spacing w:after="0" w:line="252" w:lineRule="auto"/>
        <w:tabs>
          <w:tab w:leader="none" w:pos="131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two times the sum of Executive's Base Salary plus his Target Annual Bonus (in each case as then in effect), of which one-half shall be paid in a lump sum within ten (10) days after such termination and one-half shall be paid during the two</w:t>
      </w:r>
    </w:p>
    <w:p>
      <w:pPr>
        <w:spacing w:after="0" w:line="1" w:lineRule="exact"/>
        <w:rPr>
          <w:rFonts w:ascii="Courier New" w:cs="Courier New" w:eastAsia="Courier New" w:hAnsi="Courier New"/>
          <w:sz w:val="14"/>
          <w:szCs w:val="14"/>
          <w:color w:val="auto"/>
        </w:rPr>
      </w:pPr>
    </w:p>
    <w:p>
      <w:pPr>
        <w:ind w:left="1311" w:right="3199" w:hanging="9"/>
        <w:spacing w:after="0" w:line="254" w:lineRule="auto"/>
        <w:tabs>
          <w:tab w:leader="none" w:pos="1658" w:val="left"/>
        </w:tabs>
        <w:numPr>
          <w:ilvl w:val="2"/>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period beginning on the date of Executive's termination and shall be paid at the same time and in the same manner as Base Salary would have been paid if Executive had remained in active employment until the end of such period.</w:t>
      </w:r>
    </w:p>
    <w:p>
      <w:pPr>
        <w:spacing w:after="0" w:line="163" w:lineRule="exact"/>
        <w:rPr>
          <w:rFonts w:ascii="Courier New" w:cs="Courier New" w:eastAsia="Courier New" w:hAnsi="Courier New"/>
          <w:sz w:val="14"/>
          <w:szCs w:val="14"/>
          <w:color w:val="auto"/>
        </w:rPr>
      </w:pPr>
    </w:p>
    <w:p>
      <w:pPr>
        <w:ind w:left="1311" w:right="3199" w:hanging="530"/>
        <w:spacing w:after="0" w:line="252" w:lineRule="auto"/>
        <w:tabs>
          <w:tab w:leader="none" w:pos="131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at its expense will continue for Executive and Executive's spouse and dependents, all health benefit plans, programs or arrangements, whether group or individual, and also including deferred compensation, disability, automobile, and other benefit plans, in which Executive was entitled to participate at any time during the twelve-month period prior to the date of termination, until the earliest to occur of (A) two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340"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law, and except as otherwise provided herein, Executive will be 100% vested in all benefits, awards, and grants accrued but unpaid as of the date of termination under any pension plan, profit sharing plan, supplemental and/or incentive compensation plans in which Executive was a participant as of the date of termination. Executive shall also be eligible for a bonus or incentive compensation payment, at the same time, on the same basis, and to the same extent payments are made to senior executives, pro-rated for the fiscal year in which the Executive is terminated.</w:t>
      </w:r>
    </w:p>
    <w:p>
      <w:pPr>
        <w:spacing w:after="0" w:line="200" w:lineRule="exact"/>
        <w:rPr>
          <w:sz w:val="20"/>
          <w:szCs w:val="20"/>
          <w:color w:val="auto"/>
        </w:rPr>
      </w:pPr>
    </w:p>
    <w:p>
      <w:pPr>
        <w:spacing w:after="0" w:line="298"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9 of 19</w:t>
      </w:r>
    </w:p>
    <w:p>
      <w:pPr>
        <w:sectPr>
          <w:pgSz w:w="11900" w:h="16838" w:orient="portrait"/>
          <w:cols w:equalWidth="0" w:num="1">
            <w:col w:w="10150"/>
          </w:cols>
          <w:pgMar w:left="309" w:top="286" w:right="1440" w:bottom="1440" w:gutter="0" w:footer="0" w:header="0"/>
        </w:sectPr>
      </w:pPr>
    </w:p>
    <w:bookmarkStart w:id="185" w:name="page186"/>
    <w:bookmarkEnd w:id="185"/>
    <w:p>
      <w:pPr>
        <w:ind w:left="251"/>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1311" w:right="3299" w:hanging="530"/>
        <w:spacing w:after="0" w:line="253" w:lineRule="auto"/>
        <w:tabs>
          <w:tab w:leader="none" w:pos="1311"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such termination of employment, the stock options awarded to Executive pursuant to Section 4(e)(i) hereof and the Restricted Stock Grant shall be fully vested. Executive shall continue to vest in all other stock option awards or restricted stock awards over the two (2) year period commencing on the date of such termination. Executive shall have two (2) years and six (6) months after the date of termination to exercise all vested options, unless by virtue of the particular stock option award, the option grant expires on an earlier date.</w:t>
      </w:r>
    </w:p>
    <w:p>
      <w:pPr>
        <w:spacing w:after="0" w:line="164" w:lineRule="exact"/>
        <w:rPr>
          <w:rFonts w:ascii="Courier New" w:cs="Courier New" w:eastAsia="Courier New" w:hAnsi="Courier New"/>
          <w:sz w:val="14"/>
          <w:szCs w:val="14"/>
          <w:color w:val="auto"/>
        </w:rPr>
      </w:pPr>
    </w:p>
    <w:p>
      <w:pPr>
        <w:ind w:left="1311" w:hanging="530"/>
        <w:spacing w:after="0"/>
        <w:tabs>
          <w:tab w:leader="none" w:pos="1311"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specifically provided herein.</w:t>
      </w:r>
    </w:p>
    <w:p>
      <w:pPr>
        <w:spacing w:after="0" w:line="175"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64" w:lineRule="exact"/>
        <w:rPr>
          <w:rFonts w:ascii="Courier New" w:cs="Courier New" w:eastAsia="Courier New" w:hAnsi="Courier New"/>
          <w:sz w:val="14"/>
          <w:szCs w:val="14"/>
          <w:color w:val="auto"/>
        </w:rPr>
      </w:pPr>
    </w:p>
    <w:p>
      <w:pPr>
        <w:ind w:left="791" w:right="3299" w:hanging="791"/>
        <w:spacing w:after="0" w:line="253" w:lineRule="auto"/>
        <w:tabs>
          <w:tab w:leader="none" w:pos="791"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unappealable judgment against Executive.</w:t>
      </w:r>
    </w:p>
    <w:p>
      <w:pPr>
        <w:spacing w:after="0" w:line="164" w:lineRule="exact"/>
        <w:rPr>
          <w:sz w:val="20"/>
          <w:szCs w:val="20"/>
          <w:color w:val="auto"/>
        </w:rPr>
      </w:pPr>
    </w:p>
    <w:p>
      <w:pPr>
        <w:ind w:left="431" w:right="3199" w:hanging="431"/>
        <w:spacing w:after="0" w:line="258" w:lineRule="auto"/>
        <w:tabs>
          <w:tab w:leader="none" w:pos="43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BY EXECUTIVE FOR GOOD REASON AND COMPENSATION PAYABLE FOLLOWING CHANGE IN CONTROL.</w:t>
      </w:r>
    </w:p>
    <w:p>
      <w:pPr>
        <w:spacing w:after="0" w:line="160" w:lineRule="exact"/>
        <w:rPr>
          <w:sz w:val="20"/>
          <w:szCs w:val="20"/>
          <w:color w:val="auto"/>
        </w:rPr>
      </w:pPr>
    </w:p>
    <w:p>
      <w:pPr>
        <w:ind w:left="791" w:right="3199" w:hanging="791"/>
        <w:spacing w:after="0" w:line="253" w:lineRule="auto"/>
        <w:tabs>
          <w:tab w:leader="none" w:pos="791"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331" w:lineRule="exact"/>
        <w:rPr>
          <w:rFonts w:ascii="Courier New" w:cs="Courier New" w:eastAsia="Courier New" w:hAnsi="Courier New"/>
          <w:sz w:val="14"/>
          <w:szCs w:val="14"/>
          <w:color w:val="auto"/>
        </w:rPr>
      </w:pPr>
    </w:p>
    <w:p>
      <w:pPr>
        <w:ind w:left="1311" w:right="3459" w:hanging="530"/>
        <w:spacing w:after="0" w:line="254" w:lineRule="auto"/>
        <w:tabs>
          <w:tab w:leader="none" w:pos="1311"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payments and benefits provided for in Section 6(e), except that (A) the entire amount calculated pursuant to Section 6(e)(iii) shall be paid in a lump-sum and (B) the benefit continuation period in Section 6(e)(iv) shall be three years.</w:t>
      </w:r>
    </w:p>
    <w:p>
      <w:pPr>
        <w:spacing w:after="0" w:line="163"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 grants and stock awards, all of such stock options exercisable for three (3) years following Termination) accrued but unpaid as of the date of termination under any non-qualified pension plan, supplemental and/or incentive compensation or bonus plans, in which Executive was a participant as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10 of 19</w:t>
      </w:r>
    </w:p>
    <w:p>
      <w:pPr>
        <w:sectPr>
          <w:pgSz w:w="11900" w:h="16838" w:orient="portrait"/>
          <w:cols w:equalWidth="0" w:num="1">
            <w:col w:w="10150"/>
          </w:cols>
          <w:pgMar w:left="309" w:top="286" w:right="1440" w:bottom="1440" w:gutter="0" w:footer="0" w:header="0"/>
        </w:sectPr>
      </w:pPr>
    </w:p>
    <w:bookmarkStart w:id="186" w:name="page187"/>
    <w:bookmarkEnd w:id="186"/>
    <w:p>
      <w:pPr>
        <w:ind w:left="251"/>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1311" w:right="3199"/>
        <w:spacing w:after="0" w:line="253" w:lineRule="auto"/>
        <w:rPr>
          <w:sz w:val="20"/>
          <w:szCs w:val="20"/>
          <w:color w:val="auto"/>
        </w:rPr>
      </w:pPr>
      <w:r>
        <w:rPr>
          <w:rFonts w:ascii="Courier New" w:cs="Courier New" w:eastAsia="Courier New" w:hAnsi="Courier New"/>
          <w:sz w:val="14"/>
          <w:szCs w:val="14"/>
          <w:color w:val="auto"/>
        </w:rPr>
        <w:t>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Employee's termination. 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63" w:lineRule="exact"/>
        <w:rPr>
          <w:sz w:val="20"/>
          <w:szCs w:val="20"/>
          <w:color w:val="auto"/>
        </w:rPr>
      </w:pPr>
    </w:p>
    <w:p>
      <w:pPr>
        <w:ind w:left="791" w:hanging="791"/>
        <w:spacing w:after="0"/>
        <w:tabs>
          <w:tab w:leader="none" w:pos="791"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w:t>
      </w:r>
    </w:p>
    <w:p>
      <w:pPr>
        <w:spacing w:after="0" w:line="175" w:lineRule="exact"/>
        <w:rPr>
          <w:rFonts w:ascii="Courier New" w:cs="Courier New" w:eastAsia="Courier New" w:hAnsi="Courier New"/>
          <w:sz w:val="14"/>
          <w:szCs w:val="14"/>
          <w:color w:val="auto"/>
        </w:rPr>
      </w:pPr>
    </w:p>
    <w:p>
      <w:pPr>
        <w:ind w:left="1311" w:right="3199" w:hanging="530"/>
        <w:spacing w:after="0" w:line="252" w:lineRule="auto"/>
        <w:tabs>
          <w:tab w:leader="none" w:pos="1311"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73" w:lineRule="exact"/>
        <w:rPr>
          <w:rFonts w:ascii="Courier New" w:cs="Courier New" w:eastAsia="Courier New" w:hAnsi="Courier New"/>
          <w:sz w:val="14"/>
          <w:szCs w:val="14"/>
          <w:color w:val="auto"/>
        </w:rPr>
      </w:pPr>
    </w:p>
    <w:p>
      <w:pPr>
        <w:ind w:left="1311" w:right="3199" w:hanging="530"/>
        <w:spacing w:after="0" w:line="252" w:lineRule="auto"/>
        <w:tabs>
          <w:tab w:leader="none" w:pos="1311"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200" w:lineRule="exact"/>
        <w:rPr>
          <w:sz w:val="20"/>
          <w:szCs w:val="20"/>
          <w:color w:val="auto"/>
        </w:rPr>
      </w:pPr>
    </w:p>
    <w:p>
      <w:pPr>
        <w:spacing w:after="0" w:line="307"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11 of 19</w:t>
      </w:r>
    </w:p>
    <w:p>
      <w:pPr>
        <w:sectPr>
          <w:pgSz w:w="11900" w:h="16838" w:orient="portrait"/>
          <w:cols w:equalWidth="0" w:num="1">
            <w:col w:w="10150"/>
          </w:cols>
          <w:pgMar w:left="309" w:top="286"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1060" w:right="3199" w:hanging="530"/>
        <w:spacing w:after="0" w:line="252" w:lineRule="auto"/>
        <w:tabs>
          <w:tab w:leader="none" w:pos="106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345" w:lineRule="exact"/>
        <w:rPr>
          <w:rFonts w:ascii="Courier New" w:cs="Courier New" w:eastAsia="Courier New" w:hAnsi="Courier New"/>
          <w:sz w:val="14"/>
          <w:szCs w:val="14"/>
          <w:color w:val="auto"/>
        </w:rPr>
      </w:pPr>
    </w:p>
    <w:p>
      <w:pPr>
        <w:ind w:left="106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164"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Page 12 of 19</w:t>
      </w:r>
    </w:p>
    <w:p>
      <w:pPr>
        <w:sectPr>
          <w:pgSz w:w="11900" w:h="16838" w:orient="portrait"/>
          <w:cols w:equalWidth="0" w:num="1">
            <w:col w:w="9899"/>
          </w:cols>
          <w:pgMar w:left="560" w:top="286" w:right="1440" w:bottom="1440" w:gutter="0" w:footer="0" w:header="0"/>
        </w:sectPr>
      </w:pPr>
    </w:p>
    <w:bookmarkStart w:id="188" w:name="page189"/>
    <w:bookmarkEnd w:id="188"/>
    <w:p>
      <w:pPr>
        <w:ind w:left="251"/>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left="1311" w:right="3299"/>
        <w:spacing w:after="0" w:line="254" w:lineRule="auto"/>
        <w:rPr>
          <w:sz w:val="20"/>
          <w:szCs w:val="20"/>
          <w:color w:val="auto"/>
        </w:rPr>
      </w:pPr>
      <w:r>
        <w:rPr>
          <w:rFonts w:ascii="Courier New" w:cs="Courier New" w:eastAsia="Courier New" w:hAnsi="Courier New"/>
          <w:sz w:val="14"/>
          <w:szCs w:val="14"/>
          <w:color w:val="auto"/>
        </w:rPr>
        <w:t>determined to have been due, such excess shall constitute a loan by the Company to the Executive, payable on the fifth day after demand by the Company (together with interest at the rate provided in Section 1274(b)(2)(B) of the Code).</w:t>
      </w:r>
    </w:p>
    <w:p>
      <w:pPr>
        <w:spacing w:after="0" w:line="163" w:lineRule="exact"/>
        <w:rPr>
          <w:sz w:val="20"/>
          <w:szCs w:val="20"/>
          <w:color w:val="auto"/>
        </w:rPr>
      </w:pPr>
    </w:p>
    <w:p>
      <w:pPr>
        <w:ind w:left="1311" w:right="3199" w:hanging="530"/>
        <w:spacing w:after="0" w:line="252" w:lineRule="auto"/>
        <w:tabs>
          <w:tab w:leader="none" w:pos="1311"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172" w:lineRule="exact"/>
        <w:rPr>
          <w:rFonts w:ascii="Courier New" w:cs="Courier New" w:eastAsia="Courier New" w:hAnsi="Courier New"/>
          <w:sz w:val="14"/>
          <w:szCs w:val="14"/>
          <w:color w:val="auto"/>
        </w:rPr>
      </w:pPr>
    </w:p>
    <w:p>
      <w:pPr>
        <w:ind w:left="1311" w:right="4079" w:hanging="530"/>
        <w:spacing w:after="0" w:line="258" w:lineRule="auto"/>
        <w:tabs>
          <w:tab w:leader="none" w:pos="1311"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responsible for all charges of the Accountant.</w:t>
      </w:r>
    </w:p>
    <w:p>
      <w:pPr>
        <w:spacing w:after="0" w:line="159"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63" w:lineRule="exact"/>
        <w:rPr>
          <w:rFonts w:ascii="Courier New" w:cs="Courier New" w:eastAsia="Courier New" w:hAnsi="Courier New"/>
          <w:sz w:val="14"/>
          <w:szCs w:val="14"/>
          <w:color w:val="auto"/>
        </w:rPr>
      </w:pPr>
    </w:p>
    <w:p>
      <w:pPr>
        <w:ind w:left="791" w:right="3299" w:hanging="791"/>
        <w:spacing w:after="0" w:line="258" w:lineRule="auto"/>
        <w:tabs>
          <w:tab w:leader="none" w:pos="791"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purposes of this Agreement, "Change in Control" means the occurrence of any of the following events:</w:t>
      </w:r>
    </w:p>
    <w:p>
      <w:pPr>
        <w:spacing w:after="0" w:line="159"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165" w:lineRule="exact"/>
        <w:rPr>
          <w:rFonts w:ascii="Courier New" w:cs="Courier New" w:eastAsia="Courier New" w:hAnsi="Courier New"/>
          <w:sz w:val="14"/>
          <w:szCs w:val="14"/>
          <w:color w:val="auto"/>
        </w:rPr>
      </w:pPr>
    </w:p>
    <w:p>
      <w:pPr>
        <w:ind w:left="1311" w:right="3379" w:hanging="530"/>
        <w:spacing w:after="0" w:line="253" w:lineRule="auto"/>
        <w:tabs>
          <w:tab w:leader="none" w:pos="131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Commencement Date or whose appointment, election or nomination for election was previously so approved or recommended;</w:t>
      </w:r>
    </w:p>
    <w:p>
      <w:pPr>
        <w:spacing w:after="0" w:line="162" w:lineRule="exact"/>
        <w:rPr>
          <w:rFonts w:ascii="Courier New" w:cs="Courier New" w:eastAsia="Courier New" w:hAnsi="Courier New"/>
          <w:sz w:val="14"/>
          <w:szCs w:val="14"/>
          <w:color w:val="auto"/>
        </w:rPr>
      </w:pPr>
    </w:p>
    <w:p>
      <w:pPr>
        <w:ind w:left="1311" w:right="3199" w:hanging="530"/>
        <w:spacing w:after="0" w:line="254" w:lineRule="auto"/>
        <w:tabs>
          <w:tab w:leader="none" w:pos="131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consummated merger or consolidation of the Company or any direct or indirect subsidiary of the Company with any other corporation, other than (A) a merger or consolidation which would result in the voting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13 of 19</w:t>
      </w:r>
    </w:p>
    <w:p>
      <w:pPr>
        <w:sectPr>
          <w:pgSz w:w="11900" w:h="16838" w:orient="portrait"/>
          <w:cols w:equalWidth="0" w:num="1">
            <w:col w:w="10150"/>
          </w:cols>
          <w:pgMar w:left="309" w:top="286"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left="1320" w:right="3199"/>
        <w:spacing w:after="0" w:line="253" w:lineRule="auto"/>
        <w:rPr>
          <w:sz w:val="20"/>
          <w:szCs w:val="20"/>
          <w:color w:val="auto"/>
        </w:rPr>
      </w:pPr>
      <w:r>
        <w:rPr>
          <w:rFonts w:ascii="Courier New" w:cs="Courier New" w:eastAsia="Courier New" w:hAnsi="Courier New"/>
          <w:sz w:val="14"/>
          <w:szCs w:val="14"/>
          <w:color w:val="auto"/>
        </w:rPr>
        <w:t>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 (B) 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63" w:lineRule="exact"/>
        <w:rPr>
          <w:sz w:val="20"/>
          <w:szCs w:val="20"/>
          <w:color w:val="auto"/>
        </w:rPr>
      </w:pPr>
    </w:p>
    <w:p>
      <w:pPr>
        <w:ind w:left="1320" w:right="3199" w:hanging="530"/>
        <w:spacing w:after="0" w:line="253" w:lineRule="auto"/>
        <w:tabs>
          <w:tab w:leader="none" w:pos="132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For purposes of this Section 7(c), the following terms shall have the following meanings:</w:t>
      </w:r>
    </w:p>
    <w:p>
      <w:pPr>
        <w:spacing w:after="0" w:line="160" w:lineRule="exact"/>
        <w:rPr>
          <w:sz w:val="20"/>
          <w:szCs w:val="20"/>
          <w:color w:val="auto"/>
        </w:rPr>
      </w:pPr>
    </w:p>
    <w:p>
      <w:pPr>
        <w:ind w:left="1320" w:right="3559" w:hanging="9"/>
        <w:spacing w:after="0" w:line="254" w:lineRule="auto"/>
        <w:tabs>
          <w:tab w:leader="none" w:pos="166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 affiliate of the Company, as defined in Rule 12b-2 promulgated under Section 12 of the Securities Exchange Act of 1934, as amended from time to time (the "Exchange Act");</w:t>
      </w:r>
    </w:p>
    <w:p>
      <w:pPr>
        <w:spacing w:after="0" w:line="163" w:lineRule="exact"/>
        <w:rPr>
          <w:rFonts w:ascii="Courier New" w:cs="Courier New" w:eastAsia="Courier New" w:hAnsi="Courier New"/>
          <w:sz w:val="14"/>
          <w:szCs w:val="14"/>
          <w:color w:val="auto"/>
        </w:rPr>
      </w:pPr>
    </w:p>
    <w:p>
      <w:pPr>
        <w:ind w:left="1320" w:right="3299" w:hanging="9"/>
        <w:spacing w:after="0" w:line="258" w:lineRule="auto"/>
        <w:tabs>
          <w:tab w:leader="none" w:pos="1754"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shall have the meaning set forth in Rule 13d-3 under the Exchange Act;</w:t>
      </w:r>
    </w:p>
    <w:p>
      <w:pPr>
        <w:spacing w:after="0" w:line="159" w:lineRule="exact"/>
        <w:rPr>
          <w:rFonts w:ascii="Courier New" w:cs="Courier New" w:eastAsia="Courier New" w:hAnsi="Courier New"/>
          <w:sz w:val="14"/>
          <w:szCs w:val="14"/>
          <w:color w:val="auto"/>
        </w:rPr>
      </w:pPr>
    </w:p>
    <w:p>
      <w:pPr>
        <w:ind w:left="1840" w:hanging="529"/>
        <w:spacing w:after="0"/>
        <w:tabs>
          <w:tab w:leader="none" w:pos="184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have the meaning set forth in Section</w:t>
      </w:r>
    </w:p>
    <w:p>
      <w:pPr>
        <w:spacing w:after="0" w:line="8" w:lineRule="exact"/>
        <w:rPr>
          <w:sz w:val="20"/>
          <w:szCs w:val="20"/>
          <w:color w:val="auto"/>
        </w:rPr>
      </w:pPr>
    </w:p>
    <w:p>
      <w:pPr>
        <w:ind w:left="1320" w:right="3299"/>
        <w:spacing w:after="0" w:line="252" w:lineRule="auto"/>
        <w:rPr>
          <w:sz w:val="20"/>
          <w:szCs w:val="20"/>
          <w:color w:val="auto"/>
        </w:rPr>
      </w:pPr>
      <w:r>
        <w:rPr>
          <w:rFonts w:ascii="Courier New" w:cs="Courier New" w:eastAsia="Courier New" w:hAnsi="Courier New"/>
          <w:sz w:val="14"/>
          <w:szCs w:val="14"/>
          <w:color w:val="auto"/>
        </w:rPr>
        <w:t>3(a)(9) of the Exchange Act, as modified and used in Sections 13(d) and 14(d) thereof, except that such term shall not include</w:t>
      </w:r>
    </w:p>
    <w:p>
      <w:pPr>
        <w:spacing w:after="0" w:line="1" w:lineRule="exact"/>
        <w:rPr>
          <w:sz w:val="20"/>
          <w:szCs w:val="20"/>
          <w:color w:val="auto"/>
        </w:rPr>
      </w:pPr>
    </w:p>
    <w:p>
      <w:pPr>
        <w:ind w:left="1320" w:right="3299" w:hanging="9"/>
        <w:spacing w:after="0" w:line="253" w:lineRule="auto"/>
        <w:tabs>
          <w:tab w:leader="none" w:pos="1667"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164"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sz w:val="20"/>
          <w:szCs w:val="20"/>
          <w:color w:val="auto"/>
        </w:rPr>
      </w:pPr>
    </w:p>
    <w:p>
      <w:pPr>
        <w:ind w:left="800" w:right="3299" w:hanging="791"/>
        <w:spacing w:after="0" w:line="252" w:lineRule="auto"/>
        <w:tabs>
          <w:tab w:leader="none" w:pos="8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for two</w:t>
      </w:r>
    </w:p>
    <w:p>
      <w:pPr>
        <w:ind w:left="800" w:right="3199" w:hanging="10"/>
        <w:spacing w:after="0" w:line="253" w:lineRule="auto"/>
        <w:tabs>
          <w:tab w:leader="none" w:pos="1147"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thereafter, Executive will not engage in, assist, or have any active interest or involvement, whether as an employee, agent, consultant, creditor, advisor, officer, director, stockholder (excluding holding of less than 3% of the stock of a public company), partner, proprietor or any type of principal whatsoever in any person, firm, or business entity which, directly or indirectly, is materially engaged in the waste management business competitive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14 of 19</w:t>
      </w:r>
    </w:p>
    <w:p>
      <w:pPr>
        <w:sectPr>
          <w:pgSz w:w="11900" w:h="16838" w:orient="portrait"/>
          <w:cols w:equalWidth="0" w:num="1">
            <w:col w:w="10159"/>
          </w:cols>
          <w:pgMar w:left="300" w:top="286" w:right="1440" w:bottom="1440" w:gutter="0" w:footer="0" w:header="0"/>
        </w:sectPr>
      </w:pPr>
    </w:p>
    <w:bookmarkStart w:id="190" w:name="page191"/>
    <w:bookmarkEnd w:id="190"/>
    <w:p>
      <w:pPr>
        <w:ind w:left="251"/>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left="791" w:right="3199"/>
        <w:spacing w:after="0" w:line="253" w:lineRule="auto"/>
        <w:rPr>
          <w:sz w:val="20"/>
          <w:szCs w:val="20"/>
          <w:color w:val="auto"/>
        </w:rPr>
      </w:pPr>
      <w:r>
        <w:rPr>
          <w:rFonts w:ascii="Courier New" w:cs="Courier New" w:eastAsia="Courier New" w:hAnsi="Courier New"/>
          <w:sz w:val="14"/>
          <w:szCs w:val="14"/>
          <w:color w:val="auto"/>
        </w:rPr>
        <w:t>that conducted and carried on by the Company, without the Company's specific written consent to do so. "Material" shall mean more than five (5%) percent of their revenue is generated from the waste management business; provided that the revenues within Executive's area of responsibility or authority are more than 10% composed of revenues from the waste disposal business. Notwithstanding the foregoing, Executive may be employed by or provide services to, an investment banking firm, law firm or consulting firm that provides services to entities described in the previous sentence, provided that Executive does not personally represent or provide services to such entities.</w:t>
      </w:r>
    </w:p>
    <w:p>
      <w:pPr>
        <w:spacing w:after="0" w:line="164" w:lineRule="exact"/>
        <w:rPr>
          <w:sz w:val="20"/>
          <w:szCs w:val="20"/>
          <w:color w:val="auto"/>
        </w:rPr>
      </w:pPr>
    </w:p>
    <w:p>
      <w:pPr>
        <w:ind w:left="791" w:right="3199" w:hanging="791"/>
        <w:spacing w:after="0" w:line="252" w:lineRule="auto"/>
        <w:tabs>
          <w:tab w:leader="none" w:pos="79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two (2) years after the Termination thereof, whether such termination is voluntary or involuntary by wrongful discharge, or otherwise, Executive will not directly and personally knowingly (i) induce any customers of the Company or corporations affiliated with the Company to patronize any similar business which competes with any material business of the Company; (ii) after his termination of employment, request or advise any customers of the Company or corporations affiliated with the Company to withdraw, curtail or cancel such customer's business with the Company; or (iii) after his termination of employment, individually or through any person, firm, association or corporation with which he is now, or may hereafter become associated, solicit, entice or induce any then employee of the Company, or any subsidiary of the Company, to leave the employ of the Company, or such other corporation, to accept employment with, or compensation from the Executive, or any person, firm, association or corporation with which Executive is affiliated without prior written consent of the Company. The foregoing shall not prevent Executive from serving as a reference for employees.</w:t>
      </w:r>
    </w:p>
    <w:p>
      <w:pPr>
        <w:spacing w:after="0" w:line="340" w:lineRule="exact"/>
        <w:rPr>
          <w:rFonts w:ascii="Courier New" w:cs="Courier New" w:eastAsia="Courier New" w:hAnsi="Courier New"/>
          <w:sz w:val="14"/>
          <w:szCs w:val="14"/>
          <w:color w:val="auto"/>
        </w:rPr>
      </w:pPr>
    </w:p>
    <w:p>
      <w:pPr>
        <w:ind w:left="791" w:right="3299" w:hanging="791"/>
        <w:spacing w:after="0" w:line="252" w:lineRule="auto"/>
        <w:tabs>
          <w:tab w:leader="none" w:pos="79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2" w:lineRule="exact"/>
        <w:rPr>
          <w:rFonts w:ascii="Courier New" w:cs="Courier New" w:eastAsia="Courier New" w:hAnsi="Courier New"/>
          <w:sz w:val="14"/>
          <w:szCs w:val="14"/>
          <w:color w:val="auto"/>
        </w:rPr>
      </w:pPr>
    </w:p>
    <w:p>
      <w:pPr>
        <w:ind w:left="791" w:right="3199" w:hanging="10"/>
        <w:spacing w:after="0" w:line="253" w:lineRule="auto"/>
        <w:tabs>
          <w:tab w:leader="none" w:pos="1225"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to the extent not generally known in the industry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 provided that (i) while employed by the Company, Executive may in good faith make disclosures he believes desirable, and (ii) Executive may comply with legal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15 of 19</w:t>
      </w:r>
    </w:p>
    <w:p>
      <w:pPr>
        <w:sectPr>
          <w:pgSz w:w="11900" w:h="16838" w:orient="portrait"/>
          <w:cols w:equalWidth="0" w:num="1">
            <w:col w:w="10150"/>
          </w:cols>
          <w:pgMar w:left="309" w:top="286"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left="800" w:hanging="791"/>
        <w:spacing w:after="0"/>
        <w:tabs>
          <w:tab w:leader="none" w:pos="80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OF COVENANTS.</w:t>
      </w:r>
    </w:p>
    <w:p>
      <w:pPr>
        <w:spacing w:after="0" w:line="175" w:lineRule="exact"/>
        <w:rPr>
          <w:sz w:val="20"/>
          <w:szCs w:val="20"/>
          <w:color w:val="auto"/>
        </w:rPr>
      </w:pPr>
    </w:p>
    <w:p>
      <w:pPr>
        <w:ind w:left="800" w:right="3199" w:hanging="791"/>
        <w:spacing w:after="0" w:line="253" w:lineRule="auto"/>
        <w:tabs>
          <w:tab w:leader="none" w:pos="80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may be inadequate. Therefore, in the event of breach or threatened breach of the covenants set forth in this section by Executive, Executive and the Company agree that the Company shall be entitled to the following particular forms of relief, in addition to remedies otherwise available to it at law or equity; injunctions, both preliminary and permanent, enjoining or restraining such breach or threatened breach and Executive hereby consents to the issuance thereof forthwith and without bond by any court of competent jurisdiction.</w:t>
      </w:r>
    </w:p>
    <w:p>
      <w:pPr>
        <w:spacing w:after="0" w:line="163"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71" w:lineRule="exact"/>
        <w:rPr>
          <w:rFonts w:ascii="Courier New" w:cs="Courier New" w:eastAsia="Courier New" w:hAnsi="Courier New"/>
          <w:sz w:val="14"/>
          <w:szCs w:val="14"/>
          <w:color w:val="auto"/>
        </w:rPr>
      </w:pPr>
    </w:p>
    <w:p>
      <w:pPr>
        <w:ind w:left="80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65" w:lineRule="exact"/>
        <w:rPr>
          <w:sz w:val="20"/>
          <w:szCs w:val="20"/>
          <w:color w:val="auto"/>
        </w:rPr>
      </w:pPr>
    </w:p>
    <w:p>
      <w:pPr>
        <w:ind w:left="800" w:hanging="791"/>
        <w:spacing w:after="0"/>
        <w:tabs>
          <w:tab w:leader="none" w:pos="80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Company shall indemnify and hold harmless Executive to the fullest extent permitted by law for any action or inaction of Executive while serving as an officer and director of the Company or, at the Company's request, as an officer or director of any other entity or as a fiduciary of any benefit plan. The Company shall cover the Executive under directors and officers liability insurance both during and, while potential liability exists, after the Employment Term in the same amount and to the same extent as the Company covers its other officers and directors.</w:t>
      </w:r>
    </w:p>
    <w:p>
      <w:pPr>
        <w:spacing w:after="0" w:line="164" w:lineRule="exact"/>
        <w:rPr>
          <w:sz w:val="20"/>
          <w:szCs w:val="20"/>
          <w:color w:val="auto"/>
        </w:rPr>
      </w:pPr>
    </w:p>
    <w:p>
      <w:pPr>
        <w:ind w:left="800" w:hanging="791"/>
        <w:spacing w:after="0"/>
        <w:tabs>
          <w:tab w:leader="none" w:pos="80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AND PAYMENT OF ATTORNEY'S FEES.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16 of 19</w:t>
      </w:r>
    </w:p>
    <w:p>
      <w:pPr>
        <w:sectPr>
          <w:pgSz w:w="11900" w:h="16838" w:orient="portrait"/>
          <w:cols w:equalWidth="0" w:num="1">
            <w:col w:w="10159"/>
          </w:cols>
          <w:pgMar w:left="300" w:top="286"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17</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64" w:lineRule="exact"/>
        <w:rPr>
          <w:sz w:val="20"/>
          <w:szCs w:val="20"/>
          <w:color w:val="auto"/>
        </w:rPr>
      </w:pPr>
    </w:p>
    <w:p>
      <w:pPr>
        <w:ind w:left="800" w:hanging="791"/>
        <w:spacing w:after="0"/>
        <w:tabs>
          <w:tab w:leader="none" w:pos="8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60" w:lineRule="exact"/>
        <w:rPr>
          <w:sz w:val="20"/>
          <w:szCs w:val="20"/>
          <w:color w:val="auto"/>
        </w:rPr>
      </w:pPr>
    </w:p>
    <w:p>
      <w:pPr>
        <w:ind w:left="800" w:hanging="791"/>
        <w:spacing w:after="0"/>
        <w:tabs>
          <w:tab w:leader="none" w:pos="80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31" w:lineRule="exact"/>
        <w:rPr>
          <w:sz w:val="20"/>
          <w:szCs w:val="20"/>
          <w:color w:val="auto"/>
        </w:rPr>
      </w:pPr>
    </w:p>
    <w:p>
      <w:pPr>
        <w:ind w:left="800" w:hanging="791"/>
        <w:spacing w:after="0"/>
        <w:tabs>
          <w:tab w:leader="none" w:pos="80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339" w:lineRule="exact"/>
        <w:rPr>
          <w:sz w:val="20"/>
          <w:szCs w:val="20"/>
          <w:color w:val="auto"/>
        </w:rPr>
      </w:pPr>
    </w:p>
    <w:p>
      <w:pPr>
        <w:ind w:left="800" w:hanging="791"/>
        <w:spacing w:after="0"/>
        <w:tabs>
          <w:tab w:leader="none" w:pos="80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17 of 19</w:t>
      </w:r>
    </w:p>
    <w:p>
      <w:pPr>
        <w:sectPr>
          <w:pgSz w:w="11900" w:h="16838" w:orient="portrait"/>
          <w:cols w:equalWidth="0" w:num="1">
            <w:col w:w="10159"/>
          </w:cols>
          <w:pgMar w:left="300" w:top="286"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left="800" w:hanging="791"/>
        <w:spacing w:after="0"/>
        <w:tabs>
          <w:tab w:leader="none" w:pos="8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Texas applicable to agreements made and to be performed in that State, without regard to its conflict of laws provisions.</w:t>
      </w:r>
    </w:p>
    <w:p>
      <w:pPr>
        <w:spacing w:after="0" w:line="162" w:lineRule="exact"/>
        <w:rPr>
          <w:sz w:val="20"/>
          <w:szCs w:val="20"/>
          <w:color w:val="auto"/>
        </w:rPr>
      </w:pPr>
    </w:p>
    <w:p>
      <w:pPr>
        <w:ind w:left="800" w:hanging="791"/>
        <w:spacing w:after="0"/>
        <w:tabs>
          <w:tab w:leader="none" w:pos="80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 OF TIMELY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64" w:lineRule="exact"/>
        <w:rPr>
          <w:sz w:val="20"/>
          <w:szCs w:val="20"/>
          <w:color w:val="auto"/>
        </w:rPr>
      </w:pPr>
    </w:p>
    <w:p>
      <w:pPr>
        <w:ind w:left="800" w:hanging="791"/>
        <w:spacing w:after="0"/>
        <w:tabs>
          <w:tab w:leader="none" w:pos="80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65" w:lineRule="exact"/>
        <w:rPr>
          <w:sz w:val="20"/>
          <w:szCs w:val="20"/>
          <w:color w:val="auto"/>
        </w:rPr>
      </w:pPr>
    </w:p>
    <w:p>
      <w:pPr>
        <w:ind w:left="1320"/>
        <w:spacing w:after="0"/>
        <w:tabs>
          <w:tab w:leader="none" w:pos="2940" w:val="left"/>
        </w:tabs>
        <w:rPr>
          <w:sz w:val="20"/>
          <w:szCs w:val="20"/>
          <w:color w:val="auto"/>
        </w:rPr>
      </w:pPr>
      <w:r>
        <w:rPr>
          <w:rFonts w:ascii="Courier New" w:cs="Courier New" w:eastAsia="Courier New" w:hAnsi="Courier New"/>
          <w:sz w:val="14"/>
          <w:szCs w:val="14"/>
          <w:color w:val="auto"/>
        </w:rPr>
        <w:t>To the Company:</w:t>
      </w:r>
      <w:r>
        <w:rPr>
          <w:sz w:val="20"/>
          <w:szCs w:val="20"/>
          <w:color w:val="auto"/>
        </w:rPr>
        <w:tab/>
      </w:r>
      <w:r>
        <w:rPr>
          <w:rFonts w:ascii="Courier New" w:cs="Courier New" w:eastAsia="Courier New" w:hAnsi="Courier New"/>
          <w:sz w:val="14"/>
          <w:szCs w:val="14"/>
          <w:color w:val="auto"/>
        </w:rPr>
        <w:t>Waste Management , Inc.</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1001 Fannin, Suite 4000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Houston, Texas 77002</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Attention: General Counsel</w:t>
      </w:r>
    </w:p>
    <w:p>
      <w:pPr>
        <w:spacing w:after="0" w:line="175" w:lineRule="exact"/>
        <w:rPr>
          <w:sz w:val="20"/>
          <w:szCs w:val="20"/>
          <w:color w:val="auto"/>
        </w:rPr>
      </w:pPr>
    </w:p>
    <w:p>
      <w:pPr>
        <w:ind w:left="1320"/>
        <w:spacing w:after="0"/>
        <w:tabs>
          <w:tab w:leader="none" w:pos="2940" w:val="left"/>
        </w:tabs>
        <w:rPr>
          <w:sz w:val="20"/>
          <w:szCs w:val="20"/>
          <w:color w:val="auto"/>
        </w:rPr>
      </w:pPr>
      <w:r>
        <w:rPr>
          <w:rFonts w:ascii="Courier New" w:cs="Courier New" w:eastAsia="Courier New" w:hAnsi="Courier New"/>
          <w:sz w:val="14"/>
          <w:szCs w:val="14"/>
          <w:color w:val="auto"/>
        </w:rPr>
        <w:t>To Executive:</w:t>
      </w:r>
      <w:r>
        <w:rPr>
          <w:sz w:val="20"/>
          <w:szCs w:val="20"/>
          <w:color w:val="auto"/>
        </w:rPr>
        <w:tab/>
      </w:r>
      <w:r>
        <w:rPr>
          <w:rFonts w:ascii="Courier New" w:cs="Courier New" w:eastAsia="Courier New" w:hAnsi="Courier New"/>
          <w:sz w:val="14"/>
          <w:szCs w:val="14"/>
          <w:color w:val="auto"/>
        </w:rPr>
        <w:t>At the address for Executive set forth below.</w:t>
      </w:r>
    </w:p>
    <w:p>
      <w:pPr>
        <w:spacing w:after="0" w:line="175" w:lineRule="exact"/>
        <w:rPr>
          <w:sz w:val="20"/>
          <w:szCs w:val="20"/>
          <w:color w:val="auto"/>
        </w:rPr>
      </w:pPr>
    </w:p>
    <w:p>
      <w:pPr>
        <w:ind w:left="800" w:hanging="791"/>
        <w:spacing w:after="0"/>
        <w:tabs>
          <w:tab w:leader="none" w:pos="8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800" w:right="3199" w:hanging="791"/>
        <w:spacing w:after="0" w:line="254" w:lineRule="auto"/>
        <w:tabs>
          <w:tab w:leader="none" w:pos="80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800" w:right="3299" w:hanging="791"/>
        <w:spacing w:after="0" w:line="254" w:lineRule="auto"/>
        <w:tabs>
          <w:tab w:leader="none" w:pos="80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62" w:lineRule="exact"/>
        <w:rPr>
          <w:rFonts w:ascii="Courier New" w:cs="Courier New" w:eastAsia="Courier New" w:hAnsi="Courier New"/>
          <w:sz w:val="14"/>
          <w:szCs w:val="14"/>
          <w:color w:val="auto"/>
        </w:rPr>
      </w:pPr>
    </w:p>
    <w:p>
      <w:pPr>
        <w:ind w:left="800" w:right="3199" w:hanging="791"/>
        <w:spacing w:after="0" w:line="260" w:lineRule="auto"/>
        <w:tabs>
          <w:tab w:leader="none" w:pos="80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18 of 19</w:t>
      </w:r>
    </w:p>
    <w:p>
      <w:pPr>
        <w:sectPr>
          <w:pgSz w:w="11900" w:h="16838" w:orient="portrait"/>
          <w:cols w:equalWidth="0" w:num="1">
            <w:col w:w="10159"/>
          </w:cols>
          <w:pgMar w:left="300" w:top="286"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left="800" w:right="3199" w:hanging="791"/>
        <w:spacing w:after="0" w:line="258" w:lineRule="auto"/>
        <w:tabs>
          <w:tab w:leader="none" w:pos="8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9" w:lineRule="exact"/>
        <w:rPr>
          <w:rFonts w:ascii="Courier New" w:cs="Courier New" w:eastAsia="Courier New" w:hAnsi="Courier New"/>
          <w:sz w:val="14"/>
          <w:szCs w:val="14"/>
          <w:color w:val="auto"/>
        </w:rPr>
      </w:pPr>
    </w:p>
    <w:p>
      <w:pPr>
        <w:ind w:left="800" w:right="3819" w:hanging="791"/>
        <w:spacing w:after="0" w:line="254" w:lineRule="auto"/>
        <w:tabs>
          <w:tab w:leader="none" w:pos="8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A. Maurice Myers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A. Maurice Myers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Chairman, Chief Executive Officer and President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William L. Trubeck</w:t>
      </w:r>
    </w:p>
    <w:p>
      <w:pPr>
        <w:spacing w:after="0" w:line="8" w:lineRule="exact"/>
        <w:rPr>
          <w:sz w:val="20"/>
          <w:szCs w:val="20"/>
          <w:color w:val="auto"/>
        </w:rPr>
      </w:pPr>
    </w:p>
    <w:p>
      <w:pPr>
        <w:ind w:left="180" w:hanging="171"/>
        <w:spacing w:after="0"/>
        <w:tabs>
          <w:tab w:leader="none" w:pos="1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L. Trubeck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Social Security Number:</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3300 Fox Street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spacing w:after="0"/>
        <w:tabs>
          <w:tab w:leader="none" w:pos="2420" w:val="left"/>
        </w:tabs>
        <w:rPr>
          <w:sz w:val="20"/>
          <w:szCs w:val="20"/>
          <w:color w:val="auto"/>
        </w:rPr>
      </w:pPr>
      <w:r>
        <w:rPr>
          <w:rFonts w:ascii="Courier New" w:cs="Courier New" w:eastAsia="Courier New" w:hAnsi="Courier New"/>
          <w:sz w:val="14"/>
          <w:szCs w:val="14"/>
          <w:color w:val="auto"/>
        </w:rPr>
        <w:t>Longview, MN</w:t>
        <w:tab/>
        <w:t>55356</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19 of 19</w:t>
      </w:r>
    </w:p>
    <w:p>
      <w:pPr>
        <w:sectPr>
          <w:pgSz w:w="11900" w:h="16838" w:orient="portrait"/>
          <w:cols w:equalWidth="0" w:num="1">
            <w:col w:w="10159"/>
          </w:cols>
          <w:pgMar w:left="300" w:top="286"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10.38</w:t>
      </w:r>
    </w:p>
    <w:p>
      <w:pPr>
        <w:spacing w:after="0" w:line="175"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4"/>
          <w:szCs w:val="14"/>
          <w:color w:val="auto"/>
        </w:rPr>
        <w:t>TERM SHEET</w:t>
      </w:r>
    </w:p>
    <w:p>
      <w:pPr>
        <w:spacing w:after="0" w:line="8"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4"/>
          <w:szCs w:val="14"/>
          <w:color w:val="auto"/>
        </w:rPr>
        <w:t>TOM SMITH</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Position:</w:t>
        <w:tab/>
        <w:t>Senior Vice President, Information Technology ("IT")</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Reports to Chief Executive Officer or other Executive Vice President, as designated by CEO.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 $300,000 per year; next review to be in first quarter 2001</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Incentive Compensation: Target of 50% of base salary, up to maximum of 100% of base salary.</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Stock Options: Upon the approval of the Compensation Committee of the Board of Directors, an initial grant of 75,000 options. Eligible for next award in 2001. Stock Options vest in five years (20% increments). Upon termination by reason of retirement, Employee has 36 months to exercise all options vested as of date of termination; otherwise 90 days to exercise all options vested as of the date of termination.</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Benefits: Health insurance; 401K after 90 day waiting; Employee Stock Purchase Plan and Executive Deferral Plan</w:t>
      </w:r>
    </w:p>
    <w:p>
      <w:pPr>
        <w:spacing w:after="0" w:line="160"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Severance: If terminated by the Company without cause, 3 years base pay and continuation of benefits, including health insurance, stock option vesting over severance period, and 401K participation.</w:t>
      </w:r>
    </w:p>
    <w:p>
      <w:pPr>
        <w:sectPr>
          <w:pgSz w:w="11900" w:h="16838" w:orient="portrait"/>
          <w:cols w:equalWidth="0" w:num="1">
            <w:col w:w="10159"/>
          </w:cols>
          <w:pgMar w:left="300" w:top="141"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10.39</w:t>
      </w:r>
    </w:p>
    <w:p>
      <w:pPr>
        <w:spacing w:after="0" w:line="200" w:lineRule="exact"/>
        <w:rPr>
          <w:sz w:val="20"/>
          <w:szCs w:val="20"/>
          <w:color w:val="auto"/>
        </w:rPr>
      </w:pPr>
    </w:p>
    <w:p>
      <w:pPr>
        <w:spacing w:after="0" w:line="30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WASTE MANAGEMENT, INC. (the "Company"), and ROBERT P. DAMICO (the "Executive") hereby enter into this EMPLOYMENT AGREEMENT ("Agreement") dated as of December 17, 1998, as follows:</w:t>
      </w:r>
    </w:p>
    <w:p>
      <w:pPr>
        <w:spacing w:after="0" w:line="162" w:lineRule="exact"/>
        <w:rPr>
          <w:sz w:val="20"/>
          <w:szCs w:val="20"/>
          <w:color w:val="auto"/>
        </w:rPr>
      </w:pPr>
    </w:p>
    <w:p>
      <w:pPr>
        <w:ind w:left="360" w:hanging="351"/>
        <w:spacing w:after="0"/>
        <w:tabs>
          <w:tab w:leader="none" w:pos="36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Company shall employ Executive, and Executive shall be employed by the Company upon the terms and subject to the conditions set forth in this Agreement.</w:t>
      </w:r>
    </w:p>
    <w:p>
      <w:pPr>
        <w:spacing w:after="0" w:line="162" w:lineRule="exact"/>
        <w:rPr>
          <w:sz w:val="20"/>
          <w:szCs w:val="20"/>
          <w:color w:val="auto"/>
        </w:rPr>
      </w:pPr>
    </w:p>
    <w:p>
      <w:pPr>
        <w:ind w:left="360" w:hanging="351"/>
        <w:spacing w:after="0"/>
        <w:tabs>
          <w:tab w:leader="none" w:pos="36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The period of Executive's employment under this Agreement shall begin as of August 1, 1998, and shall be for continuously renewing three (3) year terms, unless Executive's employment is terminated in accordance with Section 5 below.</w:t>
      </w:r>
    </w:p>
    <w:p>
      <w:pPr>
        <w:spacing w:after="0" w:line="162" w:lineRule="exact"/>
        <w:rPr>
          <w:sz w:val="20"/>
          <w:szCs w:val="20"/>
          <w:color w:val="auto"/>
        </w:rPr>
      </w:pPr>
    </w:p>
    <w:p>
      <w:pPr>
        <w:ind w:left="360" w:hanging="351"/>
        <w:spacing w:after="0"/>
        <w:tabs>
          <w:tab w:leader="none" w:pos="3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RESPONSIBILITIES.</w:t>
      </w:r>
    </w:p>
    <w:p>
      <w:pPr>
        <w:spacing w:after="0" w:line="175" w:lineRule="exact"/>
        <w:rPr>
          <w:sz w:val="20"/>
          <w:szCs w:val="20"/>
          <w:color w:val="auto"/>
        </w:rPr>
      </w:pPr>
    </w:p>
    <w:p>
      <w:pPr>
        <w:ind w:left="800" w:right="3379" w:hanging="791"/>
        <w:spacing w:after="0" w:line="254" w:lineRule="auto"/>
        <w:tabs>
          <w:tab w:leader="none" w:pos="80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Senior Vice President, Midwest Area. In such capacity, Executive shall perform such duties as may be assigned to Executive from time to time by the Board of Directors, the Chief Executive or Chief Operating Officer of the Company.</w:t>
      </w:r>
    </w:p>
    <w:p>
      <w:pPr>
        <w:spacing w:after="0" w:line="163" w:lineRule="exact"/>
        <w:rPr>
          <w:rFonts w:ascii="Courier New" w:cs="Courier New" w:eastAsia="Courier New" w:hAnsi="Courier New"/>
          <w:sz w:val="14"/>
          <w:szCs w:val="14"/>
          <w:color w:val="auto"/>
        </w:rPr>
      </w:pPr>
    </w:p>
    <w:p>
      <w:pPr>
        <w:ind w:left="800" w:right="3379" w:hanging="791"/>
        <w:spacing w:after="0" w:line="253" w:lineRule="auto"/>
        <w:tabs>
          <w:tab w:leader="none" w:pos="80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164" w:lineRule="exact"/>
        <w:rPr>
          <w:rFonts w:ascii="Courier New" w:cs="Courier New" w:eastAsia="Courier New" w:hAnsi="Courier New"/>
          <w:sz w:val="14"/>
          <w:szCs w:val="14"/>
          <w:color w:val="auto"/>
        </w:rPr>
      </w:pPr>
    </w:p>
    <w:p>
      <w:pPr>
        <w:ind w:left="800" w:right="3459" w:hanging="791"/>
        <w:spacing w:after="0" w:line="253" w:lineRule="auto"/>
        <w:tabs>
          <w:tab w:leader="none" w:pos="80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65" w:lineRule="exact"/>
        <w:rPr>
          <w:sz w:val="20"/>
          <w:szCs w:val="20"/>
          <w:color w:val="auto"/>
        </w:rPr>
      </w:pPr>
    </w:p>
    <w:p>
      <w:pPr>
        <w:ind w:left="360" w:hanging="351"/>
        <w:spacing w:after="0"/>
        <w:tabs>
          <w:tab w:leader="none" w:pos="36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sz w:val="20"/>
          <w:szCs w:val="20"/>
          <w:color w:val="auto"/>
        </w:rPr>
      </w:pPr>
    </w:p>
    <w:p>
      <w:pPr>
        <w:ind w:left="800" w:right="3379" w:hanging="791"/>
        <w:spacing w:after="0" w:line="253" w:lineRule="auto"/>
        <w:tabs>
          <w:tab w:leader="none" w:pos="80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Executive a base salary at the annual rate of Four Hundred Thousand ($400,000) Dollars per year, or such higher rate as may be determined from time to time by the Company ("Base Salary"). Such Base Salary shall be paid in accordance with the Company's standard payroll practice for executives.</w:t>
      </w:r>
    </w:p>
    <w:p>
      <w:pPr>
        <w:spacing w:after="0" w:line="165" w:lineRule="exact"/>
        <w:rPr>
          <w:rFonts w:ascii="Courier New" w:cs="Courier New" w:eastAsia="Courier New" w:hAnsi="Courier New"/>
          <w:sz w:val="14"/>
          <w:szCs w:val="14"/>
          <w:color w:val="auto"/>
        </w:rPr>
      </w:pPr>
    </w:p>
    <w:p>
      <w:pPr>
        <w:ind w:left="800" w:right="3299" w:hanging="791"/>
        <w:spacing w:after="0" w:line="253" w:lineRule="auto"/>
        <w:tabs>
          <w:tab w:leader="none" w:pos="80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executives, provided that such expenses are incurred and accounted for in accordance with the Company's policy.</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 of 13</w:t>
      </w:r>
    </w:p>
    <w:p>
      <w:pPr>
        <w:sectPr>
          <w:pgSz w:w="11900" w:h="16838" w:orient="portrait"/>
          <w:cols w:equalWidth="0" w:num="1">
            <w:col w:w="10159"/>
          </w:cols>
          <w:pgMar w:left="300" w:top="141"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800" w:right="3199" w:hanging="791"/>
        <w:spacing w:after="0" w:line="253" w:lineRule="auto"/>
        <w:tabs>
          <w:tab w:leader="none" w:pos="8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executives working pursuant to this form of Agreement (hereinafter referred to as "similarly situated executives."</w:t>
      </w:r>
    </w:p>
    <w:p>
      <w:pPr>
        <w:spacing w:after="0" w:line="164"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ind w:left="1140" w:hanging="350"/>
        <w:spacing w:after="0"/>
        <w:tabs>
          <w:tab w:leader="none" w:pos="114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defend the validity of this Agreement, (ii) contest any</w:t>
      </w:r>
    </w:p>
    <w:p>
      <w:pPr>
        <w:spacing w:after="0" w:line="8" w:lineRule="exact"/>
        <w:rPr>
          <w:rFonts w:ascii="Courier New" w:cs="Courier New" w:eastAsia="Courier New" w:hAnsi="Courier New"/>
          <w:sz w:val="14"/>
          <w:szCs w:val="14"/>
          <w:color w:val="auto"/>
        </w:rPr>
      </w:pPr>
    </w:p>
    <w:p>
      <w:pPr>
        <w:ind w:left="800" w:right="35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00" w:right="3199" w:hanging="10"/>
        <w:spacing w:after="0" w:line="253" w:lineRule="auto"/>
        <w:tabs>
          <w:tab w:leader="none" w:pos="1321"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331" w:lineRule="exact"/>
        <w:rPr>
          <w:sz w:val="20"/>
          <w:szCs w:val="20"/>
          <w:color w:val="auto"/>
        </w:rPr>
      </w:pPr>
    </w:p>
    <w:p>
      <w:pPr>
        <w:ind w:left="360" w:hanging="351"/>
        <w:spacing w:after="0"/>
        <w:tabs>
          <w:tab w:leader="none" w:pos="36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4079"/>
        <w:spacing w:after="0" w:line="258" w:lineRule="auto"/>
        <w:rPr>
          <w:sz w:val="20"/>
          <w:szCs w:val="20"/>
          <w:color w:val="auto"/>
        </w:rPr>
      </w:pPr>
      <w:r>
        <w:rPr>
          <w:rFonts w:ascii="Courier New" w:cs="Courier New" w:eastAsia="Courier New" w:hAnsi="Courier New"/>
          <w:sz w:val="14"/>
          <w:szCs w:val="14"/>
          <w:color w:val="auto"/>
        </w:rPr>
        <w:t>Executive's employment hereunder may be terminated under the following circumstances:</w:t>
      </w:r>
    </w:p>
    <w:p>
      <w:pPr>
        <w:spacing w:after="0" w:line="160" w:lineRule="exact"/>
        <w:rPr>
          <w:sz w:val="20"/>
          <w:szCs w:val="20"/>
          <w:color w:val="auto"/>
        </w:rPr>
      </w:pPr>
    </w:p>
    <w:p>
      <w:pPr>
        <w:ind w:left="800" w:right="4159" w:hanging="791"/>
        <w:spacing w:after="0" w:line="258" w:lineRule="auto"/>
        <w:tabs>
          <w:tab w:leader="none" w:pos="8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Executive's employment hereunder shall terminate upon Executive's death.</w:t>
      </w:r>
    </w:p>
    <w:p>
      <w:pPr>
        <w:spacing w:after="0" w:line="159" w:lineRule="exact"/>
        <w:rPr>
          <w:rFonts w:ascii="Courier New" w:cs="Courier New" w:eastAsia="Courier New" w:hAnsi="Courier New"/>
          <w:sz w:val="14"/>
          <w:szCs w:val="14"/>
          <w:color w:val="auto"/>
        </w:rPr>
      </w:pPr>
    </w:p>
    <w:p>
      <w:pPr>
        <w:ind w:left="800" w:right="3299" w:hanging="791"/>
        <w:spacing w:after="0" w:line="253" w:lineRule="auto"/>
        <w:tabs>
          <w:tab w:leader="none" w:pos="8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162" w:lineRule="exact"/>
        <w:rPr>
          <w:rFonts w:ascii="Courier New" w:cs="Courier New" w:eastAsia="Courier New" w:hAnsi="Courier New"/>
          <w:sz w:val="14"/>
          <w:szCs w:val="14"/>
          <w:color w:val="auto"/>
        </w:rPr>
      </w:pPr>
    </w:p>
    <w:p>
      <w:pPr>
        <w:ind w:left="800" w:right="3899" w:hanging="791"/>
        <w:spacing w:after="0" w:line="255" w:lineRule="auto"/>
        <w:tabs>
          <w:tab w:leader="none" w:pos="8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after providing written notice to Executive.</w:t>
      </w:r>
    </w:p>
    <w:p>
      <w:pPr>
        <w:spacing w:after="0" w:line="161" w:lineRule="exact"/>
        <w:rPr>
          <w:rFonts w:ascii="Courier New" w:cs="Courier New" w:eastAsia="Courier New" w:hAnsi="Courier New"/>
          <w:sz w:val="14"/>
          <w:szCs w:val="14"/>
          <w:color w:val="auto"/>
        </w:rPr>
      </w:pPr>
    </w:p>
    <w:p>
      <w:pPr>
        <w:ind w:left="1580" w:right="3199" w:hanging="790"/>
        <w:spacing w:after="0" w:line="252" w:lineRule="auto"/>
        <w:tabs>
          <w:tab w:leader="none" w:pos="158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2 of 13</w:t>
      </w:r>
    </w:p>
    <w:p>
      <w:pPr>
        <w:sectPr>
          <w:pgSz w:w="11900" w:h="16838" w:orient="portrait"/>
          <w:cols w:equalWidth="0" w:num="1">
            <w:col w:w="10159"/>
          </w:cols>
          <w:pgMar w:left="300" w:top="286"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1580"/>
        <w:spacing w:after="0"/>
        <w:tabs>
          <w:tab w:leader="none" w:pos="2340" w:val="left"/>
        </w:tabs>
        <w:rPr>
          <w:sz w:val="20"/>
          <w:szCs w:val="20"/>
          <w:color w:val="auto"/>
        </w:rPr>
      </w:pPr>
      <w:r>
        <w:rPr>
          <w:rFonts w:ascii="Courier New" w:cs="Courier New" w:eastAsia="Courier New" w:hAnsi="Courier New"/>
          <w:sz w:val="14"/>
          <w:szCs w:val="14"/>
          <w:color w:val="auto"/>
        </w:rPr>
        <w:t>Company</w:t>
        <w:tab/>
        <w:t>or the affiliate; or (E) breach of any of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covenants set forth in Section 8 hereof.</w:t>
      </w:r>
    </w:p>
    <w:p>
      <w:pPr>
        <w:spacing w:after="0" w:line="175" w:lineRule="exact"/>
        <w:rPr>
          <w:sz w:val="20"/>
          <w:szCs w:val="20"/>
          <w:color w:val="auto"/>
        </w:rPr>
      </w:pPr>
    </w:p>
    <w:p>
      <w:pPr>
        <w:ind w:left="1580" w:right="3199" w:hanging="790"/>
        <w:spacing w:after="0" w:line="253" w:lineRule="auto"/>
        <w:tabs>
          <w:tab w:leader="none" w:pos="15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64" w:lineRule="exact"/>
        <w:rPr>
          <w:rFonts w:ascii="Courier New" w:cs="Courier New" w:eastAsia="Courier New" w:hAnsi="Courier New"/>
          <w:sz w:val="14"/>
          <w:szCs w:val="14"/>
          <w:color w:val="auto"/>
        </w:rPr>
      </w:pPr>
    </w:p>
    <w:p>
      <w:pPr>
        <w:ind w:left="1580" w:right="3199" w:hanging="790"/>
        <w:spacing w:after="0" w:line="253" w:lineRule="auto"/>
        <w:tabs>
          <w:tab w:leader="none" w:pos="158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165" w:lineRule="exact"/>
        <w:rPr>
          <w:rFonts w:ascii="Courier New" w:cs="Courier New" w:eastAsia="Courier New" w:hAnsi="Courier New"/>
          <w:sz w:val="14"/>
          <w:szCs w:val="14"/>
          <w:color w:val="auto"/>
        </w:rPr>
      </w:pPr>
    </w:p>
    <w:p>
      <w:pPr>
        <w:ind w:left="800" w:right="3299" w:hanging="791"/>
        <w:spacing w:after="0" w:line="254" w:lineRule="auto"/>
        <w:tabs>
          <w:tab w:leader="none" w:pos="80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Executive may terminate employment hereunder at any time after providing ninety (90) days' written notice to the Company, or for good reason as described in Section 7 of this Agreement.</w:t>
      </w:r>
    </w:p>
    <w:p>
      <w:pPr>
        <w:spacing w:after="0" w:line="163" w:lineRule="exact"/>
        <w:rPr>
          <w:rFonts w:ascii="Courier New" w:cs="Courier New" w:eastAsia="Courier New" w:hAnsi="Courier New"/>
          <w:sz w:val="14"/>
          <w:szCs w:val="14"/>
          <w:color w:val="auto"/>
        </w:rPr>
      </w:pPr>
    </w:p>
    <w:p>
      <w:pPr>
        <w:ind w:left="800" w:right="3559" w:hanging="791"/>
        <w:spacing w:after="0" w:line="255" w:lineRule="auto"/>
        <w:tabs>
          <w:tab w:leader="none" w:pos="80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after providing written notice to Executive.</w:t>
      </w:r>
    </w:p>
    <w:p>
      <w:pPr>
        <w:spacing w:after="0" w:line="162" w:lineRule="exact"/>
        <w:rPr>
          <w:sz w:val="20"/>
          <w:szCs w:val="20"/>
          <w:color w:val="auto"/>
        </w:rPr>
      </w:pPr>
    </w:p>
    <w:p>
      <w:pPr>
        <w:ind w:left="360" w:hanging="351"/>
        <w:spacing w:after="0"/>
        <w:tabs>
          <w:tab w:leader="none" w:pos="3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FOLLOWING TERMINATION OF EMPLOYMENT.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the event that Executive's employment hereunder is terminated, Executive shall be entitled to the following compensation and benefits upon such termination:</w:t>
      </w:r>
    </w:p>
    <w:p>
      <w:pPr>
        <w:spacing w:after="0" w:line="162" w:lineRule="exact"/>
        <w:rPr>
          <w:sz w:val="20"/>
          <w:szCs w:val="20"/>
          <w:color w:val="auto"/>
        </w:rPr>
      </w:pPr>
    </w:p>
    <w:p>
      <w:pPr>
        <w:ind w:left="800" w:right="3379" w:hanging="791"/>
        <w:spacing w:after="0" w:line="255" w:lineRule="auto"/>
        <w:tabs>
          <w:tab w:leader="none" w:pos="80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161" w:lineRule="exact"/>
        <w:rPr>
          <w:rFonts w:ascii="Courier New" w:cs="Courier New" w:eastAsia="Courier New" w:hAnsi="Courier New"/>
          <w:sz w:val="14"/>
          <w:szCs w:val="14"/>
          <w:color w:val="auto"/>
        </w:rPr>
      </w:pPr>
    </w:p>
    <w:p>
      <w:pPr>
        <w:ind w:left="1580" w:right="3199" w:hanging="790"/>
        <w:spacing w:after="0" w:line="253" w:lineRule="auto"/>
        <w:tabs>
          <w:tab w:leader="none" w:pos="158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 pro-rata "bonus" or incentive compensation payment to the extent payments are awarded to similarly situated executives and paid at the same time as similarly situated executives are paid; and any vacation accrued to the date of death.</w:t>
      </w:r>
    </w:p>
    <w:p>
      <w:pPr>
        <w:spacing w:after="0" w:line="164"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80" w:right="3299" w:hanging="790"/>
        <w:spacing w:after="0" w:line="253" w:lineRule="auto"/>
        <w:tabs>
          <w:tab w:leader="none" w:pos="158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(three [3] years). Such amount shall be paid in a single lump sum cash payment within thirty (30) days after Executive's death.</w:t>
      </w:r>
    </w:p>
    <w:p>
      <w:pPr>
        <w:spacing w:after="0" w:line="165" w:lineRule="exact"/>
        <w:rPr>
          <w:rFonts w:ascii="Courier New" w:cs="Courier New" w:eastAsia="Courier New" w:hAnsi="Courier New"/>
          <w:sz w:val="14"/>
          <w:szCs w:val="14"/>
          <w:color w:val="auto"/>
        </w:rPr>
      </w:pPr>
    </w:p>
    <w:p>
      <w:pPr>
        <w:ind w:left="800" w:right="3379" w:hanging="791"/>
        <w:spacing w:after="0" w:line="254" w:lineRule="auto"/>
        <w:tabs>
          <w:tab w:leader="none" w:pos="80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13</w:t>
      </w:r>
    </w:p>
    <w:p>
      <w:pPr>
        <w:sectPr>
          <w:pgSz w:w="11900" w:h="16838" w:orient="portrait"/>
          <w:cols w:equalWidth="0" w:num="1">
            <w:col w:w="10159"/>
          </w:cols>
          <w:pgMar w:left="300" w:top="286" w:right="1440" w:bottom="1440" w:gutter="0" w:footer="0" w:header="0"/>
        </w:sectPr>
      </w:pPr>
    </w:p>
    <w:bookmarkStart w:id="199" w:name="page200"/>
    <w:bookmarkEnd w:id="199"/>
    <w:p>
      <w:pPr>
        <w:ind w:left="251"/>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1571" w:right="3299" w:hanging="790"/>
        <w:spacing w:after="0" w:line="253" w:lineRule="auto"/>
        <w:tabs>
          <w:tab w:leader="none" w:pos="1571"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bonus or incentive compensation payment to the extent such awards are made to similarly situated executives, pro-rated for the year in which Executive is terminated and paid at the same time as similarly situated executives are paid.</w:t>
      </w:r>
    </w:p>
    <w:p>
      <w:pPr>
        <w:spacing w:after="0" w:line="164"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(three [3] years). Payment shall be made at the same time and in the same manner as such compensation would have been paid if Executive had remained in active employment until the end of such period.</w:t>
      </w:r>
    </w:p>
    <w:p>
      <w:pPr>
        <w:spacing w:after="0" w:line="331" w:lineRule="exact"/>
        <w:rPr>
          <w:rFonts w:ascii="Courier New" w:cs="Courier New" w:eastAsia="Courier New" w:hAnsi="Courier New"/>
          <w:sz w:val="14"/>
          <w:szCs w:val="14"/>
          <w:color w:val="auto"/>
        </w:rPr>
      </w:pPr>
    </w:p>
    <w:p>
      <w:pPr>
        <w:ind w:left="791" w:right="3639" w:hanging="791"/>
        <w:spacing w:after="0" w:line="255" w:lineRule="auto"/>
        <w:tabs>
          <w:tab w:leader="none" w:pos="79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In the event that Executive's employment is terminated by the Company for Cause pursuant to Section 5(c), the Company shall pay the following amounts to Executive:</w:t>
      </w:r>
    </w:p>
    <w:p>
      <w:pPr>
        <w:spacing w:after="0" w:line="161"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791" w:right="3459" w:hanging="791"/>
        <w:spacing w:after="0" w:line="254" w:lineRule="auto"/>
        <w:tabs>
          <w:tab w:leader="none" w:pos="79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163"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791" w:right="3199" w:hanging="791"/>
        <w:spacing w:after="0" w:line="254" w:lineRule="auto"/>
        <w:tabs>
          <w:tab w:leader="none" w:pos="79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163"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200" w:lineRule="exact"/>
        <w:rPr>
          <w:sz w:val="20"/>
          <w:szCs w:val="20"/>
          <w:color w:val="auto"/>
        </w:rPr>
      </w:pPr>
    </w:p>
    <w:p>
      <w:pPr>
        <w:spacing w:after="0" w:line="297"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4 of 13</w:t>
      </w:r>
    </w:p>
    <w:p>
      <w:pPr>
        <w:sectPr>
          <w:pgSz w:w="11900" w:h="16838" w:orient="portrait"/>
          <w:cols w:equalWidth="0" w:num="1">
            <w:col w:w="10150"/>
          </w:cols>
          <w:pgMar w:left="309" w:top="286" w:right="1440" w:bottom="1440" w:gutter="0" w:footer="0" w:header="0"/>
        </w:sectPr>
      </w:pPr>
    </w:p>
    <w:bookmarkStart w:id="200" w:name="page201"/>
    <w:bookmarkEnd w:id="200"/>
    <w:p>
      <w:pPr>
        <w:ind w:left="251"/>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jc w:val="both"/>
        <w:ind w:left="1571" w:right="3459" w:hanging="790"/>
        <w:spacing w:after="0" w:line="254" w:lineRule="auto"/>
        <w:tabs>
          <w:tab w:leader="none" w:pos="1571"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199" w:hanging="790"/>
        <w:spacing w:after="0" w:line="252" w:lineRule="auto"/>
        <w:tabs>
          <w:tab w:leader="none" w:pos="1571"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the greater of one hundred percent (100%) of Executive's current base salary, or seventy-five percent (75%) of the average of Executive's "Total Annual Direct Compensation" for the two (2) highest of the three (3) most recent calendar years prior to Executive's termination. Such annual amount shall be paid during the three (3) year period beginning on the date of Executive's termination and shall be paid at the same time and in the same manner as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173" w:lineRule="exact"/>
        <w:rPr>
          <w:rFonts w:ascii="Courier New" w:cs="Courier New" w:eastAsia="Courier New" w:hAnsi="Courier New"/>
          <w:sz w:val="14"/>
          <w:szCs w:val="14"/>
          <w:color w:val="auto"/>
        </w:rPr>
      </w:pPr>
    </w:p>
    <w:p>
      <w:pPr>
        <w:ind w:left="1571" w:right="3199" w:hanging="790"/>
        <w:spacing w:after="0" w:line="252" w:lineRule="auto"/>
        <w:tabs>
          <w:tab w:leader="none" w:pos="1571"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three (3)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72" w:lineRule="exact"/>
        <w:rPr>
          <w:rFonts w:ascii="Courier New" w:cs="Courier New" w:eastAsia="Courier New" w:hAnsi="Courier New"/>
          <w:sz w:val="14"/>
          <w:szCs w:val="14"/>
          <w:color w:val="auto"/>
        </w:rPr>
      </w:pPr>
    </w:p>
    <w:p>
      <w:pPr>
        <w:ind w:left="1571" w:right="3199" w:hanging="790"/>
        <w:spacing w:after="0" w:line="252" w:lineRule="auto"/>
        <w:tabs>
          <w:tab w:leader="none" w:pos="1571"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law, Executive will be 100% vested in all benefits, awards, and grants accrued but unpaid as of the date of termination under any pension plan, profit sharing plan, supplemental and/or incentive compensation plans, and stock option plans in which Executive was a participant as of the date of termination. Executive shall have one (1) year from the date of termination to exercise stock options which have vested as a result of this section</w:t>
      </w:r>
    </w:p>
    <w:p>
      <w:pPr>
        <w:spacing w:after="0" w:line="2" w:lineRule="exact"/>
        <w:rPr>
          <w:rFonts w:ascii="Courier New" w:cs="Courier New" w:eastAsia="Courier New" w:hAnsi="Courier New"/>
          <w:sz w:val="14"/>
          <w:szCs w:val="14"/>
          <w:color w:val="auto"/>
        </w:rPr>
      </w:pPr>
    </w:p>
    <w:p>
      <w:pPr>
        <w:ind w:left="1571"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 All options fully vested as of the date of termination will remain exercisable pursuant to the terms of the applicable Stock Option Plan. Executive shall also be eligible for a bonus or incentive compensation payment, to the extent payments are made to similarly situated executives, pro-rated for the year in which the Executive is terminated, paid at the same time as similarly situated executives are paid.</w:t>
      </w:r>
    </w:p>
    <w:p>
      <w:pPr>
        <w:spacing w:after="0" w:line="164" w:lineRule="exact"/>
        <w:rPr>
          <w:rFonts w:ascii="Courier New" w:cs="Courier New" w:eastAsia="Courier New" w:hAnsi="Courier New"/>
          <w:sz w:val="14"/>
          <w:szCs w:val="14"/>
          <w:color w:val="auto"/>
        </w:rPr>
      </w:pPr>
    </w:p>
    <w:p>
      <w:pPr>
        <w:ind w:left="791" w:right="3199" w:hanging="791"/>
        <w:spacing w:after="0" w:line="254" w:lineRule="auto"/>
        <w:tabs>
          <w:tab w:leader="none" w:pos="79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5 of 13</w:t>
      </w:r>
    </w:p>
    <w:p>
      <w:pPr>
        <w:sectPr>
          <w:pgSz w:w="11900" w:h="16838" w:orient="portrait"/>
          <w:cols w:equalWidth="0" w:num="1">
            <w:col w:w="10150"/>
          </w:cols>
          <w:pgMar w:left="309" w:top="286" w:right="1440" w:bottom="1440" w:gutter="0" w:footer="0" w:header="0"/>
        </w:sectPr>
      </w:pPr>
    </w:p>
    <w:bookmarkStart w:id="201" w:name="page202"/>
    <w:bookmarkEnd w:id="201"/>
    <w:p>
      <w:pPr>
        <w:ind w:left="251"/>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791" w:right="3639"/>
        <w:spacing w:after="0" w:line="258" w:lineRule="auto"/>
        <w:rPr>
          <w:sz w:val="20"/>
          <w:szCs w:val="20"/>
          <w:color w:val="auto"/>
        </w:rPr>
      </w:pPr>
      <w:r>
        <w:rPr>
          <w:rFonts w:ascii="Courier New" w:cs="Courier New" w:eastAsia="Courier New" w:hAnsi="Courier New"/>
          <w:sz w:val="14"/>
          <w:szCs w:val="14"/>
          <w:color w:val="auto"/>
        </w:rPr>
        <w:t>other plan, arrangement or benefit, with respect to future periods after such termination or resignation.</w:t>
      </w:r>
    </w:p>
    <w:p>
      <w:pPr>
        <w:spacing w:after="0" w:line="160" w:lineRule="exact"/>
        <w:rPr>
          <w:sz w:val="20"/>
          <w:szCs w:val="20"/>
          <w:color w:val="auto"/>
        </w:rPr>
      </w:pPr>
    </w:p>
    <w:p>
      <w:pPr>
        <w:ind w:left="791" w:right="3379" w:hanging="791"/>
        <w:spacing w:after="0" w:line="255" w:lineRule="auto"/>
        <w:tabs>
          <w:tab w:leader="none" w:pos="79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OR TERMINATION OF BENEFITS AND COMPENSATION. In the event that the Company, in its sole discretion determines that, without the Company's express written consent, Executive has</w:t>
      </w:r>
    </w:p>
    <w:p>
      <w:pPr>
        <w:spacing w:after="0" w:line="161"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64"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330" w:lineRule="exact"/>
        <w:rPr>
          <w:sz w:val="20"/>
          <w:szCs w:val="20"/>
          <w:color w:val="auto"/>
        </w:rPr>
      </w:pPr>
    </w:p>
    <w:p>
      <w:pPr>
        <w:ind w:left="791" w:right="3299"/>
        <w:spacing w:after="0" w:line="254" w:lineRule="auto"/>
        <w:rPr>
          <w:sz w:val="20"/>
          <w:szCs w:val="20"/>
          <w:color w:val="auto"/>
        </w:rPr>
      </w:pPr>
      <w:r>
        <w:rPr>
          <w:rFonts w:ascii="Courier New" w:cs="Courier New" w:eastAsia="Courier New" w:hAnsi="Courier New"/>
          <w:sz w:val="14"/>
          <w:szCs w:val="14"/>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162" w:lineRule="exact"/>
        <w:rPr>
          <w:sz w:val="20"/>
          <w:szCs w:val="20"/>
          <w:color w:val="auto"/>
        </w:rPr>
      </w:pPr>
    </w:p>
    <w:p>
      <w:pPr>
        <w:ind w:left="-9" w:right="3379" w:firstLine="9"/>
        <w:spacing w:after="0" w:line="258" w:lineRule="auto"/>
        <w:tabs>
          <w:tab w:leader="none" w:pos="251"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BY EXECUTIVE FOR GOOD REASON AND COMPENSATION PAYABLE FOLLOWING CHANGE IN CONTROL.</w:t>
      </w:r>
    </w:p>
    <w:p>
      <w:pPr>
        <w:spacing w:after="0" w:line="160" w:lineRule="exact"/>
        <w:rPr>
          <w:sz w:val="20"/>
          <w:szCs w:val="20"/>
          <w:color w:val="auto"/>
        </w:rPr>
      </w:pPr>
    </w:p>
    <w:p>
      <w:pPr>
        <w:ind w:left="791" w:right="3199" w:hanging="791"/>
        <w:spacing w:after="0" w:line="253" w:lineRule="auto"/>
        <w:tabs>
          <w:tab w:leader="none" w:pos="791"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331"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330" w:lineRule="exact"/>
        <w:rPr>
          <w:rFonts w:ascii="Courier New" w:cs="Courier New" w:eastAsia="Courier New" w:hAnsi="Courier New"/>
          <w:sz w:val="14"/>
          <w:szCs w:val="14"/>
          <w:color w:val="auto"/>
        </w:rPr>
      </w:pPr>
    </w:p>
    <w:p>
      <w:pPr>
        <w:ind w:left="1571" w:right="3459" w:hanging="790"/>
        <w:spacing w:after="0" w:line="255" w:lineRule="auto"/>
        <w:tabs>
          <w:tab w:leader="none" w:pos="1571"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in Executive's Base Salary as in effect immediately before a Change in Control plus all increases therein subsequent thereto;</w:t>
      </w:r>
    </w:p>
    <w:p>
      <w:pPr>
        <w:spacing w:after="0" w:line="200" w:lineRule="exact"/>
        <w:rPr>
          <w:sz w:val="20"/>
          <w:szCs w:val="20"/>
          <w:color w:val="auto"/>
        </w:rPr>
      </w:pPr>
    </w:p>
    <w:p>
      <w:pPr>
        <w:spacing w:after="0" w:line="29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6 of 13</w:t>
      </w:r>
    </w:p>
    <w:p>
      <w:pPr>
        <w:sectPr>
          <w:pgSz w:w="11900" w:h="16838" w:orient="portrait"/>
          <w:cols w:equalWidth="0" w:num="1">
            <w:col w:w="10150"/>
          </w:cols>
          <w:pgMar w:left="309" w:top="286" w:right="1440" w:bottom="1440" w:gutter="0" w:footer="0" w:header="0"/>
        </w:sectPr>
      </w:pPr>
    </w:p>
    <w:bookmarkStart w:id="202" w:name="page203"/>
    <w:bookmarkEnd w:id="202"/>
    <w:p>
      <w:pPr>
        <w:ind w:left="251"/>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1571" w:right="3299" w:hanging="790"/>
        <w:spacing w:after="0" w:line="253" w:lineRule="auto"/>
        <w:tabs>
          <w:tab w:leader="none" w:pos="1571"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163" w:lineRule="exact"/>
        <w:rPr>
          <w:rFonts w:ascii="Courier New" w:cs="Courier New" w:eastAsia="Courier New" w:hAnsi="Courier New"/>
          <w:sz w:val="14"/>
          <w:szCs w:val="14"/>
          <w:color w:val="auto"/>
        </w:rPr>
      </w:pPr>
    </w:p>
    <w:p>
      <w:pPr>
        <w:ind w:left="1571" w:right="3199" w:hanging="790"/>
        <w:spacing w:after="0" w:line="252" w:lineRule="auto"/>
        <w:tabs>
          <w:tab w:leader="none" w:pos="1571"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provide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 home pay, to housing most recently owned by Executive prior to, or as of the effective date of the change of control;</w:t>
      </w:r>
    </w:p>
    <w:p>
      <w:pPr>
        <w:spacing w:after="0" w:line="339" w:lineRule="exact"/>
        <w:rPr>
          <w:rFonts w:ascii="Courier New" w:cs="Courier New" w:eastAsia="Courier New" w:hAnsi="Courier New"/>
          <w:sz w:val="14"/>
          <w:szCs w:val="14"/>
          <w:color w:val="auto"/>
        </w:rPr>
      </w:pPr>
    </w:p>
    <w:p>
      <w:pPr>
        <w:ind w:left="1571" w:right="3199" w:hanging="790"/>
        <w:spacing w:after="0" w:line="254" w:lineRule="auto"/>
        <w:tabs>
          <w:tab w:leader="none" w:pos="1571"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162" w:lineRule="exact"/>
        <w:rPr>
          <w:rFonts w:ascii="Courier New" w:cs="Courier New" w:eastAsia="Courier New" w:hAnsi="Courier New"/>
          <w:sz w:val="14"/>
          <w:szCs w:val="14"/>
          <w:color w:val="auto"/>
        </w:rPr>
      </w:pPr>
    </w:p>
    <w:p>
      <w:pPr>
        <w:ind w:left="1571" w:right="3199" w:hanging="790"/>
        <w:spacing w:after="0" w:line="255" w:lineRule="auto"/>
        <w:tabs>
          <w:tab w:leader="none" w:pos="1571"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obtain an assumption of, and agreement to perform the obligations of the Company under this Agreement by any successor to the Company.</w:t>
      </w:r>
    </w:p>
    <w:p>
      <w:pPr>
        <w:spacing w:after="0" w:line="161" w:lineRule="exact"/>
        <w:rPr>
          <w:rFonts w:ascii="Courier New" w:cs="Courier New" w:eastAsia="Courier New" w:hAnsi="Courier New"/>
          <w:sz w:val="14"/>
          <w:szCs w:val="14"/>
          <w:color w:val="auto"/>
        </w:rPr>
      </w:pPr>
    </w:p>
    <w:p>
      <w:pPr>
        <w:ind w:left="791" w:right="3199" w:hanging="791"/>
        <w:spacing w:after="0" w:line="255" w:lineRule="auto"/>
        <w:tabs>
          <w:tab w:leader="none" w:pos="79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PAYABLE. In the event that Executive terminates employment pursuant to Section 7(a), the Company shall pay the following amounts to Executive:</w:t>
      </w:r>
    </w:p>
    <w:p>
      <w:pPr>
        <w:spacing w:after="0" w:line="161"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1571" w:right="3199" w:hanging="790"/>
        <w:spacing w:after="0" w:line="254" w:lineRule="auto"/>
        <w:tabs>
          <w:tab w:leader="none" w:pos="157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199" w:hanging="790"/>
        <w:spacing w:after="0" w:line="254" w:lineRule="auto"/>
        <w:tabs>
          <w:tab w:leader="none" w:pos="157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termination.</w:t>
      </w:r>
    </w:p>
    <w:p>
      <w:pPr>
        <w:spacing w:after="0" w:line="162" w:lineRule="exact"/>
        <w:rPr>
          <w:rFonts w:ascii="Courier New" w:cs="Courier New" w:eastAsia="Courier New" w:hAnsi="Courier New"/>
          <w:sz w:val="14"/>
          <w:szCs w:val="14"/>
          <w:color w:val="auto"/>
        </w:rPr>
      </w:pPr>
    </w:p>
    <w:p>
      <w:pPr>
        <w:ind w:left="1571" w:right="3299" w:hanging="790"/>
        <w:spacing w:after="0" w:line="254" w:lineRule="auto"/>
        <w:tabs>
          <w:tab w:leader="none" w:pos="1571"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options) accrued but unpaid as of the date of termination under any non-qualified pension plan, supplemental and/or incentive compensation or bonus plans, in which</w:t>
      </w:r>
    </w:p>
    <w:p>
      <w:pPr>
        <w:spacing w:after="0" w:line="200" w:lineRule="exact"/>
        <w:rPr>
          <w:sz w:val="20"/>
          <w:szCs w:val="20"/>
          <w:color w:val="auto"/>
        </w:rPr>
      </w:pPr>
    </w:p>
    <w:p>
      <w:pPr>
        <w:spacing w:after="0" w:line="29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7 of 13</w:t>
      </w:r>
    </w:p>
    <w:p>
      <w:pPr>
        <w:sectPr>
          <w:pgSz w:w="11900" w:h="16838" w:orient="portrait"/>
          <w:cols w:equalWidth="0" w:num="1">
            <w:col w:w="10150"/>
          </w:cols>
          <w:pgMar w:left="309" w:top="286" w:right="1440" w:bottom="1440" w:gutter="0" w:footer="0" w:header="0"/>
        </w:sectPr>
      </w:pPr>
    </w:p>
    <w:bookmarkStart w:id="203" w:name="page204"/>
    <w:bookmarkEnd w:id="203"/>
    <w:p>
      <w:pPr>
        <w:ind w:left="251"/>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1571" w:right="3199"/>
        <w:spacing w:after="0" w:line="253" w:lineRule="auto"/>
        <w:rPr>
          <w:sz w:val="20"/>
          <w:szCs w:val="20"/>
          <w:color w:val="auto"/>
        </w:rPr>
      </w:pPr>
      <w:r>
        <w:rPr>
          <w:rFonts w:ascii="Courier New" w:cs="Courier New" w:eastAsia="Courier New" w:hAnsi="Courier New"/>
          <w:sz w:val="14"/>
          <w:szCs w:val="14"/>
          <w:color w:val="auto"/>
        </w:rPr>
        <w:t>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331" w:lineRule="exact"/>
        <w:rPr>
          <w:sz w:val="20"/>
          <w:szCs w:val="20"/>
          <w:color w:val="auto"/>
        </w:rPr>
      </w:pPr>
    </w:p>
    <w:p>
      <w:pPr>
        <w:ind w:left="791" w:right="3459"/>
        <w:spacing w:after="0" w:line="253" w:lineRule="auto"/>
        <w:rPr>
          <w:sz w:val="20"/>
          <w:szCs w:val="20"/>
          <w:color w:val="auto"/>
        </w:rPr>
      </w:pPr>
      <w:r>
        <w:rPr>
          <w:rFonts w:ascii="Courier New" w:cs="Courier New" w:eastAsia="Courier New" w:hAnsi="Courier New"/>
          <w:sz w:val="14"/>
          <w:szCs w:val="14"/>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65" w:lineRule="exact"/>
        <w:rPr>
          <w:sz w:val="20"/>
          <w:szCs w:val="20"/>
          <w:color w:val="auto"/>
        </w:rPr>
      </w:pPr>
    </w:p>
    <w:p>
      <w:pPr>
        <w:ind w:left="791" w:right="3199" w:hanging="791"/>
        <w:spacing w:after="0" w:line="252" w:lineRule="auto"/>
        <w:tabs>
          <w:tab w:leader="none" w:pos="79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340" w:lineRule="exact"/>
        <w:rPr>
          <w:rFonts w:ascii="Courier New" w:cs="Courier New" w:eastAsia="Courier New" w:hAnsi="Courier New"/>
          <w:sz w:val="14"/>
          <w:szCs w:val="14"/>
          <w:color w:val="auto"/>
        </w:rPr>
      </w:pPr>
    </w:p>
    <w:p>
      <w:pPr>
        <w:ind w:left="791"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164" w:lineRule="exact"/>
        <w:rPr>
          <w:rFonts w:ascii="Courier New" w:cs="Courier New" w:eastAsia="Courier New" w:hAnsi="Courier New"/>
          <w:sz w:val="14"/>
          <w:szCs w:val="14"/>
          <w:color w:val="auto"/>
        </w:rPr>
      </w:pPr>
    </w:p>
    <w:p>
      <w:pPr>
        <w:ind w:left="791" w:right="3299" w:hanging="791"/>
        <w:spacing w:after="0" w:line="258" w:lineRule="auto"/>
        <w:tabs>
          <w:tab w:leader="none" w:pos="79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purposes of this Agreement, "Change in Control" means the occurrence of any of the following events:</w:t>
      </w:r>
    </w:p>
    <w:p>
      <w:pPr>
        <w:spacing w:after="0" w:line="159"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8 of 13</w:t>
      </w:r>
    </w:p>
    <w:p>
      <w:pPr>
        <w:sectPr>
          <w:pgSz w:w="11900" w:h="16838" w:orient="portrait"/>
          <w:cols w:equalWidth="0" w:num="1">
            <w:col w:w="10150"/>
          </w:cols>
          <w:pgMar w:left="309" w:top="286" w:right="1440" w:bottom="1440" w:gutter="0" w:footer="0" w:header="0"/>
        </w:sectPr>
      </w:pPr>
    </w:p>
    <w:bookmarkStart w:id="204" w:name="page205"/>
    <w:bookmarkEnd w:id="204"/>
    <w:p>
      <w:pPr>
        <w:ind w:left="251"/>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1571" w:right="3199" w:hanging="790"/>
        <w:spacing w:after="0" w:line="253" w:lineRule="auto"/>
        <w:tabs>
          <w:tab w:leader="none" w:pos="1571" w:val="left"/>
        </w:tabs>
        <w:numPr>
          <w:ilvl w:val="1"/>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165" w:lineRule="exact"/>
        <w:rPr>
          <w:rFonts w:ascii="Courier New" w:cs="Courier New" w:eastAsia="Courier New" w:hAnsi="Courier New"/>
          <w:sz w:val="14"/>
          <w:szCs w:val="14"/>
          <w:color w:val="auto"/>
        </w:rPr>
      </w:pPr>
    </w:p>
    <w:p>
      <w:pPr>
        <w:ind w:left="351" w:hanging="351"/>
        <w:spacing w:after="0"/>
        <w:tabs>
          <w:tab w:leader="none" w:pos="35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sz w:val="20"/>
          <w:szCs w:val="20"/>
          <w:color w:val="auto"/>
        </w:rPr>
      </w:pPr>
    </w:p>
    <w:p>
      <w:pPr>
        <w:ind w:left="791" w:right="3199" w:hanging="791"/>
        <w:spacing w:after="0" w:line="252" w:lineRule="auto"/>
        <w:tabs>
          <w:tab w:leader="none" w:pos="79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seventy-five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342" w:lineRule="exact"/>
        <w:rPr>
          <w:rFonts w:ascii="Courier New" w:cs="Courier New" w:eastAsia="Courier New" w:hAnsi="Courier New"/>
          <w:sz w:val="14"/>
          <w:szCs w:val="14"/>
          <w:color w:val="auto"/>
        </w:rPr>
      </w:pPr>
    </w:p>
    <w:p>
      <w:pPr>
        <w:ind w:left="791" w:right="3199" w:hanging="791"/>
        <w:spacing w:after="0" w:line="252" w:lineRule="auto"/>
        <w:tabs>
          <w:tab w:leader="none" w:pos="79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or through any person, firm, association or corporation with which Employee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w:t>
      </w:r>
    </w:p>
    <w:p>
      <w:pPr>
        <w:spacing w:after="0" w:line="342" w:lineRule="exact"/>
        <w:rPr>
          <w:rFonts w:ascii="Courier New" w:cs="Courier New" w:eastAsia="Courier New" w:hAnsi="Courier New"/>
          <w:sz w:val="14"/>
          <w:szCs w:val="14"/>
          <w:color w:val="auto"/>
        </w:rPr>
      </w:pPr>
    </w:p>
    <w:p>
      <w:pPr>
        <w:ind w:left="791" w:right="3199" w:hanging="791"/>
        <w:spacing w:after="0" w:line="254" w:lineRule="auto"/>
        <w:tabs>
          <w:tab w:leader="none" w:pos="79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w:t>
      </w:r>
    </w:p>
    <w:p>
      <w:pPr>
        <w:spacing w:after="0" w:line="200" w:lineRule="exact"/>
        <w:rPr>
          <w:sz w:val="20"/>
          <w:szCs w:val="20"/>
          <w:color w:val="auto"/>
        </w:rPr>
      </w:pPr>
    </w:p>
    <w:p>
      <w:pPr>
        <w:spacing w:after="0" w:line="297"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9 of 13</w:t>
      </w:r>
    </w:p>
    <w:p>
      <w:pPr>
        <w:sectPr>
          <w:pgSz w:w="11900" w:h="16838" w:orient="portrait"/>
          <w:cols w:equalWidth="0" w:num="1">
            <w:col w:w="10150"/>
          </w:cols>
          <w:pgMar w:left="309" w:top="286" w:right="1440" w:bottom="1440" w:gutter="0" w:footer="0" w:header="0"/>
        </w:sectPr>
      </w:pPr>
    </w:p>
    <w:bookmarkStart w:id="205" w:name="page206"/>
    <w:bookmarkEnd w:id="205"/>
    <w:p>
      <w:pPr>
        <w:ind w:left="251"/>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791" w:right="3459"/>
        <w:spacing w:after="0" w:line="254" w:lineRule="auto"/>
        <w:rPr>
          <w:sz w:val="20"/>
          <w:szCs w:val="20"/>
          <w:color w:val="auto"/>
        </w:rPr>
      </w:pPr>
      <w:r>
        <w:rPr>
          <w:rFonts w:ascii="Courier New" w:cs="Courier New" w:eastAsia="Courier New" w:hAnsi="Courier New"/>
          <w:sz w:val="14"/>
          <w:szCs w:val="14"/>
          <w:color w:val="auto"/>
        </w:rPr>
        <w:t>allegations, negative reports or comments) which are disparaging, deleterious or damaging to the integrity, reputation or good will of the Company, its management, or of management of corporations affiliated with the Company.</w:t>
      </w:r>
    </w:p>
    <w:p>
      <w:pPr>
        <w:spacing w:after="0" w:line="163" w:lineRule="exact"/>
        <w:rPr>
          <w:sz w:val="20"/>
          <w:szCs w:val="20"/>
          <w:color w:val="auto"/>
        </w:rPr>
      </w:pPr>
    </w:p>
    <w:p>
      <w:pPr>
        <w:ind w:left="791" w:right="3299" w:hanging="791"/>
        <w:spacing w:after="0" w:line="252" w:lineRule="auto"/>
        <w:tabs>
          <w:tab w:leader="none" w:pos="79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2" w:lineRule="exact"/>
        <w:rPr>
          <w:rFonts w:ascii="Courier New" w:cs="Courier New" w:eastAsia="Courier New" w:hAnsi="Courier New"/>
          <w:sz w:val="14"/>
          <w:szCs w:val="14"/>
          <w:color w:val="auto"/>
        </w:rPr>
      </w:pPr>
    </w:p>
    <w:p>
      <w:pPr>
        <w:ind w:left="791" w:right="3199" w:hanging="10"/>
        <w:spacing w:after="0" w:line="253" w:lineRule="auto"/>
        <w:tabs>
          <w:tab w:leader="none" w:pos="1225"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330" w:lineRule="exact"/>
        <w:rPr>
          <w:sz w:val="20"/>
          <w:szCs w:val="20"/>
          <w:color w:val="auto"/>
        </w:rPr>
      </w:pPr>
    </w:p>
    <w:p>
      <w:pPr>
        <w:ind w:left="351" w:hanging="351"/>
        <w:spacing w:after="0"/>
        <w:tabs>
          <w:tab w:leader="none" w:pos="35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OF COVENANTS.</w:t>
      </w:r>
    </w:p>
    <w:p>
      <w:pPr>
        <w:spacing w:after="0" w:line="175" w:lineRule="exact"/>
        <w:rPr>
          <w:sz w:val="20"/>
          <w:szCs w:val="20"/>
          <w:color w:val="auto"/>
        </w:rPr>
      </w:pPr>
    </w:p>
    <w:p>
      <w:pPr>
        <w:ind w:left="791" w:right="3199" w:hanging="791"/>
        <w:spacing w:after="0" w:line="253" w:lineRule="auto"/>
        <w:tabs>
          <w:tab w:leader="none" w:pos="79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164"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329"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w:t>
      </w:r>
    </w:p>
    <w:p>
      <w:pPr>
        <w:spacing w:after="0" w:line="200" w:lineRule="exact"/>
        <w:rPr>
          <w:sz w:val="20"/>
          <w:szCs w:val="20"/>
          <w:color w:val="auto"/>
        </w:rPr>
      </w:pPr>
    </w:p>
    <w:p>
      <w:pPr>
        <w:spacing w:after="0" w:line="297"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10 of 13</w:t>
      </w:r>
    </w:p>
    <w:p>
      <w:pPr>
        <w:sectPr>
          <w:pgSz w:w="11900" w:h="16838" w:orient="portrait"/>
          <w:cols w:equalWidth="0" w:num="1">
            <w:col w:w="10150"/>
          </w:cols>
          <w:pgMar w:left="309" w:top="286"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800" w:right="3299"/>
        <w:spacing w:after="0" w:line="253" w:lineRule="auto"/>
        <w:rPr>
          <w:sz w:val="20"/>
          <w:szCs w:val="20"/>
          <w:color w:val="auto"/>
        </w:rPr>
      </w:pPr>
      <w:r>
        <w:rPr>
          <w:rFonts w:ascii="Courier New" w:cs="Courier New" w:eastAsia="Courier New" w:hAnsi="Courier New"/>
          <w:sz w:val="14"/>
          <w:szCs w:val="14"/>
          <w:color w:val="auto"/>
        </w:rPr>
        <w:t>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64" w:lineRule="exact"/>
        <w:rPr>
          <w:sz w:val="20"/>
          <w:szCs w:val="20"/>
          <w:color w:val="auto"/>
        </w:rPr>
      </w:pPr>
    </w:p>
    <w:p>
      <w:pPr>
        <w:ind w:left="440" w:hanging="431"/>
        <w:spacing w:after="0"/>
        <w:tabs>
          <w:tab w:leader="none" w:pos="44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AND PAYMENT OF ATTORNEY'S FEES.</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341" w:lineRule="exact"/>
        <w:rPr>
          <w:sz w:val="20"/>
          <w:szCs w:val="20"/>
          <w:color w:val="auto"/>
        </w:rPr>
      </w:pPr>
    </w:p>
    <w:p>
      <w:pPr>
        <w:ind w:left="440" w:hanging="431"/>
        <w:spacing w:after="0"/>
        <w:tabs>
          <w:tab w:leader="none" w:pos="44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60" w:lineRule="exact"/>
        <w:rPr>
          <w:sz w:val="20"/>
          <w:szCs w:val="20"/>
          <w:color w:val="auto"/>
        </w:rPr>
      </w:pPr>
    </w:p>
    <w:p>
      <w:pPr>
        <w:ind w:left="440" w:hanging="431"/>
        <w:spacing w:after="0"/>
        <w:tabs>
          <w:tab w:leader="none" w:pos="44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AGREEMENT TERMS.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163" w:lineRule="exact"/>
        <w:rPr>
          <w:sz w:val="20"/>
          <w:szCs w:val="20"/>
          <w:color w:val="auto"/>
        </w:rPr>
      </w:pPr>
    </w:p>
    <w:p>
      <w:pPr>
        <w:ind w:left="440" w:hanging="431"/>
        <w:spacing w:after="0"/>
        <w:tabs>
          <w:tab w:leader="none" w:pos="44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11 of 13</w:t>
      </w:r>
    </w:p>
    <w:p>
      <w:pPr>
        <w:sectPr>
          <w:pgSz w:w="11900" w:h="16838" w:orient="portrait"/>
          <w:cols w:equalWidth="0" w:num="1">
            <w:col w:w="10159"/>
          </w:cols>
          <w:pgMar w:left="300" w:top="286"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440" w:hanging="431"/>
        <w:spacing w:after="0"/>
        <w:tabs>
          <w:tab w:leader="none" w:pos="44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330" w:lineRule="exact"/>
        <w:rPr>
          <w:sz w:val="20"/>
          <w:szCs w:val="20"/>
          <w:color w:val="auto"/>
        </w:rPr>
      </w:pPr>
    </w:p>
    <w:p>
      <w:pPr>
        <w:ind w:left="440" w:hanging="431"/>
        <w:spacing w:after="0"/>
        <w:tabs>
          <w:tab w:leader="none" w:pos="4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62" w:lineRule="exact"/>
        <w:rPr>
          <w:sz w:val="20"/>
          <w:szCs w:val="20"/>
          <w:color w:val="auto"/>
        </w:rPr>
      </w:pPr>
    </w:p>
    <w:p>
      <w:pPr>
        <w:ind w:left="440" w:hanging="431"/>
        <w:spacing w:after="0"/>
        <w:tabs>
          <w:tab w:leader="none" w:pos="44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Colorado applicable to agreements made and to be performed in that State, without regard to its conflict of laws provisions.</w:t>
      </w:r>
    </w:p>
    <w:p>
      <w:pPr>
        <w:spacing w:after="0" w:line="162" w:lineRule="exact"/>
        <w:rPr>
          <w:sz w:val="20"/>
          <w:szCs w:val="20"/>
          <w:color w:val="auto"/>
        </w:rPr>
      </w:pPr>
    </w:p>
    <w:p>
      <w:pPr>
        <w:ind w:left="440" w:hanging="431"/>
        <w:spacing w:after="0"/>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159"/>
          </w:cols>
          <w:pgMar w:left="300" w:top="286" w:right="1440" w:bottom="1440" w:gutter="0" w:footer="0" w:header="0"/>
        </w:sectPr>
      </w:pP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 the Company: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 Fannin, Suite 4000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 77002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75" w:lineRule="exact"/>
        <w:rPr>
          <w:sz w:val="20"/>
          <w:szCs w:val="20"/>
          <w:color w:val="auto"/>
        </w:rPr>
      </w:pPr>
    </w:p>
    <w:p>
      <w:pPr>
        <w:sectPr>
          <w:pgSz w:w="11900" w:h="16838" w:orient="portrait"/>
          <w:cols w:equalWidth="0" w:num="2">
            <w:col w:w="2100" w:space="260"/>
            <w:col w:w="7799"/>
          </w:cols>
          <w:pgMar w:left="30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the address for Executive set forth below.</w:t>
      </w:r>
    </w:p>
    <w:p>
      <w:pPr>
        <w:spacing w:after="0" w:line="175" w:lineRule="exact"/>
        <w:rPr>
          <w:sz w:val="20"/>
          <w:szCs w:val="20"/>
          <w:color w:val="auto"/>
        </w:rPr>
      </w:pPr>
    </w:p>
    <w:p>
      <w:pPr>
        <w:sectPr>
          <w:pgSz w:w="11900" w:h="16838" w:orient="portrait"/>
          <w:cols w:equalWidth="0" w:num="2">
            <w:col w:w="1920" w:space="440"/>
            <w:col w:w="7799"/>
          </w:cols>
          <w:pgMar w:left="300" w:top="286" w:right="1440" w:bottom="1440" w:gutter="0" w:footer="0" w:header="0"/>
          <w:type w:val="continuous"/>
        </w:sectPr>
      </w:pPr>
    </w:p>
    <w:p>
      <w:pPr>
        <w:ind w:left="440" w:hanging="431"/>
        <w:spacing w:after="0"/>
        <w:tabs>
          <w:tab w:leader="none" w:pos="44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800" w:right="3199" w:hanging="791"/>
        <w:spacing w:after="0" w:line="254" w:lineRule="auto"/>
        <w:tabs>
          <w:tab w:leader="none" w:pos="8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800" w:right="3299" w:hanging="791"/>
        <w:spacing w:after="0" w:line="254" w:lineRule="auto"/>
        <w:tabs>
          <w:tab w:leader="none" w:pos="80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200" w:lineRule="exact"/>
        <w:rPr>
          <w:sz w:val="20"/>
          <w:szCs w:val="20"/>
          <w:color w:val="auto"/>
        </w:rPr>
      </w:pPr>
    </w:p>
    <w:p>
      <w:pPr>
        <w:spacing w:after="0" w:line="29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12 of 13</w:t>
      </w:r>
    </w:p>
    <w:p>
      <w:pPr>
        <w:sectPr>
          <w:pgSz w:w="11900" w:h="16838" w:orient="portrait"/>
          <w:cols w:equalWidth="0" w:num="1">
            <w:col w:w="10159"/>
          </w:cols>
          <w:pgMar w:left="300" w:top="286" w:right="1440" w:bottom="1440" w:gutter="0" w:footer="0" w:header="0"/>
          <w:type w:val="continuous"/>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800" w:right="3199" w:hanging="791"/>
        <w:spacing w:after="0" w:line="260" w:lineRule="auto"/>
        <w:tabs>
          <w:tab w:leader="none" w:pos="80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323" w:lineRule="exact"/>
        <w:rPr>
          <w:rFonts w:ascii="Courier New" w:cs="Courier New" w:eastAsia="Courier New" w:hAnsi="Courier New"/>
          <w:sz w:val="14"/>
          <w:szCs w:val="14"/>
          <w:color w:val="auto"/>
        </w:rPr>
      </w:pPr>
    </w:p>
    <w:p>
      <w:pPr>
        <w:ind w:left="800" w:right="3199" w:hanging="791"/>
        <w:spacing w:after="0" w:line="258" w:lineRule="auto"/>
        <w:tabs>
          <w:tab w:leader="none" w:pos="80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9" w:lineRule="exact"/>
        <w:rPr>
          <w:rFonts w:ascii="Courier New" w:cs="Courier New" w:eastAsia="Courier New" w:hAnsi="Courier New"/>
          <w:sz w:val="14"/>
          <w:szCs w:val="14"/>
          <w:color w:val="auto"/>
        </w:rPr>
      </w:pPr>
    </w:p>
    <w:p>
      <w:pPr>
        <w:ind w:left="800" w:right="3819" w:hanging="791"/>
        <w:spacing w:after="0" w:line="254" w:lineRule="auto"/>
        <w:tabs>
          <w:tab w:leader="none" w:pos="80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33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Rodney R. Proto</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March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 w:space="0"/>
            <w:col w:w="9719"/>
          </w:cols>
          <w:pgMar w:left="300" w:top="286"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Robert A. Damico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103 Falcon Hills Drive</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60"/>
        <w:spacing w:after="0"/>
        <w:tabs>
          <w:tab w:leader="none" w:pos="2860" w:val="left"/>
        </w:tabs>
        <w:rPr>
          <w:sz w:val="20"/>
          <w:szCs w:val="20"/>
          <w:color w:val="auto"/>
        </w:rPr>
      </w:pPr>
      <w:r>
        <w:rPr>
          <w:rFonts w:ascii="Courier New" w:cs="Courier New" w:eastAsia="Courier New" w:hAnsi="Courier New"/>
          <w:sz w:val="14"/>
          <w:szCs w:val="14"/>
          <w:color w:val="auto"/>
        </w:rPr>
        <w:t>Highlands Ranch, CO</w:t>
        <w:tab/>
        <w:t>80126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March 22, 1999</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13 of 13</w:t>
      </w:r>
    </w:p>
    <w:p>
      <w:pPr>
        <w:sectPr>
          <w:pgSz w:w="11900" w:h="16838" w:orient="portrait"/>
          <w:cols w:equalWidth="0" w:num="1">
            <w:col w:w="10159"/>
          </w:cols>
          <w:pgMar w:left="300" w:top="286" w:right="1440" w:bottom="1440" w:gutter="0" w:footer="0" w:header="0"/>
          <w:type w:val="continuous"/>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10.40</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USA WASTE SERVICES, INC. (the "Company"), and CHARLES A. WILCOX (the "Executive") hereby enter into this EMPLOYMENT AGREEMENT ("Agreement") dated as of 2-3-98,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EMPLOYMENT.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Company shall employ Executive, and Executive shall be employed by the Company upon the terms and subject to the conditions set forth in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TERM OF EMPLOYMENT.</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The period of Executive's employment under this Agreement shall begin as of January 1, 1997, and shall be for continuously renewing three (3) year terms, unless Executive's employment is terminated in accordance with Section 5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DUTIES AND RESPONSIBILITIES.</w:t>
      </w:r>
    </w:p>
    <w:p>
      <w:pPr>
        <w:spacing w:after="0" w:line="175" w:lineRule="exact"/>
        <w:rPr>
          <w:sz w:val="20"/>
          <w:szCs w:val="20"/>
          <w:color w:val="auto"/>
        </w:rPr>
      </w:pPr>
    </w:p>
    <w:p>
      <w:pPr>
        <w:ind w:left="440" w:right="3199" w:hanging="431"/>
        <w:spacing w:after="0" w:line="254" w:lineRule="auto"/>
        <w:tabs>
          <w:tab w:leader="none" w:pos="4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Regional Vice President, and report to President and Chief Operating Officer. In such capacity, Executive shall perform such duties as may be assigned to Executive from time to time by the Board of Directors of the Company, or the Chief Operating Officer of the Company, or the Chief Executive Officer of the Company.</w:t>
      </w:r>
    </w:p>
    <w:p>
      <w:pPr>
        <w:spacing w:after="0" w:line="162"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164"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COMPENSATION AND BENEFITS.</w:t>
      </w:r>
    </w:p>
    <w:p>
      <w:pPr>
        <w:spacing w:after="0" w:line="175" w:lineRule="exact"/>
        <w:rPr>
          <w:sz w:val="20"/>
          <w:szCs w:val="20"/>
          <w:color w:val="auto"/>
        </w:rPr>
      </w:pPr>
    </w:p>
    <w:p>
      <w:pPr>
        <w:ind w:left="440" w:right="3299" w:hanging="431"/>
        <w:spacing w:after="0" w:line="254" w:lineRule="auto"/>
        <w:tabs>
          <w:tab w:leader="none" w:pos="44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Executive a base salary at the annual rate of three hundred ten thousand ($310,000) dollars per year, or such higher rate as may be determined from time to time by the Company ("Base Salary"). Such Base Salary shall be paid in accordance with the Company's standard payroll practice for executives.</w:t>
      </w:r>
    </w:p>
    <w:p>
      <w:pPr>
        <w:sectPr>
          <w:pgSz w:w="11900" w:h="16838" w:orient="portrait"/>
          <w:cols w:equalWidth="0" w:num="1">
            <w:col w:w="10159"/>
          </w:cols>
          <w:pgMar w:left="300" w:top="142"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440" w:right="3379" w:hanging="431"/>
        <w:spacing w:after="0" w:line="254" w:lineRule="auto"/>
        <w:tabs>
          <w:tab w:leader="none" w:pos="44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executives, provided that such expenses are incurred and accounted for in accordance with the Company's policy.</w:t>
      </w:r>
    </w:p>
    <w:p>
      <w:pPr>
        <w:spacing w:after="0" w:line="162" w:lineRule="exact"/>
        <w:rPr>
          <w:rFonts w:ascii="Courier New" w:cs="Courier New" w:eastAsia="Courier New" w:hAnsi="Courier New"/>
          <w:sz w:val="14"/>
          <w:szCs w:val="14"/>
          <w:color w:val="auto"/>
        </w:rPr>
      </w:pPr>
    </w:p>
    <w:p>
      <w:pPr>
        <w:ind w:left="440" w:right="3299" w:hanging="431"/>
        <w:spacing w:after="0" w:line="253" w:lineRule="auto"/>
        <w:tabs>
          <w:tab w:leader="none" w:pos="44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executives working pursuant to this form of Agreement (hereinafter referred to as "similarly situated executives."</w:t>
      </w:r>
    </w:p>
    <w:p>
      <w:pPr>
        <w:spacing w:after="0" w:line="164"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 (i) defend the validity of this Agreement, (ii) contest any determination by the Company concerning the amounts payable (or reimbursable) by the Company to the Executive under this Agreement, (iii) 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TERMINATION OF EMPLOYMENT.</w:t>
      </w:r>
    </w:p>
    <w:p>
      <w:pPr>
        <w:spacing w:after="0" w:line="175" w:lineRule="exact"/>
        <w:rPr>
          <w:sz w:val="20"/>
          <w:szCs w:val="20"/>
          <w:color w:val="auto"/>
        </w:rPr>
      </w:pPr>
    </w:p>
    <w:p>
      <w:pPr>
        <w:ind w:right="4079"/>
        <w:spacing w:after="0" w:line="258" w:lineRule="auto"/>
        <w:rPr>
          <w:sz w:val="20"/>
          <w:szCs w:val="20"/>
          <w:color w:val="auto"/>
        </w:rPr>
      </w:pPr>
      <w:r>
        <w:rPr>
          <w:rFonts w:ascii="Courier New" w:cs="Courier New" w:eastAsia="Courier New" w:hAnsi="Courier New"/>
          <w:sz w:val="14"/>
          <w:szCs w:val="14"/>
          <w:color w:val="auto"/>
        </w:rPr>
        <w:t>Executive's employment hereunder may be terminated under the following circumstances:</w:t>
      </w:r>
    </w:p>
    <w:p>
      <w:pPr>
        <w:spacing w:after="0" w:line="160" w:lineRule="exact"/>
        <w:rPr>
          <w:sz w:val="20"/>
          <w:szCs w:val="20"/>
          <w:color w:val="auto"/>
        </w:rPr>
      </w:pPr>
    </w:p>
    <w:p>
      <w:pPr>
        <w:ind w:left="440" w:right="3459" w:hanging="431"/>
        <w:spacing w:after="0" w:line="258" w:lineRule="auto"/>
        <w:tabs>
          <w:tab w:leader="none" w:pos="44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Executive's employment hereunder shall terminate upon Executive's death.</w:t>
      </w:r>
    </w:p>
    <w:p>
      <w:pPr>
        <w:spacing w:after="0" w:line="159"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2 of 15</w:t>
      </w:r>
    </w:p>
    <w:p>
      <w:pPr>
        <w:sectPr>
          <w:pgSz w:w="11900" w:h="16838" w:orient="portrait"/>
          <w:cols w:equalWidth="0" w:num="1">
            <w:col w:w="10159"/>
          </w:cols>
          <w:pgMar w:left="300" w:top="286"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both"/>
        <w:ind w:left="440" w:right="3199" w:hanging="431"/>
        <w:spacing w:after="0" w:line="255" w:lineRule="auto"/>
        <w:tabs>
          <w:tab w:leader="none" w:pos="44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after providing written notice to Executive.</w:t>
      </w:r>
    </w:p>
    <w:p>
      <w:pPr>
        <w:spacing w:after="0" w:line="161" w:lineRule="exact"/>
        <w:rPr>
          <w:rFonts w:ascii="Courier New" w:cs="Courier New" w:eastAsia="Courier New" w:hAnsi="Courier New"/>
          <w:sz w:val="14"/>
          <w:szCs w:val="14"/>
          <w:color w:val="auto"/>
        </w:rPr>
      </w:pPr>
    </w:p>
    <w:p>
      <w:pPr>
        <w:ind w:left="960" w:right="3199" w:hanging="517"/>
        <w:spacing w:after="0" w:line="252" w:lineRule="auto"/>
        <w:tabs>
          <w:tab w:leader="none" w:pos="960"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w:t>
      </w:r>
    </w:p>
    <w:p>
      <w:pPr>
        <w:spacing w:after="0" w:line="3" w:lineRule="exact"/>
        <w:rPr>
          <w:rFonts w:ascii="Courier New" w:cs="Courier New" w:eastAsia="Courier New" w:hAnsi="Courier New"/>
          <w:sz w:val="14"/>
          <w:szCs w:val="14"/>
          <w:color w:val="auto"/>
        </w:rPr>
      </w:pPr>
    </w:p>
    <w:p>
      <w:pPr>
        <w:ind w:left="960" w:right="3199" w:firstLine="4"/>
        <w:spacing w:after="0" w:line="253" w:lineRule="auto"/>
        <w:tabs>
          <w:tab w:leader="none" w:pos="1307" w:val="left"/>
        </w:tabs>
        <w:numPr>
          <w:ilvl w:val="2"/>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65" w:lineRule="exact"/>
        <w:rPr>
          <w:rFonts w:ascii="Courier New" w:cs="Courier New" w:eastAsia="Courier New" w:hAnsi="Courier New"/>
          <w:sz w:val="14"/>
          <w:szCs w:val="14"/>
          <w:color w:val="auto"/>
        </w:rPr>
      </w:pPr>
    </w:p>
    <w:p>
      <w:pPr>
        <w:ind w:left="960" w:right="3199" w:hanging="517"/>
        <w:spacing w:after="0" w:line="253" w:lineRule="auto"/>
        <w:tabs>
          <w:tab w:leader="none" w:pos="960"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64" w:lineRule="exact"/>
        <w:rPr>
          <w:rFonts w:ascii="Courier New" w:cs="Courier New" w:eastAsia="Courier New" w:hAnsi="Courier New"/>
          <w:sz w:val="14"/>
          <w:szCs w:val="14"/>
          <w:color w:val="auto"/>
        </w:rPr>
      </w:pPr>
    </w:p>
    <w:p>
      <w:pPr>
        <w:ind w:left="960" w:right="3199" w:hanging="517"/>
        <w:spacing w:after="0" w:line="254" w:lineRule="auto"/>
        <w:tabs>
          <w:tab w:leader="none" w:pos="960"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162"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Executive may terminate employment hereunder at any time after providing ninety (90) days' written notice to the Company, or for good reason as described in Section 7 of this Agreement.</w:t>
      </w:r>
    </w:p>
    <w:p>
      <w:pPr>
        <w:spacing w:after="0" w:line="163" w:lineRule="exact"/>
        <w:rPr>
          <w:rFonts w:ascii="Courier New" w:cs="Courier New" w:eastAsia="Courier New" w:hAnsi="Courier New"/>
          <w:sz w:val="14"/>
          <w:szCs w:val="14"/>
          <w:color w:val="auto"/>
        </w:rPr>
      </w:pPr>
    </w:p>
    <w:p>
      <w:pPr>
        <w:ind w:left="440" w:right="3299" w:hanging="431"/>
        <w:spacing w:after="0" w:line="255" w:lineRule="auto"/>
        <w:tabs>
          <w:tab w:leader="none" w:pos="44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after providing written notice to Executive.</w:t>
      </w:r>
    </w:p>
    <w:p>
      <w:pPr>
        <w:spacing w:after="0" w:line="162" w:lineRule="exact"/>
        <w:rPr>
          <w:sz w:val="20"/>
          <w:szCs w:val="20"/>
          <w:color w:val="auto"/>
        </w:rPr>
      </w:pPr>
    </w:p>
    <w:p>
      <w:pPr>
        <w:ind w:left="440" w:hanging="431"/>
        <w:spacing w:after="0"/>
        <w:tabs>
          <w:tab w:leader="none" w:pos="44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FOLLOWING TERMINATION OF EMPLOYMENT.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the event that Executive's employment hereunder is terminated, Executive shall be entitled to the following compensation and benefits upon such termination:</w:t>
      </w:r>
    </w:p>
    <w:p>
      <w:pPr>
        <w:spacing w:after="0" w:line="162" w:lineRule="exact"/>
        <w:rPr>
          <w:sz w:val="20"/>
          <w:szCs w:val="20"/>
          <w:color w:val="auto"/>
        </w:rPr>
      </w:pPr>
    </w:p>
    <w:p>
      <w:pPr>
        <w:ind w:left="440" w:right="3199" w:hanging="431"/>
        <w:spacing w:after="0" w:line="255" w:lineRule="auto"/>
        <w:tabs>
          <w:tab w:leader="none" w:pos="44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15</w:t>
      </w:r>
    </w:p>
    <w:p>
      <w:pPr>
        <w:sectPr>
          <w:pgSz w:w="11900" w:h="16838" w:orient="portrait"/>
          <w:cols w:equalWidth="0" w:num="1">
            <w:col w:w="10159"/>
          </w:cols>
          <w:pgMar w:left="300" w:top="286" w:right="1440" w:bottom="1440" w:gutter="0" w:footer="0" w:header="0"/>
        </w:sectPr>
      </w:pPr>
    </w:p>
    <w:bookmarkStart w:id="212" w:name="page213"/>
    <w:bookmarkEnd w:id="212"/>
    <w:p>
      <w:pPr>
        <w:ind w:left="251"/>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ind w:left="951" w:right="3199" w:hanging="517"/>
        <w:spacing w:after="0" w:line="253" w:lineRule="auto"/>
        <w:tabs>
          <w:tab w:leader="none" w:pos="951"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 pro-rata "bonus" or incentive compensation payment to the extent payments are awarded to similarly situated executives and paid at the same time as similarly situated executives are paid; and any vacation accrued to the date of death.</w:t>
      </w:r>
    </w:p>
    <w:p>
      <w:pPr>
        <w:spacing w:after="0" w:line="165" w:lineRule="exact"/>
        <w:rPr>
          <w:rFonts w:ascii="Courier New" w:cs="Courier New" w:eastAsia="Courier New" w:hAnsi="Courier New"/>
          <w:sz w:val="14"/>
          <w:szCs w:val="14"/>
          <w:color w:val="auto"/>
        </w:rPr>
      </w:pPr>
    </w:p>
    <w:p>
      <w:pPr>
        <w:ind w:left="951" w:right="3379" w:hanging="517"/>
        <w:spacing w:after="0" w:line="254" w:lineRule="auto"/>
        <w:tabs>
          <w:tab w:leader="none" w:pos="951"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951" w:right="3199" w:hanging="517"/>
        <w:spacing w:after="0" w:line="253" w:lineRule="auto"/>
        <w:tabs>
          <w:tab w:leader="none" w:pos="951"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(three [3] years). Such amount shall be paid in a single lump sum cash payment within thirty (30) days after Executive's death.</w:t>
      </w:r>
    </w:p>
    <w:p>
      <w:pPr>
        <w:spacing w:after="0" w:line="165" w:lineRule="exact"/>
        <w:rPr>
          <w:rFonts w:ascii="Courier New" w:cs="Courier New" w:eastAsia="Courier New" w:hAnsi="Courier New"/>
          <w:sz w:val="14"/>
          <w:szCs w:val="14"/>
          <w:color w:val="auto"/>
        </w:rPr>
      </w:pPr>
    </w:p>
    <w:p>
      <w:pPr>
        <w:ind w:left="951" w:right="3299" w:hanging="517"/>
        <w:spacing w:after="0" w:line="254" w:lineRule="auto"/>
        <w:tabs>
          <w:tab w:leader="none" w:pos="951"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death, stock options awarded to Executive shall be fully vested. Executive's estate or beneficiary shall have up to one (1) year from the date of death to exercise all such options.</w:t>
      </w:r>
    </w:p>
    <w:p>
      <w:pPr>
        <w:spacing w:after="0" w:line="163" w:lineRule="exact"/>
        <w:rPr>
          <w:rFonts w:ascii="Courier New" w:cs="Courier New" w:eastAsia="Courier New" w:hAnsi="Courier New"/>
          <w:sz w:val="14"/>
          <w:szCs w:val="14"/>
          <w:color w:val="auto"/>
        </w:rPr>
      </w:pPr>
    </w:p>
    <w:p>
      <w:pPr>
        <w:ind w:left="431" w:right="3459" w:hanging="431"/>
        <w:spacing w:after="0" w:line="254" w:lineRule="auto"/>
        <w:tabs>
          <w:tab w:leader="none" w:pos="431"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63" w:lineRule="exact"/>
        <w:rPr>
          <w:rFonts w:ascii="Courier New" w:cs="Courier New" w:eastAsia="Courier New" w:hAnsi="Courier New"/>
          <w:sz w:val="14"/>
          <w:szCs w:val="14"/>
          <w:color w:val="auto"/>
        </w:rPr>
      </w:pPr>
    </w:p>
    <w:p>
      <w:pPr>
        <w:ind w:left="951" w:right="3299" w:hanging="517"/>
        <w:spacing w:after="0" w:line="253" w:lineRule="auto"/>
        <w:tabs>
          <w:tab w:leader="none" w:pos="951"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bonus or incentive compensation payment to the extent such awards are made to similarly situated executives, pro-rated for the year in which Executive is terminated and paid at the same time as similarly situated executives are paid.</w:t>
      </w:r>
    </w:p>
    <w:p>
      <w:pPr>
        <w:spacing w:after="0" w:line="164" w:lineRule="exact"/>
        <w:rPr>
          <w:rFonts w:ascii="Courier New" w:cs="Courier New" w:eastAsia="Courier New" w:hAnsi="Courier New"/>
          <w:sz w:val="14"/>
          <w:szCs w:val="14"/>
          <w:color w:val="auto"/>
        </w:rPr>
      </w:pPr>
    </w:p>
    <w:p>
      <w:pPr>
        <w:ind w:left="951" w:right="3379" w:hanging="517"/>
        <w:spacing w:after="0" w:line="254" w:lineRule="auto"/>
        <w:tabs>
          <w:tab w:leader="none" w:pos="951"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951" w:right="3299" w:hanging="517"/>
        <w:spacing w:after="0" w:line="253" w:lineRule="auto"/>
        <w:tabs>
          <w:tab w:leader="none" w:pos="951"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(three [3] years). Payment shall be made at the same time and in the same manner as such compensation would have been paid if Executive had remained in active employment until the end of such period.</w:t>
      </w:r>
    </w:p>
    <w:p>
      <w:pPr>
        <w:spacing w:after="0" w:line="164" w:lineRule="exact"/>
        <w:rPr>
          <w:rFonts w:ascii="Courier New" w:cs="Courier New" w:eastAsia="Courier New" w:hAnsi="Courier New"/>
          <w:sz w:val="14"/>
          <w:szCs w:val="14"/>
          <w:color w:val="auto"/>
        </w:rPr>
      </w:pPr>
    </w:p>
    <w:p>
      <w:pPr>
        <w:ind w:left="951" w:right="3719" w:hanging="517"/>
        <w:spacing w:after="0" w:line="255" w:lineRule="auto"/>
        <w:tabs>
          <w:tab w:leader="none" w:pos="951"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total disability, Executive shall be fully vested in all stock option awards. Executive shall have up to one (1)</w:t>
      </w:r>
    </w:p>
    <w:p>
      <w:pPr>
        <w:spacing w:after="0" w:line="200" w:lineRule="exact"/>
        <w:rPr>
          <w:sz w:val="20"/>
          <w:szCs w:val="20"/>
          <w:color w:val="auto"/>
        </w:rPr>
      </w:pPr>
    </w:p>
    <w:p>
      <w:pPr>
        <w:spacing w:after="0" w:line="29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4 of 15</w:t>
      </w:r>
    </w:p>
    <w:p>
      <w:pPr>
        <w:sectPr>
          <w:pgSz w:w="11900" w:h="16838" w:orient="portrait"/>
          <w:cols w:equalWidth="0" w:num="1">
            <w:col w:w="10150"/>
          </w:cols>
          <w:pgMar w:left="309" w:top="286" w:right="1440" w:bottom="1440" w:gutter="0" w:footer="0" w:header="0"/>
        </w:sectPr>
      </w:pPr>
    </w:p>
    <w:bookmarkStart w:id="213" w:name="page214"/>
    <w:bookmarkEnd w:id="213"/>
    <w:p>
      <w:pPr>
        <w:ind w:left="251"/>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ind w:left="871" w:right="3559"/>
        <w:spacing w:after="0" w:line="258" w:lineRule="auto"/>
        <w:rPr>
          <w:sz w:val="20"/>
          <w:szCs w:val="20"/>
          <w:color w:val="auto"/>
        </w:rPr>
      </w:pPr>
      <w:r>
        <w:rPr>
          <w:rFonts w:ascii="Courier New" w:cs="Courier New" w:eastAsia="Courier New" w:hAnsi="Courier New"/>
          <w:sz w:val="14"/>
          <w:szCs w:val="14"/>
          <w:color w:val="auto"/>
        </w:rPr>
        <w:t>year from the date of termination by reason of total disability to exercise all such options.</w:t>
      </w:r>
    </w:p>
    <w:p>
      <w:pPr>
        <w:spacing w:after="0" w:line="160" w:lineRule="exact"/>
        <w:rPr>
          <w:sz w:val="20"/>
          <w:szCs w:val="20"/>
          <w:color w:val="auto"/>
        </w:rPr>
      </w:pPr>
    </w:p>
    <w:p>
      <w:pPr>
        <w:ind w:left="431" w:right="3379" w:hanging="431"/>
        <w:spacing w:after="0" w:line="255" w:lineRule="auto"/>
        <w:tabs>
          <w:tab w:leader="none" w:pos="431"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In the event that Executive's employment is terminated by the Company for Cause pursuant to Section 5(c), the Company shall pay the following amounts to Executive:</w:t>
      </w:r>
    </w:p>
    <w:p>
      <w:pPr>
        <w:spacing w:after="0" w:line="161" w:lineRule="exact"/>
        <w:rPr>
          <w:rFonts w:ascii="Courier New" w:cs="Courier New" w:eastAsia="Courier New" w:hAnsi="Courier New"/>
          <w:sz w:val="14"/>
          <w:szCs w:val="14"/>
          <w:color w:val="auto"/>
        </w:rPr>
      </w:pPr>
    </w:p>
    <w:p>
      <w:pPr>
        <w:ind w:left="871" w:right="3379" w:hanging="437"/>
        <w:spacing w:after="0" w:line="254" w:lineRule="auto"/>
        <w:tabs>
          <w:tab w:leader="none" w:pos="87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871" w:right="3199" w:hanging="437"/>
        <w:spacing w:after="0" w:line="254" w:lineRule="auto"/>
        <w:tabs>
          <w:tab w:leader="none" w:pos="87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431" w:right="3199" w:hanging="431"/>
        <w:spacing w:after="0" w:line="254" w:lineRule="auto"/>
        <w:tabs>
          <w:tab w:leader="none" w:pos="431"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163" w:lineRule="exact"/>
        <w:rPr>
          <w:rFonts w:ascii="Courier New" w:cs="Courier New" w:eastAsia="Courier New" w:hAnsi="Courier New"/>
          <w:sz w:val="14"/>
          <w:szCs w:val="14"/>
          <w:color w:val="auto"/>
        </w:rPr>
      </w:pPr>
    </w:p>
    <w:p>
      <w:pPr>
        <w:ind w:left="871" w:right="3379" w:hanging="437"/>
        <w:spacing w:after="0" w:line="254" w:lineRule="auto"/>
        <w:tabs>
          <w:tab w:leader="none" w:pos="87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871" w:right="3199" w:hanging="437"/>
        <w:spacing w:after="0" w:line="254" w:lineRule="auto"/>
        <w:tabs>
          <w:tab w:leader="none" w:pos="87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431" w:right="3299" w:hanging="431"/>
        <w:spacing w:after="0" w:line="254" w:lineRule="auto"/>
        <w:tabs>
          <w:tab w:leader="none" w:pos="431"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163" w:lineRule="exact"/>
        <w:rPr>
          <w:rFonts w:ascii="Courier New" w:cs="Courier New" w:eastAsia="Courier New" w:hAnsi="Courier New"/>
          <w:sz w:val="14"/>
          <w:szCs w:val="14"/>
          <w:color w:val="auto"/>
        </w:rPr>
      </w:pPr>
    </w:p>
    <w:p>
      <w:pPr>
        <w:ind w:left="951" w:right="3299" w:hanging="517"/>
        <w:spacing w:after="0" w:line="254" w:lineRule="auto"/>
        <w:tabs>
          <w:tab w:leader="none" w:pos="95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951" w:right="3379" w:hanging="517"/>
        <w:spacing w:after="0" w:line="254" w:lineRule="auto"/>
        <w:tabs>
          <w:tab w:leader="none" w:pos="95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951" w:right="3199" w:hanging="517"/>
        <w:spacing w:after="0" w:line="253" w:lineRule="auto"/>
        <w:tabs>
          <w:tab w:leader="none" w:pos="95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three (3) year period beginning on the date of Executive's termination and shall be paid at the same time and in the same manner as Base Salary would have been paid if Executive had remained in active employment until the end of such period. For</w:t>
      </w:r>
    </w:p>
    <w:p>
      <w:pPr>
        <w:spacing w:after="0" w:line="164"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5 of 15</w:t>
      </w:r>
    </w:p>
    <w:p>
      <w:pPr>
        <w:sectPr>
          <w:pgSz w:w="11900" w:h="16838" w:orient="portrait"/>
          <w:cols w:equalWidth="0" w:num="1">
            <w:col w:w="10150"/>
          </w:cols>
          <w:pgMar w:left="309" w:top="286" w:right="1440" w:bottom="1440" w:gutter="0" w:footer="0" w:header="0"/>
        </w:sectPr>
      </w:pPr>
    </w:p>
    <w:bookmarkStart w:id="214" w:name="page215"/>
    <w:bookmarkEnd w:id="214"/>
    <w:p>
      <w:pPr>
        <w:ind w:left="251"/>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951" w:right="3199"/>
        <w:spacing w:after="0" w:line="253" w:lineRule="auto"/>
        <w:rPr>
          <w:sz w:val="20"/>
          <w:szCs w:val="20"/>
          <w:color w:val="auto"/>
        </w:rPr>
      </w:pPr>
      <w:r>
        <w:rPr>
          <w:rFonts w:ascii="Courier New" w:cs="Courier New" w:eastAsia="Courier New" w:hAnsi="Courier New"/>
          <w:sz w:val="14"/>
          <w:szCs w:val="14"/>
          <w:color w:val="auto"/>
        </w:rPr>
        <w:t>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332" w:lineRule="exact"/>
        <w:rPr>
          <w:sz w:val="20"/>
          <w:szCs w:val="20"/>
          <w:color w:val="auto"/>
        </w:rPr>
      </w:pPr>
    </w:p>
    <w:p>
      <w:pPr>
        <w:ind w:left="951" w:right="3199" w:hanging="517"/>
        <w:spacing w:after="0" w:line="252" w:lineRule="auto"/>
        <w:tabs>
          <w:tab w:leader="none" w:pos="951"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three (3)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72" w:lineRule="exact"/>
        <w:rPr>
          <w:rFonts w:ascii="Courier New" w:cs="Courier New" w:eastAsia="Courier New" w:hAnsi="Courier New"/>
          <w:sz w:val="14"/>
          <w:szCs w:val="14"/>
          <w:color w:val="auto"/>
        </w:rPr>
      </w:pPr>
    </w:p>
    <w:p>
      <w:pPr>
        <w:ind w:left="951" w:right="3199" w:hanging="517"/>
        <w:spacing w:after="0" w:line="253" w:lineRule="auto"/>
        <w:tabs>
          <w:tab w:leader="none" w:pos="951"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law, Executive will be 100% vested in all benefits, awards, and grants accrued but unpaid as of the date of termination under any pension plan, profit sharing plan, supplemental and/or incentive compensation plans, and stock option plans in which Executive was a participant as of the date of termination. Executive shall have one (1) year from the date of termination to exercise stock options. Executive shall also be eligible for a bonus or incentive compensation payment, to the extent payments are made to similarly situated executives, pro-rated for the year in which the Executive is terminated, paid at the same time as similarly situated executives are paid.</w:t>
      </w:r>
    </w:p>
    <w:p>
      <w:pPr>
        <w:spacing w:after="0" w:line="163" w:lineRule="exact"/>
        <w:rPr>
          <w:rFonts w:ascii="Courier New" w:cs="Courier New" w:eastAsia="Courier New" w:hAnsi="Courier New"/>
          <w:sz w:val="14"/>
          <w:szCs w:val="14"/>
          <w:color w:val="auto"/>
        </w:rPr>
      </w:pPr>
    </w:p>
    <w:p>
      <w:pPr>
        <w:ind w:left="431" w:right="3199" w:hanging="431"/>
        <w:spacing w:after="0" w:line="253" w:lineRule="auto"/>
        <w:tabs>
          <w:tab w:leader="none" w:pos="431"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64" w:lineRule="exact"/>
        <w:rPr>
          <w:rFonts w:ascii="Courier New" w:cs="Courier New" w:eastAsia="Courier New" w:hAnsi="Courier New"/>
          <w:sz w:val="14"/>
          <w:szCs w:val="14"/>
          <w:color w:val="auto"/>
        </w:rPr>
      </w:pPr>
    </w:p>
    <w:p>
      <w:pPr>
        <w:ind w:left="431" w:right="3299" w:hanging="431"/>
        <w:spacing w:after="0" w:line="255" w:lineRule="auto"/>
        <w:tabs>
          <w:tab w:leader="none" w:pos="431"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OR TERMINATION OF BENEFITS AND COMPENSATION. In the event that the Company, in its sole discretion determines that, without the Company's express written consent, Executive has</w:t>
      </w:r>
    </w:p>
    <w:p>
      <w:pPr>
        <w:spacing w:after="0" w:line="161" w:lineRule="exact"/>
        <w:rPr>
          <w:rFonts w:ascii="Courier New" w:cs="Courier New" w:eastAsia="Courier New" w:hAnsi="Courier New"/>
          <w:sz w:val="14"/>
          <w:szCs w:val="14"/>
          <w:color w:val="auto"/>
        </w:rPr>
      </w:pPr>
    </w:p>
    <w:p>
      <w:pPr>
        <w:ind w:left="871" w:right="3379" w:hanging="437"/>
        <w:spacing w:after="0" w:line="254" w:lineRule="auto"/>
        <w:tabs>
          <w:tab w:leader="none" w:pos="871"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engaged in, assisted or have any active interest or involvement whether as an employee, agent, consultant, creditor, advisor, officer, director, stockholder (excluding holding of less than 1% of the stock of a public company),</w:t>
      </w:r>
    </w:p>
    <w:p>
      <w:pPr>
        <w:spacing w:after="0" w:line="330"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6 of 15</w:t>
      </w:r>
    </w:p>
    <w:p>
      <w:pPr>
        <w:sectPr>
          <w:pgSz w:w="11900" w:h="16838" w:orient="portrait"/>
          <w:cols w:equalWidth="0" w:num="1">
            <w:col w:w="10150"/>
          </w:cols>
          <w:pgMar w:left="309" w:top="286" w:right="1440" w:bottom="1440" w:gutter="0" w:footer="0" w:header="0"/>
        </w:sectPr>
      </w:pPr>
    </w:p>
    <w:bookmarkStart w:id="215" w:name="page216"/>
    <w:bookmarkEnd w:id="215"/>
    <w:p>
      <w:pPr>
        <w:ind w:left="251"/>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jc w:val="both"/>
        <w:ind w:left="871" w:right="3719"/>
        <w:spacing w:after="0" w:line="255" w:lineRule="auto"/>
        <w:rPr>
          <w:sz w:val="20"/>
          <w:szCs w:val="20"/>
          <w:color w:val="auto"/>
        </w:rPr>
      </w:pPr>
      <w:r>
        <w:rPr>
          <w:rFonts w:ascii="Courier New" w:cs="Courier New" w:eastAsia="Courier New" w:hAnsi="Courier New"/>
          <w:sz w:val="14"/>
          <w:szCs w:val="14"/>
          <w:color w:val="auto"/>
        </w:rPr>
        <w:t>partner, proprietor, or any type of principal whatsoever, in any person, firm, or business entity which is directly or indirectly competitive with the Company or any of its affiliates, or</w:t>
      </w:r>
    </w:p>
    <w:p>
      <w:pPr>
        <w:spacing w:after="0" w:line="162" w:lineRule="exact"/>
        <w:rPr>
          <w:sz w:val="20"/>
          <w:szCs w:val="20"/>
          <w:color w:val="auto"/>
        </w:rPr>
      </w:pPr>
    </w:p>
    <w:p>
      <w:pPr>
        <w:ind w:left="871" w:right="3199" w:hanging="437"/>
        <w:spacing w:after="0" w:line="253" w:lineRule="auto"/>
        <w:tabs>
          <w:tab w:leader="none" w:pos="871"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163" w:lineRule="exact"/>
        <w:rPr>
          <w:sz w:val="20"/>
          <w:szCs w:val="20"/>
          <w:color w:val="auto"/>
        </w:rPr>
      </w:pPr>
    </w:p>
    <w:p>
      <w:pPr>
        <w:ind w:left="431" w:right="3199"/>
        <w:spacing w:after="0" w:line="254" w:lineRule="auto"/>
        <w:rPr>
          <w:sz w:val="20"/>
          <w:szCs w:val="20"/>
          <w:color w:val="auto"/>
        </w:rPr>
      </w:pPr>
      <w:r>
        <w:rPr>
          <w:rFonts w:ascii="Courier New" w:cs="Courier New" w:eastAsia="Courier New" w:hAnsi="Courier New"/>
          <w:sz w:val="14"/>
          <w:szCs w:val="14"/>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330" w:lineRule="exact"/>
        <w:rPr>
          <w:sz w:val="20"/>
          <w:szCs w:val="20"/>
          <w:color w:val="auto"/>
        </w:rPr>
      </w:pPr>
    </w:p>
    <w:p>
      <w:pPr>
        <w:ind w:left="-9" w:right="3379" w:firstLine="9"/>
        <w:spacing w:after="0" w:line="258" w:lineRule="auto"/>
        <w:tabs>
          <w:tab w:leader="none" w:pos="251"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BY EXECUTIVE FOR GOOD REASON AND COMPENSATION PAYABLE FOLLOWING CHANGE IN CONTROL.</w:t>
      </w:r>
    </w:p>
    <w:p>
      <w:pPr>
        <w:spacing w:after="0" w:line="160" w:lineRule="exact"/>
        <w:rPr>
          <w:sz w:val="20"/>
          <w:szCs w:val="20"/>
          <w:color w:val="auto"/>
        </w:rPr>
      </w:pPr>
    </w:p>
    <w:p>
      <w:pPr>
        <w:ind w:left="431" w:right="3199" w:hanging="431"/>
        <w:spacing w:after="0" w:line="253" w:lineRule="auto"/>
        <w:tabs>
          <w:tab w:leader="none" w:pos="43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164" w:lineRule="exact"/>
        <w:rPr>
          <w:rFonts w:ascii="Courier New" w:cs="Courier New" w:eastAsia="Courier New" w:hAnsi="Courier New"/>
          <w:sz w:val="14"/>
          <w:szCs w:val="14"/>
          <w:color w:val="auto"/>
        </w:rPr>
      </w:pPr>
    </w:p>
    <w:p>
      <w:pPr>
        <w:ind w:left="951" w:right="3199" w:hanging="517"/>
        <w:spacing w:after="0" w:line="253" w:lineRule="auto"/>
        <w:tabs>
          <w:tab w:leader="none" w:pos="951"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163" w:lineRule="exact"/>
        <w:rPr>
          <w:rFonts w:ascii="Courier New" w:cs="Courier New" w:eastAsia="Courier New" w:hAnsi="Courier New"/>
          <w:sz w:val="14"/>
          <w:szCs w:val="14"/>
          <w:color w:val="auto"/>
        </w:rPr>
      </w:pPr>
    </w:p>
    <w:p>
      <w:pPr>
        <w:ind w:left="951" w:right="3459" w:hanging="517"/>
        <w:spacing w:after="0" w:line="255" w:lineRule="auto"/>
        <w:tabs>
          <w:tab w:leader="none" w:pos="951"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in Executive's Base Salary as in effect immediately before a Change in Control plus all increases therein subsequent thereto;</w:t>
      </w:r>
    </w:p>
    <w:p>
      <w:pPr>
        <w:spacing w:after="0" w:line="161" w:lineRule="exact"/>
        <w:rPr>
          <w:rFonts w:ascii="Courier New" w:cs="Courier New" w:eastAsia="Courier New" w:hAnsi="Courier New"/>
          <w:sz w:val="14"/>
          <w:szCs w:val="14"/>
          <w:color w:val="auto"/>
        </w:rPr>
      </w:pPr>
    </w:p>
    <w:p>
      <w:pPr>
        <w:ind w:left="951" w:right="3199" w:hanging="517"/>
        <w:spacing w:after="0" w:line="254" w:lineRule="auto"/>
        <w:tabs>
          <w:tab w:leader="none" w:pos="951"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substantially to maintain and to continue Executive's participation in the Company's benefit plans as in effect immediately before a Change in Control and with all improvements therein subsequent thereto (other than</w:t>
      </w:r>
    </w:p>
    <w:p>
      <w:pPr>
        <w:spacing w:after="0" w:line="16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7 of 15</w:t>
      </w:r>
    </w:p>
    <w:p>
      <w:pPr>
        <w:sectPr>
          <w:pgSz w:w="11900" w:h="16838" w:orient="portrait"/>
          <w:cols w:equalWidth="0" w:num="1">
            <w:col w:w="10150"/>
          </w:cols>
          <w:pgMar w:left="309" w:top="286" w:right="1440" w:bottom="1440" w:gutter="0" w:footer="0" w:header="0"/>
        </w:sectPr>
      </w:pPr>
    </w:p>
    <w:bookmarkStart w:id="216" w:name="page217"/>
    <w:bookmarkEnd w:id="216"/>
    <w:p>
      <w:pPr>
        <w:ind w:left="251"/>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51" w:right="3299"/>
        <w:spacing w:after="0" w:line="253" w:lineRule="auto"/>
        <w:rPr>
          <w:sz w:val="20"/>
          <w:szCs w:val="20"/>
          <w:color w:val="auto"/>
        </w:rPr>
      </w:pPr>
      <w:r>
        <w:rPr>
          <w:rFonts w:ascii="Courier New" w:cs="Courier New" w:eastAsia="Courier New" w:hAnsi="Courier New"/>
          <w:sz w:val="14"/>
          <w:szCs w:val="14"/>
          <w:color w:val="auto"/>
        </w:rPr>
        <w:t>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165" w:lineRule="exact"/>
        <w:rPr>
          <w:sz w:val="20"/>
          <w:szCs w:val="20"/>
          <w:color w:val="auto"/>
        </w:rPr>
      </w:pPr>
    </w:p>
    <w:p>
      <w:pPr>
        <w:ind w:left="951" w:right="3199" w:hanging="517"/>
        <w:spacing w:after="0" w:line="252" w:lineRule="auto"/>
        <w:tabs>
          <w:tab w:leader="none" w:pos="951"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provide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 home pay, to housing most recently owned by Executive prior to, or as of the effective date of the change of control;</w:t>
      </w:r>
    </w:p>
    <w:p>
      <w:pPr>
        <w:spacing w:after="0" w:line="172" w:lineRule="exact"/>
        <w:rPr>
          <w:rFonts w:ascii="Courier New" w:cs="Courier New" w:eastAsia="Courier New" w:hAnsi="Courier New"/>
          <w:sz w:val="14"/>
          <w:szCs w:val="14"/>
          <w:color w:val="auto"/>
        </w:rPr>
      </w:pPr>
    </w:p>
    <w:p>
      <w:pPr>
        <w:ind w:left="951" w:right="3299" w:hanging="517"/>
        <w:spacing w:after="0" w:line="254" w:lineRule="auto"/>
        <w:tabs>
          <w:tab w:leader="none" w:pos="951"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162" w:lineRule="exact"/>
        <w:rPr>
          <w:rFonts w:ascii="Courier New" w:cs="Courier New" w:eastAsia="Courier New" w:hAnsi="Courier New"/>
          <w:sz w:val="14"/>
          <w:szCs w:val="14"/>
          <w:color w:val="auto"/>
        </w:rPr>
      </w:pPr>
    </w:p>
    <w:p>
      <w:pPr>
        <w:ind w:left="951" w:right="3199" w:hanging="517"/>
        <w:spacing w:after="0" w:line="255" w:lineRule="auto"/>
        <w:tabs>
          <w:tab w:leader="none" w:pos="951"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obtain an assumption of, and agreement to perform the obligations of the Company under this Agreement by any successor to the Company.</w:t>
      </w:r>
    </w:p>
    <w:p>
      <w:pPr>
        <w:spacing w:after="0" w:line="161" w:lineRule="exact"/>
        <w:rPr>
          <w:rFonts w:ascii="Courier New" w:cs="Courier New" w:eastAsia="Courier New" w:hAnsi="Courier New"/>
          <w:sz w:val="14"/>
          <w:szCs w:val="14"/>
          <w:color w:val="auto"/>
        </w:rPr>
      </w:pPr>
    </w:p>
    <w:p>
      <w:pPr>
        <w:ind w:left="431" w:right="3459" w:hanging="431"/>
        <w:spacing w:after="0" w:line="255" w:lineRule="auto"/>
        <w:tabs>
          <w:tab w:leader="none" w:pos="431"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PAYABLE. In the event that Executive terminates employment pursuant to Section 7(a), the Company shall pay the following amounts to Executive:</w:t>
      </w:r>
    </w:p>
    <w:p>
      <w:pPr>
        <w:spacing w:after="0" w:line="161" w:lineRule="exact"/>
        <w:rPr>
          <w:rFonts w:ascii="Courier New" w:cs="Courier New" w:eastAsia="Courier New" w:hAnsi="Courier New"/>
          <w:sz w:val="14"/>
          <w:szCs w:val="14"/>
          <w:color w:val="auto"/>
        </w:rPr>
      </w:pPr>
    </w:p>
    <w:p>
      <w:pPr>
        <w:ind w:left="951" w:right="3299" w:hanging="517"/>
        <w:spacing w:after="0" w:line="254" w:lineRule="auto"/>
        <w:tabs>
          <w:tab w:leader="none" w:pos="951"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951" w:right="3459" w:hanging="517"/>
        <w:spacing w:after="0" w:line="254" w:lineRule="auto"/>
        <w:tabs>
          <w:tab w:leader="none" w:pos="951"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951" w:right="3199" w:hanging="517"/>
        <w:spacing w:after="0" w:line="254" w:lineRule="auto"/>
        <w:tabs>
          <w:tab w:leader="none" w:pos="951"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termination.</w:t>
      </w:r>
    </w:p>
    <w:p>
      <w:pPr>
        <w:spacing w:after="0" w:line="200" w:lineRule="exact"/>
        <w:rPr>
          <w:sz w:val="20"/>
          <w:szCs w:val="20"/>
          <w:color w:val="auto"/>
        </w:rPr>
      </w:pPr>
    </w:p>
    <w:p>
      <w:pPr>
        <w:spacing w:after="0" w:line="29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8 of 15</w:t>
      </w:r>
    </w:p>
    <w:p>
      <w:pPr>
        <w:sectPr>
          <w:pgSz w:w="11900" w:h="16838" w:orient="portrait"/>
          <w:cols w:equalWidth="0" w:num="1">
            <w:col w:w="10150"/>
          </w:cols>
          <w:pgMar w:left="309" w:top="286"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ind w:left="620" w:right="3299" w:hanging="437"/>
        <w:spacing w:after="0" w:line="253" w:lineRule="auto"/>
        <w:tabs>
          <w:tab w:leader="none" w:pos="62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163" w:lineRule="exact"/>
        <w:rPr>
          <w:rFonts w:ascii="Courier New" w:cs="Courier New" w:eastAsia="Courier New" w:hAnsi="Courier New"/>
          <w:sz w:val="14"/>
          <w:szCs w:val="14"/>
          <w:color w:val="auto"/>
        </w:rPr>
      </w:pPr>
    </w:p>
    <w:p>
      <w:pPr>
        <w:ind w:left="6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65" w:lineRule="exact"/>
        <w:rPr>
          <w:sz w:val="20"/>
          <w:szCs w:val="20"/>
          <w:color w:val="auto"/>
        </w:rPr>
      </w:pPr>
    </w:p>
    <w:p>
      <w:pPr>
        <w:ind w:left="620" w:right="3199" w:hanging="437"/>
        <w:spacing w:after="0" w:line="252" w:lineRule="auto"/>
        <w:tabs>
          <w:tab w:leader="none" w:pos="6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174" w:lineRule="exact"/>
        <w:rPr>
          <w:rFonts w:ascii="Courier New" w:cs="Courier New" w:eastAsia="Courier New" w:hAnsi="Courier New"/>
          <w:sz w:val="14"/>
          <w:szCs w:val="14"/>
          <w:color w:val="auto"/>
        </w:rPr>
      </w:pPr>
    </w:p>
    <w:p>
      <w:pPr>
        <w:ind w:left="6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164" w:lineRule="exact"/>
        <w:rPr>
          <w:rFonts w:ascii="Courier New" w:cs="Courier New" w:eastAsia="Courier New" w:hAnsi="Courier New"/>
          <w:sz w:val="14"/>
          <w:szCs w:val="14"/>
          <w:color w:val="auto"/>
        </w:rPr>
      </w:pPr>
    </w:p>
    <w:p>
      <w:pPr>
        <w:ind w:left="620" w:right="3199" w:hanging="437"/>
        <w:spacing w:after="0" w:line="258" w:lineRule="auto"/>
        <w:tabs>
          <w:tab w:leader="none" w:pos="6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purposes of this Agreement, "Change in Control" means the occurrence of any of the following events:</w:t>
      </w:r>
    </w:p>
    <w:p>
      <w:pPr>
        <w:spacing w:after="0" w:line="159" w:lineRule="exact"/>
        <w:rPr>
          <w:rFonts w:ascii="Courier New" w:cs="Courier New" w:eastAsia="Courier New" w:hAnsi="Courier New"/>
          <w:sz w:val="14"/>
          <w:szCs w:val="14"/>
          <w:color w:val="auto"/>
        </w:rPr>
      </w:pPr>
    </w:p>
    <w:p>
      <w:pPr>
        <w:ind w:left="1060" w:right="3199" w:hanging="443"/>
        <w:spacing w:after="0" w:line="254" w:lineRule="auto"/>
        <w:tabs>
          <w:tab w:leader="none" w:pos="1060"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w:t>
      </w:r>
    </w:p>
    <w:p>
      <w:pPr>
        <w:spacing w:after="0" w:line="16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9 of 15</w:t>
      </w:r>
    </w:p>
    <w:p>
      <w:pPr>
        <w:sectPr>
          <w:pgSz w:w="11900" w:h="16838" w:orient="portrait"/>
          <w:cols w:equalWidth="0" w:num="1">
            <w:col w:w="9899"/>
          </w:cols>
          <w:pgMar w:left="560" w:top="286" w:right="1440" w:bottom="1440" w:gutter="0" w:footer="0" w:header="0"/>
        </w:sectPr>
      </w:pPr>
    </w:p>
    <w:bookmarkStart w:id="218" w:name="page219"/>
    <w:bookmarkEnd w:id="218"/>
    <w:p>
      <w:pPr>
        <w:ind w:left="251"/>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9" w:lineRule="exact"/>
        <w:rPr>
          <w:sz w:val="20"/>
          <w:szCs w:val="20"/>
          <w:color w:val="auto"/>
        </w:rPr>
      </w:pPr>
    </w:p>
    <w:p>
      <w:pPr>
        <w:ind w:left="1311" w:right="3299"/>
        <w:spacing w:after="0" w:line="254" w:lineRule="auto"/>
        <w:rPr>
          <w:sz w:val="20"/>
          <w:szCs w:val="20"/>
          <w:color w:val="auto"/>
        </w:rPr>
      </w:pPr>
      <w:r>
        <w:rPr>
          <w:rFonts w:ascii="Courier New" w:cs="Courier New" w:eastAsia="Courier New" w:hAnsi="Courier New"/>
          <w:sz w:val="14"/>
          <w:szCs w:val="14"/>
          <w:color w:val="auto"/>
        </w:rPr>
        <w:t>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162" w:lineRule="exact"/>
        <w:rPr>
          <w:sz w:val="20"/>
          <w:szCs w:val="20"/>
          <w:color w:val="auto"/>
        </w:rPr>
      </w:pPr>
    </w:p>
    <w:p>
      <w:pPr>
        <w:ind w:left="1311" w:right="3199" w:hanging="443"/>
        <w:spacing w:after="0" w:line="254" w:lineRule="auto"/>
        <w:tabs>
          <w:tab w:leader="none" w:pos="1311"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162" w:lineRule="exact"/>
        <w:rPr>
          <w:rFonts w:ascii="Courier New" w:cs="Courier New" w:eastAsia="Courier New" w:hAnsi="Courier New"/>
          <w:sz w:val="14"/>
          <w:szCs w:val="14"/>
          <w:color w:val="auto"/>
        </w:rPr>
      </w:pPr>
    </w:p>
    <w:p>
      <w:pPr>
        <w:ind w:left="251" w:hanging="251"/>
        <w:spacing w:after="0"/>
        <w:tabs>
          <w:tab w:leader="none" w:pos="25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sz w:val="20"/>
          <w:szCs w:val="20"/>
          <w:color w:val="auto"/>
        </w:rPr>
      </w:pPr>
    </w:p>
    <w:p>
      <w:pPr>
        <w:ind w:left="431" w:right="3199" w:hanging="431"/>
        <w:spacing w:after="0" w:line="252" w:lineRule="auto"/>
        <w:tabs>
          <w:tab w:leader="none" w:pos="431"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that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174" w:lineRule="exact"/>
        <w:rPr>
          <w:rFonts w:ascii="Courier New" w:cs="Courier New" w:eastAsia="Courier New" w:hAnsi="Courier New"/>
          <w:sz w:val="14"/>
          <w:szCs w:val="14"/>
          <w:color w:val="auto"/>
        </w:rPr>
      </w:pPr>
    </w:p>
    <w:p>
      <w:pPr>
        <w:ind w:left="431" w:right="3299" w:hanging="431"/>
        <w:spacing w:after="0" w:line="252" w:lineRule="auto"/>
        <w:tabs>
          <w:tab w:leader="none" w:pos="431"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one</w:t>
      </w:r>
    </w:p>
    <w:p>
      <w:pPr>
        <w:ind w:left="431" w:right="3199" w:firstLine="3"/>
        <w:spacing w:after="0" w:line="252" w:lineRule="auto"/>
        <w:tabs>
          <w:tab w:leader="none" w:pos="778"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w:t>
      </w:r>
    </w:p>
    <w:p>
      <w:pPr>
        <w:spacing w:after="0" w:line="339"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10 of 15</w:t>
      </w:r>
    </w:p>
    <w:p>
      <w:pPr>
        <w:sectPr>
          <w:pgSz w:w="11900" w:h="16838" w:orient="portrait"/>
          <w:cols w:equalWidth="0" w:num="1">
            <w:col w:w="10150"/>
          </w:cols>
          <w:pgMar w:left="309" w:top="286"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440" w:right="3299" w:hanging="431"/>
        <w:spacing w:after="0" w:line="253" w:lineRule="auto"/>
        <w:tabs>
          <w:tab w:leader="none" w:pos="44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64" w:lineRule="exact"/>
        <w:rPr>
          <w:rFonts w:ascii="Courier New" w:cs="Courier New" w:eastAsia="Courier New" w:hAnsi="Courier New"/>
          <w:sz w:val="14"/>
          <w:szCs w:val="14"/>
          <w:color w:val="auto"/>
        </w:rPr>
      </w:pPr>
    </w:p>
    <w:p>
      <w:pPr>
        <w:ind w:left="440" w:right="3199" w:hanging="431"/>
        <w:spacing w:after="0" w:line="252" w:lineRule="auto"/>
        <w:tabs>
          <w:tab w:leader="none" w:pos="44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ENFORCEMENT OF COVENANTS.</w:t>
      </w:r>
    </w:p>
    <w:p>
      <w:pPr>
        <w:spacing w:after="0" w:line="175" w:lineRule="exact"/>
        <w:rPr>
          <w:sz w:val="20"/>
          <w:szCs w:val="20"/>
          <w:color w:val="auto"/>
        </w:rPr>
      </w:pPr>
    </w:p>
    <w:p>
      <w:pPr>
        <w:ind w:left="440" w:right="3199" w:hanging="431"/>
        <w:spacing w:after="0" w:line="253" w:lineRule="auto"/>
        <w:tabs>
          <w:tab w:leader="none" w:pos="44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164"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162" w:lineRule="exact"/>
        <w:rPr>
          <w:rFonts w:ascii="Courier New" w:cs="Courier New" w:eastAsia="Courier New" w:hAnsi="Courier New"/>
          <w:sz w:val="14"/>
          <w:szCs w:val="14"/>
          <w:color w:val="auto"/>
        </w:rPr>
      </w:pPr>
    </w:p>
    <w:p>
      <w:pPr>
        <w:ind w:left="440" w:right="3199" w:hanging="431"/>
        <w:spacing w:after="0" w:line="255" w:lineRule="auto"/>
        <w:tabs>
          <w:tab w:leader="none" w:pos="44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11 of 15</w:t>
      </w:r>
    </w:p>
    <w:p>
      <w:pPr>
        <w:sectPr>
          <w:pgSz w:w="11900" w:h="16838" w:orient="portrait"/>
          <w:cols w:equalWidth="0" w:num="1">
            <w:col w:w="10159"/>
          </w:cols>
          <w:pgMar w:left="300" w:top="286"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right="3199"/>
        <w:spacing w:after="0" w:line="252" w:lineRule="auto"/>
        <w:rPr>
          <w:sz w:val="20"/>
          <w:szCs w:val="20"/>
          <w:color w:val="auto"/>
        </w:rPr>
      </w:pPr>
      <w:r>
        <w:rPr>
          <w:rFonts w:ascii="Courier New" w:cs="Courier New" w:eastAsia="Courier New" w:hAnsi="Courier New"/>
          <w:sz w:val="14"/>
          <w:szCs w:val="14"/>
          <w:color w:val="auto"/>
        </w:rPr>
        <w:t>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DISPUTES AND PAYMENT OF ATTORNEY'S FEES.</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parry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327"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12 of 15</w:t>
      </w:r>
    </w:p>
    <w:p>
      <w:pPr>
        <w:sectPr>
          <w:pgSz w:w="11900" w:h="16838" w:orient="portrait"/>
          <w:cols w:equalWidth="0" w:num="1">
            <w:col w:w="10159"/>
          </w:cols>
          <w:pgMar w:left="300" w:top="286"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NON-DISCLOSURE OF AGREEMENT TERMS.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SOURCE OF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ASSIGNMENT.</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Texas applicable to agreements made and to be performed in that State, without regard to its conflict of laws provisions.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13 of 15</w:t>
      </w:r>
    </w:p>
    <w:p>
      <w:pPr>
        <w:sectPr>
          <w:pgSz w:w="11900" w:h="16838" w:orient="portrait"/>
          <w:cols w:equalWidth="0" w:num="1">
            <w:col w:w="10159"/>
          </w:cols>
          <w:pgMar w:left="300" w:top="286"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33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To the Company: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USA Waste Services,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1001 Fannin, Suite 4000</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Houston, Texas 77002</w:t>
      </w:r>
    </w:p>
    <w:p>
      <w:pPr>
        <w:spacing w:after="0" w:line="8" w:lineRule="exact"/>
        <w:rPr>
          <w:sz w:val="20"/>
          <w:szCs w:val="20"/>
          <w:color w:val="auto"/>
        </w:rPr>
      </w:pPr>
    </w:p>
    <w:p>
      <w:pPr>
        <w:ind w:left="1580"/>
        <w:spacing w:after="0"/>
        <w:tabs>
          <w:tab w:leader="none" w:pos="2680" w:val="left"/>
        </w:tabs>
        <w:rPr>
          <w:sz w:val="20"/>
          <w:szCs w:val="20"/>
          <w:color w:val="auto"/>
        </w:rPr>
      </w:pPr>
      <w:r>
        <w:rPr>
          <w:rFonts w:ascii="Courier New" w:cs="Courier New" w:eastAsia="Courier New" w:hAnsi="Courier New"/>
          <w:sz w:val="14"/>
          <w:szCs w:val="14"/>
          <w:color w:val="auto"/>
        </w:rPr>
        <w:t>Attention:</w:t>
        <w:tab/>
        <w:t>Corporate Secretary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To Executive: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 the address for Executive set forth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MISCELLANEOUS.</w:t>
      </w:r>
    </w:p>
    <w:p>
      <w:pPr>
        <w:spacing w:after="0" w:line="175" w:lineRule="exact"/>
        <w:rPr>
          <w:sz w:val="20"/>
          <w:szCs w:val="20"/>
          <w:color w:val="auto"/>
        </w:rPr>
      </w:pPr>
    </w:p>
    <w:p>
      <w:pPr>
        <w:ind w:left="440" w:right="3299" w:hanging="431"/>
        <w:spacing w:after="0" w:line="254"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440" w:right="3199" w:hanging="431"/>
        <w:spacing w:after="0" w:line="254"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62" w:lineRule="exact"/>
        <w:rPr>
          <w:rFonts w:ascii="Courier New" w:cs="Courier New" w:eastAsia="Courier New" w:hAnsi="Courier New"/>
          <w:sz w:val="14"/>
          <w:szCs w:val="14"/>
          <w:color w:val="auto"/>
        </w:rPr>
      </w:pPr>
    </w:p>
    <w:p>
      <w:pPr>
        <w:ind w:left="440" w:right="3379" w:hanging="431"/>
        <w:spacing w:after="0" w:line="258"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159" w:lineRule="exact"/>
        <w:rPr>
          <w:rFonts w:ascii="Courier New" w:cs="Courier New" w:eastAsia="Courier New" w:hAnsi="Courier New"/>
          <w:sz w:val="14"/>
          <w:szCs w:val="14"/>
          <w:color w:val="auto"/>
        </w:rPr>
      </w:pPr>
    </w:p>
    <w:p>
      <w:pPr>
        <w:ind w:left="440" w:right="3559" w:hanging="431"/>
        <w:spacing w:after="0" w:line="258"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9" w:lineRule="exact"/>
        <w:rPr>
          <w:rFonts w:ascii="Courier New" w:cs="Courier New" w:eastAsia="Courier New" w:hAnsi="Courier New"/>
          <w:sz w:val="14"/>
          <w:szCs w:val="14"/>
          <w:color w:val="auto"/>
        </w:rPr>
      </w:pPr>
    </w:p>
    <w:p>
      <w:pPr>
        <w:ind w:left="440" w:right="3199" w:hanging="431"/>
        <w:spacing w:after="0" w:line="255" w:lineRule="auto"/>
        <w:tabs>
          <w:tab w:leader="none" w:pos="44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32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14 of 15</w:t>
      </w:r>
    </w:p>
    <w:p>
      <w:pPr>
        <w:sectPr>
          <w:pgSz w:w="11900" w:h="16838" w:orient="portrait"/>
          <w:cols w:equalWidth="0" w:num="1">
            <w:col w:w="10159"/>
          </w:cols>
          <w:pgMar w:left="300" w:top="286"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INC.</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20"/>
                <w:szCs w:val="20"/>
                <w:color w:val="auto"/>
              </w:rPr>
            </w:pPr>
            <w:r>
              <w:rPr>
                <w:rFonts w:ascii="Courier New" w:cs="Courier New" w:eastAsia="Courier New" w:hAnsi="Courier New"/>
                <w:sz w:val="14"/>
                <w:szCs w:val="14"/>
                <w:color w:val="auto"/>
              </w:rPr>
              <w:t>By: /s/ [ILLEGIBLE]</w:t>
            </w:r>
          </w:p>
        </w:tc>
        <w:tc>
          <w:tcPr>
            <w:tcW w:w="880" w:type="dxa"/>
            <w:vAlign w:val="bottom"/>
          </w:tcPr>
          <w:p>
            <w:pPr>
              <w:ind w:left="400"/>
              <w:spacing w:after="0"/>
              <w:rPr>
                <w:sz w:val="20"/>
                <w:szCs w:val="20"/>
                <w:color w:val="auto"/>
              </w:rPr>
            </w:pPr>
            <w:r>
              <w:rPr>
                <w:rFonts w:ascii="Courier New" w:cs="Courier New" w:eastAsia="Courier New" w:hAnsi="Courier New"/>
                <w:sz w:val="14"/>
                <w:szCs w:val="14"/>
                <w:color w:val="auto"/>
              </w:rPr>
              <w:t>Date:</w:t>
            </w:r>
          </w:p>
        </w:tc>
        <w:tc>
          <w:tcPr>
            <w:tcW w:w="19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2/3/98</w:t>
            </w:r>
          </w:p>
        </w:tc>
      </w:tr>
      <w:tr>
        <w:trPr>
          <w:trHeight w:val="167"/>
        </w:trPr>
        <w:tc>
          <w:tcPr>
            <w:tcW w:w="3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7"/>
        </w:trPr>
        <w:tc>
          <w:tcPr>
            <w:tcW w:w="3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7"/>
        </w:trPr>
        <w:tc>
          <w:tcPr>
            <w:tcW w:w="3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501"/>
        </w:trPr>
        <w:tc>
          <w:tcPr>
            <w:tcW w:w="334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4"/>
        </w:trPr>
        <w:tc>
          <w:tcPr>
            <w:tcW w:w="3340" w:type="dxa"/>
            <w:vAlign w:val="bottom"/>
          </w:tcPr>
          <w:p>
            <w:pPr>
              <w:ind w:left="360"/>
              <w:spacing w:after="0"/>
              <w:rPr>
                <w:sz w:val="20"/>
                <w:szCs w:val="20"/>
                <w:color w:val="auto"/>
              </w:rPr>
            </w:pPr>
            <w:r>
              <w:rPr>
                <w:rFonts w:ascii="Courier New" w:cs="Courier New" w:eastAsia="Courier New" w:hAnsi="Courier New"/>
                <w:sz w:val="14"/>
                <w:szCs w:val="14"/>
                <w:color w:val="auto"/>
              </w:rPr>
              <w:t>/s/ CHARLES A. WILCOX</w:t>
            </w:r>
          </w:p>
        </w:tc>
        <w:tc>
          <w:tcPr>
            <w:tcW w:w="880" w:type="dxa"/>
            <w:vAlign w:val="bottom"/>
          </w:tcPr>
          <w:p>
            <w:pPr>
              <w:ind w:left="400"/>
              <w:spacing w:after="0"/>
              <w:rPr>
                <w:sz w:val="20"/>
                <w:szCs w:val="20"/>
                <w:color w:val="auto"/>
              </w:rPr>
            </w:pPr>
            <w:r>
              <w:rPr>
                <w:rFonts w:ascii="Courier New" w:cs="Courier New" w:eastAsia="Courier New" w:hAnsi="Courier New"/>
                <w:sz w:val="14"/>
                <w:szCs w:val="14"/>
                <w:color w:val="auto"/>
              </w:rPr>
              <w:t>Date:</w:t>
            </w:r>
          </w:p>
        </w:tc>
        <w:tc>
          <w:tcPr>
            <w:tcW w:w="19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2/3/98</w:t>
            </w:r>
          </w:p>
        </w:tc>
      </w:tr>
    </w:tbl>
    <w:p>
      <w:pPr>
        <w:spacing w:after="0" w:line="4"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511 VALHALLA DR.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SEWICKLEY, PA 15143</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15 of 15</w:t>
      </w:r>
    </w:p>
    <w:p>
      <w:pPr>
        <w:sectPr>
          <w:pgSz w:w="11900" w:h="16838" w:orient="portrait"/>
          <w:cols w:equalWidth="0" w:num="1">
            <w:col w:w="10159"/>
          </w:cols>
          <w:pgMar w:left="300" w:top="286"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10.41</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USA WASTE SERVICES, INC. (the "Company"), and DOUGLAS G. SOBEY (the "Executive") hereby enter into this EMPLOYMENT AGREEMENT ("Agreement") dated as of 5/20/97,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EMPLOYMENT.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Company shall employ Executive, and Executive shall be employed by the Company upon the terms and subject to the conditions set forth in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TERM OF EMPLOYMENT.</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The period of Executive's employment under this Agreement shall begin as of January 1, 1997, and shall be for continuously renewing three (3) year terms, unless Executive's employment is terminated in accordance with Section 5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DUTIES AND RESPONSIBILITIES.</w:t>
      </w:r>
    </w:p>
    <w:p>
      <w:pPr>
        <w:spacing w:after="0" w:line="175" w:lineRule="exact"/>
        <w:rPr>
          <w:sz w:val="20"/>
          <w:szCs w:val="20"/>
          <w:color w:val="auto"/>
        </w:rPr>
      </w:pPr>
    </w:p>
    <w:p>
      <w:pPr>
        <w:ind w:left="440" w:right="3459" w:hanging="431"/>
        <w:spacing w:after="0" w:line="254" w:lineRule="auto"/>
        <w:tabs>
          <w:tab w:leader="none" w:pos="44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Regional Vice President, and report to the President/Chief Operating Officer. In such capacity, Executive shall perform such duties as may be assigned to Executive from time to time by the Board of Directors of the Company, or the Chief Executive Officer of the Company, or Chief Operating Officer of the Company.</w:t>
      </w:r>
    </w:p>
    <w:p>
      <w:pPr>
        <w:spacing w:after="0" w:line="162"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164"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COMPENSATION AND BENEFITS.</w:t>
      </w:r>
    </w:p>
    <w:p>
      <w:pPr>
        <w:spacing w:after="0" w:line="175" w:lineRule="exact"/>
        <w:rPr>
          <w:sz w:val="20"/>
          <w:szCs w:val="20"/>
          <w:color w:val="auto"/>
        </w:rPr>
      </w:pPr>
    </w:p>
    <w:p>
      <w:pPr>
        <w:ind w:left="440" w:right="3199" w:hanging="431"/>
        <w:spacing w:after="0" w:line="254" w:lineRule="auto"/>
        <w:tabs>
          <w:tab w:leader="none" w:pos="44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Executive a base salary at the annual rate of two hundred seventy-five thousand ($275,000.00) dollars per year, or such higher rate as may be determined from time to time by the Company ("Base Salary"). Such Base Salary shall be paid in accordance with the Company's standard payroll practice for executives.</w:t>
      </w:r>
    </w:p>
    <w:p>
      <w:pPr>
        <w:sectPr>
          <w:pgSz w:w="11900" w:h="16838" w:orient="portrait"/>
          <w:cols w:equalWidth="0" w:num="1">
            <w:col w:w="10159"/>
          </w:cols>
          <w:pgMar w:left="300" w:top="142"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right="3379" w:hanging="431"/>
        <w:spacing w:after="0" w:line="254" w:lineRule="auto"/>
        <w:tabs>
          <w:tab w:leader="none" w:pos="4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executives, provided that such expenses are incurred and accounted for in accordance with the Company's policy.</w:t>
      </w:r>
    </w:p>
    <w:p>
      <w:pPr>
        <w:spacing w:after="0" w:line="162" w:lineRule="exact"/>
        <w:rPr>
          <w:rFonts w:ascii="Courier New" w:cs="Courier New" w:eastAsia="Courier New" w:hAnsi="Courier New"/>
          <w:sz w:val="14"/>
          <w:szCs w:val="14"/>
          <w:color w:val="auto"/>
        </w:rPr>
      </w:pPr>
    </w:p>
    <w:p>
      <w:pPr>
        <w:ind w:left="440" w:right="3299" w:hanging="431"/>
        <w:spacing w:after="0" w:line="253" w:lineRule="auto"/>
        <w:tabs>
          <w:tab w:leader="none" w:pos="4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executives working pursuant to this form of Agreement (hereinafter referred to as "similarly situated executives."</w:t>
      </w:r>
    </w:p>
    <w:p>
      <w:pPr>
        <w:spacing w:after="0" w:line="164"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 (i) defend the validity of this Agreement, (ii) contest any determination by the Company concerning the amounts payable (or reimbursable) by the Company to the Executive under this Agreement, (iii) 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TERMINATION OF EMPLOYMENT.</w:t>
      </w:r>
    </w:p>
    <w:p>
      <w:pPr>
        <w:spacing w:after="0" w:line="175" w:lineRule="exact"/>
        <w:rPr>
          <w:sz w:val="20"/>
          <w:szCs w:val="20"/>
          <w:color w:val="auto"/>
        </w:rPr>
      </w:pPr>
    </w:p>
    <w:p>
      <w:pPr>
        <w:ind w:right="4079"/>
        <w:spacing w:after="0" w:line="258" w:lineRule="auto"/>
        <w:rPr>
          <w:sz w:val="20"/>
          <w:szCs w:val="20"/>
          <w:color w:val="auto"/>
        </w:rPr>
      </w:pPr>
      <w:r>
        <w:rPr>
          <w:rFonts w:ascii="Courier New" w:cs="Courier New" w:eastAsia="Courier New" w:hAnsi="Courier New"/>
          <w:sz w:val="14"/>
          <w:szCs w:val="14"/>
          <w:color w:val="auto"/>
        </w:rPr>
        <w:t>Executive's employment hereunder may be terminated under the following circumstances:</w:t>
      </w:r>
    </w:p>
    <w:p>
      <w:pPr>
        <w:spacing w:after="0" w:line="160" w:lineRule="exact"/>
        <w:rPr>
          <w:sz w:val="20"/>
          <w:szCs w:val="20"/>
          <w:color w:val="auto"/>
        </w:rPr>
      </w:pPr>
    </w:p>
    <w:p>
      <w:pPr>
        <w:ind w:left="440" w:right="3459" w:hanging="431"/>
        <w:spacing w:after="0" w:line="258" w:lineRule="auto"/>
        <w:tabs>
          <w:tab w:leader="none" w:pos="4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Executive's employment hereunder shall terminate upon Executive's death.</w:t>
      </w:r>
    </w:p>
    <w:p>
      <w:pPr>
        <w:spacing w:after="0" w:line="159"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2 of 15</w:t>
      </w:r>
    </w:p>
    <w:p>
      <w:pPr>
        <w:sectPr>
          <w:pgSz w:w="11900" w:h="16838" w:orient="portrait"/>
          <w:cols w:equalWidth="0" w:num="1">
            <w:col w:w="10159"/>
          </w:cols>
          <w:pgMar w:left="300" w:top="286"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40" w:right="3199" w:hanging="431"/>
        <w:spacing w:after="0" w:line="255" w:lineRule="auto"/>
        <w:tabs>
          <w:tab w:leader="none" w:pos="44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after providing written notice to Executive.</w:t>
      </w:r>
    </w:p>
    <w:p>
      <w:pPr>
        <w:spacing w:after="0" w:line="161" w:lineRule="exact"/>
        <w:rPr>
          <w:rFonts w:ascii="Courier New" w:cs="Courier New" w:eastAsia="Courier New" w:hAnsi="Courier New"/>
          <w:sz w:val="14"/>
          <w:szCs w:val="14"/>
          <w:color w:val="auto"/>
        </w:rPr>
      </w:pPr>
    </w:p>
    <w:p>
      <w:pPr>
        <w:ind w:left="960" w:right="3199" w:hanging="517"/>
        <w:spacing w:after="0" w:line="252" w:lineRule="auto"/>
        <w:tabs>
          <w:tab w:leader="none" w:pos="96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w:t>
      </w:r>
    </w:p>
    <w:p>
      <w:pPr>
        <w:spacing w:after="0" w:line="3" w:lineRule="exact"/>
        <w:rPr>
          <w:rFonts w:ascii="Courier New" w:cs="Courier New" w:eastAsia="Courier New" w:hAnsi="Courier New"/>
          <w:sz w:val="14"/>
          <w:szCs w:val="14"/>
          <w:color w:val="auto"/>
        </w:rPr>
      </w:pPr>
    </w:p>
    <w:p>
      <w:pPr>
        <w:ind w:left="960" w:right="3199" w:firstLine="4"/>
        <w:spacing w:after="0" w:line="253" w:lineRule="auto"/>
        <w:tabs>
          <w:tab w:leader="none" w:pos="1307" w:val="left"/>
        </w:tabs>
        <w:numPr>
          <w:ilvl w:val="2"/>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65" w:lineRule="exact"/>
        <w:rPr>
          <w:rFonts w:ascii="Courier New" w:cs="Courier New" w:eastAsia="Courier New" w:hAnsi="Courier New"/>
          <w:sz w:val="14"/>
          <w:szCs w:val="14"/>
          <w:color w:val="auto"/>
        </w:rPr>
      </w:pPr>
    </w:p>
    <w:p>
      <w:pPr>
        <w:ind w:left="960" w:right="3199" w:hanging="517"/>
        <w:spacing w:after="0" w:line="253" w:lineRule="auto"/>
        <w:tabs>
          <w:tab w:leader="none" w:pos="96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64" w:lineRule="exact"/>
        <w:rPr>
          <w:rFonts w:ascii="Courier New" w:cs="Courier New" w:eastAsia="Courier New" w:hAnsi="Courier New"/>
          <w:sz w:val="14"/>
          <w:szCs w:val="14"/>
          <w:color w:val="auto"/>
        </w:rPr>
      </w:pPr>
    </w:p>
    <w:p>
      <w:pPr>
        <w:ind w:left="960" w:right="3199" w:hanging="517"/>
        <w:spacing w:after="0" w:line="254" w:lineRule="auto"/>
        <w:tabs>
          <w:tab w:leader="none" w:pos="96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162"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Executive may terminate employment hereunder at any time after providing ninety (90) days' written notice to the Company, or for good reason as described in Section 7 of this Agreement.</w:t>
      </w:r>
    </w:p>
    <w:p>
      <w:pPr>
        <w:spacing w:after="0" w:line="163" w:lineRule="exact"/>
        <w:rPr>
          <w:rFonts w:ascii="Courier New" w:cs="Courier New" w:eastAsia="Courier New" w:hAnsi="Courier New"/>
          <w:sz w:val="14"/>
          <w:szCs w:val="14"/>
          <w:color w:val="auto"/>
        </w:rPr>
      </w:pPr>
    </w:p>
    <w:p>
      <w:pPr>
        <w:ind w:left="440" w:right="3299" w:hanging="431"/>
        <w:spacing w:after="0" w:line="255" w:lineRule="auto"/>
        <w:tabs>
          <w:tab w:leader="none" w:pos="44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after providing written notice to Executive.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COMPENSATION FOLLOWING TERMINATION OF EMPLOYMENT.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the event that Executive's employment hereunder is terminated, Executive shall be entitled to the following compensation and benefits upon such termination:</w:t>
      </w:r>
    </w:p>
    <w:p>
      <w:pPr>
        <w:spacing w:after="0" w:line="162" w:lineRule="exact"/>
        <w:rPr>
          <w:sz w:val="20"/>
          <w:szCs w:val="20"/>
          <w:color w:val="auto"/>
        </w:rPr>
      </w:pPr>
    </w:p>
    <w:p>
      <w:pPr>
        <w:ind w:left="440" w:right="3199" w:hanging="431"/>
        <w:spacing w:after="0" w:line="255" w:lineRule="auto"/>
        <w:tabs>
          <w:tab w:leader="none" w:pos="44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00" w:lineRule="exact"/>
        <w:rPr>
          <w:sz w:val="20"/>
          <w:szCs w:val="20"/>
          <w:color w:val="auto"/>
        </w:rPr>
      </w:pPr>
    </w:p>
    <w:p>
      <w:pPr>
        <w:spacing w:after="0" w:line="29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15</w:t>
      </w:r>
    </w:p>
    <w:p>
      <w:pPr>
        <w:sectPr>
          <w:pgSz w:w="11900" w:h="16838" w:orient="portrait"/>
          <w:cols w:equalWidth="0" w:num="1">
            <w:col w:w="10159"/>
          </w:cols>
          <w:pgMar w:left="300" w:top="286" w:right="1440" w:bottom="1440" w:gutter="0" w:footer="0" w:header="0"/>
        </w:sectPr>
      </w:pPr>
    </w:p>
    <w:bookmarkStart w:id="227" w:name="page228"/>
    <w:bookmarkEnd w:id="227"/>
    <w:p>
      <w:pPr>
        <w:ind w:left="251"/>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9" w:lineRule="exact"/>
        <w:rPr>
          <w:sz w:val="20"/>
          <w:szCs w:val="20"/>
          <w:color w:val="auto"/>
        </w:rPr>
      </w:pPr>
    </w:p>
    <w:p>
      <w:pPr>
        <w:ind w:left="951" w:right="3199" w:hanging="517"/>
        <w:spacing w:after="0" w:line="253" w:lineRule="auto"/>
        <w:tabs>
          <w:tab w:leader="none" w:pos="951"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 pro-rata "bonus" or incentive compensation payment to the extent payments are awarded to similarly situated executives and paid at the same time as similarly situated executives are paid; and any vacation accrued to the date of death.</w:t>
      </w:r>
    </w:p>
    <w:p>
      <w:pPr>
        <w:spacing w:after="0" w:line="165" w:lineRule="exact"/>
        <w:rPr>
          <w:rFonts w:ascii="Courier New" w:cs="Courier New" w:eastAsia="Courier New" w:hAnsi="Courier New"/>
          <w:sz w:val="14"/>
          <w:szCs w:val="14"/>
          <w:color w:val="auto"/>
        </w:rPr>
      </w:pPr>
    </w:p>
    <w:p>
      <w:pPr>
        <w:ind w:left="951" w:right="3379" w:hanging="517"/>
        <w:spacing w:after="0" w:line="254" w:lineRule="auto"/>
        <w:tabs>
          <w:tab w:leader="none" w:pos="951"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951" w:right="3199" w:hanging="517"/>
        <w:spacing w:after="0" w:line="253" w:lineRule="auto"/>
        <w:tabs>
          <w:tab w:leader="none" w:pos="951"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(three [3] years). Such amount shall be paid in a single lump sum cash payment within thirty (30) days after Executive's death.</w:t>
      </w:r>
    </w:p>
    <w:p>
      <w:pPr>
        <w:spacing w:after="0" w:line="165" w:lineRule="exact"/>
        <w:rPr>
          <w:rFonts w:ascii="Courier New" w:cs="Courier New" w:eastAsia="Courier New" w:hAnsi="Courier New"/>
          <w:sz w:val="14"/>
          <w:szCs w:val="14"/>
          <w:color w:val="auto"/>
        </w:rPr>
      </w:pPr>
    </w:p>
    <w:p>
      <w:pPr>
        <w:ind w:left="951" w:right="3299" w:hanging="517"/>
        <w:spacing w:after="0" w:line="254" w:lineRule="auto"/>
        <w:tabs>
          <w:tab w:leader="none" w:pos="951"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death, stock options awarded to Executive shall be fully vested. Executive's estate or beneficiary shall have up to one (1) year from the date of death to exercise all such options.</w:t>
      </w:r>
    </w:p>
    <w:p>
      <w:pPr>
        <w:spacing w:after="0" w:line="163" w:lineRule="exact"/>
        <w:rPr>
          <w:rFonts w:ascii="Courier New" w:cs="Courier New" w:eastAsia="Courier New" w:hAnsi="Courier New"/>
          <w:sz w:val="14"/>
          <w:szCs w:val="14"/>
          <w:color w:val="auto"/>
        </w:rPr>
      </w:pPr>
    </w:p>
    <w:p>
      <w:pPr>
        <w:ind w:left="431" w:right="3459" w:hanging="431"/>
        <w:spacing w:after="0" w:line="254" w:lineRule="auto"/>
        <w:tabs>
          <w:tab w:leader="none" w:pos="431"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63" w:lineRule="exact"/>
        <w:rPr>
          <w:rFonts w:ascii="Courier New" w:cs="Courier New" w:eastAsia="Courier New" w:hAnsi="Courier New"/>
          <w:sz w:val="14"/>
          <w:szCs w:val="14"/>
          <w:color w:val="auto"/>
        </w:rPr>
      </w:pPr>
    </w:p>
    <w:p>
      <w:pPr>
        <w:ind w:left="951" w:right="3199" w:hanging="517"/>
        <w:spacing w:after="0" w:line="253" w:lineRule="auto"/>
        <w:tabs>
          <w:tab w:leader="none" w:pos="951"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pro-rata bonus or incentive compensation payment to the extent such awards are made to similarly situated executives for the year in which Executive is terminated and paid at the same time as similarly situated executives are paid.</w:t>
      </w:r>
    </w:p>
    <w:p>
      <w:pPr>
        <w:spacing w:after="0" w:line="331" w:lineRule="exact"/>
        <w:rPr>
          <w:rFonts w:ascii="Courier New" w:cs="Courier New" w:eastAsia="Courier New" w:hAnsi="Courier New"/>
          <w:sz w:val="14"/>
          <w:szCs w:val="14"/>
          <w:color w:val="auto"/>
        </w:rPr>
      </w:pPr>
    </w:p>
    <w:p>
      <w:pPr>
        <w:ind w:left="951" w:right="3379" w:hanging="517"/>
        <w:spacing w:after="0" w:line="254" w:lineRule="auto"/>
        <w:tabs>
          <w:tab w:leader="none" w:pos="951"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951" w:right="3299" w:hanging="517"/>
        <w:spacing w:after="0" w:line="253" w:lineRule="auto"/>
        <w:tabs>
          <w:tab w:leader="none" w:pos="951"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(three [3] years). Payment shall be made at the same time and in the same manner as such compensation would have been paid if Executive had remained in active employment until the end of such period.</w:t>
      </w:r>
    </w:p>
    <w:p>
      <w:pPr>
        <w:spacing w:after="0" w:line="164" w:lineRule="exact"/>
        <w:rPr>
          <w:rFonts w:ascii="Courier New" w:cs="Courier New" w:eastAsia="Courier New" w:hAnsi="Courier New"/>
          <w:sz w:val="14"/>
          <w:szCs w:val="14"/>
          <w:color w:val="auto"/>
        </w:rPr>
      </w:pPr>
    </w:p>
    <w:p>
      <w:pPr>
        <w:ind w:left="951" w:right="3719" w:hanging="517"/>
        <w:spacing w:after="0" w:line="255" w:lineRule="auto"/>
        <w:tabs>
          <w:tab w:leader="none" w:pos="951"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total disability, Executive shall be fully vested in all stock option awards. Executive shall have up to one (1)</w:t>
      </w:r>
    </w:p>
    <w:p>
      <w:pPr>
        <w:spacing w:after="0" w:line="329"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4 of 15</w:t>
      </w:r>
    </w:p>
    <w:p>
      <w:pPr>
        <w:sectPr>
          <w:pgSz w:w="11900" w:h="16838" w:orient="portrait"/>
          <w:cols w:equalWidth="0" w:num="1">
            <w:col w:w="10150"/>
          </w:cols>
          <w:pgMar w:left="309" w:top="286" w:right="1440" w:bottom="1440" w:gutter="0" w:footer="0" w:header="0"/>
        </w:sectPr>
      </w:pPr>
    </w:p>
    <w:bookmarkStart w:id="228" w:name="page229"/>
    <w:bookmarkEnd w:id="228"/>
    <w:p>
      <w:pPr>
        <w:ind w:left="251"/>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871" w:right="3559"/>
        <w:spacing w:after="0" w:line="258" w:lineRule="auto"/>
        <w:rPr>
          <w:sz w:val="20"/>
          <w:szCs w:val="20"/>
          <w:color w:val="auto"/>
        </w:rPr>
      </w:pPr>
      <w:r>
        <w:rPr>
          <w:rFonts w:ascii="Courier New" w:cs="Courier New" w:eastAsia="Courier New" w:hAnsi="Courier New"/>
          <w:sz w:val="14"/>
          <w:szCs w:val="14"/>
          <w:color w:val="auto"/>
        </w:rPr>
        <w:t>year from the date of termination by reason of total disability to exercise all such options.</w:t>
      </w:r>
    </w:p>
    <w:p>
      <w:pPr>
        <w:spacing w:after="0" w:line="160" w:lineRule="exact"/>
        <w:rPr>
          <w:sz w:val="20"/>
          <w:szCs w:val="20"/>
          <w:color w:val="auto"/>
        </w:rPr>
      </w:pPr>
    </w:p>
    <w:p>
      <w:pPr>
        <w:ind w:left="431" w:right="3379" w:hanging="431"/>
        <w:spacing w:after="0" w:line="255" w:lineRule="auto"/>
        <w:tabs>
          <w:tab w:leader="none" w:pos="43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In the event that Executive's employment is terminated by the Company for Cause pursuant to Section 5(c), the Company shall pay the following amounts to Executive:</w:t>
      </w:r>
    </w:p>
    <w:p>
      <w:pPr>
        <w:spacing w:after="0" w:line="161" w:lineRule="exact"/>
        <w:rPr>
          <w:rFonts w:ascii="Courier New" w:cs="Courier New" w:eastAsia="Courier New" w:hAnsi="Courier New"/>
          <w:sz w:val="14"/>
          <w:szCs w:val="14"/>
          <w:color w:val="auto"/>
        </w:rPr>
      </w:pPr>
    </w:p>
    <w:p>
      <w:pPr>
        <w:ind w:left="871" w:right="3379" w:hanging="437"/>
        <w:spacing w:after="0" w:line="254" w:lineRule="auto"/>
        <w:tabs>
          <w:tab w:leader="none" w:pos="87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871" w:right="3199" w:hanging="437"/>
        <w:spacing w:after="0" w:line="254" w:lineRule="auto"/>
        <w:tabs>
          <w:tab w:leader="none" w:pos="87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431" w:right="3199" w:hanging="431"/>
        <w:spacing w:after="0" w:line="254" w:lineRule="auto"/>
        <w:tabs>
          <w:tab w:leader="none" w:pos="43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163" w:lineRule="exact"/>
        <w:rPr>
          <w:rFonts w:ascii="Courier New" w:cs="Courier New" w:eastAsia="Courier New" w:hAnsi="Courier New"/>
          <w:sz w:val="14"/>
          <w:szCs w:val="14"/>
          <w:color w:val="auto"/>
        </w:rPr>
      </w:pPr>
    </w:p>
    <w:p>
      <w:pPr>
        <w:ind w:left="871" w:right="3379" w:hanging="437"/>
        <w:spacing w:after="0" w:line="254" w:lineRule="auto"/>
        <w:tabs>
          <w:tab w:leader="none" w:pos="87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871" w:right="3199" w:hanging="437"/>
        <w:spacing w:after="0" w:line="254" w:lineRule="auto"/>
        <w:tabs>
          <w:tab w:leader="none" w:pos="87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431" w:right="3299" w:hanging="431"/>
        <w:spacing w:after="0" w:line="254" w:lineRule="auto"/>
        <w:tabs>
          <w:tab w:leader="none" w:pos="43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163" w:lineRule="exact"/>
        <w:rPr>
          <w:rFonts w:ascii="Courier New" w:cs="Courier New" w:eastAsia="Courier New" w:hAnsi="Courier New"/>
          <w:sz w:val="14"/>
          <w:szCs w:val="14"/>
          <w:color w:val="auto"/>
        </w:rPr>
      </w:pPr>
    </w:p>
    <w:p>
      <w:pPr>
        <w:ind w:left="951" w:right="3299" w:hanging="517"/>
        <w:spacing w:after="0" w:line="254" w:lineRule="auto"/>
        <w:tabs>
          <w:tab w:leader="none" w:pos="95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951" w:right="3379" w:hanging="517"/>
        <w:spacing w:after="0" w:line="254" w:lineRule="auto"/>
        <w:tabs>
          <w:tab w:leader="none" w:pos="95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951" w:right="3199" w:hanging="517"/>
        <w:spacing w:after="0" w:line="253" w:lineRule="auto"/>
        <w:tabs>
          <w:tab w:leader="none" w:pos="951"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Executive's "Total Annual Direct Compensation" for the two highest of the three most recent calendar years prior to Executive's termination. Such annual amount shall be paid during the three (3) year period beginning on the date of Executive's termination and shall be paid at the same time and in the same manner as Base Salary would have been paid</w:t>
      </w:r>
    </w:p>
    <w:p>
      <w:pPr>
        <w:spacing w:after="0" w:line="200" w:lineRule="exact"/>
        <w:rPr>
          <w:sz w:val="20"/>
          <w:szCs w:val="20"/>
          <w:color w:val="auto"/>
        </w:rPr>
      </w:pPr>
    </w:p>
    <w:p>
      <w:pPr>
        <w:spacing w:after="0" w:line="299"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5 of 15</w:t>
      </w:r>
    </w:p>
    <w:p>
      <w:pPr>
        <w:sectPr>
          <w:pgSz w:w="11900" w:h="16838" w:orient="portrait"/>
          <w:cols w:equalWidth="0" w:num="1">
            <w:col w:w="10150"/>
          </w:cols>
          <w:pgMar w:left="309" w:top="286" w:right="1440" w:bottom="1440" w:gutter="0" w:footer="0" w:header="0"/>
        </w:sectPr>
      </w:pPr>
    </w:p>
    <w:bookmarkStart w:id="229" w:name="page230"/>
    <w:bookmarkEnd w:id="229"/>
    <w:p>
      <w:pPr>
        <w:ind w:left="251"/>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9" w:lineRule="exact"/>
        <w:rPr>
          <w:sz w:val="20"/>
          <w:szCs w:val="20"/>
          <w:color w:val="auto"/>
        </w:rPr>
      </w:pPr>
    </w:p>
    <w:p>
      <w:pPr>
        <w:ind w:left="871" w:right="3199"/>
        <w:spacing w:after="0" w:line="253" w:lineRule="auto"/>
        <w:rPr>
          <w:sz w:val="20"/>
          <w:szCs w:val="20"/>
          <w:color w:val="auto"/>
        </w:rPr>
      </w:pPr>
      <w:r>
        <w:rPr>
          <w:rFonts w:ascii="Courier New" w:cs="Courier New" w:eastAsia="Courier New" w:hAnsi="Courier New"/>
          <w:sz w:val="14"/>
          <w:szCs w:val="14"/>
          <w:color w:val="auto"/>
        </w:rPr>
        <w:t>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331" w:lineRule="exact"/>
        <w:rPr>
          <w:sz w:val="20"/>
          <w:szCs w:val="20"/>
          <w:color w:val="auto"/>
        </w:rPr>
      </w:pPr>
    </w:p>
    <w:p>
      <w:pPr>
        <w:ind w:left="871" w:right="3199" w:hanging="437"/>
        <w:spacing w:after="0" w:line="252" w:lineRule="auto"/>
        <w:tabs>
          <w:tab w:leader="none" w:pos="871"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three (3)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72" w:lineRule="exact"/>
        <w:rPr>
          <w:rFonts w:ascii="Courier New" w:cs="Courier New" w:eastAsia="Courier New" w:hAnsi="Courier New"/>
          <w:sz w:val="14"/>
          <w:szCs w:val="14"/>
          <w:color w:val="auto"/>
        </w:rPr>
      </w:pPr>
    </w:p>
    <w:p>
      <w:pPr>
        <w:ind w:left="871" w:right="3299" w:hanging="437"/>
        <w:spacing w:after="0" w:line="253" w:lineRule="auto"/>
        <w:tabs>
          <w:tab w:leader="none" w:pos="871"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law, Executive will be 100% vested in all benefits, awards, and grants accrued but unpaid as of the date of termination under any pension plan, profit sharing plan, supplemental and/or incentive compensation plans, and stock option plans in which Executive was a participant as of the date of termination. Executive shall have one (1) year from the date of termination to exercise stock options. Executive shall also be eligible for a bonus or incentive compensation payment, to the extent payments are made to similarly situated executives, pro-rated for the year in which the Executive is terminated, paid at the same time as similarly situated executives are paid.</w:t>
      </w:r>
    </w:p>
    <w:p>
      <w:pPr>
        <w:spacing w:after="0" w:line="163" w:lineRule="exact"/>
        <w:rPr>
          <w:rFonts w:ascii="Courier New" w:cs="Courier New" w:eastAsia="Courier New" w:hAnsi="Courier New"/>
          <w:sz w:val="14"/>
          <w:szCs w:val="14"/>
          <w:color w:val="auto"/>
        </w:rPr>
      </w:pPr>
    </w:p>
    <w:p>
      <w:pPr>
        <w:ind w:left="431" w:right="3199" w:hanging="431"/>
        <w:spacing w:after="0" w:line="253" w:lineRule="auto"/>
        <w:tabs>
          <w:tab w:leader="none" w:pos="43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64" w:lineRule="exact"/>
        <w:rPr>
          <w:rFonts w:ascii="Courier New" w:cs="Courier New" w:eastAsia="Courier New" w:hAnsi="Courier New"/>
          <w:sz w:val="14"/>
          <w:szCs w:val="14"/>
          <w:color w:val="auto"/>
        </w:rPr>
      </w:pPr>
    </w:p>
    <w:p>
      <w:pPr>
        <w:ind w:left="431" w:right="3299" w:hanging="431"/>
        <w:spacing w:after="0" w:line="255" w:lineRule="auto"/>
        <w:tabs>
          <w:tab w:leader="none" w:pos="43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OR TERMINATION OF BENEFITS AND COMPENSATION. In the event that the Company, in its sole discretion determines that, without the Company's express written consent, Executive has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6 of 15</w:t>
      </w:r>
    </w:p>
    <w:p>
      <w:pPr>
        <w:sectPr>
          <w:pgSz w:w="11900" w:h="16838" w:orient="portrait"/>
          <w:cols w:equalWidth="0" w:num="1">
            <w:col w:w="10150"/>
          </w:cols>
          <w:pgMar w:left="309" w:top="286" w:right="1440" w:bottom="1440" w:gutter="0" w:footer="0" w:header="0"/>
        </w:sectPr>
      </w:pPr>
    </w:p>
    <w:bookmarkStart w:id="230" w:name="page231"/>
    <w:bookmarkEnd w:id="230"/>
    <w:p>
      <w:pPr>
        <w:ind w:left="251"/>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9" w:lineRule="exact"/>
        <w:rPr>
          <w:sz w:val="20"/>
          <w:szCs w:val="20"/>
          <w:color w:val="auto"/>
        </w:rPr>
      </w:pPr>
    </w:p>
    <w:p>
      <w:pPr>
        <w:ind w:left="871" w:right="3299" w:hanging="437"/>
        <w:spacing w:after="0" w:line="253" w:lineRule="auto"/>
        <w:tabs>
          <w:tab w:leader="none" w:pos="87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64" w:lineRule="exact"/>
        <w:rPr>
          <w:rFonts w:ascii="Courier New" w:cs="Courier New" w:eastAsia="Courier New" w:hAnsi="Courier New"/>
          <w:sz w:val="14"/>
          <w:szCs w:val="14"/>
          <w:color w:val="auto"/>
        </w:rPr>
      </w:pPr>
    </w:p>
    <w:p>
      <w:pPr>
        <w:ind w:left="871" w:right="3199" w:hanging="437"/>
        <w:spacing w:after="0" w:line="253" w:lineRule="auto"/>
        <w:tabs>
          <w:tab w:leader="none" w:pos="87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163" w:lineRule="exact"/>
        <w:rPr>
          <w:sz w:val="20"/>
          <w:szCs w:val="20"/>
          <w:color w:val="auto"/>
        </w:rPr>
      </w:pPr>
    </w:p>
    <w:p>
      <w:pPr>
        <w:ind w:left="431" w:right="3199"/>
        <w:spacing w:after="0" w:line="254" w:lineRule="auto"/>
        <w:rPr>
          <w:sz w:val="20"/>
          <w:szCs w:val="20"/>
          <w:color w:val="auto"/>
        </w:rPr>
      </w:pPr>
      <w:r>
        <w:rPr>
          <w:rFonts w:ascii="Courier New" w:cs="Courier New" w:eastAsia="Courier New" w:hAnsi="Courier New"/>
          <w:sz w:val="14"/>
          <w:szCs w:val="14"/>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330" w:lineRule="exact"/>
        <w:rPr>
          <w:sz w:val="20"/>
          <w:szCs w:val="20"/>
          <w:color w:val="auto"/>
        </w:rPr>
      </w:pPr>
    </w:p>
    <w:p>
      <w:pPr>
        <w:ind w:left="-9" w:right="3379" w:firstLine="9"/>
        <w:spacing w:after="0" w:line="258" w:lineRule="auto"/>
        <w:tabs>
          <w:tab w:leader="none" w:pos="251"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BY EXECUTIVE FOR GOOD REASON AND COMPENSATION PAYABLE FOLLOWING CHANGE IN CONTROL.</w:t>
      </w:r>
    </w:p>
    <w:p>
      <w:pPr>
        <w:spacing w:after="0" w:line="160" w:lineRule="exact"/>
        <w:rPr>
          <w:sz w:val="20"/>
          <w:szCs w:val="20"/>
          <w:color w:val="auto"/>
        </w:rPr>
      </w:pPr>
    </w:p>
    <w:p>
      <w:pPr>
        <w:ind w:left="431" w:right="3199" w:hanging="431"/>
        <w:spacing w:after="0" w:line="253" w:lineRule="auto"/>
        <w:tabs>
          <w:tab w:leader="none" w:pos="431"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164" w:lineRule="exact"/>
        <w:rPr>
          <w:rFonts w:ascii="Courier New" w:cs="Courier New" w:eastAsia="Courier New" w:hAnsi="Courier New"/>
          <w:sz w:val="14"/>
          <w:szCs w:val="14"/>
          <w:color w:val="auto"/>
        </w:rPr>
      </w:pPr>
    </w:p>
    <w:p>
      <w:pPr>
        <w:ind w:left="871" w:right="3199" w:hanging="437"/>
        <w:spacing w:after="0" w:line="253" w:lineRule="auto"/>
        <w:tabs>
          <w:tab w:leader="none" w:pos="871"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163" w:lineRule="exact"/>
        <w:rPr>
          <w:rFonts w:ascii="Courier New" w:cs="Courier New" w:eastAsia="Courier New" w:hAnsi="Courier New"/>
          <w:sz w:val="14"/>
          <w:szCs w:val="14"/>
          <w:color w:val="auto"/>
        </w:rPr>
      </w:pPr>
    </w:p>
    <w:p>
      <w:pPr>
        <w:ind w:left="871" w:right="3559" w:hanging="437"/>
        <w:spacing w:after="0" w:line="255" w:lineRule="auto"/>
        <w:tabs>
          <w:tab w:leader="none" w:pos="871"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in Executive's Base Salary as in effect immediately before a Change in Control plus all increases therein subsequent thereto;</w:t>
      </w:r>
    </w:p>
    <w:p>
      <w:pPr>
        <w:spacing w:after="0" w:line="329"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7 of 15</w:t>
      </w:r>
    </w:p>
    <w:p>
      <w:pPr>
        <w:sectPr>
          <w:pgSz w:w="11900" w:h="16838" w:orient="portrait"/>
          <w:cols w:equalWidth="0" w:num="1">
            <w:col w:w="10150"/>
          </w:cols>
          <w:pgMar w:left="309" w:top="286" w:right="1440" w:bottom="1440" w:gutter="0" w:footer="0" w:header="0"/>
        </w:sectPr>
      </w:pPr>
    </w:p>
    <w:bookmarkStart w:id="231" w:name="page232"/>
    <w:bookmarkEnd w:id="231"/>
    <w:p>
      <w:pPr>
        <w:ind w:left="251"/>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51" w:right="3199" w:hanging="517"/>
        <w:spacing w:after="0" w:line="253" w:lineRule="auto"/>
        <w:tabs>
          <w:tab w:leader="none" w:pos="951"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330" w:lineRule="exact"/>
        <w:rPr>
          <w:rFonts w:ascii="Courier New" w:cs="Courier New" w:eastAsia="Courier New" w:hAnsi="Courier New"/>
          <w:sz w:val="14"/>
          <w:szCs w:val="14"/>
          <w:color w:val="auto"/>
        </w:rPr>
      </w:pPr>
    </w:p>
    <w:p>
      <w:pPr>
        <w:ind w:left="951" w:right="3199" w:hanging="517"/>
        <w:spacing w:after="0" w:line="252" w:lineRule="auto"/>
        <w:tabs>
          <w:tab w:leader="none" w:pos="951"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provide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 home pay, to housing most recently owned by Executive prior to, or as of the effective date of the change of control;</w:t>
      </w:r>
    </w:p>
    <w:p>
      <w:pPr>
        <w:spacing w:after="0" w:line="172" w:lineRule="exact"/>
        <w:rPr>
          <w:rFonts w:ascii="Courier New" w:cs="Courier New" w:eastAsia="Courier New" w:hAnsi="Courier New"/>
          <w:sz w:val="14"/>
          <w:szCs w:val="14"/>
          <w:color w:val="auto"/>
        </w:rPr>
      </w:pPr>
    </w:p>
    <w:p>
      <w:pPr>
        <w:ind w:left="951" w:right="3199" w:hanging="517"/>
        <w:spacing w:after="0" w:line="254" w:lineRule="auto"/>
        <w:tabs>
          <w:tab w:leader="none" w:pos="951"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329" w:lineRule="exact"/>
        <w:rPr>
          <w:rFonts w:ascii="Courier New" w:cs="Courier New" w:eastAsia="Courier New" w:hAnsi="Courier New"/>
          <w:sz w:val="14"/>
          <w:szCs w:val="14"/>
          <w:color w:val="auto"/>
        </w:rPr>
      </w:pPr>
    </w:p>
    <w:p>
      <w:pPr>
        <w:ind w:left="951" w:right="3199" w:hanging="517"/>
        <w:spacing w:after="0" w:line="255" w:lineRule="auto"/>
        <w:tabs>
          <w:tab w:leader="none" w:pos="951"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obtain an assumption of, and agreement to perform the obligations of the Company under this Agreement by any successor to the Company.</w:t>
      </w:r>
    </w:p>
    <w:p>
      <w:pPr>
        <w:spacing w:after="0" w:line="161" w:lineRule="exact"/>
        <w:rPr>
          <w:rFonts w:ascii="Courier New" w:cs="Courier New" w:eastAsia="Courier New" w:hAnsi="Courier New"/>
          <w:sz w:val="14"/>
          <w:szCs w:val="14"/>
          <w:color w:val="auto"/>
        </w:rPr>
      </w:pPr>
    </w:p>
    <w:p>
      <w:pPr>
        <w:ind w:left="431" w:right="3459" w:hanging="431"/>
        <w:spacing w:after="0" w:line="255" w:lineRule="auto"/>
        <w:tabs>
          <w:tab w:leader="none" w:pos="431"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PAYABLE. In the event that Executive terminates employment pursuant to Section 7(a), the Company shall pay the following amounts to Executive:</w:t>
      </w:r>
    </w:p>
    <w:p>
      <w:pPr>
        <w:spacing w:after="0" w:line="161" w:lineRule="exact"/>
        <w:rPr>
          <w:rFonts w:ascii="Courier New" w:cs="Courier New" w:eastAsia="Courier New" w:hAnsi="Courier New"/>
          <w:sz w:val="14"/>
          <w:szCs w:val="14"/>
          <w:color w:val="auto"/>
        </w:rPr>
      </w:pPr>
    </w:p>
    <w:p>
      <w:pPr>
        <w:ind w:left="951" w:right="3299" w:hanging="517"/>
        <w:spacing w:after="0" w:line="254" w:lineRule="auto"/>
        <w:tabs>
          <w:tab w:leader="none" w:pos="95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951" w:right="3559" w:hanging="517"/>
        <w:spacing w:after="0" w:line="254" w:lineRule="auto"/>
        <w:tabs>
          <w:tab w:leader="none" w:pos="95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951" w:right="3299" w:hanging="517"/>
        <w:spacing w:after="0" w:line="255" w:lineRule="auto"/>
        <w:tabs>
          <w:tab w:leader="none" w:pos="95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$1.00 less than three (3) times Executive's "base amount" within the full meaning of Section 280G of the Internal Revenue Code. Such amount shall</w:t>
      </w:r>
    </w:p>
    <w:p>
      <w:pPr>
        <w:spacing w:after="0" w:line="329"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8 of 15</w:t>
      </w:r>
    </w:p>
    <w:p>
      <w:pPr>
        <w:sectPr>
          <w:pgSz w:w="11900" w:h="16838" w:orient="portrait"/>
          <w:cols w:equalWidth="0" w:num="1">
            <w:col w:w="10150"/>
          </w:cols>
          <w:pgMar w:left="309" w:top="286" w:right="1440" w:bottom="1440" w:gutter="0" w:footer="0" w:header="0"/>
        </w:sectPr>
      </w:pPr>
    </w:p>
    <w:bookmarkStart w:id="232" w:name="page233"/>
    <w:bookmarkEnd w:id="232"/>
    <w:p>
      <w:pPr>
        <w:ind w:left="251"/>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871"/>
        <w:spacing w:after="0"/>
        <w:rPr>
          <w:sz w:val="20"/>
          <w:szCs w:val="20"/>
          <w:color w:val="auto"/>
        </w:rPr>
      </w:pPr>
      <w:r>
        <w:rPr>
          <w:rFonts w:ascii="Courier New" w:cs="Courier New" w:eastAsia="Courier New" w:hAnsi="Courier New"/>
          <w:sz w:val="14"/>
          <w:szCs w:val="14"/>
          <w:color w:val="auto"/>
        </w:rPr>
        <w:t>be paid to Executive in a single lump sum cash payment within five (5)</w:t>
      </w:r>
    </w:p>
    <w:p>
      <w:pPr>
        <w:spacing w:after="0" w:line="8" w:lineRule="exact"/>
        <w:rPr>
          <w:sz w:val="20"/>
          <w:szCs w:val="20"/>
          <w:color w:val="auto"/>
        </w:rPr>
      </w:pPr>
    </w:p>
    <w:p>
      <w:pPr>
        <w:ind w:left="871"/>
        <w:spacing w:after="0"/>
        <w:rPr>
          <w:sz w:val="20"/>
          <w:szCs w:val="20"/>
          <w:color w:val="auto"/>
        </w:rPr>
      </w:pPr>
      <w:r>
        <w:rPr>
          <w:rFonts w:ascii="Courier New" w:cs="Courier New" w:eastAsia="Courier New" w:hAnsi="Courier New"/>
          <w:sz w:val="14"/>
          <w:szCs w:val="14"/>
          <w:color w:val="auto"/>
        </w:rPr>
        <w:t>business days after the effective date of Executive's termination.</w:t>
      </w:r>
    </w:p>
    <w:p>
      <w:pPr>
        <w:spacing w:after="0" w:line="175" w:lineRule="exact"/>
        <w:rPr>
          <w:sz w:val="20"/>
          <w:szCs w:val="20"/>
          <w:color w:val="auto"/>
        </w:rPr>
      </w:pPr>
    </w:p>
    <w:p>
      <w:pPr>
        <w:ind w:left="871" w:right="3299" w:hanging="437"/>
        <w:spacing w:after="0" w:line="253" w:lineRule="auto"/>
        <w:tabs>
          <w:tab w:leader="none" w:pos="871"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163" w:lineRule="exact"/>
        <w:rPr>
          <w:sz w:val="20"/>
          <w:szCs w:val="20"/>
          <w:color w:val="auto"/>
        </w:rPr>
      </w:pPr>
    </w:p>
    <w:p>
      <w:pPr>
        <w:ind w:left="431" w:right="3199"/>
        <w:spacing w:after="0" w:line="253" w:lineRule="auto"/>
        <w:rPr>
          <w:sz w:val="20"/>
          <w:szCs w:val="20"/>
          <w:color w:val="auto"/>
        </w:rPr>
      </w:pPr>
      <w:r>
        <w:rPr>
          <w:rFonts w:ascii="Courier New" w:cs="Courier New" w:eastAsia="Courier New" w:hAnsi="Courier New"/>
          <w:sz w:val="14"/>
          <w:szCs w:val="14"/>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65" w:lineRule="exact"/>
        <w:rPr>
          <w:sz w:val="20"/>
          <w:szCs w:val="20"/>
          <w:color w:val="auto"/>
        </w:rPr>
      </w:pPr>
    </w:p>
    <w:p>
      <w:pPr>
        <w:ind w:left="431" w:right="3199" w:hanging="431"/>
        <w:spacing w:after="0" w:line="252" w:lineRule="auto"/>
        <w:tabs>
          <w:tab w:leader="none" w:pos="43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340" w:lineRule="exact"/>
        <w:rPr>
          <w:rFonts w:ascii="Courier New" w:cs="Courier New" w:eastAsia="Courier New" w:hAnsi="Courier New"/>
          <w:sz w:val="14"/>
          <w:szCs w:val="14"/>
          <w:color w:val="auto"/>
        </w:rPr>
      </w:pPr>
    </w:p>
    <w:p>
      <w:pPr>
        <w:ind w:left="431" w:right="32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331" w:lineRule="exact"/>
        <w:rPr>
          <w:rFonts w:ascii="Courier New" w:cs="Courier New" w:eastAsia="Courier New" w:hAnsi="Courier New"/>
          <w:sz w:val="14"/>
          <w:szCs w:val="14"/>
          <w:color w:val="auto"/>
        </w:rPr>
      </w:pPr>
    </w:p>
    <w:p>
      <w:pPr>
        <w:ind w:left="431" w:right="3639" w:hanging="431"/>
        <w:spacing w:after="0" w:line="258" w:lineRule="auto"/>
        <w:tabs>
          <w:tab w:leader="none" w:pos="43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purposes of this Agreement, "Change in Control" means the occurrence of any of the following events:</w:t>
      </w:r>
    </w:p>
    <w:p>
      <w:pPr>
        <w:spacing w:after="0" w:line="200" w:lineRule="exact"/>
        <w:rPr>
          <w:sz w:val="20"/>
          <w:szCs w:val="20"/>
          <w:color w:val="auto"/>
        </w:rPr>
      </w:pPr>
    </w:p>
    <w:p>
      <w:pPr>
        <w:spacing w:after="0" w:line="29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9 of 15</w:t>
      </w:r>
    </w:p>
    <w:p>
      <w:pPr>
        <w:sectPr>
          <w:pgSz w:w="11900" w:h="16838" w:orient="portrait"/>
          <w:cols w:equalWidth="0" w:num="1">
            <w:col w:w="10150"/>
          </w:cols>
          <w:pgMar w:left="309" w:top="286" w:right="1440" w:bottom="1440" w:gutter="0" w:footer="0" w:header="0"/>
        </w:sectPr>
      </w:pPr>
    </w:p>
    <w:bookmarkStart w:id="233" w:name="page234"/>
    <w:bookmarkEnd w:id="233"/>
    <w:p>
      <w:pPr>
        <w:ind w:left="251"/>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71" w:right="3299" w:hanging="437"/>
        <w:spacing w:after="0" w:line="253" w:lineRule="auto"/>
        <w:tabs>
          <w:tab w:leader="none" w:pos="871"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164" w:lineRule="exact"/>
        <w:rPr>
          <w:rFonts w:ascii="Courier New" w:cs="Courier New" w:eastAsia="Courier New" w:hAnsi="Courier New"/>
          <w:sz w:val="14"/>
          <w:szCs w:val="14"/>
          <w:color w:val="auto"/>
        </w:rPr>
      </w:pPr>
    </w:p>
    <w:p>
      <w:pPr>
        <w:ind w:left="871" w:right="3299" w:hanging="437"/>
        <w:spacing w:after="0" w:line="254" w:lineRule="auto"/>
        <w:tabs>
          <w:tab w:leader="none" w:pos="871"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162" w:lineRule="exact"/>
        <w:rPr>
          <w:rFonts w:ascii="Courier New" w:cs="Courier New" w:eastAsia="Courier New" w:hAnsi="Courier New"/>
          <w:sz w:val="14"/>
          <w:szCs w:val="14"/>
          <w:color w:val="auto"/>
        </w:rPr>
      </w:pPr>
    </w:p>
    <w:p>
      <w:pPr>
        <w:ind w:left="251" w:hanging="251"/>
        <w:spacing w:after="0"/>
        <w:tabs>
          <w:tab w:leader="none" w:pos="251"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sz w:val="20"/>
          <w:szCs w:val="20"/>
          <w:color w:val="auto"/>
        </w:rPr>
      </w:pPr>
    </w:p>
    <w:p>
      <w:pPr>
        <w:ind w:left="431" w:right="3199" w:hanging="431"/>
        <w:spacing w:after="0" w:line="252" w:lineRule="auto"/>
        <w:tabs>
          <w:tab w:leader="none" w:pos="431"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that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174" w:lineRule="exact"/>
        <w:rPr>
          <w:rFonts w:ascii="Courier New" w:cs="Courier New" w:eastAsia="Courier New" w:hAnsi="Courier New"/>
          <w:sz w:val="14"/>
          <w:szCs w:val="14"/>
          <w:color w:val="auto"/>
        </w:rPr>
      </w:pPr>
    </w:p>
    <w:p>
      <w:pPr>
        <w:ind w:left="431" w:right="3299" w:hanging="431"/>
        <w:spacing w:after="0" w:line="252" w:lineRule="auto"/>
        <w:tabs>
          <w:tab w:leader="none" w:pos="431"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one</w:t>
      </w:r>
    </w:p>
    <w:p>
      <w:pPr>
        <w:ind w:left="431" w:right="3199" w:firstLine="3"/>
        <w:spacing w:after="0" w:line="253" w:lineRule="auto"/>
        <w:tabs>
          <w:tab w:leader="none" w:pos="778"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w:t>
      </w:r>
    </w:p>
    <w:p>
      <w:pPr>
        <w:spacing w:after="0" w:line="331"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10 of 15</w:t>
      </w:r>
    </w:p>
    <w:p>
      <w:pPr>
        <w:sectPr>
          <w:pgSz w:w="11900" w:h="16838" w:orient="portrait"/>
          <w:cols w:equalWidth="0" w:num="1">
            <w:col w:w="10150"/>
          </w:cols>
          <w:pgMar w:left="309" w:top="286"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right="3199" w:firstLine="3"/>
        <w:spacing w:after="0" w:line="253" w:lineRule="auto"/>
        <w:tabs>
          <w:tab w:leader="none" w:pos="961"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w:t>
      </w:r>
    </w:p>
    <w:p>
      <w:pPr>
        <w:spacing w:after="0" w:line="165" w:lineRule="exact"/>
        <w:rPr>
          <w:rFonts w:ascii="Courier New" w:cs="Courier New" w:eastAsia="Courier New" w:hAnsi="Courier New"/>
          <w:sz w:val="14"/>
          <w:szCs w:val="14"/>
          <w:color w:val="auto"/>
        </w:rPr>
      </w:pPr>
    </w:p>
    <w:p>
      <w:pPr>
        <w:ind w:left="440" w:right="3299" w:hanging="431"/>
        <w:spacing w:after="0" w:line="253" w:lineRule="auto"/>
        <w:tabs>
          <w:tab w:leader="none" w:pos="44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64" w:lineRule="exact"/>
        <w:rPr>
          <w:rFonts w:ascii="Courier New" w:cs="Courier New" w:eastAsia="Courier New" w:hAnsi="Courier New"/>
          <w:sz w:val="14"/>
          <w:szCs w:val="14"/>
          <w:color w:val="auto"/>
        </w:rPr>
      </w:pPr>
    </w:p>
    <w:p>
      <w:pPr>
        <w:ind w:left="440" w:right="3199" w:hanging="431"/>
        <w:spacing w:after="0" w:line="252" w:lineRule="auto"/>
        <w:tabs>
          <w:tab w:leader="none" w:pos="44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ENFORCEMENT OF COVENANTS.</w:t>
      </w:r>
    </w:p>
    <w:p>
      <w:pPr>
        <w:spacing w:after="0" w:line="175" w:lineRule="exact"/>
        <w:rPr>
          <w:sz w:val="20"/>
          <w:szCs w:val="20"/>
          <w:color w:val="auto"/>
        </w:rPr>
      </w:pPr>
    </w:p>
    <w:p>
      <w:pPr>
        <w:ind w:left="440" w:right="3199" w:hanging="431"/>
        <w:spacing w:after="0" w:line="253" w:lineRule="auto"/>
        <w:tabs>
          <w:tab w:leader="none" w:pos="44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164" w:lineRule="exact"/>
        <w:rPr>
          <w:rFonts w:ascii="Courier New" w:cs="Courier New" w:eastAsia="Courier New" w:hAnsi="Courier New"/>
          <w:sz w:val="14"/>
          <w:szCs w:val="14"/>
          <w:color w:val="auto"/>
        </w:rPr>
      </w:pPr>
    </w:p>
    <w:p>
      <w:pPr>
        <w:ind w:left="440" w:right="3199" w:hanging="431"/>
        <w:spacing w:after="0" w:line="253" w:lineRule="auto"/>
        <w:tabs>
          <w:tab w:leader="none" w:pos="44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11 of 15</w:t>
      </w:r>
    </w:p>
    <w:p>
      <w:pPr>
        <w:sectPr>
          <w:pgSz w:w="11900" w:h="16838" w:orient="portrait"/>
          <w:cols w:equalWidth="0" w:num="1">
            <w:col w:w="10159"/>
          </w:cols>
          <w:pgMar w:left="300" w:top="286"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440" w:right="3199"/>
        <w:spacing w:after="0" w:line="254" w:lineRule="auto"/>
        <w:rPr>
          <w:sz w:val="20"/>
          <w:szCs w:val="20"/>
          <w:color w:val="auto"/>
        </w:rPr>
      </w:pPr>
      <w:r>
        <w:rPr>
          <w:rFonts w:ascii="Courier New" w:cs="Courier New" w:eastAsia="Courier New" w:hAnsi="Courier New"/>
          <w:sz w:val="14"/>
          <w:szCs w:val="14"/>
          <w:color w:val="auto"/>
        </w:rPr>
        <w:t>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163" w:lineRule="exact"/>
        <w:rPr>
          <w:sz w:val="20"/>
          <w:szCs w:val="20"/>
          <w:color w:val="auto"/>
        </w:rPr>
      </w:pPr>
    </w:p>
    <w:p>
      <w:pPr>
        <w:ind w:left="440" w:right="3199" w:hanging="431"/>
        <w:spacing w:after="0" w:line="252" w:lineRule="auto"/>
        <w:tabs>
          <w:tab w:leader="none" w:pos="44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DISPUTES AND PAYMENT OF ATTORNEY'S FEES.</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12 of 15</w:t>
      </w:r>
    </w:p>
    <w:p>
      <w:pPr>
        <w:sectPr>
          <w:pgSz w:w="11900" w:h="16838" w:orient="portrait"/>
          <w:cols w:equalWidth="0" w:num="1">
            <w:col w:w="10159"/>
          </w:cols>
          <w:pgMar w:left="300" w:top="286"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NON-DISCLOSURE OF AGREEMENT TERMS.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SOURCE OF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ASSIGNMENT.</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13 of 15</w:t>
      </w:r>
    </w:p>
    <w:p>
      <w:pPr>
        <w:sectPr>
          <w:pgSz w:w="11900" w:h="16838" w:orient="portrait"/>
          <w:cols w:equalWidth="0" w:num="1">
            <w:col w:w="10159"/>
          </w:cols>
          <w:pgMar w:left="300" w:top="286"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Texas applicable to agreements made and to be performed in that State, without regard to its conflict of laws provisions.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To the Company: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USA Waste Services, Inc.</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1001 Fannin, Suite 4000</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Houston, Texas 77002</w:t>
      </w:r>
    </w:p>
    <w:p>
      <w:pPr>
        <w:spacing w:after="0" w:line="8" w:lineRule="exact"/>
        <w:rPr>
          <w:sz w:val="20"/>
          <w:szCs w:val="20"/>
          <w:color w:val="auto"/>
        </w:rPr>
      </w:pPr>
    </w:p>
    <w:p>
      <w:pPr>
        <w:ind w:left="1580"/>
        <w:spacing w:after="0"/>
        <w:tabs>
          <w:tab w:leader="none" w:pos="2600" w:val="left"/>
        </w:tabs>
        <w:rPr>
          <w:sz w:val="20"/>
          <w:szCs w:val="20"/>
          <w:color w:val="auto"/>
        </w:rPr>
      </w:pPr>
      <w:r>
        <w:rPr>
          <w:rFonts w:ascii="Courier New" w:cs="Courier New" w:eastAsia="Courier New" w:hAnsi="Courier New"/>
          <w:sz w:val="14"/>
          <w:szCs w:val="14"/>
          <w:color w:val="auto"/>
        </w:rPr>
        <w:t>Attention:</w:t>
        <w:tab/>
        <w:t>Corporate Secretary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 Executive: At the address for Executive set forth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MISCELLANEOUS.</w:t>
      </w:r>
    </w:p>
    <w:p>
      <w:pPr>
        <w:spacing w:after="0" w:line="175" w:lineRule="exact"/>
        <w:rPr>
          <w:sz w:val="20"/>
          <w:szCs w:val="20"/>
          <w:color w:val="auto"/>
        </w:rPr>
      </w:pPr>
    </w:p>
    <w:p>
      <w:pPr>
        <w:ind w:left="440" w:right="3299" w:hanging="431"/>
        <w:spacing w:after="0" w:line="254" w:lineRule="auto"/>
        <w:tabs>
          <w:tab w:leader="none" w:pos="4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440" w:right="3199" w:hanging="431"/>
        <w:spacing w:after="0" w:line="254" w:lineRule="auto"/>
        <w:tabs>
          <w:tab w:leader="none" w:pos="4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62" w:lineRule="exact"/>
        <w:rPr>
          <w:rFonts w:ascii="Courier New" w:cs="Courier New" w:eastAsia="Courier New" w:hAnsi="Courier New"/>
          <w:sz w:val="14"/>
          <w:szCs w:val="14"/>
          <w:color w:val="auto"/>
        </w:rPr>
      </w:pPr>
    </w:p>
    <w:p>
      <w:pPr>
        <w:ind w:left="440" w:right="3379" w:hanging="431"/>
        <w:spacing w:after="0" w:line="258" w:lineRule="auto"/>
        <w:tabs>
          <w:tab w:leader="none" w:pos="4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159" w:lineRule="exact"/>
        <w:rPr>
          <w:rFonts w:ascii="Courier New" w:cs="Courier New" w:eastAsia="Courier New" w:hAnsi="Courier New"/>
          <w:sz w:val="14"/>
          <w:szCs w:val="14"/>
          <w:color w:val="auto"/>
        </w:rPr>
      </w:pPr>
    </w:p>
    <w:p>
      <w:pPr>
        <w:ind w:left="440" w:right="3559" w:hanging="431"/>
        <w:spacing w:after="0" w:line="258" w:lineRule="auto"/>
        <w:tabs>
          <w:tab w:leader="none" w:pos="4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9" w:lineRule="exact"/>
        <w:rPr>
          <w:rFonts w:ascii="Courier New" w:cs="Courier New" w:eastAsia="Courier New" w:hAnsi="Courier New"/>
          <w:sz w:val="14"/>
          <w:szCs w:val="14"/>
          <w:color w:val="auto"/>
        </w:rPr>
      </w:pPr>
    </w:p>
    <w:p>
      <w:pPr>
        <w:ind w:left="440" w:right="3299" w:hanging="431"/>
        <w:spacing w:after="0" w:line="255" w:lineRule="auto"/>
        <w:tabs>
          <w:tab w:leader="none" w:pos="44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14 of 15</w:t>
      </w:r>
    </w:p>
    <w:p>
      <w:pPr>
        <w:sectPr>
          <w:pgSz w:w="11900" w:h="16838" w:orient="portrait"/>
          <w:cols w:equalWidth="0" w:num="1">
            <w:col w:w="10159"/>
          </w:cols>
          <w:pgMar w:left="300" w:top="286"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INC.</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ILLEGIBLE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5/20/97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400" w:space="340"/>
            <w:col w:w="440" w:space="80"/>
            <w:col w:w="589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ectPr>
          <w:pgSz w:w="11900" w:h="16838" w:orient="portrait"/>
          <w:cols w:equalWidth="0" w:num="1">
            <w:col w:w="10159"/>
          </w:cols>
          <w:pgMar w:left="300" w:top="286" w:right="1440" w:bottom="1440" w:gutter="0" w:footer="0" w:header="0"/>
          <w:type w:val="continuous"/>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ILLEGIBLE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9/1/97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560" w:space="180"/>
            <w:col w:w="440" w:space="260"/>
            <w:col w:w="5719"/>
          </w:cols>
          <w:pgMar w:left="300" w:top="286" w:right="1440" w:bottom="1440" w:gutter="0" w:footer="0" w:header="0"/>
          <w:type w:val="continuous"/>
        </w:sectPr>
      </w:pPr>
    </w:p>
    <w:p>
      <w:pPr>
        <w:spacing w:after="0" w:line="142" w:lineRule="exact"/>
        <w:rPr>
          <w:sz w:val="20"/>
          <w:szCs w:val="20"/>
          <w:color w:val="auto"/>
        </w:rPr>
      </w:pPr>
    </w:p>
    <w:p>
      <w:pPr>
        <w:jc w:val="right"/>
        <w:ind w:right="6759"/>
        <w:spacing w:after="0"/>
        <w:rPr>
          <w:sz w:val="20"/>
          <w:szCs w:val="20"/>
          <w:color w:val="auto"/>
        </w:rPr>
      </w:pPr>
      <w:r>
        <w:rPr>
          <w:rFonts w:ascii="Courier New" w:cs="Courier New" w:eastAsia="Courier New" w:hAnsi="Courier New"/>
          <w:sz w:val="14"/>
          <w:szCs w:val="14"/>
          <w:color w:val="auto"/>
        </w:rPr>
        <w:t>Address: P.O. Box 3919, Incline Village</w:t>
      </w:r>
    </w:p>
    <w:p>
      <w:pPr>
        <w:spacing w:after="0" w:line="8" w:lineRule="exact"/>
        <w:rPr>
          <w:sz w:val="20"/>
          <w:szCs w:val="20"/>
          <w:color w:val="auto"/>
        </w:rPr>
      </w:pPr>
    </w:p>
    <w:p>
      <w:pPr>
        <w:jc w:val="right"/>
        <w:ind w:right="675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Nevada, NV 89450</w:t>
      </w:r>
    </w:p>
    <w:p>
      <w:pPr>
        <w:spacing w:after="0" w:line="8" w:lineRule="exact"/>
        <w:rPr>
          <w:sz w:val="20"/>
          <w:szCs w:val="20"/>
          <w:color w:val="auto"/>
        </w:rPr>
      </w:pPr>
    </w:p>
    <w:p>
      <w:pPr>
        <w:ind w:left="180" w:hanging="171"/>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ind w:left="2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15 of 15</w:t>
      </w:r>
    </w:p>
    <w:p>
      <w:pPr>
        <w:sectPr>
          <w:pgSz w:w="11900" w:h="16838" w:orient="portrait"/>
          <w:cols w:equalWidth="0" w:num="1">
            <w:col w:w="10159"/>
          </w:cols>
          <w:pgMar w:left="300" w:top="286" w:right="1440" w:bottom="1440" w:gutter="0" w:footer="0" w:header="0"/>
          <w:type w:val="continuous"/>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10.42</w:t>
      </w:r>
    </w:p>
    <w:p>
      <w:pPr>
        <w:spacing w:after="0" w:line="200" w:lineRule="exact"/>
        <w:rPr>
          <w:sz w:val="20"/>
          <w:szCs w:val="20"/>
          <w:color w:val="auto"/>
        </w:rPr>
      </w:pPr>
    </w:p>
    <w:p>
      <w:pPr>
        <w:spacing w:after="0" w:line="30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AMENDED EMPLOYMENT AGREEMENT</w:t>
      </w:r>
    </w:p>
    <w:p>
      <w:pPr>
        <w:spacing w:after="0" w:line="175" w:lineRule="exact"/>
        <w:rPr>
          <w:sz w:val="20"/>
          <w:szCs w:val="20"/>
          <w:color w:val="auto"/>
        </w:rPr>
      </w:pPr>
    </w:p>
    <w:p>
      <w:pPr>
        <w:ind w:left="440" w:right="3559"/>
        <w:spacing w:after="0" w:line="255" w:lineRule="auto"/>
        <w:rPr>
          <w:sz w:val="20"/>
          <w:szCs w:val="20"/>
          <w:color w:val="auto"/>
        </w:rPr>
      </w:pPr>
      <w:r>
        <w:rPr>
          <w:rFonts w:ascii="Courier New" w:cs="Courier New" w:eastAsia="Courier New" w:hAnsi="Courier New"/>
          <w:sz w:val="14"/>
          <w:szCs w:val="14"/>
          <w:color w:val="auto"/>
        </w:rPr>
        <w:t>WASTE MANAGEMENT, INC. (the "Company"), and MILLER J. MATHEWS, JR. (the "Executive") hereby enter into this AMENDED EMPLOYMENT AGREEMENT ("Agreement") dated as of October 1, 1998, as follows:</w:t>
      </w:r>
    </w:p>
    <w:p>
      <w:pPr>
        <w:spacing w:after="0" w:line="162" w:lineRule="exact"/>
        <w:rPr>
          <w:sz w:val="20"/>
          <w:szCs w:val="20"/>
          <w:color w:val="auto"/>
        </w:rPr>
      </w:pPr>
    </w:p>
    <w:p>
      <w:pPr>
        <w:ind w:left="360" w:hanging="351"/>
        <w:spacing w:after="0"/>
        <w:tabs>
          <w:tab w:leader="none" w:pos="3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Company shall employ Executive, and Executive shall be employed by the Company upon the terms and subject to the conditions set forth in this Agreement.</w:t>
      </w:r>
    </w:p>
    <w:p>
      <w:pPr>
        <w:spacing w:after="0" w:line="162" w:lineRule="exact"/>
        <w:rPr>
          <w:sz w:val="20"/>
          <w:szCs w:val="20"/>
          <w:color w:val="auto"/>
        </w:rPr>
      </w:pPr>
    </w:p>
    <w:p>
      <w:pPr>
        <w:ind w:left="360" w:hanging="351"/>
        <w:spacing w:after="0"/>
        <w:tabs>
          <w:tab w:leader="none" w:pos="36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term of Executive's employment shall conclude on December 31, 2000. Employment after December 31, 2000, shall be of a part-time nature for three (3) years and shall be at the option of the Executive, pursuant to the provisions of Section 6(e) of this Agreement, as amended herein, unless employment is terminated pursuant to one of the provisions contained in Section 5 of this Agreement.</w:t>
      </w:r>
    </w:p>
    <w:p>
      <w:pPr>
        <w:spacing w:after="0" w:line="329" w:lineRule="exact"/>
        <w:rPr>
          <w:sz w:val="20"/>
          <w:szCs w:val="20"/>
          <w:color w:val="auto"/>
        </w:rPr>
      </w:pPr>
    </w:p>
    <w:p>
      <w:pPr>
        <w:ind w:left="360" w:hanging="351"/>
        <w:spacing w:after="0"/>
        <w:tabs>
          <w:tab w:leader="none" w:pos="36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RESPONSIBILITIES.</w:t>
      </w:r>
    </w:p>
    <w:p>
      <w:pPr>
        <w:spacing w:after="0" w:line="175" w:lineRule="exact"/>
        <w:rPr>
          <w:sz w:val="20"/>
          <w:szCs w:val="20"/>
          <w:color w:val="auto"/>
        </w:rPr>
      </w:pPr>
    </w:p>
    <w:p>
      <w:pPr>
        <w:ind w:left="800" w:right="3199" w:hanging="791"/>
        <w:spacing w:after="0" w:line="254" w:lineRule="auto"/>
        <w:tabs>
          <w:tab w:leader="none" w:pos="80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Senior Vice President, and report to President and Chief Operating Officer. In such capacity, Executive shall perform such duties as may be assigned to Executive from time to time by the Board of Directors of the Company or the Chief Operating Officer of the Company or the Chief Executive Officer of the Company.</w:t>
      </w:r>
    </w:p>
    <w:p>
      <w:pPr>
        <w:spacing w:after="0" w:line="162" w:lineRule="exact"/>
        <w:rPr>
          <w:rFonts w:ascii="Courier New" w:cs="Courier New" w:eastAsia="Courier New" w:hAnsi="Courier New"/>
          <w:sz w:val="14"/>
          <w:szCs w:val="14"/>
          <w:color w:val="auto"/>
        </w:rPr>
      </w:pPr>
    </w:p>
    <w:p>
      <w:pPr>
        <w:ind w:left="800" w:right="3379" w:hanging="791"/>
        <w:spacing w:after="0" w:line="253" w:lineRule="auto"/>
        <w:tabs>
          <w:tab w:leader="none" w:pos="80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164" w:lineRule="exact"/>
        <w:rPr>
          <w:rFonts w:ascii="Courier New" w:cs="Courier New" w:eastAsia="Courier New" w:hAnsi="Courier New"/>
          <w:sz w:val="14"/>
          <w:szCs w:val="14"/>
          <w:color w:val="auto"/>
        </w:rPr>
      </w:pPr>
    </w:p>
    <w:p>
      <w:pPr>
        <w:ind w:left="800" w:right="3459" w:hanging="791"/>
        <w:spacing w:after="0" w:line="253" w:lineRule="auto"/>
        <w:tabs>
          <w:tab w:leader="none" w:pos="80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65" w:lineRule="exact"/>
        <w:rPr>
          <w:sz w:val="20"/>
          <w:szCs w:val="20"/>
          <w:color w:val="auto"/>
        </w:rPr>
      </w:pPr>
    </w:p>
    <w:p>
      <w:pPr>
        <w:ind w:left="360" w:hanging="351"/>
        <w:spacing w:after="0"/>
        <w:tabs>
          <w:tab w:leader="none" w:pos="36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sz w:val="20"/>
          <w:szCs w:val="20"/>
          <w:color w:val="auto"/>
        </w:rPr>
      </w:pPr>
    </w:p>
    <w:p>
      <w:pPr>
        <w:ind w:left="800" w:right="3379" w:hanging="791"/>
        <w:spacing w:after="0" w:line="253" w:lineRule="auto"/>
        <w:tabs>
          <w:tab w:leader="none" w:pos="8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Executive a base salary at the annual rate of Four Hundred Thousand ($400,000) Dollars per year, or such higher rate as may be determined from time to time by the Company ("Base Salary"). Such Base Salary shall be paid in accordance with the Company's standard payroll practice for executives.</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 of 14</w:t>
      </w:r>
    </w:p>
    <w:p>
      <w:pPr>
        <w:sectPr>
          <w:pgSz w:w="11900" w:h="16838" w:orient="portrait"/>
          <w:cols w:equalWidth="0" w:num="1">
            <w:col w:w="10159"/>
          </w:cols>
          <w:pgMar w:left="300" w:top="142"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800" w:right="3299" w:hanging="791"/>
        <w:spacing w:after="0" w:line="253" w:lineRule="auto"/>
        <w:tabs>
          <w:tab w:leader="none" w:pos="80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executives, provided that such expenses are incurred and accounted for in accordance with the Company's policy.</w:t>
      </w:r>
    </w:p>
    <w:p>
      <w:pPr>
        <w:spacing w:after="0" w:line="165" w:lineRule="exact"/>
        <w:rPr>
          <w:rFonts w:ascii="Courier New" w:cs="Courier New" w:eastAsia="Courier New" w:hAnsi="Courier New"/>
          <w:sz w:val="14"/>
          <w:szCs w:val="14"/>
          <w:color w:val="auto"/>
        </w:rPr>
      </w:pPr>
    </w:p>
    <w:p>
      <w:pPr>
        <w:ind w:left="800" w:right="3199" w:hanging="791"/>
        <w:spacing w:after="0" w:line="253" w:lineRule="auto"/>
        <w:tabs>
          <w:tab w:leader="none" w:pos="80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executives working pursuant to this form of Agreement (hereinafter referred to as "similarly situated executives").</w:t>
      </w:r>
    </w:p>
    <w:p>
      <w:pPr>
        <w:spacing w:after="0" w:line="164"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ind w:left="1140" w:hanging="350"/>
        <w:spacing w:after="0"/>
        <w:tabs>
          <w:tab w:leader="none" w:pos="114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defend the validity of this Agreement, (ii) contest any</w:t>
      </w:r>
    </w:p>
    <w:p>
      <w:pPr>
        <w:spacing w:after="0" w:line="8" w:lineRule="exact"/>
        <w:rPr>
          <w:rFonts w:ascii="Courier New" w:cs="Courier New" w:eastAsia="Courier New" w:hAnsi="Courier New"/>
          <w:sz w:val="14"/>
          <w:szCs w:val="14"/>
          <w:color w:val="auto"/>
        </w:rPr>
      </w:pPr>
    </w:p>
    <w:p>
      <w:pPr>
        <w:ind w:left="800" w:right="35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00" w:right="3199" w:hanging="10"/>
        <w:spacing w:after="0" w:line="253" w:lineRule="auto"/>
        <w:tabs>
          <w:tab w:leader="none" w:pos="1321" w:val="left"/>
        </w:tabs>
        <w:numPr>
          <w:ilvl w:val="1"/>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331" w:lineRule="exact"/>
        <w:rPr>
          <w:sz w:val="20"/>
          <w:szCs w:val="20"/>
          <w:color w:val="auto"/>
        </w:rPr>
      </w:pPr>
    </w:p>
    <w:p>
      <w:pPr>
        <w:ind w:left="360" w:hanging="351"/>
        <w:spacing w:after="0"/>
        <w:tabs>
          <w:tab w:leader="none" w:pos="36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4079"/>
        <w:spacing w:after="0" w:line="258" w:lineRule="auto"/>
        <w:rPr>
          <w:sz w:val="20"/>
          <w:szCs w:val="20"/>
          <w:color w:val="auto"/>
        </w:rPr>
      </w:pPr>
      <w:r>
        <w:rPr>
          <w:rFonts w:ascii="Courier New" w:cs="Courier New" w:eastAsia="Courier New" w:hAnsi="Courier New"/>
          <w:sz w:val="14"/>
          <w:szCs w:val="14"/>
          <w:color w:val="auto"/>
        </w:rPr>
        <w:t>Executive's employment hereunder may be terminated under the following circumstances:</w:t>
      </w:r>
    </w:p>
    <w:p>
      <w:pPr>
        <w:spacing w:after="0" w:line="160" w:lineRule="exact"/>
        <w:rPr>
          <w:sz w:val="20"/>
          <w:szCs w:val="20"/>
          <w:color w:val="auto"/>
        </w:rPr>
      </w:pPr>
    </w:p>
    <w:p>
      <w:pPr>
        <w:ind w:left="800" w:right="4159" w:hanging="791"/>
        <w:spacing w:after="0" w:line="258" w:lineRule="auto"/>
        <w:tabs>
          <w:tab w:leader="none" w:pos="80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Executive's employment hereunder shall terminate upon Executive's death.</w:t>
      </w:r>
    </w:p>
    <w:p>
      <w:pPr>
        <w:spacing w:after="0" w:line="159" w:lineRule="exact"/>
        <w:rPr>
          <w:rFonts w:ascii="Courier New" w:cs="Courier New" w:eastAsia="Courier New" w:hAnsi="Courier New"/>
          <w:sz w:val="14"/>
          <w:szCs w:val="14"/>
          <w:color w:val="auto"/>
        </w:rPr>
      </w:pPr>
    </w:p>
    <w:p>
      <w:pPr>
        <w:ind w:left="800" w:right="3299" w:hanging="791"/>
        <w:spacing w:after="0" w:line="253" w:lineRule="auto"/>
        <w:tabs>
          <w:tab w:leader="none" w:pos="80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162" w:lineRule="exact"/>
        <w:rPr>
          <w:rFonts w:ascii="Courier New" w:cs="Courier New" w:eastAsia="Courier New" w:hAnsi="Courier New"/>
          <w:sz w:val="14"/>
          <w:szCs w:val="14"/>
          <w:color w:val="auto"/>
        </w:rPr>
      </w:pPr>
    </w:p>
    <w:p>
      <w:pPr>
        <w:ind w:left="800" w:right="3899" w:hanging="791"/>
        <w:spacing w:after="0" w:line="255" w:lineRule="auto"/>
        <w:tabs>
          <w:tab w:leader="none" w:pos="80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after providing written notice to Executive.</w:t>
      </w:r>
    </w:p>
    <w:p>
      <w:pPr>
        <w:spacing w:after="0" w:line="200" w:lineRule="exact"/>
        <w:rPr>
          <w:sz w:val="20"/>
          <w:szCs w:val="20"/>
          <w:color w:val="auto"/>
        </w:rPr>
      </w:pPr>
    </w:p>
    <w:p>
      <w:pPr>
        <w:spacing w:after="0" w:line="29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2 of 14</w:t>
      </w:r>
    </w:p>
    <w:p>
      <w:pPr>
        <w:sectPr>
          <w:pgSz w:w="11900" w:h="16838" w:orient="portrait"/>
          <w:cols w:equalWidth="0" w:num="1">
            <w:col w:w="10159"/>
          </w:cols>
          <w:pgMar w:left="300" w:top="286"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1580" w:right="3199" w:hanging="790"/>
        <w:spacing w:after="0" w:line="252" w:lineRule="auto"/>
        <w:tabs>
          <w:tab w:leader="none" w:pos="158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72" w:lineRule="exact"/>
        <w:rPr>
          <w:rFonts w:ascii="Courier New" w:cs="Courier New" w:eastAsia="Courier New" w:hAnsi="Courier New"/>
          <w:sz w:val="14"/>
          <w:szCs w:val="14"/>
          <w:color w:val="auto"/>
        </w:rPr>
      </w:pPr>
    </w:p>
    <w:p>
      <w:pPr>
        <w:ind w:left="1580" w:right="3199" w:hanging="790"/>
        <w:spacing w:after="0" w:line="253" w:lineRule="auto"/>
        <w:tabs>
          <w:tab w:leader="none" w:pos="158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64" w:lineRule="exact"/>
        <w:rPr>
          <w:rFonts w:ascii="Courier New" w:cs="Courier New" w:eastAsia="Courier New" w:hAnsi="Courier New"/>
          <w:sz w:val="14"/>
          <w:szCs w:val="14"/>
          <w:color w:val="auto"/>
        </w:rPr>
      </w:pPr>
    </w:p>
    <w:p>
      <w:pPr>
        <w:ind w:left="1580" w:right="3199" w:hanging="790"/>
        <w:spacing w:after="0" w:line="253" w:lineRule="auto"/>
        <w:tabs>
          <w:tab w:leader="none" w:pos="158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165" w:lineRule="exact"/>
        <w:rPr>
          <w:rFonts w:ascii="Courier New" w:cs="Courier New" w:eastAsia="Courier New" w:hAnsi="Courier New"/>
          <w:sz w:val="14"/>
          <w:szCs w:val="14"/>
          <w:color w:val="auto"/>
        </w:rPr>
      </w:pPr>
    </w:p>
    <w:p>
      <w:pPr>
        <w:ind w:left="800" w:right="3299" w:hanging="791"/>
        <w:spacing w:after="0" w:line="254" w:lineRule="auto"/>
        <w:tabs>
          <w:tab w:leader="none" w:pos="80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Executive may terminate employment hereunder at any time after providing ninety (90) days' written notice to the Company, or for good reason as described in Section 7 of this Agreement.</w:t>
      </w:r>
    </w:p>
    <w:p>
      <w:pPr>
        <w:spacing w:after="0" w:line="163" w:lineRule="exact"/>
        <w:rPr>
          <w:rFonts w:ascii="Courier New" w:cs="Courier New" w:eastAsia="Courier New" w:hAnsi="Courier New"/>
          <w:sz w:val="14"/>
          <w:szCs w:val="14"/>
          <w:color w:val="auto"/>
        </w:rPr>
      </w:pPr>
    </w:p>
    <w:p>
      <w:pPr>
        <w:ind w:left="800" w:right="3199" w:hanging="791"/>
        <w:spacing w:after="0" w:line="255" w:lineRule="auto"/>
        <w:tabs>
          <w:tab w:leader="none" w:pos="80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after December 31, 2000, after providing written notice to Executive.</w:t>
      </w:r>
    </w:p>
    <w:p>
      <w:pPr>
        <w:spacing w:after="0" w:line="162" w:lineRule="exact"/>
        <w:rPr>
          <w:sz w:val="20"/>
          <w:szCs w:val="20"/>
          <w:color w:val="auto"/>
        </w:rPr>
      </w:pPr>
    </w:p>
    <w:p>
      <w:pPr>
        <w:ind w:left="360" w:hanging="351"/>
        <w:spacing w:after="0"/>
        <w:tabs>
          <w:tab w:leader="none" w:pos="36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FOLLOWING TERMINATION OF EMPLOYMENT.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the event that Executive's employment hereunder is terminated, Executive shall be entitled to the following compensation and benefits upon such termination:</w:t>
      </w:r>
    </w:p>
    <w:p>
      <w:pPr>
        <w:spacing w:after="0" w:line="162" w:lineRule="exact"/>
        <w:rPr>
          <w:sz w:val="20"/>
          <w:szCs w:val="20"/>
          <w:color w:val="auto"/>
        </w:rPr>
      </w:pPr>
    </w:p>
    <w:p>
      <w:pPr>
        <w:ind w:left="800" w:right="3379" w:hanging="791"/>
        <w:spacing w:after="0" w:line="255" w:lineRule="auto"/>
        <w:tabs>
          <w:tab w:leader="none" w:pos="80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161" w:lineRule="exact"/>
        <w:rPr>
          <w:rFonts w:ascii="Courier New" w:cs="Courier New" w:eastAsia="Courier New" w:hAnsi="Courier New"/>
          <w:sz w:val="14"/>
          <w:szCs w:val="14"/>
          <w:color w:val="auto"/>
        </w:rPr>
      </w:pPr>
    </w:p>
    <w:p>
      <w:pPr>
        <w:ind w:left="1580" w:right="3199" w:hanging="790"/>
        <w:spacing w:after="0" w:line="253" w:lineRule="auto"/>
        <w:tabs>
          <w:tab w:leader="none" w:pos="1580"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 pro-rata "bonus" or incentive compensation payment to the extent payments are awarded to similarly situated executives and paid at the same time as similarly situated executives are paid; and any vacation accrued to the date of death.</w:t>
      </w:r>
    </w:p>
    <w:p>
      <w:pPr>
        <w:spacing w:after="0" w:line="200" w:lineRule="exact"/>
        <w:rPr>
          <w:sz w:val="20"/>
          <w:szCs w:val="20"/>
          <w:color w:val="auto"/>
        </w:rPr>
      </w:pPr>
    </w:p>
    <w:p>
      <w:pPr>
        <w:spacing w:after="0" w:line="29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14</w:t>
      </w:r>
    </w:p>
    <w:p>
      <w:pPr>
        <w:sectPr>
          <w:pgSz w:w="11900" w:h="16838" w:orient="portrait"/>
          <w:cols w:equalWidth="0" w:num="1">
            <w:col w:w="10159"/>
          </w:cols>
          <w:pgMar w:left="300" w:top="286" w:right="1440" w:bottom="1440" w:gutter="0" w:footer="0" w:header="0"/>
        </w:sectPr>
      </w:pPr>
    </w:p>
    <w:bookmarkStart w:id="242" w:name="page243"/>
    <w:bookmarkEnd w:id="242"/>
    <w:p>
      <w:pPr>
        <w:ind w:left="251"/>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1571" w:right="3459" w:hanging="790"/>
        <w:spacing w:after="0" w:line="254" w:lineRule="auto"/>
        <w:tabs>
          <w:tab w:leader="none" w:pos="1571"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(i.e., either December 31, 2000, or December 31, 2003). Such amount shall be paid in a single lump sum cash payment within thirty (30) days after Executive's death.</w:t>
      </w:r>
    </w:p>
    <w:p>
      <w:pPr>
        <w:spacing w:after="0" w:line="164" w:lineRule="exact"/>
        <w:rPr>
          <w:rFonts w:ascii="Courier New" w:cs="Courier New" w:eastAsia="Courier New" w:hAnsi="Courier New"/>
          <w:sz w:val="14"/>
          <w:szCs w:val="14"/>
          <w:color w:val="auto"/>
        </w:rPr>
      </w:pPr>
    </w:p>
    <w:p>
      <w:pPr>
        <w:ind w:left="1571" w:right="3299" w:hanging="790"/>
        <w:spacing w:after="0" w:line="254" w:lineRule="auto"/>
        <w:tabs>
          <w:tab w:leader="none" w:pos="1571"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death, stock options awarded to Executive shall be fully vested. Executive's estate or beneficiary shall have up to one (1) year from the date of death to exercise all such options.</w:t>
      </w:r>
    </w:p>
    <w:p>
      <w:pPr>
        <w:spacing w:after="0" w:line="163" w:lineRule="exact"/>
        <w:rPr>
          <w:rFonts w:ascii="Courier New" w:cs="Courier New" w:eastAsia="Courier New" w:hAnsi="Courier New"/>
          <w:sz w:val="14"/>
          <w:szCs w:val="14"/>
          <w:color w:val="auto"/>
        </w:rPr>
      </w:pPr>
    </w:p>
    <w:p>
      <w:pPr>
        <w:ind w:left="791" w:right="3379" w:hanging="791"/>
        <w:spacing w:after="0" w:line="254" w:lineRule="auto"/>
        <w:tabs>
          <w:tab w:leader="none" w:pos="79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63" w:lineRule="exact"/>
        <w:rPr>
          <w:rFonts w:ascii="Courier New" w:cs="Courier New" w:eastAsia="Courier New" w:hAnsi="Courier New"/>
          <w:sz w:val="14"/>
          <w:szCs w:val="14"/>
          <w:color w:val="auto"/>
        </w:rPr>
      </w:pPr>
    </w:p>
    <w:p>
      <w:pPr>
        <w:ind w:left="1571" w:right="3299" w:hanging="790"/>
        <w:spacing w:after="0" w:line="253" w:lineRule="auto"/>
        <w:tabs>
          <w:tab w:leader="none" w:pos="1571"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bonus or incentive compensation payment to the extent such awards are made to similarly situated executives, pro-rated for the year in which Executive is terminated and paid at the same time as similarly situated executives are paid.</w:t>
      </w:r>
    </w:p>
    <w:p>
      <w:pPr>
        <w:spacing w:after="0" w:line="164"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(i.e., either December 31, 2000, or December 31, 2003). Payment shall be made at the same time and in the same manner as such compensation would have been paid if Executive had remained in active employment until the end of such period.</w:t>
      </w:r>
    </w:p>
    <w:p>
      <w:pPr>
        <w:spacing w:after="0" w:line="164"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total disability, Executive shall be fully vested in all stock option awards. Executive shall have up to one (1) year from the date of termination by reason of total disability to exercise all such options.</w:t>
      </w:r>
    </w:p>
    <w:p>
      <w:pPr>
        <w:spacing w:after="0" w:line="162" w:lineRule="exact"/>
        <w:rPr>
          <w:rFonts w:ascii="Courier New" w:cs="Courier New" w:eastAsia="Courier New" w:hAnsi="Courier New"/>
          <w:sz w:val="14"/>
          <w:szCs w:val="14"/>
          <w:color w:val="auto"/>
        </w:rPr>
      </w:pPr>
    </w:p>
    <w:p>
      <w:pPr>
        <w:ind w:left="791" w:right="3639" w:hanging="791"/>
        <w:spacing w:after="0" w:line="255" w:lineRule="auto"/>
        <w:tabs>
          <w:tab w:leader="none" w:pos="79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In the event that Executive's employment is terminated by the Company for Cause pursuant to Section 5(c), the Company shall pay the following amounts to Executive:</w:t>
      </w:r>
    </w:p>
    <w:p>
      <w:pPr>
        <w:spacing w:after="0" w:line="200" w:lineRule="exact"/>
        <w:rPr>
          <w:sz w:val="20"/>
          <w:szCs w:val="20"/>
          <w:color w:val="auto"/>
        </w:rPr>
      </w:pPr>
    </w:p>
    <w:p>
      <w:pPr>
        <w:spacing w:after="0" w:line="29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4 of 14</w:t>
      </w:r>
    </w:p>
    <w:p>
      <w:pPr>
        <w:sectPr>
          <w:pgSz w:w="11900" w:h="16838" w:orient="portrait"/>
          <w:cols w:equalWidth="0" w:num="1">
            <w:col w:w="10150"/>
          </w:cols>
          <w:pgMar w:left="309" w:top="286" w:right="1440" w:bottom="1440" w:gutter="0" w:footer="0" w:header="0"/>
        </w:sectPr>
      </w:pPr>
    </w:p>
    <w:bookmarkStart w:id="243" w:name="page244"/>
    <w:bookmarkEnd w:id="243"/>
    <w:p>
      <w:pPr>
        <w:ind w:left="251"/>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1571" w:right="3379" w:hanging="790"/>
        <w:spacing w:after="0" w:line="254" w:lineRule="auto"/>
        <w:tabs>
          <w:tab w:leader="none" w:pos="157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791" w:right="3459" w:hanging="791"/>
        <w:spacing w:after="0" w:line="254" w:lineRule="auto"/>
        <w:tabs>
          <w:tab w:leader="none" w:pos="79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163"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FULL-TIME STATUS AFTER DECEMBER 31, 2000. In the event that Executive elects to remain employed with the Company subsequent to December 31, 2000, it is agreed that the employment shall be of a part-time nature until December 31, 2003. Executive shall not be required to work more than fifty percent (50%) of the three (3) calendar years (2001, 2002 and 2003), and shall report to the President of the Company or his designee. Provided the Executive is willing to work and remains available to work as directed, the Company will pay to the Executive the following amount(s) for the three (3) year part-time period:</w:t>
      </w:r>
    </w:p>
    <w:p>
      <w:pPr>
        <w:spacing w:after="0" w:line="330" w:lineRule="exact"/>
        <w:rPr>
          <w:rFonts w:ascii="Courier New" w:cs="Courier New" w:eastAsia="Courier New" w:hAnsi="Courier New"/>
          <w:sz w:val="14"/>
          <w:szCs w:val="14"/>
          <w:color w:val="auto"/>
        </w:rPr>
      </w:pPr>
    </w:p>
    <w:p>
      <w:pPr>
        <w:ind w:left="1571" w:right="3299" w:hanging="790"/>
        <w:spacing w:after="0" w:line="255" w:lineRule="auto"/>
        <w:tabs>
          <w:tab w:leader="none" w:pos="1571"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seventy-five percent (75%) of Executive's base pay for the highest year of the preceding three (3) year period (1997, 1998 and 1999).</w:t>
      </w:r>
    </w:p>
    <w:p>
      <w:pPr>
        <w:spacing w:after="0" w:line="161" w:lineRule="exact"/>
        <w:rPr>
          <w:rFonts w:ascii="Courier New" w:cs="Courier New" w:eastAsia="Courier New" w:hAnsi="Courier New"/>
          <w:sz w:val="14"/>
          <w:szCs w:val="14"/>
          <w:color w:val="auto"/>
        </w:rPr>
      </w:pPr>
    </w:p>
    <w:p>
      <w:pPr>
        <w:ind w:left="1571" w:right="3299" w:hanging="790"/>
        <w:spacing w:after="0" w:line="254" w:lineRule="auto"/>
        <w:tabs>
          <w:tab w:leader="none" w:pos="1571"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continue at its expense, for Executive and Executive's spouse and dependents, all health-related benefit plans, as more fully described in Section 6(e)(iv) of this Agreement.</w:t>
      </w:r>
    </w:p>
    <w:p>
      <w:pPr>
        <w:spacing w:after="0" w:line="163" w:lineRule="exact"/>
        <w:rPr>
          <w:rFonts w:ascii="Courier New" w:cs="Courier New" w:eastAsia="Courier New" w:hAnsi="Courier New"/>
          <w:sz w:val="14"/>
          <w:szCs w:val="14"/>
          <w:color w:val="auto"/>
        </w:rPr>
      </w:pPr>
    </w:p>
    <w:p>
      <w:pPr>
        <w:ind w:left="1571" w:right="3199" w:hanging="790"/>
        <w:spacing w:after="0" w:line="252" w:lineRule="auto"/>
        <w:tabs>
          <w:tab w:leader="none" w:pos="1571"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three (3) years after the date of termination of full-time status;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5 of 14</w:t>
      </w:r>
    </w:p>
    <w:p>
      <w:pPr>
        <w:sectPr>
          <w:pgSz w:w="11900" w:h="16838" w:orient="portrait"/>
          <w:cols w:equalWidth="0" w:num="1">
            <w:col w:w="10150"/>
          </w:cols>
          <w:pgMar w:left="309" w:top="286" w:right="1440" w:bottom="1440" w:gutter="0" w:footer="0" w:header="0"/>
        </w:sectPr>
      </w:pPr>
    </w:p>
    <w:bookmarkStart w:id="244" w:name="page245"/>
    <w:bookmarkEnd w:id="244"/>
    <w:p>
      <w:pPr>
        <w:ind w:left="251"/>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1571" w:right="3199"/>
        <w:spacing w:after="0" w:line="258" w:lineRule="auto"/>
        <w:rPr>
          <w:sz w:val="20"/>
          <w:szCs w:val="20"/>
          <w:color w:val="auto"/>
        </w:rPr>
      </w:pPr>
      <w:r>
        <w:rPr>
          <w:rFonts w:ascii="Courier New" w:cs="Courier New" w:eastAsia="Courier New" w:hAnsi="Courier New"/>
          <w:sz w:val="14"/>
          <w:szCs w:val="14"/>
          <w:color w:val="auto"/>
        </w:rPr>
        <w:t>Executive would have been entitled to receive under such plan, program, or arrangement, for such period.</w:t>
      </w:r>
    </w:p>
    <w:p>
      <w:pPr>
        <w:spacing w:after="0" w:line="160" w:lineRule="exact"/>
        <w:rPr>
          <w:sz w:val="20"/>
          <w:szCs w:val="20"/>
          <w:color w:val="auto"/>
        </w:rPr>
      </w:pPr>
    </w:p>
    <w:p>
      <w:pPr>
        <w:ind w:left="1571" w:right="3299" w:hanging="790"/>
        <w:spacing w:after="0" w:line="253" w:lineRule="auto"/>
        <w:tabs>
          <w:tab w:leader="none" w:pos="1571"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is unavailable to work as described herein at Section 6(e) above for a sixty (60) day period, the Company will provide written notice of its intent to terminate the Agreement. The Executive will be given thirty (30) days to respond and to correct the situation. If the issue remains unresolved, the Company may elect to terminate the Agreement and will pay Executive through the end of the thirty (30) day response period, as described herein.</w:t>
      </w:r>
    </w:p>
    <w:p>
      <w:pPr>
        <w:spacing w:after="0" w:line="164"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64" w:lineRule="exact"/>
        <w:rPr>
          <w:rFonts w:ascii="Courier New" w:cs="Courier New" w:eastAsia="Courier New" w:hAnsi="Courier New"/>
          <w:sz w:val="14"/>
          <w:szCs w:val="14"/>
          <w:color w:val="auto"/>
        </w:rPr>
      </w:pPr>
    </w:p>
    <w:p>
      <w:pPr>
        <w:ind w:left="791" w:right="3379" w:hanging="791"/>
        <w:spacing w:after="0" w:line="255" w:lineRule="auto"/>
        <w:tabs>
          <w:tab w:leader="none" w:pos="791"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OR TERMINATION OF BENEFITS AND COMPENSATION. In the event that the Company, in its sole discretion determines that, without the Company's express written consent, Executive has</w:t>
      </w:r>
    </w:p>
    <w:p>
      <w:pPr>
        <w:spacing w:after="0" w:line="161"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64"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330" w:lineRule="exact"/>
        <w:rPr>
          <w:sz w:val="20"/>
          <w:szCs w:val="20"/>
          <w:color w:val="auto"/>
        </w:rPr>
      </w:pPr>
    </w:p>
    <w:p>
      <w:pPr>
        <w:ind w:left="791" w:right="3299"/>
        <w:spacing w:after="0" w:line="254" w:lineRule="auto"/>
        <w:rPr>
          <w:sz w:val="20"/>
          <w:szCs w:val="20"/>
          <w:color w:val="auto"/>
        </w:rPr>
      </w:pPr>
      <w:r>
        <w:rPr>
          <w:rFonts w:ascii="Courier New" w:cs="Courier New" w:eastAsia="Courier New" w:hAnsi="Courier New"/>
          <w:sz w:val="14"/>
          <w:szCs w:val="14"/>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200" w:lineRule="exact"/>
        <w:rPr>
          <w:sz w:val="20"/>
          <w:szCs w:val="20"/>
          <w:color w:val="auto"/>
        </w:rPr>
      </w:pPr>
    </w:p>
    <w:p>
      <w:pPr>
        <w:spacing w:after="0" w:line="29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6 of 14</w:t>
      </w:r>
    </w:p>
    <w:p>
      <w:pPr>
        <w:sectPr>
          <w:pgSz w:w="11900" w:h="16838" w:orient="portrait"/>
          <w:cols w:equalWidth="0" w:num="1">
            <w:col w:w="10150"/>
          </w:cols>
          <w:pgMar w:left="309" w:top="286" w:right="1440" w:bottom="1440" w:gutter="0" w:footer="0" w:header="0"/>
        </w:sectPr>
      </w:pPr>
    </w:p>
    <w:bookmarkStart w:id="245" w:name="page246"/>
    <w:bookmarkEnd w:id="245"/>
    <w:p>
      <w:pPr>
        <w:ind w:left="251"/>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 w:right="3379" w:firstLine="9"/>
        <w:spacing w:after="0" w:line="258" w:lineRule="auto"/>
        <w:tabs>
          <w:tab w:leader="none" w:pos="25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BY EXECUTIVE FOR GOOD REASON AND COMPENSATION PAYABLE FOLLOWING CHANGE IN CONTROL.</w:t>
      </w:r>
    </w:p>
    <w:p>
      <w:pPr>
        <w:spacing w:after="0" w:line="160" w:lineRule="exact"/>
        <w:rPr>
          <w:sz w:val="20"/>
          <w:szCs w:val="20"/>
          <w:color w:val="auto"/>
        </w:rPr>
      </w:pPr>
    </w:p>
    <w:p>
      <w:pPr>
        <w:ind w:left="791" w:right="3199" w:hanging="791"/>
        <w:spacing w:after="0" w:line="252" w:lineRule="auto"/>
        <w:tabs>
          <w:tab w:leader="none" w:pos="79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December 31, 2000, or at any time prior to the six</w:t>
      </w:r>
    </w:p>
    <w:p>
      <w:pPr>
        <w:spacing w:after="0" w:line="2" w:lineRule="exact"/>
        <w:rPr>
          <w:rFonts w:ascii="Courier New" w:cs="Courier New" w:eastAsia="Courier New" w:hAnsi="Courier New"/>
          <w:sz w:val="14"/>
          <w:szCs w:val="14"/>
          <w:color w:val="auto"/>
        </w:rPr>
      </w:pPr>
    </w:p>
    <w:p>
      <w:pPr>
        <w:jc w:val="both"/>
        <w:ind w:left="791" w:right="3379" w:hanging="10"/>
        <w:spacing w:after="0" w:line="255" w:lineRule="auto"/>
        <w:tabs>
          <w:tab w:leader="none" w:pos="1138"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 anniversary of the date of the Change in Control, whichever date occurs earlier, following the occurrence of any of the following events:</w:t>
      </w:r>
    </w:p>
    <w:p>
      <w:pPr>
        <w:spacing w:after="0" w:line="162" w:lineRule="exact"/>
        <w:rPr>
          <w:sz w:val="20"/>
          <w:szCs w:val="20"/>
          <w:color w:val="auto"/>
        </w:rPr>
      </w:pPr>
    </w:p>
    <w:p>
      <w:pPr>
        <w:ind w:left="1571" w:right="3199" w:hanging="790"/>
        <w:spacing w:after="0" w:line="253" w:lineRule="auto"/>
        <w:tabs>
          <w:tab w:leader="none" w:pos="157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330" w:lineRule="exact"/>
        <w:rPr>
          <w:rFonts w:ascii="Courier New" w:cs="Courier New" w:eastAsia="Courier New" w:hAnsi="Courier New"/>
          <w:sz w:val="14"/>
          <w:szCs w:val="14"/>
          <w:color w:val="auto"/>
        </w:rPr>
      </w:pPr>
    </w:p>
    <w:p>
      <w:pPr>
        <w:ind w:left="1571" w:right="3459" w:hanging="790"/>
        <w:spacing w:after="0" w:line="255" w:lineRule="auto"/>
        <w:tabs>
          <w:tab w:leader="none" w:pos="157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in Executive's Base Salary as in effect immediately before a Change in Control plus all increases therein subsequent thereto;</w:t>
      </w:r>
    </w:p>
    <w:p>
      <w:pPr>
        <w:spacing w:after="0" w:line="161" w:lineRule="exact"/>
        <w:rPr>
          <w:rFonts w:ascii="Courier New" w:cs="Courier New" w:eastAsia="Courier New" w:hAnsi="Courier New"/>
          <w:sz w:val="14"/>
          <w:szCs w:val="14"/>
          <w:color w:val="auto"/>
        </w:rPr>
      </w:pPr>
    </w:p>
    <w:p>
      <w:pPr>
        <w:ind w:left="1571" w:right="3299" w:hanging="790"/>
        <w:spacing w:after="0" w:line="253" w:lineRule="auto"/>
        <w:tabs>
          <w:tab w:leader="none" w:pos="157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163" w:lineRule="exact"/>
        <w:rPr>
          <w:rFonts w:ascii="Courier New" w:cs="Courier New" w:eastAsia="Courier New" w:hAnsi="Courier New"/>
          <w:sz w:val="14"/>
          <w:szCs w:val="14"/>
          <w:color w:val="auto"/>
        </w:rPr>
      </w:pPr>
    </w:p>
    <w:p>
      <w:pPr>
        <w:ind w:left="1571" w:right="3199" w:hanging="790"/>
        <w:spacing w:after="0" w:line="252" w:lineRule="auto"/>
        <w:tabs>
          <w:tab w:leader="none" w:pos="1571"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to provide Executive with an appropriate adjustment to compensation such as a lump sum 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 Executive's take home pay, to housing most recently owned by Executive prior to, or as of the effective date of the change of control;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7 of 14</w:t>
      </w:r>
    </w:p>
    <w:p>
      <w:pPr>
        <w:sectPr>
          <w:pgSz w:w="11900" w:h="16838" w:orient="portrait"/>
          <w:cols w:equalWidth="0" w:num="1">
            <w:col w:w="10150"/>
          </w:cols>
          <w:pgMar w:left="309" w:top="286" w:right="1440" w:bottom="1440" w:gutter="0" w:footer="0" w:header="0"/>
        </w:sectPr>
      </w:pPr>
    </w:p>
    <w:bookmarkStart w:id="246" w:name="page247"/>
    <w:bookmarkEnd w:id="246"/>
    <w:p>
      <w:pPr>
        <w:ind w:left="251"/>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1571" w:right="3199" w:hanging="790"/>
        <w:spacing w:after="0" w:line="254" w:lineRule="auto"/>
        <w:tabs>
          <w:tab w:leader="none" w:pos="1571"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162" w:lineRule="exact"/>
        <w:rPr>
          <w:rFonts w:ascii="Courier New" w:cs="Courier New" w:eastAsia="Courier New" w:hAnsi="Courier New"/>
          <w:sz w:val="14"/>
          <w:szCs w:val="14"/>
          <w:color w:val="auto"/>
        </w:rPr>
      </w:pPr>
    </w:p>
    <w:p>
      <w:pPr>
        <w:ind w:left="1571" w:right="3199" w:hanging="790"/>
        <w:spacing w:after="0" w:line="255" w:lineRule="auto"/>
        <w:tabs>
          <w:tab w:leader="none" w:pos="1571"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obtain an assumption of, and agreement to perform the obligations of the Company under this Agreement by any successor to the Company.</w:t>
      </w:r>
    </w:p>
    <w:p>
      <w:pPr>
        <w:spacing w:after="0" w:line="161" w:lineRule="exact"/>
        <w:rPr>
          <w:rFonts w:ascii="Courier New" w:cs="Courier New" w:eastAsia="Courier New" w:hAnsi="Courier New"/>
          <w:sz w:val="14"/>
          <w:szCs w:val="14"/>
          <w:color w:val="auto"/>
        </w:rPr>
      </w:pPr>
    </w:p>
    <w:p>
      <w:pPr>
        <w:ind w:left="791" w:right="3199" w:hanging="791"/>
        <w:spacing w:after="0" w:line="255" w:lineRule="auto"/>
        <w:tabs>
          <w:tab w:leader="none" w:pos="79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PAYABLE. In the event that Executive terminates employment pursuant to Section 7(a), the Company shall pay the following amounts to Executive:</w:t>
      </w:r>
    </w:p>
    <w:p>
      <w:pPr>
        <w:spacing w:after="0" w:line="161"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1571" w:right="3199" w:hanging="790"/>
        <w:spacing w:after="0" w:line="254" w:lineRule="auto"/>
        <w:tabs>
          <w:tab w:leader="none" w:pos="157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199" w:hanging="790"/>
        <w:spacing w:after="0" w:line="254" w:lineRule="auto"/>
        <w:tabs>
          <w:tab w:leader="none" w:pos="157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termination.</w:t>
      </w:r>
    </w:p>
    <w:p>
      <w:pPr>
        <w:spacing w:after="0" w:line="162"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330" w:lineRule="exact"/>
        <w:rPr>
          <w:sz w:val="20"/>
          <w:szCs w:val="20"/>
          <w:color w:val="auto"/>
        </w:rPr>
      </w:pPr>
    </w:p>
    <w:p>
      <w:pPr>
        <w:ind w:left="791" w:right="3459"/>
        <w:spacing w:after="0" w:line="253" w:lineRule="auto"/>
        <w:rPr>
          <w:sz w:val="20"/>
          <w:szCs w:val="20"/>
          <w:color w:val="auto"/>
        </w:rPr>
      </w:pPr>
      <w:r>
        <w:rPr>
          <w:rFonts w:ascii="Courier New" w:cs="Courier New" w:eastAsia="Courier New" w:hAnsi="Courier New"/>
          <w:sz w:val="14"/>
          <w:szCs w:val="14"/>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165" w:lineRule="exact"/>
        <w:rPr>
          <w:sz w:val="20"/>
          <w:szCs w:val="20"/>
          <w:color w:val="auto"/>
        </w:rPr>
      </w:pPr>
    </w:p>
    <w:p>
      <w:pPr>
        <w:ind w:left="791" w:right="3299" w:hanging="791"/>
        <w:spacing w:after="0" w:line="253" w:lineRule="auto"/>
        <w:tabs>
          <w:tab w:leader="none" w:pos="79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w:t>
      </w:r>
    </w:p>
    <w:p>
      <w:pPr>
        <w:spacing w:after="0" w:line="200" w:lineRule="exact"/>
        <w:rPr>
          <w:sz w:val="20"/>
          <w:szCs w:val="20"/>
          <w:color w:val="auto"/>
        </w:rPr>
      </w:pPr>
    </w:p>
    <w:p>
      <w:pPr>
        <w:spacing w:after="0" w:line="298"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8 of 14</w:t>
      </w:r>
    </w:p>
    <w:p>
      <w:pPr>
        <w:sectPr>
          <w:pgSz w:w="11900" w:h="16838" w:orient="portrait"/>
          <w:cols w:equalWidth="0" w:num="1">
            <w:col w:w="10150"/>
          </w:cols>
          <w:pgMar w:left="309" w:top="286" w:right="1440" w:bottom="1440" w:gutter="0" w:footer="0" w:header="0"/>
        </w:sectPr>
      </w:pPr>
    </w:p>
    <w:bookmarkStart w:id="247" w:name="page248"/>
    <w:bookmarkEnd w:id="247"/>
    <w:p>
      <w:pPr>
        <w:ind w:left="251"/>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791" w:right="3199"/>
        <w:spacing w:after="0" w:line="253" w:lineRule="auto"/>
        <w:rPr>
          <w:sz w:val="20"/>
          <w:szCs w:val="20"/>
          <w:color w:val="auto"/>
        </w:rPr>
      </w:pPr>
      <w:r>
        <w:rPr>
          <w:rFonts w:ascii="Courier New" w:cs="Courier New" w:eastAsia="Courier New" w:hAnsi="Courier New"/>
          <w:sz w:val="14"/>
          <w:szCs w:val="14"/>
          <w:color w:val="auto"/>
        </w:rPr>
        <w:t>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163" w:lineRule="exact"/>
        <w:rPr>
          <w:sz w:val="20"/>
          <w:szCs w:val="20"/>
          <w:color w:val="auto"/>
        </w:rPr>
      </w:pPr>
    </w:p>
    <w:p>
      <w:pPr>
        <w:ind w:left="791" w:right="3199"/>
        <w:spacing w:after="0" w:line="253" w:lineRule="auto"/>
        <w:rPr>
          <w:sz w:val="20"/>
          <w:szCs w:val="20"/>
          <w:color w:val="auto"/>
        </w:rPr>
      </w:pPr>
      <w:r>
        <w:rPr>
          <w:rFonts w:ascii="Courier New" w:cs="Courier New" w:eastAsia="Courier New" w:hAnsi="Courier New"/>
          <w:sz w:val="14"/>
          <w:szCs w:val="14"/>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maters and such law firm or accounting firm shall determine the amount of Gross-up Payment and such determination shall be final and binding upon the Executive and the Company.</w:t>
      </w:r>
    </w:p>
    <w:p>
      <w:pPr>
        <w:spacing w:after="0" w:line="164" w:lineRule="exact"/>
        <w:rPr>
          <w:sz w:val="20"/>
          <w:szCs w:val="20"/>
          <w:color w:val="auto"/>
        </w:rPr>
      </w:pPr>
    </w:p>
    <w:p>
      <w:pPr>
        <w:ind w:left="791" w:right="3299" w:hanging="791"/>
        <w:spacing w:after="0" w:line="258" w:lineRule="auto"/>
        <w:tabs>
          <w:tab w:leader="none" w:pos="791"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purposes of this Agreement, "Change in Control" means the occurrence of any of the following events:</w:t>
      </w:r>
    </w:p>
    <w:p>
      <w:pPr>
        <w:spacing w:after="0" w:line="159"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330"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165" w:lineRule="exact"/>
        <w:rPr>
          <w:sz w:val="20"/>
          <w:szCs w:val="20"/>
          <w:color w:val="auto"/>
        </w:rPr>
      </w:pPr>
    </w:p>
    <w:p>
      <w:pPr>
        <w:ind w:left="351" w:hanging="351"/>
        <w:spacing w:after="0"/>
        <w:tabs>
          <w:tab w:leader="none" w:pos="351"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sz w:val="20"/>
          <w:szCs w:val="20"/>
          <w:color w:val="auto"/>
        </w:rPr>
      </w:pPr>
    </w:p>
    <w:p>
      <w:pPr>
        <w:ind w:left="791" w:right="3199" w:hanging="791"/>
        <w:spacing w:after="0" w:line="253" w:lineRule="auto"/>
        <w:tabs>
          <w:tab w:leader="none" w:pos="791"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9 of 14</w:t>
      </w:r>
    </w:p>
    <w:p>
      <w:pPr>
        <w:sectPr>
          <w:pgSz w:w="11900" w:h="16838" w:orient="portrait"/>
          <w:cols w:equalWidth="0" w:num="1">
            <w:col w:w="10150"/>
          </w:cols>
          <w:pgMar w:left="309" w:top="286" w:right="1440" w:bottom="1440" w:gutter="0" w:footer="0" w:header="0"/>
        </w:sectPr>
      </w:pPr>
    </w:p>
    <w:bookmarkStart w:id="248" w:name="page249"/>
    <w:bookmarkEnd w:id="248"/>
    <w:p>
      <w:pPr>
        <w:ind w:left="251"/>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791" w:right="3199"/>
        <w:spacing w:after="0" w:line="253" w:lineRule="auto"/>
        <w:rPr>
          <w:sz w:val="20"/>
          <w:szCs w:val="20"/>
          <w:color w:val="auto"/>
        </w:rPr>
      </w:pPr>
      <w:r>
        <w:rPr>
          <w:rFonts w:ascii="Courier New" w:cs="Courier New" w:eastAsia="Courier New" w:hAnsi="Courier New"/>
          <w:sz w:val="14"/>
          <w:szCs w:val="14"/>
          <w:color w:val="auto"/>
        </w:rPr>
        <w:t>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163" w:lineRule="exact"/>
        <w:rPr>
          <w:sz w:val="20"/>
          <w:szCs w:val="20"/>
          <w:color w:val="auto"/>
        </w:rPr>
      </w:pPr>
    </w:p>
    <w:p>
      <w:pPr>
        <w:ind w:left="791" w:right="3199" w:hanging="791"/>
        <w:spacing w:after="0" w:line="252" w:lineRule="auto"/>
        <w:tabs>
          <w:tab w:leader="none" w:pos="79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w:t>
      </w:r>
    </w:p>
    <w:p>
      <w:pPr>
        <w:spacing w:after="0" w:line="339"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64" w:lineRule="exact"/>
        <w:rPr>
          <w:rFonts w:ascii="Courier New" w:cs="Courier New" w:eastAsia="Courier New" w:hAnsi="Courier New"/>
          <w:sz w:val="14"/>
          <w:szCs w:val="14"/>
          <w:color w:val="auto"/>
        </w:rPr>
      </w:pPr>
    </w:p>
    <w:p>
      <w:pPr>
        <w:ind w:left="791" w:right="3299" w:hanging="791"/>
        <w:spacing w:after="0" w:line="252" w:lineRule="auto"/>
        <w:tabs>
          <w:tab w:leader="none" w:pos="79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2" w:lineRule="exact"/>
        <w:rPr>
          <w:rFonts w:ascii="Courier New" w:cs="Courier New" w:eastAsia="Courier New" w:hAnsi="Courier New"/>
          <w:sz w:val="14"/>
          <w:szCs w:val="14"/>
          <w:color w:val="auto"/>
        </w:rPr>
      </w:pPr>
    </w:p>
    <w:p>
      <w:pPr>
        <w:ind w:left="791" w:right="3199" w:hanging="10"/>
        <w:spacing w:after="0" w:line="253" w:lineRule="auto"/>
        <w:tabs>
          <w:tab w:leader="none" w:pos="1225" w:val="left"/>
        </w:tabs>
        <w:numPr>
          <w:ilvl w:val="1"/>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10 of 14</w:t>
      </w:r>
    </w:p>
    <w:p>
      <w:pPr>
        <w:sectPr>
          <w:pgSz w:w="11900" w:h="16838" w:orient="portrait"/>
          <w:cols w:equalWidth="0" w:num="1">
            <w:col w:w="10150"/>
          </w:cols>
          <w:pgMar w:left="309" w:top="286"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360" w:hanging="351"/>
        <w:spacing w:after="0"/>
        <w:tabs>
          <w:tab w:leader="none" w:pos="36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OF COVENANTS.</w:t>
      </w:r>
    </w:p>
    <w:p>
      <w:pPr>
        <w:spacing w:after="0" w:line="175" w:lineRule="exact"/>
        <w:rPr>
          <w:sz w:val="20"/>
          <w:szCs w:val="20"/>
          <w:color w:val="auto"/>
        </w:rPr>
      </w:pPr>
    </w:p>
    <w:p>
      <w:pPr>
        <w:ind w:left="800" w:right="3199" w:hanging="791"/>
        <w:spacing w:after="0" w:line="253" w:lineRule="auto"/>
        <w:tabs>
          <w:tab w:leader="none" w:pos="8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164" w:lineRule="exact"/>
        <w:rPr>
          <w:rFonts w:ascii="Courier New" w:cs="Courier New" w:eastAsia="Courier New" w:hAnsi="Courier New"/>
          <w:sz w:val="14"/>
          <w:szCs w:val="14"/>
          <w:color w:val="auto"/>
        </w:rPr>
      </w:pPr>
    </w:p>
    <w:p>
      <w:pPr>
        <w:ind w:left="800" w:right="3199" w:hanging="791"/>
        <w:spacing w:after="0" w:line="253" w:lineRule="auto"/>
        <w:tabs>
          <w:tab w:leader="none" w:pos="8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329"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74" w:lineRule="exact"/>
        <w:rPr>
          <w:sz w:val="20"/>
          <w:szCs w:val="20"/>
          <w:color w:val="auto"/>
        </w:rPr>
      </w:pPr>
    </w:p>
    <w:p>
      <w:pPr>
        <w:ind w:left="440" w:hanging="431"/>
        <w:spacing w:after="0"/>
        <w:tabs>
          <w:tab w:leader="none" w:pos="44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AND PAYMENT OF ATTORNEY'S FEES.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w:t>
      </w:r>
    </w:p>
    <w:p>
      <w:pPr>
        <w:spacing w:after="0" w:line="200" w:lineRule="exact"/>
        <w:rPr>
          <w:sz w:val="20"/>
          <w:szCs w:val="20"/>
          <w:color w:val="auto"/>
        </w:rPr>
      </w:pPr>
    </w:p>
    <w:p>
      <w:pPr>
        <w:spacing w:after="0" w:line="29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11 of 14</w:t>
      </w:r>
    </w:p>
    <w:p>
      <w:pPr>
        <w:sectPr>
          <w:pgSz w:w="11900" w:h="16838" w:orient="portrait"/>
          <w:cols w:equalWidth="0" w:num="1">
            <w:col w:w="10159"/>
          </w:cols>
          <w:pgMar w:left="300" w:top="286"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172" w:lineRule="exact"/>
        <w:rPr>
          <w:sz w:val="20"/>
          <w:szCs w:val="20"/>
          <w:color w:val="auto"/>
        </w:rPr>
      </w:pPr>
    </w:p>
    <w:p>
      <w:pPr>
        <w:ind w:left="440" w:hanging="431"/>
        <w:spacing w:after="0"/>
        <w:tabs>
          <w:tab w:leader="none" w:pos="44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60" w:lineRule="exact"/>
        <w:rPr>
          <w:sz w:val="20"/>
          <w:szCs w:val="20"/>
          <w:color w:val="auto"/>
        </w:rPr>
      </w:pPr>
    </w:p>
    <w:p>
      <w:pPr>
        <w:ind w:left="440" w:hanging="431"/>
        <w:spacing w:after="0"/>
        <w:tabs>
          <w:tab w:leader="none" w:pos="44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AGREEMENT TERMS.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163" w:lineRule="exact"/>
        <w:rPr>
          <w:sz w:val="20"/>
          <w:szCs w:val="20"/>
          <w:color w:val="auto"/>
        </w:rPr>
      </w:pPr>
    </w:p>
    <w:p>
      <w:pPr>
        <w:ind w:left="440" w:hanging="431"/>
        <w:spacing w:after="0"/>
        <w:tabs>
          <w:tab w:leader="none" w:pos="44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31" w:lineRule="exact"/>
        <w:rPr>
          <w:sz w:val="20"/>
          <w:szCs w:val="20"/>
          <w:color w:val="auto"/>
        </w:rPr>
      </w:pPr>
    </w:p>
    <w:p>
      <w:pPr>
        <w:ind w:left="440" w:hanging="431"/>
        <w:spacing w:after="0"/>
        <w:tabs>
          <w:tab w:leader="none" w:pos="44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12 of 14</w:t>
      </w:r>
    </w:p>
    <w:p>
      <w:pPr>
        <w:sectPr>
          <w:pgSz w:w="11900" w:h="16838" w:orient="portrait"/>
          <w:cols w:equalWidth="0" w:num="1">
            <w:col w:w="10159"/>
          </w:cols>
          <w:pgMar w:left="300" w:top="286"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440" w:hanging="431"/>
        <w:spacing w:after="0"/>
        <w:tabs>
          <w:tab w:leader="none" w:pos="44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62" w:lineRule="exact"/>
        <w:rPr>
          <w:sz w:val="20"/>
          <w:szCs w:val="20"/>
          <w:color w:val="auto"/>
        </w:rPr>
      </w:pPr>
    </w:p>
    <w:p>
      <w:pPr>
        <w:ind w:left="440" w:hanging="431"/>
        <w:spacing w:after="0"/>
        <w:tabs>
          <w:tab w:leader="none" w:pos="4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Georgia applicable to agreements made and to be performed in that State, without regard to its conflict of laws provisions.</w:t>
      </w:r>
    </w:p>
    <w:p>
      <w:pPr>
        <w:spacing w:after="0" w:line="162" w:lineRule="exact"/>
        <w:rPr>
          <w:sz w:val="20"/>
          <w:szCs w:val="20"/>
          <w:color w:val="auto"/>
        </w:rPr>
      </w:pPr>
    </w:p>
    <w:p>
      <w:pPr>
        <w:ind w:left="440" w:hanging="431"/>
        <w:spacing w:after="0"/>
        <w:tabs>
          <w:tab w:leader="none" w:pos="44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 the Company: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Waste Management,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1001 Fannin, Suite 4000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Houston, Texas 77002</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Attention: Corporate Secretary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 Executive: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At the address for Executive set forth below.</w:t>
      </w:r>
    </w:p>
    <w:p>
      <w:pPr>
        <w:spacing w:after="0" w:line="175" w:lineRule="exact"/>
        <w:rPr>
          <w:sz w:val="20"/>
          <w:szCs w:val="20"/>
          <w:color w:val="auto"/>
        </w:rPr>
      </w:pPr>
    </w:p>
    <w:p>
      <w:pPr>
        <w:ind w:left="440" w:hanging="431"/>
        <w:spacing w:after="0"/>
        <w:tabs>
          <w:tab w:leader="none" w:pos="44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800" w:right="3199" w:hanging="791"/>
        <w:spacing w:after="0" w:line="254" w:lineRule="auto"/>
        <w:tabs>
          <w:tab w:leader="none" w:pos="80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800" w:right="3299" w:hanging="791"/>
        <w:spacing w:after="0" w:line="254" w:lineRule="auto"/>
        <w:tabs>
          <w:tab w:leader="none" w:pos="80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62" w:lineRule="exact"/>
        <w:rPr>
          <w:rFonts w:ascii="Courier New" w:cs="Courier New" w:eastAsia="Courier New" w:hAnsi="Courier New"/>
          <w:sz w:val="14"/>
          <w:szCs w:val="14"/>
          <w:color w:val="auto"/>
        </w:rPr>
      </w:pPr>
    </w:p>
    <w:p>
      <w:pPr>
        <w:ind w:left="800" w:right="3199" w:hanging="791"/>
        <w:spacing w:after="0" w:line="260" w:lineRule="auto"/>
        <w:tabs>
          <w:tab w:leader="none" w:pos="80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323" w:lineRule="exact"/>
        <w:rPr>
          <w:rFonts w:ascii="Courier New" w:cs="Courier New" w:eastAsia="Courier New" w:hAnsi="Courier New"/>
          <w:sz w:val="14"/>
          <w:szCs w:val="14"/>
          <w:color w:val="auto"/>
        </w:rPr>
      </w:pPr>
    </w:p>
    <w:p>
      <w:pPr>
        <w:ind w:left="800" w:right="3199" w:hanging="791"/>
        <w:spacing w:after="0" w:line="258" w:lineRule="auto"/>
        <w:tabs>
          <w:tab w:leader="none" w:pos="80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200" w:lineRule="exact"/>
        <w:rPr>
          <w:sz w:val="20"/>
          <w:szCs w:val="20"/>
          <w:color w:val="auto"/>
        </w:rPr>
      </w:pPr>
    </w:p>
    <w:p>
      <w:pPr>
        <w:spacing w:after="0" w:line="29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13 of 14</w:t>
      </w:r>
    </w:p>
    <w:p>
      <w:pPr>
        <w:sectPr>
          <w:pgSz w:w="11900" w:h="16838" w:orient="portrait"/>
          <w:cols w:equalWidth="0" w:num="1">
            <w:col w:w="10159"/>
          </w:cols>
          <w:pgMar w:left="300" w:top="287"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left="800" w:right="3819" w:hanging="791"/>
        <w:spacing w:after="0" w:line="254" w:lineRule="auto"/>
        <w:tabs>
          <w:tab w:leader="none" w:pos="8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163" w:lineRule="exact"/>
        <w:rPr>
          <w:sz w:val="20"/>
          <w:szCs w:val="20"/>
          <w:color w:val="auto"/>
        </w:rPr>
      </w:pPr>
    </w:p>
    <w:p>
      <w:pPr>
        <w:ind w:right="3979" w:firstLine="781"/>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ectPr>
          <w:pgSz w:w="11900" w:h="16838" w:orient="portrait"/>
          <w:cols w:equalWidth="0" w:num="1">
            <w:col w:w="10159"/>
          </w:cols>
          <w:pgMar w:left="300" w:top="286"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Rodney R. Proto</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ectPr>
          <w:pgSz w:w="11900" w:h="16838" w:orient="portrait"/>
          <w:cols w:equalWidth="0" w:num="2">
            <w:col w:w="3540" w:space="720"/>
            <w:col w:w="5899"/>
          </w:cols>
          <w:pgMar w:left="300" w:top="28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80" w:space="720"/>
            <w:col w:w="545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ectPr>
          <w:pgSz w:w="11900" w:h="16838" w:orient="portrait"/>
          <w:cols w:equalWidth="0" w:num="1">
            <w:col w:w="10159"/>
          </w:cols>
          <w:pgMar w:left="300" w:top="286" w:right="1440" w:bottom="1440" w:gutter="0" w:footer="0" w:header="0"/>
          <w:type w:val="continuous"/>
        </w:sectPr>
      </w:pP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Miller J. Mathews,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October 1,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540" w:space="720"/>
            <w:col w:w="440" w:space="160"/>
            <w:col w:w="5299"/>
          </w:cols>
          <w:pgMar w:left="300" w:top="286" w:right="1440" w:bottom="1440" w:gutter="0" w:footer="0" w:header="0"/>
          <w:type w:val="continuous"/>
        </w:sectPr>
      </w:pPr>
    </w:p>
    <w:p>
      <w:pPr>
        <w:spacing w:after="0"/>
        <w:tabs>
          <w:tab w:leader="none" w:pos="112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566 Gramercy Drive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tabs>
          <w:tab w:leader="none" w:pos="2420" w:val="left"/>
        </w:tabs>
        <w:rPr>
          <w:sz w:val="20"/>
          <w:szCs w:val="20"/>
          <w:color w:val="auto"/>
        </w:rPr>
      </w:pPr>
      <w:r>
        <w:rPr>
          <w:rFonts w:ascii="Courier New" w:cs="Courier New" w:eastAsia="Courier New" w:hAnsi="Courier New"/>
          <w:sz w:val="14"/>
          <w:szCs w:val="14"/>
          <w:color w:val="auto"/>
        </w:rPr>
        <w:t>Marietta, GA</w:t>
        <w:tab/>
        <w:t>30068</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86" w:right="1440" w:bottom="1440" w:gutter="0" w:footer="0" w:header="0"/>
          <w:type w:val="continuous"/>
        </w:sectPr>
      </w:pP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14 of 14</w:t>
      </w:r>
    </w:p>
    <w:p>
      <w:pPr>
        <w:sectPr>
          <w:pgSz w:w="11900" w:h="16838" w:orient="portrait"/>
          <w:cols w:equalWidth="0" w:num="1">
            <w:col w:w="10159"/>
          </w:cols>
          <w:pgMar w:left="300" w:top="286" w:right="1440" w:bottom="1440" w:gutter="0" w:footer="0" w:header="0"/>
          <w:type w:val="continuous"/>
        </w:sectPr>
      </w:pPr>
    </w:p>
    <w:bookmarkStart w:id="253" w:name="page254"/>
    <w:bookmarkEnd w:id="253"/>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10.43</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WASTE MANAGEMENT, INC. (the "Company"), and DAVID R. HOPKINS (the "Executive") hereby enter into this EMPLOYMENT AGREEMENT ("Agreement") dated as of January 1, 1999, as follows:</w:t>
      </w:r>
    </w:p>
    <w:p>
      <w:pPr>
        <w:spacing w:after="0" w:line="162" w:lineRule="exact"/>
        <w:rPr>
          <w:sz w:val="20"/>
          <w:szCs w:val="20"/>
          <w:color w:val="auto"/>
        </w:rPr>
      </w:pPr>
    </w:p>
    <w:p>
      <w:pPr>
        <w:ind w:left="360" w:hanging="351"/>
        <w:spacing w:after="0"/>
        <w:tabs>
          <w:tab w:leader="none" w:pos="36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Company shall employ Executive, and Executive shall be employed by the Company upon the terms and subject to the conditions set forth in this Agreement.</w:t>
      </w:r>
    </w:p>
    <w:p>
      <w:pPr>
        <w:spacing w:after="0" w:line="162" w:lineRule="exact"/>
        <w:rPr>
          <w:sz w:val="20"/>
          <w:szCs w:val="20"/>
          <w:color w:val="auto"/>
        </w:rPr>
      </w:pPr>
    </w:p>
    <w:p>
      <w:pPr>
        <w:ind w:left="360" w:hanging="351"/>
        <w:spacing w:after="0"/>
        <w:tabs>
          <w:tab w:leader="none" w:pos="36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The period of Executive's employment under this Agreement shall begin as of January 1, 1999, and shall be for continuously renewing three (3) year terms, unless Executive's employment is terminated in accordance with Section 5 below.</w:t>
      </w:r>
    </w:p>
    <w:p>
      <w:pPr>
        <w:spacing w:after="0" w:line="162" w:lineRule="exact"/>
        <w:rPr>
          <w:sz w:val="20"/>
          <w:szCs w:val="20"/>
          <w:color w:val="auto"/>
        </w:rPr>
      </w:pPr>
    </w:p>
    <w:p>
      <w:pPr>
        <w:ind w:left="360" w:hanging="351"/>
        <w:spacing w:after="0"/>
        <w:tabs>
          <w:tab w:leader="none" w:pos="36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RESPONSIBILITIES.</w:t>
      </w:r>
    </w:p>
    <w:p>
      <w:pPr>
        <w:spacing w:after="0" w:line="175" w:lineRule="exact"/>
        <w:rPr>
          <w:sz w:val="20"/>
          <w:szCs w:val="20"/>
          <w:color w:val="auto"/>
        </w:rPr>
      </w:pPr>
    </w:p>
    <w:p>
      <w:pPr>
        <w:ind w:left="800" w:right="3379" w:hanging="791"/>
        <w:spacing w:after="0" w:line="254" w:lineRule="auto"/>
        <w:tabs>
          <w:tab w:leader="none" w:pos="80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serve as Sr. Vice President, and report to the Chief Executive Officer. In such capacity, Executive shall perform such duties as may be assigned to Executive from time to time by the Board of Directors of the Company or the Chief Executive Officer of the Company.</w:t>
      </w:r>
    </w:p>
    <w:p>
      <w:pPr>
        <w:spacing w:after="0" w:line="162" w:lineRule="exact"/>
        <w:rPr>
          <w:rFonts w:ascii="Courier New" w:cs="Courier New" w:eastAsia="Courier New" w:hAnsi="Courier New"/>
          <w:sz w:val="14"/>
          <w:szCs w:val="14"/>
          <w:color w:val="auto"/>
        </w:rPr>
      </w:pPr>
    </w:p>
    <w:p>
      <w:pPr>
        <w:ind w:left="800" w:right="3379" w:hanging="791"/>
        <w:spacing w:after="0" w:line="253" w:lineRule="auto"/>
        <w:tabs>
          <w:tab w:leader="none" w:pos="80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164" w:lineRule="exact"/>
        <w:rPr>
          <w:rFonts w:ascii="Courier New" w:cs="Courier New" w:eastAsia="Courier New" w:hAnsi="Courier New"/>
          <w:sz w:val="14"/>
          <w:szCs w:val="14"/>
          <w:color w:val="auto"/>
        </w:rPr>
      </w:pPr>
    </w:p>
    <w:p>
      <w:pPr>
        <w:ind w:left="800" w:right="3459" w:hanging="791"/>
        <w:spacing w:after="0" w:line="253" w:lineRule="auto"/>
        <w:tabs>
          <w:tab w:leader="none" w:pos="80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65" w:lineRule="exact"/>
        <w:rPr>
          <w:sz w:val="20"/>
          <w:szCs w:val="20"/>
          <w:color w:val="auto"/>
        </w:rPr>
      </w:pPr>
    </w:p>
    <w:p>
      <w:pPr>
        <w:ind w:left="360" w:hanging="351"/>
        <w:spacing w:after="0"/>
        <w:tabs>
          <w:tab w:leader="none" w:pos="36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sz w:val="20"/>
          <w:szCs w:val="20"/>
          <w:color w:val="auto"/>
        </w:rPr>
      </w:pPr>
    </w:p>
    <w:p>
      <w:pPr>
        <w:ind w:left="800" w:right="3299" w:hanging="791"/>
        <w:spacing w:after="0" w:line="253" w:lineRule="auto"/>
        <w:tabs>
          <w:tab w:leader="none" w:pos="8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Executive a base salary at the annual rate of Two Hundred Seventy-Five Thousand ($275,000) Dollars per year, or such higher rate as may be determined from time to time by the Company ("Base Salary"). Such Base Salary shall be paid in accordance with the Company's standard payroll practice for executives.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 of 14</w:t>
      </w:r>
    </w:p>
    <w:p>
      <w:pPr>
        <w:sectPr>
          <w:pgSz w:w="11900" w:h="16838" w:orient="portrait"/>
          <w:cols w:equalWidth="0" w:num="1">
            <w:col w:w="10159"/>
          </w:cols>
          <w:pgMar w:left="300" w:top="142"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800" w:right="3299" w:hanging="791"/>
        <w:spacing w:after="0" w:line="253" w:lineRule="auto"/>
        <w:tabs>
          <w:tab w:leader="none" w:pos="80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Executive for the ordinary and necessary business expenses incurred by Executive in the performance of the duties hereunder in accordance with the Company's customary practices applicable to executives, provided that such expenses are incurred and accounted for in accordance with the Company's policy.</w:t>
      </w:r>
    </w:p>
    <w:p>
      <w:pPr>
        <w:spacing w:after="0" w:line="165" w:lineRule="exact"/>
        <w:rPr>
          <w:rFonts w:ascii="Courier New" w:cs="Courier New" w:eastAsia="Courier New" w:hAnsi="Courier New"/>
          <w:sz w:val="14"/>
          <w:szCs w:val="14"/>
          <w:color w:val="auto"/>
        </w:rPr>
      </w:pPr>
    </w:p>
    <w:p>
      <w:pPr>
        <w:ind w:left="800" w:right="3199" w:hanging="791"/>
        <w:spacing w:after="0" w:line="253" w:lineRule="auto"/>
        <w:tabs>
          <w:tab w:leader="none" w:pos="80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executives working pursuant to this form of Agreement (hereinafter referred to as "similarly situated executives".</w:t>
      </w:r>
    </w:p>
    <w:p>
      <w:pPr>
        <w:spacing w:after="0" w:line="164" w:lineRule="exact"/>
        <w:rPr>
          <w:rFonts w:ascii="Courier New" w:cs="Courier New" w:eastAsia="Courier New" w:hAnsi="Courier New"/>
          <w:sz w:val="14"/>
          <w:szCs w:val="14"/>
          <w:color w:val="auto"/>
        </w:rPr>
      </w:pPr>
    </w:p>
    <w:p>
      <w:pPr>
        <w:ind w:left="800" w:right="3199" w:hanging="791"/>
        <w:spacing w:after="0" w:line="252" w:lineRule="auto"/>
        <w:tabs>
          <w:tab w:leader="none" w:pos="80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w:t>
      </w:r>
    </w:p>
    <w:p>
      <w:pPr>
        <w:ind w:left="1140" w:hanging="350"/>
        <w:spacing w:after="0"/>
        <w:tabs>
          <w:tab w:leader="none" w:pos="1140"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defend the validity of this Agreement, (ii) contest any</w:t>
      </w:r>
    </w:p>
    <w:p>
      <w:pPr>
        <w:spacing w:after="0" w:line="8" w:lineRule="exact"/>
        <w:rPr>
          <w:rFonts w:ascii="Courier New" w:cs="Courier New" w:eastAsia="Courier New" w:hAnsi="Courier New"/>
          <w:sz w:val="14"/>
          <w:szCs w:val="14"/>
          <w:color w:val="auto"/>
        </w:rPr>
      </w:pPr>
    </w:p>
    <w:p>
      <w:pPr>
        <w:ind w:left="800" w:right="35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by the Company concerning the amounts payable (or reimbursable) by the Company to the Executive under this Agreement,</w:t>
      </w:r>
    </w:p>
    <w:p>
      <w:pPr>
        <w:ind w:left="800" w:right="3199" w:hanging="10"/>
        <w:spacing w:after="0" w:line="253" w:lineRule="auto"/>
        <w:tabs>
          <w:tab w:leader="none" w:pos="1321" w:val="left"/>
        </w:tabs>
        <w:numPr>
          <w:ilvl w:val="1"/>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331" w:lineRule="exact"/>
        <w:rPr>
          <w:sz w:val="20"/>
          <w:szCs w:val="20"/>
          <w:color w:val="auto"/>
        </w:rPr>
      </w:pPr>
    </w:p>
    <w:p>
      <w:pPr>
        <w:ind w:left="360" w:hanging="351"/>
        <w:spacing w:after="0"/>
        <w:tabs>
          <w:tab w:leader="none" w:pos="36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4079"/>
        <w:spacing w:after="0" w:line="258" w:lineRule="auto"/>
        <w:rPr>
          <w:sz w:val="20"/>
          <w:szCs w:val="20"/>
          <w:color w:val="auto"/>
        </w:rPr>
      </w:pPr>
      <w:r>
        <w:rPr>
          <w:rFonts w:ascii="Courier New" w:cs="Courier New" w:eastAsia="Courier New" w:hAnsi="Courier New"/>
          <w:sz w:val="14"/>
          <w:szCs w:val="14"/>
          <w:color w:val="auto"/>
        </w:rPr>
        <w:t>Executive's employment hereunder may be terminated under the following circumstances:</w:t>
      </w:r>
    </w:p>
    <w:p>
      <w:pPr>
        <w:spacing w:after="0" w:line="160" w:lineRule="exact"/>
        <w:rPr>
          <w:sz w:val="20"/>
          <w:szCs w:val="20"/>
          <w:color w:val="auto"/>
        </w:rPr>
      </w:pPr>
    </w:p>
    <w:p>
      <w:pPr>
        <w:ind w:left="800" w:right="4159" w:hanging="791"/>
        <w:spacing w:after="0" w:line="258" w:lineRule="auto"/>
        <w:tabs>
          <w:tab w:leader="none" w:pos="80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Executive's employment hereunder shall terminate upon Executive's death.</w:t>
      </w:r>
    </w:p>
    <w:p>
      <w:pPr>
        <w:spacing w:after="0" w:line="159" w:lineRule="exact"/>
        <w:rPr>
          <w:rFonts w:ascii="Courier New" w:cs="Courier New" w:eastAsia="Courier New" w:hAnsi="Courier New"/>
          <w:sz w:val="14"/>
          <w:szCs w:val="14"/>
          <w:color w:val="auto"/>
        </w:rPr>
      </w:pPr>
    </w:p>
    <w:p>
      <w:pPr>
        <w:ind w:left="800" w:right="3299" w:hanging="791"/>
        <w:spacing w:after="0" w:line="253" w:lineRule="auto"/>
        <w:tabs>
          <w:tab w:leader="none" w:pos="80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2 of 14</w:t>
      </w:r>
    </w:p>
    <w:p>
      <w:pPr>
        <w:sectPr>
          <w:pgSz w:w="11900" w:h="16838" w:orient="portrait"/>
          <w:cols w:equalWidth="0" w:num="1">
            <w:col w:w="10159"/>
          </w:cols>
          <w:pgMar w:left="300" w:top="286"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800" w:right="3899" w:hanging="791"/>
        <w:spacing w:after="0" w:line="255" w:lineRule="auto"/>
        <w:tabs>
          <w:tab w:leader="none" w:pos="8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 Executive's employment hereunder for "Cause" at any time after providing written notice to Executive.</w:t>
      </w:r>
    </w:p>
    <w:p>
      <w:pPr>
        <w:spacing w:after="0" w:line="161" w:lineRule="exact"/>
        <w:rPr>
          <w:rFonts w:ascii="Courier New" w:cs="Courier New" w:eastAsia="Courier New" w:hAnsi="Courier New"/>
          <w:sz w:val="14"/>
          <w:szCs w:val="14"/>
          <w:color w:val="auto"/>
        </w:rPr>
      </w:pPr>
    </w:p>
    <w:p>
      <w:pPr>
        <w:ind w:left="1320" w:right="3199" w:hanging="530"/>
        <w:spacing w:after="0" w:line="252" w:lineRule="auto"/>
        <w:tabs>
          <w:tab w:leader="none" w:pos="132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172" w:lineRule="exact"/>
        <w:rPr>
          <w:rFonts w:ascii="Courier New" w:cs="Courier New" w:eastAsia="Courier New" w:hAnsi="Courier New"/>
          <w:sz w:val="14"/>
          <w:szCs w:val="14"/>
          <w:color w:val="auto"/>
        </w:rPr>
      </w:pPr>
    </w:p>
    <w:p>
      <w:pPr>
        <w:ind w:left="1320" w:right="3199" w:hanging="530"/>
        <w:spacing w:after="0" w:line="253" w:lineRule="auto"/>
        <w:tabs>
          <w:tab w:leader="none" w:pos="132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64" w:lineRule="exact"/>
        <w:rPr>
          <w:rFonts w:ascii="Courier New" w:cs="Courier New" w:eastAsia="Courier New" w:hAnsi="Courier New"/>
          <w:sz w:val="14"/>
          <w:szCs w:val="14"/>
          <w:color w:val="auto"/>
        </w:rPr>
      </w:pPr>
    </w:p>
    <w:p>
      <w:pPr>
        <w:ind w:left="1320" w:right="3199" w:hanging="530"/>
        <w:spacing w:after="0" w:line="253" w:lineRule="auto"/>
        <w:tabs>
          <w:tab w:leader="none" w:pos="1320"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165" w:lineRule="exact"/>
        <w:rPr>
          <w:rFonts w:ascii="Courier New" w:cs="Courier New" w:eastAsia="Courier New" w:hAnsi="Courier New"/>
          <w:sz w:val="14"/>
          <w:szCs w:val="14"/>
          <w:color w:val="auto"/>
        </w:rPr>
      </w:pPr>
    </w:p>
    <w:p>
      <w:pPr>
        <w:ind w:left="800" w:right="3299" w:hanging="791"/>
        <w:spacing w:after="0" w:line="254" w:lineRule="auto"/>
        <w:tabs>
          <w:tab w:leader="none" w:pos="8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Executive may terminate employment hereunder at any time after providing ninety (90) days' written notice to the Company, or for good reason as described in Section 7 of this Agreement.</w:t>
      </w:r>
    </w:p>
    <w:p>
      <w:pPr>
        <w:spacing w:after="0" w:line="163" w:lineRule="exact"/>
        <w:rPr>
          <w:rFonts w:ascii="Courier New" w:cs="Courier New" w:eastAsia="Courier New" w:hAnsi="Courier New"/>
          <w:sz w:val="14"/>
          <w:szCs w:val="14"/>
          <w:color w:val="auto"/>
        </w:rPr>
      </w:pPr>
    </w:p>
    <w:p>
      <w:pPr>
        <w:ind w:left="800" w:right="3559" w:hanging="791"/>
        <w:spacing w:after="0" w:line="255" w:lineRule="auto"/>
        <w:tabs>
          <w:tab w:leader="none" w:pos="80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Executive's employment hereunder without Cause at any time after providing written notice to Executive.</w:t>
      </w:r>
    </w:p>
    <w:p>
      <w:pPr>
        <w:spacing w:after="0" w:line="162" w:lineRule="exact"/>
        <w:rPr>
          <w:sz w:val="20"/>
          <w:szCs w:val="20"/>
          <w:color w:val="auto"/>
        </w:rPr>
      </w:pPr>
    </w:p>
    <w:p>
      <w:pPr>
        <w:ind w:left="360" w:hanging="351"/>
        <w:spacing w:after="0"/>
        <w:tabs>
          <w:tab w:leader="none" w:pos="36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FOLLOWING TERMINATION OF EMPLOYMENT.</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the event that Executive's employment hereunder is terminated, Executive shall be entitled to the following compensation and benefits upon such termination:</w:t>
      </w:r>
    </w:p>
    <w:p>
      <w:pPr>
        <w:spacing w:after="0" w:line="162" w:lineRule="exact"/>
        <w:rPr>
          <w:sz w:val="20"/>
          <w:szCs w:val="20"/>
          <w:color w:val="auto"/>
        </w:rPr>
      </w:pPr>
    </w:p>
    <w:p>
      <w:pPr>
        <w:ind w:left="800" w:right="3379" w:hanging="791"/>
        <w:spacing w:after="0" w:line="255" w:lineRule="auto"/>
        <w:tabs>
          <w:tab w:leader="none" w:pos="80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14</w:t>
      </w:r>
    </w:p>
    <w:p>
      <w:pPr>
        <w:sectPr>
          <w:pgSz w:w="11900" w:h="16838" w:orient="portrait"/>
          <w:cols w:equalWidth="0" w:num="1">
            <w:col w:w="10159"/>
          </w:cols>
          <w:pgMar w:left="300" w:top="286" w:right="1440" w:bottom="1440" w:gutter="0" w:footer="0" w:header="0"/>
        </w:sectPr>
      </w:pPr>
    </w:p>
    <w:bookmarkStart w:id="256" w:name="page257"/>
    <w:bookmarkEnd w:id="256"/>
    <w:p>
      <w:pPr>
        <w:ind w:left="251"/>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1571" w:right="3199" w:hanging="790"/>
        <w:spacing w:after="0" w:line="253" w:lineRule="auto"/>
        <w:tabs>
          <w:tab w:leader="none" w:pos="1571"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 pro-rata "bonus" or incentive compensation payment to the extent payments are awarded to similarly situated executives and paid at the same time as similarly situated executives are paid; and any vacation accrued to the date of death.</w:t>
      </w:r>
    </w:p>
    <w:p>
      <w:pPr>
        <w:spacing w:after="0" w:line="164" w:lineRule="exact"/>
        <w:rPr>
          <w:rFonts w:ascii="Courier New" w:cs="Courier New" w:eastAsia="Courier New" w:hAnsi="Courier New"/>
          <w:sz w:val="14"/>
          <w:szCs w:val="14"/>
          <w:color w:val="auto"/>
        </w:rPr>
      </w:pPr>
    </w:p>
    <w:p>
      <w:pPr>
        <w:ind w:left="1571" w:right="3459" w:hanging="790"/>
        <w:spacing w:after="0" w:line="254" w:lineRule="auto"/>
        <w:tabs>
          <w:tab w:leader="none" w:pos="1571"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299" w:hanging="790"/>
        <w:spacing w:after="0" w:line="253" w:lineRule="auto"/>
        <w:tabs>
          <w:tab w:leader="none" w:pos="1571"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(three [3] years). Such amount shall be paid in a single lump sum cash payment within thirty (30) days after Executive's death.</w:t>
      </w:r>
    </w:p>
    <w:p>
      <w:pPr>
        <w:spacing w:after="0" w:line="165" w:lineRule="exact"/>
        <w:rPr>
          <w:rFonts w:ascii="Courier New" w:cs="Courier New" w:eastAsia="Courier New" w:hAnsi="Courier New"/>
          <w:sz w:val="14"/>
          <w:szCs w:val="14"/>
          <w:color w:val="auto"/>
        </w:rPr>
      </w:pPr>
    </w:p>
    <w:p>
      <w:pPr>
        <w:ind w:left="791" w:right="3379" w:hanging="791"/>
        <w:spacing w:after="0" w:line="254" w:lineRule="auto"/>
        <w:tabs>
          <w:tab w:leader="none" w:pos="791"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63" w:lineRule="exact"/>
        <w:rPr>
          <w:rFonts w:ascii="Courier New" w:cs="Courier New" w:eastAsia="Courier New" w:hAnsi="Courier New"/>
          <w:sz w:val="14"/>
          <w:szCs w:val="14"/>
          <w:color w:val="auto"/>
        </w:rPr>
      </w:pPr>
    </w:p>
    <w:p>
      <w:pPr>
        <w:ind w:left="1571" w:right="3299" w:hanging="790"/>
        <w:spacing w:after="0" w:line="253" w:lineRule="auto"/>
        <w:tabs>
          <w:tab w:leader="none" w:pos="1571"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Executive shall also be eligible for a bonus or incentive compensation payment to the extent such awards are made to similarly situated executives, pro-rated for the year in which Executive is terminated and paid at the same time as similarly situated executives are paid.</w:t>
      </w:r>
    </w:p>
    <w:p>
      <w:pPr>
        <w:spacing w:after="0" w:line="164"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(three [3] years). Payment shall be made at the same time and in the same manner as such compensation would have been paid if Executive had remained in active employment until the end of such period.</w:t>
      </w:r>
    </w:p>
    <w:p>
      <w:pPr>
        <w:spacing w:after="0" w:line="331" w:lineRule="exact"/>
        <w:rPr>
          <w:rFonts w:ascii="Courier New" w:cs="Courier New" w:eastAsia="Courier New" w:hAnsi="Courier New"/>
          <w:sz w:val="14"/>
          <w:szCs w:val="14"/>
          <w:color w:val="auto"/>
        </w:rPr>
      </w:pPr>
    </w:p>
    <w:p>
      <w:pPr>
        <w:ind w:left="791" w:right="3639" w:hanging="791"/>
        <w:spacing w:after="0" w:line="255" w:lineRule="auto"/>
        <w:tabs>
          <w:tab w:leader="none" w:pos="791"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In the event that Executive's employment is terminated by the Company for Cause pursuant to Section 5(c), the Company shall pay the following amounts to Executive: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4 of 14</w:t>
      </w:r>
    </w:p>
    <w:p>
      <w:pPr>
        <w:sectPr>
          <w:pgSz w:w="11900" w:h="16838" w:orient="portrait"/>
          <w:cols w:equalWidth="0" w:num="1">
            <w:col w:w="10150"/>
          </w:cols>
          <w:pgMar w:left="309" w:top="286" w:right="1440" w:bottom="1440" w:gutter="0" w:footer="0" w:header="0"/>
        </w:sectPr>
      </w:pPr>
    </w:p>
    <w:bookmarkStart w:id="257" w:name="page258"/>
    <w:bookmarkEnd w:id="257"/>
    <w:p>
      <w:pPr>
        <w:ind w:left="251"/>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1571" w:right="3379" w:hanging="790"/>
        <w:spacing w:after="0" w:line="254" w:lineRule="auto"/>
        <w:tabs>
          <w:tab w:leader="none" w:pos="1571"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791" w:right="3459" w:hanging="791"/>
        <w:spacing w:after="0" w:line="254" w:lineRule="auto"/>
        <w:tabs>
          <w:tab w:leader="none" w:pos="791"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163"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791" w:right="3199" w:hanging="791"/>
        <w:spacing w:after="0" w:line="254" w:lineRule="auto"/>
        <w:tabs>
          <w:tab w:leader="none" w:pos="791"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163" w:lineRule="exact"/>
        <w:rPr>
          <w:rFonts w:ascii="Courier New" w:cs="Courier New" w:eastAsia="Courier New" w:hAnsi="Courier New"/>
          <w:sz w:val="14"/>
          <w:szCs w:val="14"/>
          <w:color w:val="auto"/>
        </w:rPr>
      </w:pPr>
    </w:p>
    <w:p>
      <w:pPr>
        <w:ind w:left="1571" w:right="3379" w:hanging="790"/>
        <w:spacing w:after="0" w:line="254" w:lineRule="auto"/>
        <w:tabs>
          <w:tab w:leader="none" w:pos="1571"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jc w:val="both"/>
        <w:ind w:left="1571" w:right="3459" w:hanging="790"/>
        <w:spacing w:after="0" w:line="254" w:lineRule="auto"/>
        <w:tabs>
          <w:tab w:leader="none" w:pos="1571"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571" w:right="3199" w:hanging="790"/>
        <w:spacing w:after="0" w:line="252" w:lineRule="auto"/>
        <w:tabs>
          <w:tab w:leader="none" w:pos="1571"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amount equal to 75 percent (75%) of the average of Executive's "Total Annual Direct Compensation" for the two highest of the three most recent calendar years prior to Executive's termination. Such annual amount shall be paid during the three (3) year period beginning on the date of Executive's termination and shall be paid at the same time and in the same manner as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5 of 14</w:t>
      </w:r>
    </w:p>
    <w:p>
      <w:pPr>
        <w:sectPr>
          <w:pgSz w:w="11900" w:h="16838" w:orient="portrait"/>
          <w:cols w:equalWidth="0" w:num="1">
            <w:col w:w="10150"/>
          </w:cols>
          <w:pgMar w:left="309" w:top="286" w:right="1440" w:bottom="1440" w:gutter="0" w:footer="0" w:header="0"/>
        </w:sectPr>
      </w:pPr>
    </w:p>
    <w:bookmarkStart w:id="258" w:name="page259"/>
    <w:bookmarkEnd w:id="258"/>
    <w:p>
      <w:pPr>
        <w:ind w:left="251"/>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left="1311" w:right="3199" w:hanging="530"/>
        <w:spacing w:after="0" w:line="252" w:lineRule="auto"/>
        <w:tabs>
          <w:tab w:leader="none" w:pos="1311"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three (3) years after the date of termination; (B) Executive's death (provided 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72"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law, Executive will be 100% vested in all benefits, awards, and grants accrued but unpaid as of the date of termination under any pension plan, profit sharing plan, supplemental and/or incentive compensation plans, and stock option plans in which Executive was a participant as of the date of termination. Executive shall have one (1) year from the date of termination to exercise stock options. Executive shall also be eligible for a bonus or incentive compensation payment, to the extent payments are made to similarly situated executives, pro-rated for the year in which the Executive is terminated, paid at the same time as similarly situated executives are paid.</w:t>
      </w:r>
    </w:p>
    <w:p>
      <w:pPr>
        <w:spacing w:after="0" w:line="163"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64" w:lineRule="exact"/>
        <w:rPr>
          <w:rFonts w:ascii="Courier New" w:cs="Courier New" w:eastAsia="Courier New" w:hAnsi="Courier New"/>
          <w:sz w:val="14"/>
          <w:szCs w:val="14"/>
          <w:color w:val="auto"/>
        </w:rPr>
      </w:pPr>
    </w:p>
    <w:p>
      <w:pPr>
        <w:ind w:left="791" w:right="3379" w:hanging="791"/>
        <w:spacing w:after="0" w:line="255" w:lineRule="auto"/>
        <w:tabs>
          <w:tab w:leader="none" w:pos="791"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OR TERMINATION OF BENEFITS AND COMPENSATION. In the event that the Company, in its sole discretion determines that, without the Company's express written consent, Executive has</w:t>
      </w:r>
    </w:p>
    <w:p>
      <w:pPr>
        <w:spacing w:after="0" w:line="161"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331"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6 of 14</w:t>
      </w:r>
    </w:p>
    <w:p>
      <w:pPr>
        <w:sectPr>
          <w:pgSz w:w="11900" w:h="16838" w:orient="portrait"/>
          <w:cols w:equalWidth="0" w:num="1">
            <w:col w:w="10150"/>
          </w:cols>
          <w:pgMar w:left="309" w:top="286" w:right="1440" w:bottom="1440" w:gutter="0" w:footer="0" w:header="0"/>
        </w:sectPr>
      </w:pPr>
    </w:p>
    <w:bookmarkStart w:id="259" w:name="page260"/>
    <w:bookmarkEnd w:id="259"/>
    <w:p>
      <w:pPr>
        <w:ind w:left="251"/>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1311" w:right="3299"/>
        <w:spacing w:after="0" w:line="253" w:lineRule="auto"/>
        <w:rPr>
          <w:sz w:val="20"/>
          <w:szCs w:val="20"/>
          <w:color w:val="auto"/>
        </w:rPr>
      </w:pPr>
      <w:r>
        <w:rPr>
          <w:rFonts w:ascii="Courier New" w:cs="Courier New" w:eastAsia="Courier New" w:hAnsi="Courier New"/>
          <w:sz w:val="14"/>
          <w:szCs w:val="14"/>
          <w:color w:val="auto"/>
        </w:rPr>
        <w:t>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164" w:lineRule="exact"/>
        <w:rPr>
          <w:sz w:val="20"/>
          <w:szCs w:val="20"/>
          <w:color w:val="auto"/>
        </w:rPr>
      </w:pPr>
    </w:p>
    <w:p>
      <w:pPr>
        <w:ind w:left="791" w:right="3299"/>
        <w:spacing w:after="0" w:line="254" w:lineRule="auto"/>
        <w:rPr>
          <w:sz w:val="20"/>
          <w:szCs w:val="20"/>
          <w:color w:val="auto"/>
        </w:rPr>
      </w:pPr>
      <w:r>
        <w:rPr>
          <w:rFonts w:ascii="Courier New" w:cs="Courier New" w:eastAsia="Courier New" w:hAnsi="Courier New"/>
          <w:sz w:val="14"/>
          <w:szCs w:val="14"/>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162" w:lineRule="exact"/>
        <w:rPr>
          <w:sz w:val="20"/>
          <w:szCs w:val="20"/>
          <w:color w:val="auto"/>
        </w:rPr>
      </w:pPr>
    </w:p>
    <w:p>
      <w:pPr>
        <w:ind w:left="-9" w:right="3199" w:firstLine="9"/>
        <w:spacing w:after="0" w:line="258" w:lineRule="auto"/>
        <w:tabs>
          <w:tab w:leader="none" w:pos="425"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BY EXECUTIVE FOR GOOD REASON AND COMPENSATION PAYABLE FOLLOWING CHANGE IN CONTROL.</w:t>
      </w:r>
    </w:p>
    <w:p>
      <w:pPr>
        <w:spacing w:after="0" w:line="160" w:lineRule="exact"/>
        <w:rPr>
          <w:sz w:val="20"/>
          <w:szCs w:val="20"/>
          <w:color w:val="auto"/>
        </w:rPr>
      </w:pPr>
    </w:p>
    <w:p>
      <w:pPr>
        <w:ind w:left="791" w:right="3199" w:hanging="791"/>
        <w:spacing w:after="0" w:line="253" w:lineRule="auto"/>
        <w:tabs>
          <w:tab w:leader="none" w:pos="791"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FOR GOOD REASON FOLLOWING CHANGE IN CONTROL. In the event a "Change in Control" occurs, Executive will be paid the compensation described in this Section 7 if Executive resigns or is terminated (both a "resignation" and "termination" being referred to as "termination" for the purposes of this Section 7) from employment with the Company at any time prior to the six (6) month anniversary of the date of the Change in Control following the occurrence of any of the following events:</w:t>
      </w:r>
    </w:p>
    <w:p>
      <w:pPr>
        <w:spacing w:after="0" w:line="331"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163" w:lineRule="exact"/>
        <w:rPr>
          <w:rFonts w:ascii="Courier New" w:cs="Courier New" w:eastAsia="Courier New" w:hAnsi="Courier New"/>
          <w:sz w:val="14"/>
          <w:szCs w:val="14"/>
          <w:color w:val="auto"/>
        </w:rPr>
      </w:pPr>
    </w:p>
    <w:p>
      <w:pPr>
        <w:ind w:left="1311" w:right="3299" w:hanging="530"/>
        <w:spacing w:after="0" w:line="255" w:lineRule="auto"/>
        <w:tabs>
          <w:tab w:leader="none" w:pos="1311"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by the Company in Executive's Base Salary as in effect immediately before a Change in Control plus all increases therein subsequent thereto;</w:t>
      </w:r>
    </w:p>
    <w:p>
      <w:pPr>
        <w:spacing w:after="0" w:line="161"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pacing w:after="0" w:line="163" w:lineRule="exact"/>
        <w:rPr>
          <w:rFonts w:ascii="Courier New" w:cs="Courier New" w:eastAsia="Courier New" w:hAnsi="Courier New"/>
          <w:sz w:val="14"/>
          <w:szCs w:val="14"/>
          <w:color w:val="auto"/>
        </w:rPr>
      </w:pPr>
    </w:p>
    <w:p>
      <w:pPr>
        <w:ind w:left="1311" w:right="3299" w:hanging="530"/>
        <w:spacing w:after="0" w:line="255" w:lineRule="auto"/>
        <w:tabs>
          <w:tab w:leader="none" w:pos="1311"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change of Executive's principal place of employment to a location more than fifty (50) miles from such principal place of employment, except for required travel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7 of 14</w:t>
      </w:r>
    </w:p>
    <w:p>
      <w:pPr>
        <w:sectPr>
          <w:pgSz w:w="11900" w:h="16838" w:orient="portrait"/>
          <w:cols w:equalWidth="0" w:num="1">
            <w:col w:w="10150"/>
          </w:cols>
          <w:pgMar w:left="309" w:top="286" w:right="1440" w:bottom="1440" w:gutter="0" w:footer="0" w:header="0"/>
        </w:sectPr>
      </w:pPr>
    </w:p>
    <w:bookmarkStart w:id="260" w:name="page261"/>
    <w:bookmarkEnd w:id="260"/>
    <w:p>
      <w:pPr>
        <w:ind w:left="251"/>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left="1311" w:right="3559"/>
        <w:spacing w:after="0" w:line="255" w:lineRule="auto"/>
        <w:rPr>
          <w:sz w:val="20"/>
          <w:szCs w:val="20"/>
          <w:color w:val="auto"/>
        </w:rPr>
      </w:pPr>
      <w:r>
        <w:rPr>
          <w:rFonts w:ascii="Courier New" w:cs="Courier New" w:eastAsia="Courier New" w:hAnsi="Courier New"/>
          <w:sz w:val="14"/>
          <w:szCs w:val="14"/>
          <w:color w:val="auto"/>
        </w:rPr>
        <w:t>Company's business to an extent substantially consistent with Executive's business travel obligations immediately before a Change in Control;</w:t>
      </w:r>
    </w:p>
    <w:p>
      <w:pPr>
        <w:spacing w:after="0" w:line="162" w:lineRule="exact"/>
        <w:rPr>
          <w:sz w:val="20"/>
          <w:szCs w:val="20"/>
          <w:color w:val="auto"/>
        </w:rPr>
      </w:pPr>
    </w:p>
    <w:p>
      <w:pPr>
        <w:ind w:left="1311" w:right="3199" w:hanging="443"/>
        <w:spacing w:after="0" w:line="254" w:lineRule="auto"/>
        <w:tabs>
          <w:tab w:leader="none" w:pos="1311"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162" w:lineRule="exact"/>
        <w:rPr>
          <w:rFonts w:ascii="Courier New" w:cs="Courier New" w:eastAsia="Courier New" w:hAnsi="Courier New"/>
          <w:sz w:val="14"/>
          <w:szCs w:val="14"/>
          <w:color w:val="auto"/>
        </w:rPr>
      </w:pPr>
    </w:p>
    <w:p>
      <w:pPr>
        <w:ind w:left="1311" w:right="3459" w:hanging="443"/>
        <w:spacing w:after="0" w:line="255" w:lineRule="auto"/>
        <w:tabs>
          <w:tab w:leader="none" w:pos="1311" w:val="left"/>
        </w:tabs>
        <w:numPr>
          <w:ilvl w:val="2"/>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obtain an assumption of, and agreement to perform the obligations of the Company under this Agreement by any successor to the Company.</w:t>
      </w:r>
    </w:p>
    <w:p>
      <w:pPr>
        <w:spacing w:after="0" w:line="161" w:lineRule="exact"/>
        <w:rPr>
          <w:rFonts w:ascii="Courier New" w:cs="Courier New" w:eastAsia="Courier New" w:hAnsi="Courier New"/>
          <w:sz w:val="14"/>
          <w:szCs w:val="14"/>
          <w:color w:val="auto"/>
        </w:rPr>
      </w:pPr>
    </w:p>
    <w:p>
      <w:pPr>
        <w:ind w:left="791" w:right="3199" w:hanging="791"/>
        <w:spacing w:after="0" w:line="255" w:lineRule="auto"/>
        <w:tabs>
          <w:tab w:leader="none" w:pos="791"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PAYABLE. In the event that Executive terminates employment pursuant to Section 7(a), the Company shall pay the following amounts to Executive:</w:t>
      </w:r>
    </w:p>
    <w:p>
      <w:pPr>
        <w:spacing w:after="0" w:line="161" w:lineRule="exact"/>
        <w:rPr>
          <w:rFonts w:ascii="Courier New" w:cs="Courier New" w:eastAsia="Courier New" w:hAnsi="Courier New"/>
          <w:sz w:val="14"/>
          <w:szCs w:val="14"/>
          <w:color w:val="auto"/>
        </w:rPr>
      </w:pPr>
    </w:p>
    <w:p>
      <w:pPr>
        <w:ind w:left="1311" w:hanging="443"/>
        <w:spacing w:after="0"/>
        <w:tabs>
          <w:tab w:leader="none" w:pos="1311" w:val="left"/>
        </w:tabs>
        <w:numPr>
          <w:ilvl w:val="2"/>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w:t>
      </w:r>
    </w:p>
    <w:p>
      <w:pPr>
        <w:spacing w:after="0" w:line="8" w:lineRule="exact"/>
        <w:rPr>
          <w:rFonts w:ascii="Courier New" w:cs="Courier New" w:eastAsia="Courier New" w:hAnsi="Courier New"/>
          <w:sz w:val="14"/>
          <w:szCs w:val="14"/>
          <w:color w:val="auto"/>
        </w:rPr>
      </w:pPr>
    </w:p>
    <w:p>
      <w:pPr>
        <w:ind w:left="1311" w:right="3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termination, any accrued but unpaid expenses required to be reimbursed under this Agreement, any vacation accrued to the date of termination.</w:t>
      </w:r>
    </w:p>
    <w:p>
      <w:pPr>
        <w:spacing w:after="0" w:line="161" w:lineRule="exact"/>
        <w:rPr>
          <w:rFonts w:ascii="Courier New" w:cs="Courier New" w:eastAsia="Courier New" w:hAnsi="Courier New"/>
          <w:sz w:val="14"/>
          <w:szCs w:val="14"/>
          <w:color w:val="auto"/>
        </w:rPr>
      </w:pPr>
    </w:p>
    <w:p>
      <w:pPr>
        <w:ind w:left="1311" w:right="3199" w:hanging="443"/>
        <w:spacing w:after="0" w:line="254" w:lineRule="auto"/>
        <w:tabs>
          <w:tab w:leader="none" w:pos="1311" w:val="left"/>
        </w:tabs>
        <w:numPr>
          <w:ilvl w:val="2"/>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311" w:right="3299" w:hanging="530"/>
        <w:spacing w:after="0" w:line="254" w:lineRule="auto"/>
        <w:tabs>
          <w:tab w:leader="none" w:pos="1311"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$1.00 less than three (3) times Executive's "base amount" within the full meaning of Section 280G of the Internal Revenue Code. Such amount shall be paid to Executive in a single lump sum cash payment within five (5) business days after the effective date of Executive's termination.</w:t>
      </w:r>
    </w:p>
    <w:p>
      <w:pPr>
        <w:spacing w:after="0" w:line="162" w:lineRule="exact"/>
        <w:rPr>
          <w:rFonts w:ascii="Courier New" w:cs="Courier New" w:eastAsia="Courier New" w:hAnsi="Courier New"/>
          <w:sz w:val="14"/>
          <w:szCs w:val="14"/>
          <w:color w:val="auto"/>
        </w:rPr>
      </w:pPr>
    </w:p>
    <w:p>
      <w:pPr>
        <w:ind w:left="1311" w:right="3199" w:hanging="530"/>
        <w:spacing w:after="0" w:line="253" w:lineRule="auto"/>
        <w:tabs>
          <w:tab w:leader="none" w:pos="1311"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will be 100% vested in all benefits, awards, and grants (including stock options)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330" w:lineRule="exact"/>
        <w:rPr>
          <w:sz w:val="20"/>
          <w:szCs w:val="20"/>
          <w:color w:val="auto"/>
        </w:rPr>
      </w:pPr>
    </w:p>
    <w:p>
      <w:pPr>
        <w:ind w:left="791" w:right="3459"/>
        <w:spacing w:after="0" w:line="253" w:lineRule="auto"/>
        <w:rPr>
          <w:sz w:val="20"/>
          <w:szCs w:val="20"/>
          <w:color w:val="auto"/>
        </w:rPr>
      </w:pPr>
      <w:r>
        <w:rPr>
          <w:rFonts w:ascii="Courier New" w:cs="Courier New" w:eastAsia="Courier New" w:hAnsi="Courier New"/>
          <w:sz w:val="14"/>
          <w:szCs w:val="14"/>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 other compensation, or to participate in any other plan, arrangement or benefit, with respect to future periods after such resignation or termination.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8 of 14</w:t>
      </w:r>
    </w:p>
    <w:p>
      <w:pPr>
        <w:sectPr>
          <w:pgSz w:w="11900" w:h="16838" w:orient="portrait"/>
          <w:cols w:equalWidth="0" w:num="1">
            <w:col w:w="10150"/>
          </w:cols>
          <w:pgMar w:left="309" w:top="286" w:right="1440" w:bottom="1440" w:gutter="0" w:footer="0" w:header="0"/>
        </w:sectPr>
      </w:pPr>
    </w:p>
    <w:bookmarkStart w:id="261" w:name="page262"/>
    <w:bookmarkEnd w:id="261"/>
    <w:p>
      <w:pPr>
        <w:ind w:left="251"/>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791" w:right="3199" w:hanging="791"/>
        <w:spacing w:after="0" w:line="252" w:lineRule="auto"/>
        <w:tabs>
          <w:tab w:leader="none" w:pos="791"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340" w:lineRule="exact"/>
        <w:rPr>
          <w:rFonts w:ascii="Courier New" w:cs="Courier New" w:eastAsia="Courier New" w:hAnsi="Courier New"/>
          <w:sz w:val="14"/>
          <w:szCs w:val="14"/>
          <w:color w:val="auto"/>
        </w:rPr>
      </w:pPr>
    </w:p>
    <w:p>
      <w:pPr>
        <w:ind w:left="791"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164" w:lineRule="exact"/>
        <w:rPr>
          <w:rFonts w:ascii="Courier New" w:cs="Courier New" w:eastAsia="Courier New" w:hAnsi="Courier New"/>
          <w:sz w:val="14"/>
          <w:szCs w:val="14"/>
          <w:color w:val="auto"/>
        </w:rPr>
      </w:pPr>
    </w:p>
    <w:p>
      <w:pPr>
        <w:ind w:left="791" w:right="3299" w:hanging="791"/>
        <w:spacing w:after="0" w:line="258" w:lineRule="auto"/>
        <w:tabs>
          <w:tab w:leader="none" w:pos="791"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For purposes of this Agreement, "Change in Control" means the occurrence of any of the following events:</w:t>
      </w:r>
    </w:p>
    <w:p>
      <w:pPr>
        <w:spacing w:after="0" w:line="159"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330" w:lineRule="exact"/>
        <w:rPr>
          <w:rFonts w:ascii="Courier New" w:cs="Courier New" w:eastAsia="Courier New" w:hAnsi="Courier New"/>
          <w:sz w:val="14"/>
          <w:szCs w:val="14"/>
          <w:color w:val="auto"/>
        </w:rPr>
      </w:pPr>
    </w:p>
    <w:p>
      <w:pPr>
        <w:ind w:left="1571" w:right="3199" w:hanging="790"/>
        <w:spacing w:after="0" w:line="253" w:lineRule="auto"/>
        <w:tabs>
          <w:tab w:leader="none" w:pos="1571" w:val="left"/>
        </w:tabs>
        <w:numPr>
          <w:ilvl w:val="1"/>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165" w:lineRule="exact"/>
        <w:rPr>
          <w:sz w:val="20"/>
          <w:szCs w:val="20"/>
          <w:color w:val="auto"/>
        </w:rPr>
      </w:pPr>
    </w:p>
    <w:p>
      <w:pPr>
        <w:ind w:left="351" w:hanging="351"/>
        <w:spacing w:after="0"/>
        <w:tabs>
          <w:tab w:leader="none" w:pos="351"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sz w:val="20"/>
          <w:szCs w:val="20"/>
          <w:color w:val="auto"/>
        </w:rPr>
      </w:pPr>
    </w:p>
    <w:p>
      <w:pPr>
        <w:ind w:left="791" w:right="3299" w:hanging="791"/>
        <w:spacing w:after="0" w:line="255" w:lineRule="auto"/>
        <w:tabs>
          <w:tab w:leader="none" w:pos="791"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9 of 14</w:t>
      </w:r>
    </w:p>
    <w:p>
      <w:pPr>
        <w:sectPr>
          <w:pgSz w:w="11900" w:h="16838" w:orient="portrait"/>
          <w:cols w:equalWidth="0" w:num="1">
            <w:col w:w="10150"/>
          </w:cols>
          <w:pgMar w:left="309" w:top="286" w:right="1440" w:bottom="1440" w:gutter="0" w:footer="0" w:header="0"/>
        </w:sectPr>
      </w:pPr>
    </w:p>
    <w:bookmarkStart w:id="262" w:name="page263"/>
    <w:bookmarkEnd w:id="262"/>
    <w:p>
      <w:pPr>
        <w:ind w:left="251"/>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left="791" w:right="3199"/>
        <w:spacing w:after="0" w:line="252" w:lineRule="auto"/>
        <w:rPr>
          <w:sz w:val="20"/>
          <w:szCs w:val="20"/>
          <w:color w:val="auto"/>
        </w:rPr>
      </w:pPr>
      <w:r>
        <w:rPr>
          <w:rFonts w:ascii="Courier New" w:cs="Courier New" w:eastAsia="Courier New" w:hAnsi="Courier New"/>
          <w:sz w:val="14"/>
          <w:szCs w:val="14"/>
          <w:color w:val="auto"/>
        </w:rPr>
        <w:t>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341" w:lineRule="exact"/>
        <w:rPr>
          <w:sz w:val="20"/>
          <w:szCs w:val="20"/>
          <w:color w:val="auto"/>
        </w:rPr>
      </w:pPr>
    </w:p>
    <w:p>
      <w:pPr>
        <w:ind w:left="791" w:right="3199" w:hanging="791"/>
        <w:spacing w:after="0" w:line="252" w:lineRule="auto"/>
        <w:tabs>
          <w:tab w:leader="none" w:pos="791"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of through any person, firm, association or corporation with which Employee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w:t>
      </w:r>
    </w:p>
    <w:p>
      <w:pPr>
        <w:spacing w:after="0" w:line="342"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10 of 14</w:t>
      </w:r>
    </w:p>
    <w:p>
      <w:pPr>
        <w:sectPr>
          <w:pgSz w:w="11900" w:h="16838" w:orient="portrait"/>
          <w:cols w:equalWidth="0" w:num="1">
            <w:col w:w="10150"/>
          </w:cols>
          <w:pgMar w:left="309" w:top="286" w:right="1440" w:bottom="1440" w:gutter="0" w:footer="0" w:header="0"/>
        </w:sectPr>
      </w:pPr>
    </w:p>
    <w:bookmarkStart w:id="263" w:name="page264"/>
    <w:bookmarkEnd w:id="263"/>
    <w:p>
      <w:pPr>
        <w:ind w:left="251"/>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791" w:right="3299" w:hanging="791"/>
        <w:spacing w:after="0" w:line="252" w:lineRule="auto"/>
        <w:tabs>
          <w:tab w:leader="none" w:pos="791"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2" w:lineRule="exact"/>
        <w:rPr>
          <w:rFonts w:ascii="Courier New" w:cs="Courier New" w:eastAsia="Courier New" w:hAnsi="Courier New"/>
          <w:sz w:val="14"/>
          <w:szCs w:val="14"/>
          <w:color w:val="auto"/>
        </w:rPr>
      </w:pPr>
    </w:p>
    <w:p>
      <w:pPr>
        <w:ind w:left="791" w:right="3199" w:hanging="10"/>
        <w:spacing w:after="0" w:line="253" w:lineRule="auto"/>
        <w:tabs>
          <w:tab w:leader="none" w:pos="1225"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330" w:lineRule="exact"/>
        <w:rPr>
          <w:sz w:val="20"/>
          <w:szCs w:val="20"/>
          <w:color w:val="auto"/>
        </w:rPr>
      </w:pPr>
    </w:p>
    <w:p>
      <w:pPr>
        <w:ind w:left="351" w:hanging="351"/>
        <w:spacing w:after="0"/>
        <w:tabs>
          <w:tab w:leader="none" w:pos="351"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OF COVENANTS.</w:t>
      </w:r>
    </w:p>
    <w:p>
      <w:pPr>
        <w:spacing w:after="0" w:line="175" w:lineRule="exact"/>
        <w:rPr>
          <w:sz w:val="20"/>
          <w:szCs w:val="20"/>
          <w:color w:val="auto"/>
        </w:rPr>
      </w:pPr>
    </w:p>
    <w:p>
      <w:pPr>
        <w:ind w:left="791" w:right="3199" w:hanging="791"/>
        <w:spacing w:after="0" w:line="253" w:lineRule="auto"/>
        <w:tabs>
          <w:tab w:leader="none" w:pos="791"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164"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329" w:lineRule="exact"/>
        <w:rPr>
          <w:rFonts w:ascii="Courier New" w:cs="Courier New" w:eastAsia="Courier New" w:hAnsi="Courier New"/>
          <w:sz w:val="14"/>
          <w:szCs w:val="14"/>
          <w:color w:val="auto"/>
        </w:rPr>
      </w:pPr>
    </w:p>
    <w:p>
      <w:pPr>
        <w:ind w:left="791" w:right="3199" w:hanging="791"/>
        <w:spacing w:after="0" w:line="253" w:lineRule="auto"/>
        <w:tabs>
          <w:tab w:leader="none" w:pos="791"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871"/>
        <w:spacing w:after="0"/>
        <w:rPr>
          <w:sz w:val="20"/>
          <w:szCs w:val="20"/>
          <w:color w:val="auto"/>
        </w:rPr>
      </w:pPr>
      <w:r>
        <w:rPr>
          <w:rFonts w:ascii="Courier New" w:cs="Courier New" w:eastAsia="Courier New" w:hAnsi="Courier New"/>
          <w:sz w:val="14"/>
          <w:szCs w:val="14"/>
          <w:color w:val="auto"/>
        </w:rPr>
        <w:t>Page 11 of 14</w:t>
      </w:r>
    </w:p>
    <w:p>
      <w:pPr>
        <w:sectPr>
          <w:pgSz w:w="11900" w:h="16838" w:orient="portrait"/>
          <w:cols w:equalWidth="0" w:num="1">
            <w:col w:w="10150"/>
          </w:cols>
          <w:pgMar w:left="309" w:top="286"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ind w:left="800" w:right="3199"/>
        <w:spacing w:after="0" w:line="253" w:lineRule="auto"/>
        <w:rPr>
          <w:sz w:val="20"/>
          <w:szCs w:val="20"/>
          <w:color w:val="auto"/>
        </w:rPr>
      </w:pPr>
      <w:r>
        <w:rPr>
          <w:rFonts w:ascii="Courier New" w:cs="Courier New" w:eastAsia="Courier New" w:hAnsi="Courier New"/>
          <w:sz w:val="14"/>
          <w:szCs w:val="14"/>
          <w:color w:val="auto"/>
        </w:rPr>
        <w:t>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64" w:lineRule="exact"/>
        <w:rPr>
          <w:sz w:val="20"/>
          <w:szCs w:val="20"/>
          <w:color w:val="auto"/>
        </w:rPr>
      </w:pPr>
    </w:p>
    <w:p>
      <w:pPr>
        <w:ind w:left="440" w:hanging="431"/>
        <w:spacing w:after="0"/>
        <w:tabs>
          <w:tab w:leader="none" w:pos="44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AND PAYMENT OF ATTORNEY'S FEES.</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341" w:lineRule="exact"/>
        <w:rPr>
          <w:sz w:val="20"/>
          <w:szCs w:val="20"/>
          <w:color w:val="auto"/>
        </w:rPr>
      </w:pPr>
    </w:p>
    <w:p>
      <w:pPr>
        <w:ind w:left="440" w:hanging="431"/>
        <w:spacing w:after="0"/>
        <w:tabs>
          <w:tab w:leader="none" w:pos="44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60" w:lineRule="exact"/>
        <w:rPr>
          <w:sz w:val="20"/>
          <w:szCs w:val="20"/>
          <w:color w:val="auto"/>
        </w:rPr>
      </w:pPr>
    </w:p>
    <w:p>
      <w:pPr>
        <w:ind w:left="440" w:hanging="431"/>
        <w:spacing w:after="0"/>
        <w:tabs>
          <w:tab w:leader="none" w:pos="44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AGREEMENT TERMS.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163" w:lineRule="exact"/>
        <w:rPr>
          <w:sz w:val="20"/>
          <w:szCs w:val="20"/>
          <w:color w:val="auto"/>
        </w:rPr>
      </w:pPr>
    </w:p>
    <w:p>
      <w:pPr>
        <w:ind w:left="440" w:hanging="431"/>
        <w:spacing w:after="0"/>
        <w:tabs>
          <w:tab w:leader="none" w:pos="44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12 of 14</w:t>
      </w:r>
    </w:p>
    <w:p>
      <w:pPr>
        <w:sectPr>
          <w:pgSz w:w="11900" w:h="16838" w:orient="portrait"/>
          <w:cols w:equalWidth="0" w:num="1">
            <w:col w:w="10159"/>
          </w:cols>
          <w:pgMar w:left="300" w:top="286"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63" w:lineRule="exact"/>
        <w:rPr>
          <w:sz w:val="20"/>
          <w:szCs w:val="20"/>
          <w:color w:val="auto"/>
        </w:rPr>
      </w:pPr>
    </w:p>
    <w:p>
      <w:pPr>
        <w:ind w:left="440" w:hanging="431"/>
        <w:spacing w:after="0"/>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330" w:lineRule="exact"/>
        <w:rPr>
          <w:sz w:val="20"/>
          <w:szCs w:val="20"/>
          <w:color w:val="auto"/>
        </w:rPr>
      </w:pPr>
    </w:p>
    <w:p>
      <w:pPr>
        <w:ind w:left="440" w:hanging="431"/>
        <w:spacing w:after="0"/>
        <w:tabs>
          <w:tab w:leader="none" w:pos="44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62" w:lineRule="exact"/>
        <w:rPr>
          <w:sz w:val="20"/>
          <w:szCs w:val="20"/>
          <w:color w:val="auto"/>
        </w:rPr>
      </w:pPr>
    </w:p>
    <w:p>
      <w:pPr>
        <w:ind w:left="440" w:hanging="431"/>
        <w:spacing w:after="0"/>
        <w:tabs>
          <w:tab w:leader="none" w:pos="44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Texas applicable to agreements made and to be performed in that State, without regard to its conflict of laws provisions.</w:t>
      </w:r>
    </w:p>
    <w:p>
      <w:pPr>
        <w:spacing w:after="0" w:line="162" w:lineRule="exact"/>
        <w:rPr>
          <w:sz w:val="20"/>
          <w:szCs w:val="20"/>
          <w:color w:val="auto"/>
        </w:rPr>
      </w:pPr>
    </w:p>
    <w:p>
      <w:pPr>
        <w:ind w:left="440" w:hanging="431"/>
        <w:spacing w:after="0"/>
        <w:tabs>
          <w:tab w:leader="none" w:pos="44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159"/>
          </w:cols>
          <w:pgMar w:left="300" w:top="286" w:right="1440" w:bottom="1440" w:gutter="0" w:footer="0" w:header="0"/>
        </w:sectPr>
      </w:pP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 the Company: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 Fannin, Suite 4000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 77002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Secretary</w:t>
      </w:r>
    </w:p>
    <w:p>
      <w:pPr>
        <w:spacing w:after="0" w:line="175" w:lineRule="exact"/>
        <w:rPr>
          <w:sz w:val="20"/>
          <w:szCs w:val="20"/>
          <w:color w:val="auto"/>
        </w:rPr>
      </w:pPr>
    </w:p>
    <w:p>
      <w:pPr>
        <w:sectPr>
          <w:pgSz w:w="11900" w:h="16838" w:orient="portrait"/>
          <w:cols w:equalWidth="0" w:num="2">
            <w:col w:w="2100" w:space="340"/>
            <w:col w:w="7719"/>
          </w:cols>
          <w:pgMar w:left="30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 the address for Executive set forth below.</w:t>
      </w:r>
    </w:p>
    <w:p>
      <w:pPr>
        <w:spacing w:after="0" w:line="200" w:lineRule="exact"/>
        <w:rPr>
          <w:sz w:val="20"/>
          <w:szCs w:val="20"/>
          <w:color w:val="auto"/>
        </w:rPr>
      </w:pPr>
    </w:p>
    <w:p>
      <w:pPr>
        <w:sectPr>
          <w:pgSz w:w="11900" w:h="16838" w:orient="portrait"/>
          <w:cols w:equalWidth="0" w:num="2">
            <w:col w:w="1920" w:space="520"/>
            <w:col w:w="7719"/>
          </w:cols>
          <w:pgMar w:left="300" w:top="286" w:right="1440" w:bottom="1440" w:gutter="0" w:footer="0" w:header="0"/>
          <w:type w:val="continuous"/>
        </w:sect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13 of 14</w:t>
      </w:r>
    </w:p>
    <w:p>
      <w:pPr>
        <w:sectPr>
          <w:pgSz w:w="11900" w:h="16838" w:orient="portrait"/>
          <w:cols w:equalWidth="0" w:num="1">
            <w:col w:w="10159"/>
          </w:cols>
          <w:pgMar w:left="300" w:top="286" w:right="1440" w:bottom="1440" w:gutter="0" w:footer="0" w:header="0"/>
          <w:type w:val="continuous"/>
        </w:sectPr>
      </w:pPr>
    </w:p>
    <w:bookmarkStart w:id="266" w:name="page267"/>
    <w:bookmarkEnd w:id="266"/>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left="440" w:hanging="431"/>
        <w:spacing w:after="0"/>
        <w:tabs>
          <w:tab w:leader="none" w:pos="44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left="800" w:right="3199" w:hanging="791"/>
        <w:spacing w:after="0" w:line="254" w:lineRule="auto"/>
        <w:tabs>
          <w:tab w:leader="none" w:pos="80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800" w:right="3299" w:hanging="791"/>
        <w:spacing w:after="0" w:line="254" w:lineRule="auto"/>
        <w:tabs>
          <w:tab w:leader="none" w:pos="80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62" w:lineRule="exact"/>
        <w:rPr>
          <w:rFonts w:ascii="Courier New" w:cs="Courier New" w:eastAsia="Courier New" w:hAnsi="Courier New"/>
          <w:sz w:val="14"/>
          <w:szCs w:val="14"/>
          <w:color w:val="auto"/>
        </w:rPr>
      </w:pPr>
    </w:p>
    <w:p>
      <w:pPr>
        <w:ind w:left="800" w:right="3199" w:hanging="791"/>
        <w:spacing w:after="0" w:line="260" w:lineRule="auto"/>
        <w:tabs>
          <w:tab w:leader="none" w:pos="80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323" w:lineRule="exact"/>
        <w:rPr>
          <w:rFonts w:ascii="Courier New" w:cs="Courier New" w:eastAsia="Courier New" w:hAnsi="Courier New"/>
          <w:sz w:val="14"/>
          <w:szCs w:val="14"/>
          <w:color w:val="auto"/>
        </w:rPr>
      </w:pPr>
    </w:p>
    <w:p>
      <w:pPr>
        <w:ind w:left="800" w:right="3199" w:hanging="791"/>
        <w:spacing w:after="0" w:line="258" w:lineRule="auto"/>
        <w:tabs>
          <w:tab w:leader="none" w:pos="80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9" w:lineRule="exact"/>
        <w:rPr>
          <w:rFonts w:ascii="Courier New" w:cs="Courier New" w:eastAsia="Courier New" w:hAnsi="Courier New"/>
          <w:sz w:val="14"/>
          <w:szCs w:val="14"/>
          <w:color w:val="auto"/>
        </w:rPr>
      </w:pPr>
    </w:p>
    <w:p>
      <w:pPr>
        <w:ind w:left="800" w:right="3819" w:hanging="791"/>
        <w:spacing w:after="0" w:line="254" w:lineRule="auto"/>
        <w:tabs>
          <w:tab w:leader="none" w:pos="80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ectPr>
          <w:pgSz w:w="11900" w:h="16838" w:orient="portrait"/>
          <w:cols w:equalWidth="0" w:num="1">
            <w:col w:w="10159"/>
          </w:cols>
          <w:pgMar w:left="30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 Susan J. Piller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60" w:space="0"/>
            <w:col w:w="989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Susan J. Piller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40" w:space="0"/>
            <w:col w:w="971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20" w:space="0"/>
            <w:col w:w="963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9, 1999</w:t>
      </w:r>
    </w:p>
    <w:p>
      <w:pPr>
        <w:spacing w:after="0" w:line="8" w:lineRule="exact"/>
        <w:rPr>
          <w:sz w:val="20"/>
          <w:szCs w:val="20"/>
          <w:color w:val="auto"/>
        </w:rPr>
      </w:pPr>
    </w:p>
    <w:p>
      <w:pPr>
        <w:sectPr>
          <w:pgSz w:w="11900" w:h="16838" w:orient="portrait"/>
          <w:cols w:equalWidth="0" w:num="2">
            <w:col w:w="440" w:space="520"/>
            <w:col w:w="9199"/>
          </w:cols>
          <w:pgMar w:left="300" w:top="28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 David R. Hopkins</w:t>
      </w:r>
    </w:p>
    <w:p>
      <w:pPr>
        <w:spacing w:after="0" w:line="8" w:lineRule="exact"/>
        <w:rPr>
          <w:sz w:val="20"/>
          <w:szCs w:val="20"/>
          <w:color w:val="auto"/>
        </w:rPr>
      </w:pPr>
    </w:p>
    <w:p>
      <w:pPr>
        <w:ind w:left="180" w:hanging="171"/>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R. Hopkins</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Address:</w:t>
        <w:tab/>
        <w:t>1512-B Nantucket Drive</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spacing w:after="0"/>
        <w:tabs>
          <w:tab w:leader="none" w:pos="2160" w:val="left"/>
        </w:tabs>
        <w:rPr>
          <w:sz w:val="20"/>
          <w:szCs w:val="20"/>
          <w:color w:val="auto"/>
        </w:rPr>
      </w:pPr>
      <w:r>
        <w:rPr>
          <w:rFonts w:ascii="Courier New" w:cs="Courier New" w:eastAsia="Courier New" w:hAnsi="Courier New"/>
          <w:sz w:val="14"/>
          <w:szCs w:val="14"/>
          <w:color w:val="auto"/>
        </w:rPr>
        <w:t>Houston, TX</w:t>
        <w:tab/>
        <w:t>77057</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August 9, 1999</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14 of 14</w:t>
      </w:r>
    </w:p>
    <w:p>
      <w:pPr>
        <w:sectPr>
          <w:pgSz w:w="11900" w:h="16838" w:orient="portrait"/>
          <w:cols w:equalWidth="0" w:num="1">
            <w:col w:w="10159"/>
          </w:cols>
          <w:pgMar w:left="300" w:top="286" w:right="1440" w:bottom="1440" w:gutter="0" w:footer="0" w:header="0"/>
          <w:type w:val="continuous"/>
        </w:sectPr>
      </w:pPr>
    </w:p>
    <w:bookmarkStart w:id="267" w:name="page268"/>
    <w:bookmarkEnd w:id="267"/>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10.44</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EMPLOYMENT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WASTE MANAGEMENT, INC., for and on behalf of its affiliated corporations (collectively referred to as the "Company") and ROBERT G. SIMPSON (the "Employee") hereby enter into this EMPLOYMENT AGREEMENT ("Agreement") dated as of October 15, 1998, as follows:</w:t>
      </w:r>
    </w:p>
    <w:p>
      <w:pPr>
        <w:spacing w:after="0" w:line="163" w:lineRule="exact"/>
        <w:rPr>
          <w:sz w:val="20"/>
          <w:szCs w:val="20"/>
          <w:color w:val="auto"/>
        </w:rPr>
      </w:pPr>
    </w:p>
    <w:p>
      <w:pPr>
        <w:ind w:left="360" w:hanging="351"/>
        <w:spacing w:after="0"/>
        <w:tabs>
          <w:tab w:leader="none" w:pos="36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5"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The Company shall employ Employee, and Employee shall be employed by the Company upon the terms and subject to the conditions set forth in this Agreement.</w:t>
      </w:r>
    </w:p>
    <w:p>
      <w:pPr>
        <w:spacing w:after="0" w:line="160" w:lineRule="exact"/>
        <w:rPr>
          <w:sz w:val="20"/>
          <w:szCs w:val="20"/>
          <w:color w:val="auto"/>
        </w:rPr>
      </w:pPr>
    </w:p>
    <w:p>
      <w:pPr>
        <w:ind w:left="360" w:hanging="351"/>
        <w:spacing w:after="0"/>
        <w:tabs>
          <w:tab w:leader="none" w:pos="36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period of Employee's employment under this Agreement shall begin as of November 17, 1998, and shall continue for a period of three (3) years thereafter (the "Initial Term") and shall be automatically renewed for successive one (1) year periods thereafter, unless Employee's employment is terminated in accordance with Section 6 below.</w:t>
      </w:r>
    </w:p>
    <w:p>
      <w:pPr>
        <w:spacing w:after="0" w:line="162" w:lineRule="exact"/>
        <w:rPr>
          <w:sz w:val="20"/>
          <w:szCs w:val="20"/>
          <w:color w:val="auto"/>
        </w:rPr>
      </w:pPr>
    </w:p>
    <w:p>
      <w:pPr>
        <w:ind w:left="360" w:hanging="351"/>
        <w:spacing w:after="0"/>
        <w:tabs>
          <w:tab w:leader="none" w:pos="36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AND RESPONSIBILITIES.</w:t>
      </w:r>
    </w:p>
    <w:p>
      <w:pPr>
        <w:spacing w:after="0" w:line="175" w:lineRule="exact"/>
        <w:rPr>
          <w:rFonts w:ascii="Courier New" w:cs="Courier New" w:eastAsia="Courier New" w:hAnsi="Courier New"/>
          <w:sz w:val="14"/>
          <w:szCs w:val="14"/>
          <w:color w:val="auto"/>
        </w:rPr>
      </w:pPr>
    </w:p>
    <w:p>
      <w:pPr>
        <w:ind w:left="800" w:right="3199" w:hanging="10"/>
        <w:spacing w:after="0" w:line="255" w:lineRule="auto"/>
        <w:tabs>
          <w:tab w:leader="none" w:pos="1147"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serve as Vice President, Taxation. In such capacity, Employee shall perform such duties as may be assigned to Employee from time to time by the Company.</w:t>
      </w:r>
    </w:p>
    <w:p>
      <w:pPr>
        <w:spacing w:after="0" w:line="161" w:lineRule="exact"/>
        <w:rPr>
          <w:rFonts w:ascii="Courier New" w:cs="Courier New" w:eastAsia="Courier New" w:hAnsi="Courier New"/>
          <w:sz w:val="14"/>
          <w:szCs w:val="14"/>
          <w:color w:val="auto"/>
        </w:rPr>
      </w:pPr>
    </w:p>
    <w:p>
      <w:pPr>
        <w:ind w:left="800" w:right="3379" w:hanging="10"/>
        <w:spacing w:after="0" w:line="254" w:lineRule="auto"/>
        <w:tabs>
          <w:tab w:leader="none" w:pos="1147"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faithfully serve the Company and/or its affiliated corporations, devote Employee's full working time, attention and energies to the business of the Company and/or its affiliated corporations, and perform the duties under this Agreement to the best of Employee's abilities.</w:t>
      </w:r>
    </w:p>
    <w:p>
      <w:pPr>
        <w:spacing w:after="0" w:line="162" w:lineRule="exact"/>
        <w:rPr>
          <w:rFonts w:ascii="Courier New" w:cs="Courier New" w:eastAsia="Courier New" w:hAnsi="Courier New"/>
          <w:sz w:val="14"/>
          <w:szCs w:val="14"/>
          <w:color w:val="auto"/>
        </w:rPr>
      </w:pPr>
    </w:p>
    <w:p>
      <w:pPr>
        <w:ind w:left="800" w:right="3459" w:hanging="10"/>
        <w:spacing w:after="0" w:line="253" w:lineRule="auto"/>
        <w:tabs>
          <w:tab w:leader="none" w:pos="1147"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64"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AND BENEFITS.</w:t>
      </w:r>
    </w:p>
    <w:p>
      <w:pPr>
        <w:spacing w:after="0" w:line="175" w:lineRule="exact"/>
        <w:rPr>
          <w:rFonts w:ascii="Courier New" w:cs="Courier New" w:eastAsia="Courier New" w:hAnsi="Courier New"/>
          <w:sz w:val="14"/>
          <w:szCs w:val="14"/>
          <w:color w:val="auto"/>
        </w:rPr>
      </w:pPr>
    </w:p>
    <w:p>
      <w:pPr>
        <w:ind w:left="800" w:right="3199" w:hanging="10"/>
        <w:spacing w:after="0" w:line="253" w:lineRule="auto"/>
        <w:tabs>
          <w:tab w:leader="none" w:pos="1147"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Employee a base salary at the annual rate of Two Hundred Fifty Thousand ($250,000) Dollars per year, or such higher rate as may be determined from time to time by the Company ("Base Salary"). Such Base Salary shall be paid in accordance with the Company's standard payroll practice for employees.</w:t>
      </w:r>
    </w:p>
    <w:p>
      <w:pPr>
        <w:spacing w:after="0" w:line="165" w:lineRule="exact"/>
        <w:rPr>
          <w:rFonts w:ascii="Courier New" w:cs="Courier New" w:eastAsia="Courier New" w:hAnsi="Courier New"/>
          <w:sz w:val="14"/>
          <w:szCs w:val="14"/>
          <w:color w:val="auto"/>
        </w:rPr>
      </w:pPr>
    </w:p>
    <w:p>
      <w:pPr>
        <w:ind w:left="800" w:right="3379" w:hanging="10"/>
        <w:spacing w:after="0" w:line="255" w:lineRule="auto"/>
        <w:tabs>
          <w:tab w:leader="none" w:pos="1147" w:val="left"/>
        </w:tabs>
        <w:numPr>
          <w:ilvl w:val="1"/>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REIMBURSEMENT. The Company shall promptly reimburse Employee for the ordinary and necessary business expenses incurred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 of 11</w:t>
      </w:r>
    </w:p>
    <w:p>
      <w:pPr>
        <w:sectPr>
          <w:pgSz w:w="11900" w:h="16838" w:orient="portrait"/>
          <w:cols w:equalWidth="0" w:num="1">
            <w:col w:w="10159"/>
          </w:cols>
          <w:pgMar w:left="300" w:top="141"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jc w:val="both"/>
        <w:ind w:left="800" w:right="3459"/>
        <w:spacing w:after="0" w:line="254" w:lineRule="auto"/>
        <w:rPr>
          <w:sz w:val="20"/>
          <w:szCs w:val="20"/>
          <w:color w:val="auto"/>
        </w:rPr>
      </w:pPr>
      <w:r>
        <w:rPr>
          <w:rFonts w:ascii="Courier New" w:cs="Courier New" w:eastAsia="Courier New" w:hAnsi="Courier New"/>
          <w:sz w:val="14"/>
          <w:szCs w:val="14"/>
          <w:color w:val="auto"/>
        </w:rPr>
        <w:t>in the performance of Employee's duties hereunder in accordance with the Company's customary practices applicable to employees, provided that such expenses are incurred and accounted for in accordance with the Company's policy.</w:t>
      </w:r>
    </w:p>
    <w:p>
      <w:pPr>
        <w:spacing w:after="0" w:line="163" w:lineRule="exact"/>
        <w:rPr>
          <w:sz w:val="20"/>
          <w:szCs w:val="20"/>
          <w:color w:val="auto"/>
        </w:rPr>
      </w:pPr>
    </w:p>
    <w:p>
      <w:pPr>
        <w:ind w:left="800" w:right="3199" w:hanging="10"/>
        <w:spacing w:after="0" w:line="253" w:lineRule="auto"/>
        <w:tabs>
          <w:tab w:leader="none" w:pos="1147"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Employee shall be eligible to participate in or receive benefits under any pension plan, profit sharing plan, medical and dental benefits plan, life insurance plan, short-term and long-term disability plans, supplemental and/or incentive compensation plans, or any other benefit plan or arrangement generally made available by the Company to employees of similar status and responsibilities (hereinafter referred to as "similarly situated employees").</w:t>
      </w:r>
    </w:p>
    <w:p>
      <w:pPr>
        <w:spacing w:after="0" w:line="164" w:lineRule="exact"/>
        <w:rPr>
          <w:rFonts w:ascii="Courier New" w:cs="Courier New" w:eastAsia="Courier New" w:hAnsi="Courier New"/>
          <w:sz w:val="14"/>
          <w:szCs w:val="14"/>
          <w:color w:val="auto"/>
        </w:rPr>
      </w:pPr>
    </w:p>
    <w:p>
      <w:pPr>
        <w:ind w:left="800" w:right="3299" w:hanging="10"/>
        <w:spacing w:after="0" w:line="253" w:lineRule="auto"/>
        <w:tabs>
          <w:tab w:leader="none" w:pos="1147"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INCENTIVE/BONUS. Employee shall be eligible for a bonus or incentive compensation payment ("bonus") of up to fifty (50%) percent of Employee's base pay. Qualification for the bonus shall be pursuant to the applicable Bonus Plan in effect for the year in which the bonus is earned. Employee is guaranteed a 1998 bonus in the amount of Fifty Thousand ($50,000) Dollars, to be paid at the same time as other corporate office bonuses are paid (in 1999, following the release of earning for the 1998 calendar year).</w:t>
      </w:r>
    </w:p>
    <w:p>
      <w:pPr>
        <w:spacing w:after="0" w:line="164" w:lineRule="exact"/>
        <w:rPr>
          <w:rFonts w:ascii="Courier New" w:cs="Courier New" w:eastAsia="Courier New" w:hAnsi="Courier New"/>
          <w:sz w:val="14"/>
          <w:szCs w:val="14"/>
          <w:color w:val="auto"/>
        </w:rPr>
      </w:pPr>
    </w:p>
    <w:p>
      <w:pPr>
        <w:ind w:left="800" w:right="3379" w:hanging="10"/>
        <w:spacing w:after="0" w:line="254" w:lineRule="auto"/>
        <w:tabs>
          <w:tab w:leader="none" w:pos="1147"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Employee shall be awarded fifty thousand (50,000) Waste Management stock options, subject to the approval of the Compensation Committee of the Board of Directors. The award, vesting and exercise of all options shall be subject to the provisions of the Waste Management, Inc., 1993 Stock Incentive Plan.</w:t>
      </w:r>
    </w:p>
    <w:p>
      <w:pPr>
        <w:spacing w:after="0" w:line="16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Employee's employment hereunder may be terminated under the following circumstances:</w:t>
      </w:r>
    </w:p>
    <w:p>
      <w:pPr>
        <w:spacing w:after="0" w:line="160" w:lineRule="exact"/>
        <w:rPr>
          <w:sz w:val="20"/>
          <w:szCs w:val="20"/>
          <w:color w:val="auto"/>
        </w:rPr>
      </w:pPr>
    </w:p>
    <w:p>
      <w:pPr>
        <w:ind w:left="800" w:right="3899" w:hanging="10"/>
        <w:spacing w:after="0" w:line="258" w:lineRule="auto"/>
        <w:tabs>
          <w:tab w:leader="none" w:pos="1147"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Employee's employment hereunder shall terminate upon Employee's death.</w:t>
      </w:r>
    </w:p>
    <w:p>
      <w:pPr>
        <w:spacing w:after="0" w:line="159" w:lineRule="exact"/>
        <w:rPr>
          <w:rFonts w:ascii="Courier New" w:cs="Courier New" w:eastAsia="Courier New" w:hAnsi="Courier New"/>
          <w:sz w:val="14"/>
          <w:szCs w:val="14"/>
          <w:color w:val="auto"/>
        </w:rPr>
      </w:pPr>
    </w:p>
    <w:p>
      <w:pPr>
        <w:ind w:left="800" w:right="3199" w:hanging="10"/>
        <w:spacing w:after="0" w:line="253" w:lineRule="auto"/>
        <w:tabs>
          <w:tab w:leader="none" w:pos="1147"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Employee's employment hereunder upon Employee's becoming "Totally Disabled". For purposes of this Agreement, Employee shall be "Totally Disabled" if Employee is physically or mentally incapacitated so as to render Employee incapable of performing Employee's usual and customary duties under this Agreement. Employee's receipt of disability benefits under the Company's long-term disability plan, or receipt of Social Security disability benefits, shall be deemed conclusive evidence of Total Disability for purpose of this Agreement; provided, however, that in the absence of Employee's receipt of such long-term disability benefits or Social Security benefits, the Company may, in its reasonable discretion (but based upon appropriate medical evidence), determine that Employee is Totally Disabled.</w:t>
      </w:r>
    </w:p>
    <w:p>
      <w:pPr>
        <w:spacing w:after="0" w:line="330"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FOR CAUSE. The Company may terminate</w:t>
      </w:r>
    </w:p>
    <w:p>
      <w:pPr>
        <w:spacing w:after="0" w:line="8" w:lineRule="exact"/>
        <w:rPr>
          <w:rFonts w:ascii="Courier New" w:cs="Courier New" w:eastAsia="Courier New" w:hAnsi="Courier New"/>
          <w:sz w:val="14"/>
          <w:szCs w:val="14"/>
          <w:color w:val="auto"/>
        </w:rPr>
      </w:pPr>
    </w:p>
    <w:p>
      <w:pPr>
        <w:ind w:left="800" w:right="31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employment hereunder for "Cause" at any time after providing written notice to Employee.</w:t>
      </w:r>
    </w:p>
    <w:p>
      <w:pPr>
        <w:spacing w:after="0" w:line="200" w:lineRule="exact"/>
        <w:rPr>
          <w:sz w:val="20"/>
          <w:szCs w:val="20"/>
          <w:color w:val="auto"/>
        </w:rPr>
      </w:pPr>
    </w:p>
    <w:p>
      <w:pPr>
        <w:spacing w:after="0" w:line="29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2 of 11</w:t>
      </w:r>
    </w:p>
    <w:p>
      <w:pPr>
        <w:sectPr>
          <w:pgSz w:w="11900" w:h="16838" w:orient="portrait"/>
          <w:cols w:equalWidth="0" w:num="1">
            <w:col w:w="10159"/>
          </w:cols>
          <w:pgMar w:left="300" w:top="286"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1580" w:right="3199" w:hanging="9"/>
        <w:spacing w:after="0" w:line="252" w:lineRule="auto"/>
        <w:tabs>
          <w:tab w:leader="none" w:pos="1927" w:val="left"/>
        </w:tabs>
        <w:numPr>
          <w:ilvl w:val="1"/>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8 hereof.</w:t>
      </w:r>
    </w:p>
    <w:p>
      <w:pPr>
        <w:spacing w:after="0" w:line="339" w:lineRule="exact"/>
        <w:rPr>
          <w:rFonts w:ascii="Courier New" w:cs="Courier New" w:eastAsia="Courier New" w:hAnsi="Courier New"/>
          <w:sz w:val="14"/>
          <w:szCs w:val="14"/>
          <w:color w:val="auto"/>
        </w:rPr>
      </w:pPr>
    </w:p>
    <w:p>
      <w:pPr>
        <w:ind w:left="1580" w:right="3299" w:hanging="9"/>
        <w:spacing w:after="0" w:line="253" w:lineRule="auto"/>
        <w:tabs>
          <w:tab w:leader="none" w:pos="2014" w:val="left"/>
        </w:tabs>
        <w:numPr>
          <w:ilvl w:val="1"/>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64" w:lineRule="exact"/>
        <w:rPr>
          <w:rFonts w:ascii="Courier New" w:cs="Courier New" w:eastAsia="Courier New" w:hAnsi="Courier New"/>
          <w:sz w:val="14"/>
          <w:szCs w:val="14"/>
          <w:color w:val="auto"/>
        </w:rPr>
      </w:pPr>
    </w:p>
    <w:p>
      <w:pPr>
        <w:ind w:left="1580" w:right="3199" w:hanging="9"/>
        <w:spacing w:after="0" w:line="255" w:lineRule="auto"/>
        <w:tabs>
          <w:tab w:leader="none" w:pos="2101" w:val="left"/>
        </w:tabs>
        <w:numPr>
          <w:ilvl w:val="1"/>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determination of Cause under this Agreement shall be made by the Company after giving Employee a reasonable opportunity to be heard.</w:t>
      </w:r>
    </w:p>
    <w:p>
      <w:pPr>
        <w:spacing w:after="0" w:line="161" w:lineRule="exact"/>
        <w:rPr>
          <w:rFonts w:ascii="Courier New" w:cs="Courier New" w:eastAsia="Courier New" w:hAnsi="Courier New"/>
          <w:sz w:val="14"/>
          <w:szCs w:val="14"/>
          <w:color w:val="auto"/>
        </w:rPr>
      </w:pPr>
    </w:p>
    <w:p>
      <w:pPr>
        <w:ind w:left="800" w:right="3639" w:hanging="10"/>
        <w:spacing w:after="0" w:line="255" w:lineRule="auto"/>
        <w:tabs>
          <w:tab w:leader="none" w:pos="1147"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BY EMPLOYEE. Employee may terminate employment hereunder at any time after providing ninety (90) days' written notice to the Company.</w:t>
      </w:r>
    </w:p>
    <w:p>
      <w:pPr>
        <w:spacing w:after="0" w:line="161" w:lineRule="exact"/>
        <w:rPr>
          <w:rFonts w:ascii="Courier New" w:cs="Courier New" w:eastAsia="Courier New" w:hAnsi="Courier New"/>
          <w:sz w:val="14"/>
          <w:szCs w:val="14"/>
          <w:color w:val="auto"/>
        </w:rPr>
      </w:pPr>
    </w:p>
    <w:p>
      <w:pPr>
        <w:ind w:left="800" w:right="3199" w:hanging="10"/>
        <w:spacing w:after="0" w:line="255" w:lineRule="auto"/>
        <w:tabs>
          <w:tab w:leader="none" w:pos="1147"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The Company may terminate Employee's employment hereunder without Cause at any time after providing written notice to Employee.</w:t>
      </w:r>
    </w:p>
    <w:p>
      <w:pPr>
        <w:spacing w:after="0" w:line="162" w:lineRule="exact"/>
        <w:rPr>
          <w:sz w:val="20"/>
          <w:szCs w:val="20"/>
          <w:color w:val="auto"/>
        </w:rPr>
      </w:pPr>
    </w:p>
    <w:p>
      <w:pPr>
        <w:ind w:left="360" w:hanging="351"/>
        <w:spacing w:after="0"/>
        <w:tabs>
          <w:tab w:leader="none" w:pos="36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FOLLOWING TERMINATION OF EMPLOYMENT.</w:t>
      </w:r>
    </w:p>
    <w:p>
      <w:pPr>
        <w:spacing w:after="0" w:line="175"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In the event that Employee's employment hereunder is terminated, Employee shall be entitled to the following compensation and benefits upon such termination:</w:t>
      </w:r>
    </w:p>
    <w:p>
      <w:pPr>
        <w:spacing w:after="0" w:line="160" w:lineRule="exact"/>
        <w:rPr>
          <w:sz w:val="20"/>
          <w:szCs w:val="20"/>
          <w:color w:val="auto"/>
        </w:rPr>
      </w:pPr>
    </w:p>
    <w:p>
      <w:pPr>
        <w:ind w:left="800" w:right="3459" w:hanging="10"/>
        <w:spacing w:after="0" w:line="255" w:lineRule="auto"/>
        <w:tabs>
          <w:tab w:leader="none" w:pos="1147"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Employee's employment is terminated by reason of Employee's death, the Company shall pay the following amounts to Employee's beneficiary or estate:</w:t>
      </w:r>
    </w:p>
    <w:p>
      <w:pPr>
        <w:spacing w:after="0" w:line="161" w:lineRule="exact"/>
        <w:rPr>
          <w:rFonts w:ascii="Courier New" w:cs="Courier New" w:eastAsia="Courier New" w:hAnsi="Courier New"/>
          <w:sz w:val="14"/>
          <w:szCs w:val="14"/>
          <w:color w:val="auto"/>
        </w:rPr>
      </w:pPr>
    </w:p>
    <w:p>
      <w:pPr>
        <w:ind w:left="1580" w:right="3199" w:hanging="9"/>
        <w:spacing w:after="0" w:line="254" w:lineRule="auto"/>
        <w:tabs>
          <w:tab w:leader="none" w:pos="1927"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and any vacation accrued to the date of death.</w:t>
      </w: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11</w:t>
      </w:r>
    </w:p>
    <w:p>
      <w:pPr>
        <w:sectPr>
          <w:pgSz w:w="11900" w:h="16838" w:orient="portrait"/>
          <w:cols w:equalWidth="0" w:num="1">
            <w:col w:w="10159"/>
          </w:cols>
          <w:pgMar w:left="300" w:top="286" w:right="1440" w:bottom="1440" w:gutter="0" w:footer="0" w:header="0"/>
        </w:sectPr>
      </w:pPr>
    </w:p>
    <w:bookmarkStart w:id="270" w:name="page271"/>
    <w:bookmarkEnd w:id="270"/>
    <w:p>
      <w:pPr>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1320" w:right="3199" w:hanging="9"/>
        <w:spacing w:after="0" w:line="254" w:lineRule="auto"/>
        <w:tabs>
          <w:tab w:leader="none" w:pos="1754" w:val="left"/>
        </w:tabs>
        <w:numPr>
          <w:ilvl w:val="1"/>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Employee may be entitled pursuant to the plans, policies and arrangements referred to in Section 4(c) hereof as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320" w:right="3379" w:hanging="9"/>
        <w:spacing w:after="0" w:line="253" w:lineRule="auto"/>
        <w:tabs>
          <w:tab w:leader="none" w:pos="1841" w:val="left"/>
        </w:tabs>
        <w:numPr>
          <w:ilvl w:val="1"/>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Employee's death) which would have been payable to Employee if Employee had continued in employment until the end of the 12-month period beginning on the date of Employee's death. Such amount shall be paid in a single lump sum cash payment within thirty (30) days after Employee's death.</w:t>
      </w:r>
    </w:p>
    <w:p>
      <w:pPr>
        <w:spacing w:after="0" w:line="164" w:lineRule="exact"/>
        <w:rPr>
          <w:rFonts w:ascii="Courier New" w:cs="Courier New" w:eastAsia="Courier New" w:hAnsi="Courier New"/>
          <w:sz w:val="14"/>
          <w:szCs w:val="14"/>
          <w:color w:val="auto"/>
        </w:rPr>
      </w:pPr>
    </w:p>
    <w:p>
      <w:pPr>
        <w:ind w:left="540" w:right="3379" w:hanging="10"/>
        <w:spacing w:after="0" w:line="254" w:lineRule="auto"/>
        <w:tabs>
          <w:tab w:leader="none" w:pos="887"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TOTAL DISABILITY. In the event that Employee's employment is terminated by reason of Employee's Total Disability as determined in accordance with Section 5(b), the Company shall pay the following amounts to Employee:</w:t>
      </w:r>
    </w:p>
    <w:p>
      <w:pPr>
        <w:spacing w:after="0" w:line="163" w:lineRule="exact"/>
        <w:rPr>
          <w:rFonts w:ascii="Courier New" w:cs="Courier New" w:eastAsia="Courier New" w:hAnsi="Courier New"/>
          <w:sz w:val="14"/>
          <w:szCs w:val="14"/>
          <w:color w:val="auto"/>
        </w:rPr>
      </w:pPr>
    </w:p>
    <w:p>
      <w:pPr>
        <w:ind w:left="1320" w:right="3299" w:hanging="9"/>
        <w:spacing w:after="0" w:line="253" w:lineRule="auto"/>
        <w:tabs>
          <w:tab w:leader="none" w:pos="1667" w:val="left"/>
        </w:tabs>
        <w:numPr>
          <w:ilvl w:val="1"/>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 Employee shall also be entitled to a bonus or incentive compensation payment to the extent such awards are made to similarly situated executives, pro-rated for the year in which Executive is terminated and paid at the same time as similarly situated executives are paid.</w:t>
      </w:r>
    </w:p>
    <w:p>
      <w:pPr>
        <w:spacing w:after="0" w:line="164" w:lineRule="exact"/>
        <w:rPr>
          <w:rFonts w:ascii="Courier New" w:cs="Courier New" w:eastAsia="Courier New" w:hAnsi="Courier New"/>
          <w:sz w:val="14"/>
          <w:szCs w:val="14"/>
          <w:color w:val="auto"/>
        </w:rPr>
      </w:pPr>
    </w:p>
    <w:p>
      <w:pPr>
        <w:ind w:left="1320" w:right="3199" w:hanging="9"/>
        <w:spacing w:after="0" w:line="254" w:lineRule="auto"/>
        <w:tabs>
          <w:tab w:leader="none" w:pos="1754" w:val="left"/>
        </w:tabs>
        <w:numPr>
          <w:ilvl w:val="1"/>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840" w:hanging="529"/>
        <w:spacing w:after="0"/>
        <w:tabs>
          <w:tab w:leader="none" w:pos="1840" w:val="left"/>
        </w:tabs>
        <w:numPr>
          <w:ilvl w:val="1"/>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w:t>
      </w:r>
    </w:p>
    <w:p>
      <w:pPr>
        <w:spacing w:after="0" w:line="175" w:lineRule="exact"/>
        <w:rPr>
          <w:rFonts w:ascii="Courier New" w:cs="Courier New" w:eastAsia="Courier New" w:hAnsi="Courier New"/>
          <w:sz w:val="14"/>
          <w:szCs w:val="14"/>
          <w:color w:val="auto"/>
        </w:rPr>
      </w:pPr>
    </w:p>
    <w:p>
      <w:pPr>
        <w:ind w:left="2100" w:right="3199" w:hanging="8"/>
        <w:spacing w:after="0" w:line="253" w:lineRule="auto"/>
        <w:tabs>
          <w:tab w:leader="none" w:pos="2447" w:val="left"/>
        </w:tabs>
        <w:numPr>
          <w:ilvl w:val="2"/>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Employee's Total Disability) which would have been payable to Employee if Employee had continued in active employment until the end of the 12-month period beginning on the date of Employee's termination; reduced by</w:t>
      </w:r>
    </w:p>
    <w:p>
      <w:pPr>
        <w:spacing w:after="0" w:line="165" w:lineRule="exact"/>
        <w:rPr>
          <w:rFonts w:ascii="Courier New" w:cs="Courier New" w:eastAsia="Courier New" w:hAnsi="Courier New"/>
          <w:sz w:val="14"/>
          <w:szCs w:val="14"/>
          <w:color w:val="auto"/>
        </w:rPr>
      </w:pPr>
    </w:p>
    <w:p>
      <w:pPr>
        <w:ind w:left="2100" w:right="3559" w:hanging="8"/>
        <w:spacing w:after="0" w:line="254" w:lineRule="auto"/>
        <w:tabs>
          <w:tab w:leader="none" w:pos="2447" w:val="left"/>
        </w:tabs>
        <w:numPr>
          <w:ilvl w:val="2"/>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annual amount of the long term disability benefits payable to Employee under the Company's long-term disability plan as determined prior to the reduction of such benefits under the terms of the plan for other disability income.</w:t>
      </w:r>
    </w:p>
    <w:p>
      <w:pPr>
        <w:spacing w:after="0" w:line="162" w:lineRule="exact"/>
        <w:rPr>
          <w:sz w:val="20"/>
          <w:szCs w:val="20"/>
          <w:color w:val="auto"/>
        </w:rPr>
      </w:pPr>
    </w:p>
    <w:p>
      <w:pPr>
        <w:ind w:left="1320" w:right="3299"/>
        <w:spacing w:after="0" w:line="255" w:lineRule="auto"/>
        <w:rPr>
          <w:sz w:val="20"/>
          <w:szCs w:val="20"/>
          <w:color w:val="auto"/>
        </w:rPr>
      </w:pPr>
      <w:r>
        <w:rPr>
          <w:rFonts w:ascii="Courier New" w:cs="Courier New" w:eastAsia="Courier New" w:hAnsi="Courier New"/>
          <w:sz w:val="14"/>
          <w:szCs w:val="14"/>
          <w:color w:val="auto"/>
        </w:rPr>
        <w:t>Payment shall be made at the same time and in the same manner as such compensation would have been paid if Employee had remained in active employment until the end of such period.</w:t>
      </w:r>
    </w:p>
    <w:p>
      <w:pPr>
        <w:spacing w:after="0" w:line="200" w:lineRule="exact"/>
        <w:rPr>
          <w:sz w:val="20"/>
          <w:szCs w:val="20"/>
          <w:color w:val="auto"/>
        </w:rPr>
      </w:pPr>
    </w:p>
    <w:p>
      <w:pPr>
        <w:spacing w:after="0" w:line="29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4 of 11</w:t>
      </w:r>
    </w:p>
    <w:p>
      <w:pPr>
        <w:sectPr>
          <w:pgSz w:w="11900" w:h="16838" w:orient="portrait"/>
          <w:cols w:equalWidth="0" w:num="1">
            <w:col w:w="9899"/>
          </w:cols>
          <w:pgMar w:left="560" w:top="286"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540" w:right="3199" w:hanging="10"/>
        <w:spacing w:after="0" w:line="254" w:lineRule="auto"/>
        <w:tabs>
          <w:tab w:leader="none" w:pos="887"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OR VOLUNTARY TERMINATION BY EMPLOYEE. In the event that Employee's employment is terminated by the Company for Cause pursuant to Section 5(c), or Employee terminates employment pursuant to Section 5(d), the Company shall pay the following amounts to Employee:</w:t>
      </w:r>
    </w:p>
    <w:p>
      <w:pPr>
        <w:spacing w:after="0" w:line="163"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1320" w:right="3199" w:hanging="9"/>
        <w:spacing w:after="0" w:line="254" w:lineRule="auto"/>
        <w:tabs>
          <w:tab w:leader="none" w:pos="1754" w:val="left"/>
        </w:tabs>
        <w:numPr>
          <w:ilvl w:val="1"/>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540" w:right="3299" w:hanging="10"/>
        <w:spacing w:after="0" w:line="254" w:lineRule="auto"/>
        <w:tabs>
          <w:tab w:leader="none" w:pos="887"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COMPANY WITHOUT CAUSE. In the event that Employee's employment is terminated by the Company pursuant to Section 5(e) for reasons other than death, Total Disability or Cause, the Company shall pay the following amounts to Employee:</w:t>
      </w:r>
    </w:p>
    <w:p>
      <w:pPr>
        <w:spacing w:after="0" w:line="163"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termination, any accrued but unpaid expenses required to be reimbursed under this Agreement, any vacation accrued to the date of termination.</w:t>
      </w:r>
    </w:p>
    <w:p>
      <w:pPr>
        <w:spacing w:after="0" w:line="163" w:lineRule="exact"/>
        <w:rPr>
          <w:rFonts w:ascii="Courier New" w:cs="Courier New" w:eastAsia="Courier New" w:hAnsi="Courier New"/>
          <w:sz w:val="14"/>
          <w:szCs w:val="14"/>
          <w:color w:val="auto"/>
        </w:rPr>
      </w:pPr>
    </w:p>
    <w:p>
      <w:pPr>
        <w:ind w:left="1320" w:right="3199" w:hanging="9"/>
        <w:spacing w:after="0" w:line="254" w:lineRule="auto"/>
        <w:tabs>
          <w:tab w:leader="none" w:pos="1754" w:val="left"/>
        </w:tabs>
        <w:numPr>
          <w:ilvl w:val="1"/>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63" w:lineRule="exact"/>
        <w:rPr>
          <w:rFonts w:ascii="Courier New" w:cs="Courier New" w:eastAsia="Courier New" w:hAnsi="Courier New"/>
          <w:sz w:val="14"/>
          <w:szCs w:val="14"/>
          <w:color w:val="auto"/>
        </w:rPr>
      </w:pPr>
    </w:p>
    <w:p>
      <w:pPr>
        <w:ind w:left="1320" w:right="3199" w:hanging="9"/>
        <w:spacing w:after="0" w:line="253" w:lineRule="auto"/>
        <w:tabs>
          <w:tab w:leader="none" w:pos="1841" w:val="left"/>
        </w:tabs>
        <w:numPr>
          <w:ilvl w:val="1"/>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Employee's termination) which would have been payable to Employee if Employee had continued in active employment until the later of: (A) the period ending on the last day of the Initial Term; or (B) the end of the 12-month period beginning on the date of Employee's termination. Payment shall be made at the same time and in the same manner as such compensation would have been paid if Employee had remained in active employment until the end of such period. The Employee shall also be eligible for a bonus or incentive compensation payment, to the extent bonuses are paid to similarly situated employees, pro-rated for the year in which the Employee is terminated, and paid at the same time as similarly situated employees are paid.</w:t>
      </w:r>
    </w:p>
    <w:p>
      <w:pPr>
        <w:spacing w:after="0" w:line="329" w:lineRule="exact"/>
        <w:rPr>
          <w:rFonts w:ascii="Courier New" w:cs="Courier New" w:eastAsia="Courier New" w:hAnsi="Courier New"/>
          <w:sz w:val="14"/>
          <w:szCs w:val="14"/>
          <w:color w:val="auto"/>
        </w:rPr>
      </w:pPr>
    </w:p>
    <w:p>
      <w:pPr>
        <w:ind w:left="1320" w:right="3199" w:hanging="9"/>
        <w:spacing w:after="0" w:line="252" w:lineRule="auto"/>
        <w:tabs>
          <w:tab w:leader="none" w:pos="1754" w:val="left"/>
        </w:tabs>
        <w:numPr>
          <w:ilvl w:val="1"/>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completely at its expense, will continue for Employee and Employee's spouse and dependents, group health plans, programs or arrangements, in which Employee was entitled to participate at any time during the twelve-month period prior to the date of termination, until the earlier of:</w:t>
      </w:r>
    </w:p>
    <w:p>
      <w:pPr>
        <w:spacing w:after="0" w:line="1" w:lineRule="exact"/>
        <w:rPr>
          <w:rFonts w:ascii="Courier New" w:cs="Courier New" w:eastAsia="Courier New" w:hAnsi="Courier New"/>
          <w:sz w:val="14"/>
          <w:szCs w:val="14"/>
          <w:color w:val="auto"/>
        </w:rPr>
      </w:pPr>
    </w:p>
    <w:p>
      <w:pPr>
        <w:ind w:left="1320" w:right="32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last day of period during which Employee receives payment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5 of 11</w:t>
      </w:r>
    </w:p>
    <w:p>
      <w:pPr>
        <w:sectPr>
          <w:pgSz w:w="11900" w:h="16838" w:orient="portrait"/>
          <w:cols w:equalWidth="0" w:num="1">
            <w:col w:w="9899"/>
          </w:cols>
          <w:pgMar w:left="560" w:top="286" w:right="1440" w:bottom="1440" w:gutter="0" w:footer="0" w:header="0"/>
        </w:sectPr>
      </w:pPr>
    </w:p>
    <w:bookmarkStart w:id="272" w:name="page273"/>
    <w:bookmarkEnd w:id="272"/>
    <w:p>
      <w:pPr>
        <w:ind w:left="251"/>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1571" w:right="3199"/>
        <w:spacing w:after="0" w:line="253" w:lineRule="auto"/>
        <w:rPr>
          <w:sz w:val="20"/>
          <w:szCs w:val="20"/>
          <w:color w:val="auto"/>
        </w:rPr>
      </w:pPr>
      <w:r>
        <w:rPr>
          <w:rFonts w:ascii="Courier New" w:cs="Courier New" w:eastAsia="Courier New" w:hAnsi="Courier New"/>
          <w:sz w:val="14"/>
          <w:szCs w:val="14"/>
          <w:color w:val="auto"/>
        </w:rPr>
        <w:t>accordance with clause (iii) above; (B) Employee's death (provided that benefits payable to Employee's beneficiaries shall not terminate upon Employee's death); or (C) with respect to any particular plan, program or arrangement, the date Employee becomes covered by a comparable benefit provided by a subsequent employer.</w:t>
      </w:r>
    </w:p>
    <w:p>
      <w:pPr>
        <w:spacing w:after="0" w:line="165" w:lineRule="exact"/>
        <w:rPr>
          <w:sz w:val="20"/>
          <w:szCs w:val="20"/>
          <w:color w:val="auto"/>
        </w:rPr>
      </w:pPr>
    </w:p>
    <w:p>
      <w:pPr>
        <w:ind w:left="791" w:right="3199" w:hanging="10"/>
        <w:spacing w:after="0" w:line="253" w:lineRule="auto"/>
        <w:tabs>
          <w:tab w:leader="none" w:pos="1138"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BENEFITS OR COMPENSATION. Except as may be provided under this Agreement, under the terms of any incentive compensation, employee benefit, or fringe benefit plan applicable to Employee at the time of Employee's termination or resignation of employment, Employee shall have no right to receive any other compensation, or to participate in any other plan, arrangement or benefit, with respect to future periods after such termination or resignation.</w:t>
      </w:r>
    </w:p>
    <w:p>
      <w:pPr>
        <w:spacing w:after="0" w:line="164" w:lineRule="exact"/>
        <w:rPr>
          <w:rFonts w:ascii="Courier New" w:cs="Courier New" w:eastAsia="Courier New" w:hAnsi="Courier New"/>
          <w:sz w:val="14"/>
          <w:szCs w:val="14"/>
          <w:color w:val="auto"/>
        </w:rPr>
      </w:pPr>
    </w:p>
    <w:p>
      <w:pPr>
        <w:ind w:left="791" w:right="3199" w:hanging="10"/>
        <w:spacing w:after="0" w:line="255" w:lineRule="auto"/>
        <w:tabs>
          <w:tab w:leader="none" w:pos="1138"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OR TERMINATION OF BENEFITS AND COMPENSATION. In the event that the Company, in its sole discretion determines that, without the Company's express written consent, Employee has</w:t>
      </w:r>
    </w:p>
    <w:p>
      <w:pPr>
        <w:spacing w:after="0" w:line="161" w:lineRule="exact"/>
        <w:rPr>
          <w:rFonts w:ascii="Courier New" w:cs="Courier New" w:eastAsia="Courier New" w:hAnsi="Courier New"/>
          <w:sz w:val="14"/>
          <w:szCs w:val="14"/>
          <w:color w:val="auto"/>
        </w:rPr>
      </w:pPr>
    </w:p>
    <w:p>
      <w:pPr>
        <w:ind w:left="1571" w:right="3299" w:hanging="9"/>
        <w:spacing w:after="0" w:line="253" w:lineRule="auto"/>
        <w:tabs>
          <w:tab w:leader="none" w:pos="1918"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64" w:lineRule="exact"/>
        <w:rPr>
          <w:rFonts w:ascii="Courier New" w:cs="Courier New" w:eastAsia="Courier New" w:hAnsi="Courier New"/>
          <w:sz w:val="14"/>
          <w:szCs w:val="14"/>
          <w:color w:val="auto"/>
        </w:rPr>
      </w:pPr>
    </w:p>
    <w:p>
      <w:pPr>
        <w:ind w:left="1571" w:right="3199" w:hanging="9"/>
        <w:spacing w:after="0" w:line="253" w:lineRule="auto"/>
        <w:tabs>
          <w:tab w:leader="none" w:pos="2005"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Employee's employment hereunder or during any of the twelve calendar months preceding or following the termination of Employee's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330" w:lineRule="exact"/>
        <w:rPr>
          <w:sz w:val="20"/>
          <w:szCs w:val="20"/>
          <w:color w:val="auto"/>
        </w:rPr>
      </w:pPr>
    </w:p>
    <w:p>
      <w:pPr>
        <w:ind w:left="791" w:right="3299"/>
        <w:spacing w:after="0" w:line="254" w:lineRule="auto"/>
        <w:rPr>
          <w:sz w:val="20"/>
          <w:szCs w:val="20"/>
          <w:color w:val="auto"/>
        </w:rPr>
      </w:pPr>
      <w:r>
        <w:rPr>
          <w:rFonts w:ascii="Courier New" w:cs="Courier New" w:eastAsia="Courier New" w:hAnsi="Courier New"/>
          <w:sz w:val="14"/>
          <w:szCs w:val="14"/>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Employee.</w:t>
      </w:r>
    </w:p>
    <w:p>
      <w:pPr>
        <w:spacing w:after="0" w:line="162" w:lineRule="exact"/>
        <w:rPr>
          <w:sz w:val="20"/>
          <w:szCs w:val="20"/>
          <w:color w:val="auto"/>
        </w:rPr>
      </w:pPr>
    </w:p>
    <w:p>
      <w:pPr>
        <w:ind w:left="351" w:hanging="351"/>
        <w:spacing w:after="0"/>
        <w:tabs>
          <w:tab w:leader="none" w:pos="351"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RESTRICTIVE COVENANTS</w:t>
      </w:r>
    </w:p>
    <w:p>
      <w:pPr>
        <w:spacing w:after="0" w:line="175" w:lineRule="exact"/>
        <w:rPr>
          <w:rFonts w:ascii="Courier New" w:cs="Courier New" w:eastAsia="Courier New" w:hAnsi="Courier New"/>
          <w:sz w:val="14"/>
          <w:szCs w:val="14"/>
          <w:color w:val="auto"/>
        </w:rPr>
      </w:pPr>
    </w:p>
    <w:p>
      <w:pPr>
        <w:ind w:left="791" w:right="3559" w:hanging="10"/>
        <w:spacing w:after="0" w:line="254" w:lineRule="auto"/>
        <w:tabs>
          <w:tab w:leader="none" w:pos="1138"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Employee covenants and agrees that at all times during Employee's period of employment with the Company, and while Employee is receiving payments pursuant to Section 6 of this Agreement, Employee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6 of 11</w:t>
      </w:r>
    </w:p>
    <w:p>
      <w:pPr>
        <w:sectPr>
          <w:pgSz w:w="11900" w:h="16838" w:orient="portrait"/>
          <w:cols w:equalWidth="0" w:num="1">
            <w:col w:w="10150"/>
          </w:cols>
          <w:pgMar w:left="309" w:top="286"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540" w:right="3199"/>
        <w:spacing w:after="0" w:line="252" w:lineRule="auto"/>
        <w:rPr>
          <w:sz w:val="20"/>
          <w:szCs w:val="20"/>
          <w:color w:val="auto"/>
        </w:rPr>
      </w:pPr>
      <w:r>
        <w:rPr>
          <w:rFonts w:ascii="Courier New" w:cs="Courier New" w:eastAsia="Courier New" w:hAnsi="Courier New"/>
          <w:sz w:val="14"/>
          <w:szCs w:val="14"/>
          <w:color w:val="auto"/>
        </w:rPr>
        <w:t>directly or indirectly,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Furthermore, for a period of one (1) year after the date of termination of Employee's employment, whether such termination is voluntary or involuntary, by wrongful discharge, or otherwise, or one (1) year following the cessation of payments made pursuant to Section 6 of this Agreement, or for a period of one (1) year following the date of termination, whichever date is later, Employee will not directly or indirectly, within 75 miles of the principal place of business of the Company, the principal place of business of any corporation or other entity owned, controlled by (or otherwise affiliated with) the Company by which Employee may also be employed or served by Employee, or any other geographic location in which Employee has specifically represented the interests of the Company or such other affiliated entity, during the twelve (12) months prior to the termination of Employee's employment,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w:t>
      </w:r>
    </w:p>
    <w:p>
      <w:pPr>
        <w:spacing w:after="0" w:line="343" w:lineRule="exact"/>
        <w:rPr>
          <w:sz w:val="20"/>
          <w:szCs w:val="20"/>
          <w:color w:val="auto"/>
        </w:rPr>
      </w:pPr>
    </w:p>
    <w:p>
      <w:pPr>
        <w:ind w:left="540" w:right="3199" w:hanging="10"/>
        <w:spacing w:after="0" w:line="252" w:lineRule="auto"/>
        <w:tabs>
          <w:tab w:leader="none" w:pos="887"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Employee covenants and agrees that at all times during Employee's period of employment with the Company, and for a period of one (1) year after the date of termination of Employee's employment, whether such termination is voluntary or involuntary by wrongful discharge, or otherwise, or the date of the cessation of payments made to the Employee pursuant to Section 6 of this Agreement, whichever date is later. Employee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of through any person, firm, association or corporation with which Employee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Page 7 of 11</w:t>
      </w:r>
    </w:p>
    <w:p>
      <w:pPr>
        <w:sectPr>
          <w:pgSz w:w="11900" w:h="16838" w:orient="portrait"/>
          <w:cols w:equalWidth="0" w:num="1">
            <w:col w:w="9899"/>
          </w:cols>
          <w:pgMar w:left="560" w:top="286" w:right="1440" w:bottom="1440" w:gutter="0" w:footer="0" w:header="0"/>
        </w:sectPr>
      </w:pPr>
    </w:p>
    <w:bookmarkStart w:id="274" w:name="page275"/>
    <w:bookmarkEnd w:id="274"/>
    <w:p>
      <w:pPr>
        <w:ind w:left="251"/>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1131" w:hanging="350"/>
        <w:spacing w:after="0"/>
        <w:tabs>
          <w:tab w:leader="none" w:pos="1131" w:val="left"/>
        </w:tabs>
        <w:numPr>
          <w:ilvl w:val="1"/>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Employee covenants and agrees that Employee</w:t>
      </w:r>
    </w:p>
    <w:p>
      <w:pPr>
        <w:spacing w:after="0" w:line="8" w:lineRule="exact"/>
        <w:rPr>
          <w:rFonts w:ascii="Courier New" w:cs="Courier New" w:eastAsia="Courier New" w:hAnsi="Courier New"/>
          <w:sz w:val="14"/>
          <w:szCs w:val="14"/>
          <w:color w:val="auto"/>
        </w:rPr>
      </w:pPr>
    </w:p>
    <w:p>
      <w:pPr>
        <w:ind w:left="791"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64" w:lineRule="exact"/>
        <w:rPr>
          <w:rFonts w:ascii="Courier New" w:cs="Courier New" w:eastAsia="Courier New" w:hAnsi="Courier New"/>
          <w:sz w:val="14"/>
          <w:szCs w:val="14"/>
          <w:color w:val="auto"/>
        </w:rPr>
      </w:pPr>
    </w:p>
    <w:p>
      <w:pPr>
        <w:ind w:left="791" w:right="3199" w:hanging="10"/>
        <w:spacing w:after="0" w:line="252" w:lineRule="auto"/>
        <w:tabs>
          <w:tab w:leader="none" w:pos="1138" w:val="left"/>
        </w:tabs>
        <w:numPr>
          <w:ilvl w:val="1"/>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Employee recognizes and acknowledges that Employee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2" w:lineRule="exact"/>
        <w:rPr>
          <w:rFonts w:ascii="Courier New" w:cs="Courier New" w:eastAsia="Courier New" w:hAnsi="Courier New"/>
          <w:sz w:val="14"/>
          <w:szCs w:val="14"/>
          <w:color w:val="auto"/>
        </w:rPr>
      </w:pPr>
    </w:p>
    <w:p>
      <w:pPr>
        <w:ind w:left="791" w:right="3199" w:hanging="10"/>
        <w:spacing w:after="0" w:line="253" w:lineRule="auto"/>
        <w:tabs>
          <w:tab w:leader="none" w:pos="1225"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 Employee therefore covenants and agrees that Employee will not at any time, either while employed by the Company or afterwards, knowingly make any independent use of, or knowingly disclose to any other person or organization (except as authorized by the Company) any of the Protected Information.</w:t>
      </w:r>
    </w:p>
    <w:p>
      <w:pPr>
        <w:spacing w:after="0" w:line="163" w:lineRule="exact"/>
        <w:rPr>
          <w:rFonts w:ascii="Courier New" w:cs="Courier New" w:eastAsia="Courier New" w:hAnsi="Courier New"/>
          <w:sz w:val="14"/>
          <w:szCs w:val="14"/>
          <w:color w:val="auto"/>
        </w:rPr>
      </w:pPr>
    </w:p>
    <w:p>
      <w:pPr>
        <w:ind w:left="351" w:hanging="351"/>
        <w:spacing w:after="0"/>
        <w:tabs>
          <w:tab w:leader="none" w:pos="351"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OF COVENANTS.</w:t>
      </w:r>
    </w:p>
    <w:p>
      <w:pPr>
        <w:spacing w:after="0" w:line="175" w:lineRule="exact"/>
        <w:rPr>
          <w:rFonts w:ascii="Courier New" w:cs="Courier New" w:eastAsia="Courier New" w:hAnsi="Courier New"/>
          <w:sz w:val="14"/>
          <w:szCs w:val="14"/>
          <w:color w:val="auto"/>
        </w:rPr>
      </w:pPr>
    </w:p>
    <w:p>
      <w:pPr>
        <w:ind w:left="791" w:right="3199" w:hanging="10"/>
        <w:spacing w:after="0" w:line="253" w:lineRule="auto"/>
        <w:tabs>
          <w:tab w:leader="none" w:pos="1138" w:val="left"/>
        </w:tabs>
        <w:numPr>
          <w:ilvl w:val="1"/>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AND FORFEITURE OF COMPENSATION. Employee agrees that any breach by Employee of any of the covenants set forth in Section 7 hereof during Employee's employment by the Company, shall be grounds for immediate dismissal of Employee and forfeiture of any accrued and unpaid salary, bonus, commissions or other compensation of such Employee as liquidated damages, which shall be in addition to and not exclusive of any and all other rights and remedies the Company may have against Employee.</w:t>
      </w:r>
    </w:p>
    <w:p>
      <w:pPr>
        <w:spacing w:after="0" w:line="164" w:lineRule="exact"/>
        <w:rPr>
          <w:rFonts w:ascii="Courier New" w:cs="Courier New" w:eastAsia="Courier New" w:hAnsi="Courier New"/>
          <w:sz w:val="14"/>
          <w:szCs w:val="14"/>
          <w:color w:val="auto"/>
        </w:rPr>
      </w:pPr>
    </w:p>
    <w:p>
      <w:pPr>
        <w:ind w:left="791" w:right="3299" w:hanging="10"/>
        <w:spacing w:after="0" w:line="253" w:lineRule="auto"/>
        <w:tabs>
          <w:tab w:leader="none" w:pos="1138" w:val="left"/>
        </w:tabs>
        <w:numPr>
          <w:ilvl w:val="1"/>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Employee acknowledges that a breach of the covenants set forth in Section 7 hereof will cause irreparable damage to the Company with respect to which the Company's remedy at law for damages will be inadequate. Therefore, in the event of breach of anticipatory breach of the covenants set forth in this section by Employee, Employee and the Company agree that the Company shall be entitled to the following particular forms of relief, in addition to remedies otherwise available to it at law or equity; (i) injunctions, both preliminary and permanent, enjoining or retraining such breach or anticipatory breach and Employee hereby consents to the issuance thereof forthwith and without bond by any court of competent jurisdiction; and (ii) recovery of all reasonable sums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951"/>
        <w:spacing w:after="0"/>
        <w:rPr>
          <w:sz w:val="20"/>
          <w:szCs w:val="20"/>
          <w:color w:val="auto"/>
        </w:rPr>
      </w:pPr>
      <w:r>
        <w:rPr>
          <w:rFonts w:ascii="Courier New" w:cs="Courier New" w:eastAsia="Courier New" w:hAnsi="Courier New"/>
          <w:sz w:val="14"/>
          <w:szCs w:val="14"/>
          <w:color w:val="auto"/>
        </w:rPr>
        <w:t>Page 8 of 11</w:t>
      </w:r>
    </w:p>
    <w:p>
      <w:pPr>
        <w:sectPr>
          <w:pgSz w:w="11900" w:h="16838" w:orient="portrait"/>
          <w:cols w:equalWidth="0" w:num="1">
            <w:col w:w="10150"/>
          </w:cols>
          <w:pgMar w:left="309" w:top="286"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left="800" w:right="3379"/>
        <w:spacing w:after="0" w:line="258" w:lineRule="auto"/>
        <w:rPr>
          <w:sz w:val="20"/>
          <w:szCs w:val="20"/>
          <w:color w:val="auto"/>
        </w:rPr>
      </w:pPr>
      <w:r>
        <w:rPr>
          <w:rFonts w:ascii="Courier New" w:cs="Courier New" w:eastAsia="Courier New" w:hAnsi="Courier New"/>
          <w:sz w:val="14"/>
          <w:szCs w:val="14"/>
          <w:color w:val="auto"/>
        </w:rPr>
        <w:t>expended and costs, including reasonable attorney's fees, incurred by the Company to enforce the covenants set forth in this section.</w:t>
      </w:r>
    </w:p>
    <w:p>
      <w:pPr>
        <w:spacing w:after="0" w:line="160" w:lineRule="exact"/>
        <w:rPr>
          <w:sz w:val="20"/>
          <w:szCs w:val="20"/>
          <w:color w:val="auto"/>
        </w:rPr>
      </w:pPr>
    </w:p>
    <w:p>
      <w:pPr>
        <w:ind w:left="800" w:right="3199" w:hanging="10"/>
        <w:spacing w:after="0" w:line="252" w:lineRule="auto"/>
        <w:tabs>
          <w:tab w:leader="none" w:pos="1147"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7 hereof constitute a series of separate covenants, one for each applicable State in the United States and the District of Columbia, and one for each applicable foreign country. If in any judicial proceeding, a court shall hold that any of the covenants set forth in Section 7 exceed the time, geographic, or occupational limitations permitted by applicable laws, Employee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Employee and the Company further agree that the covenants in Section 7 shall each be construed as a separate agreement independent of any other provisions of this Agreement, and the existence of any claim or cause of action by Employee against the Company whether predicated on this Agreement or otherwise, shall not constitute a defense to the enforcement by the Company of any of the covenants of Section 7.</w:t>
      </w:r>
    </w:p>
    <w:p>
      <w:pPr>
        <w:spacing w:after="0" w:line="173"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60" w:lineRule="exact"/>
        <w:rPr>
          <w:sz w:val="20"/>
          <w:szCs w:val="20"/>
          <w:color w:val="auto"/>
        </w:rPr>
      </w:pPr>
    </w:p>
    <w:p>
      <w:pPr>
        <w:ind w:left="440" w:hanging="431"/>
        <w:spacing w:after="0"/>
        <w:tabs>
          <w:tab w:leader="none" w:pos="44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AGREEMENT TERMS.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Employee agrees that Employee will not disclose the terms of this Agreement to any third party other than Employee's immediate family, attorney, accountants, or other consultants or advisors or except as may be required by any governmental authority.</w:t>
      </w:r>
    </w:p>
    <w:p>
      <w:pPr>
        <w:spacing w:after="0" w:line="163" w:lineRule="exact"/>
        <w:rPr>
          <w:sz w:val="20"/>
          <w:szCs w:val="20"/>
          <w:color w:val="auto"/>
        </w:rPr>
      </w:pPr>
    </w:p>
    <w:p>
      <w:pPr>
        <w:ind w:left="440" w:hanging="431"/>
        <w:spacing w:after="0"/>
        <w:tabs>
          <w:tab w:leader="none" w:pos="44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Employee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9 of 11</w:t>
      </w:r>
    </w:p>
    <w:p>
      <w:pPr>
        <w:sectPr>
          <w:pgSz w:w="11900" w:h="16838" w:orient="portrait"/>
          <w:cols w:equalWidth="0" w:num="1">
            <w:col w:w="10159"/>
          </w:cols>
          <w:pgMar w:left="300" w:top="286"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440" w:hanging="431"/>
        <w:spacing w:after="0"/>
        <w:tabs>
          <w:tab w:leader="none" w:pos="44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Employee.</w:t>
      </w:r>
    </w:p>
    <w:p>
      <w:pPr>
        <w:spacing w:after="0" w:line="163" w:lineRule="exact"/>
        <w:rPr>
          <w:sz w:val="20"/>
          <w:szCs w:val="20"/>
          <w:color w:val="auto"/>
        </w:rPr>
      </w:pPr>
    </w:p>
    <w:p>
      <w:pPr>
        <w:ind w:left="440" w:hanging="431"/>
        <w:spacing w:after="0"/>
        <w:tabs>
          <w:tab w:leader="none" w:pos="44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AMENDMENT.</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This Agreement shall supersede any and all existing oral or written agreements, representations, or warranties between Employee and the Company or any of its subsidiaries or affiliated entities relating to the terms of Employee's employment by the Company. It may not be amended except by a written agreement signed by both parties.</w:t>
      </w:r>
    </w:p>
    <w:p>
      <w:pPr>
        <w:spacing w:after="0" w:line="162" w:lineRule="exact"/>
        <w:rPr>
          <w:sz w:val="20"/>
          <w:szCs w:val="20"/>
          <w:color w:val="auto"/>
        </w:rPr>
      </w:pPr>
    </w:p>
    <w:p>
      <w:pPr>
        <w:ind w:left="440" w:hanging="431"/>
        <w:spacing w:after="0"/>
        <w:tabs>
          <w:tab w:leader="none" w:pos="44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Texas, applicable to agreements made and to be performed in that State, without regard to its conflict of laws provisions.</w:t>
      </w:r>
    </w:p>
    <w:p>
      <w:pPr>
        <w:spacing w:after="0" w:line="162" w:lineRule="exact"/>
        <w:rPr>
          <w:sz w:val="20"/>
          <w:szCs w:val="20"/>
          <w:color w:val="auto"/>
        </w:rPr>
      </w:pPr>
    </w:p>
    <w:p>
      <w:pPr>
        <w:ind w:left="440" w:hanging="431"/>
        <w:spacing w:after="0"/>
        <w:tabs>
          <w:tab w:leader="none" w:pos="44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0159"/>
          </w:cols>
          <w:pgMar w:left="300" w:top="286" w:right="1440" w:bottom="1440" w:gutter="0" w:footer="0" w:header="0"/>
        </w:sectPr>
      </w:pP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 the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1001 Fannin, Suite 4000</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174" w:lineRule="exact"/>
        <w:rPr>
          <w:sz w:val="20"/>
          <w:szCs w:val="20"/>
          <w:color w:val="auto"/>
        </w:rPr>
      </w:pPr>
    </w:p>
    <w:p>
      <w:pPr>
        <w:sectPr>
          <w:pgSz w:w="11900" w:h="16838" w:orient="portrait"/>
          <w:cols w:equalWidth="0" w:num="2">
            <w:col w:w="2780" w:space="360"/>
            <w:col w:w="7019"/>
          </w:cols>
          <w:pgMar w:left="30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Houston, Texas 77002</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Attention: Corporate Secretary</w:t>
      </w:r>
    </w:p>
    <w:p>
      <w:pPr>
        <w:spacing w:after="0" w:line="175" w:lineRule="exact"/>
        <w:rPr>
          <w:sz w:val="20"/>
          <w:szCs w:val="20"/>
          <w:color w:val="auto"/>
        </w:rPr>
      </w:pPr>
    </w:p>
    <w:p>
      <w:pPr>
        <w:jc w:val="right"/>
        <w:ind w:right="3199"/>
        <w:spacing w:after="0"/>
        <w:tabs>
          <w:tab w:leader="none" w:pos="3800" w:val="left"/>
        </w:tabs>
        <w:rPr>
          <w:sz w:val="20"/>
          <w:szCs w:val="20"/>
          <w:color w:val="auto"/>
        </w:rPr>
      </w:pPr>
      <w:r>
        <w:rPr>
          <w:rFonts w:ascii="Courier New" w:cs="Courier New" w:eastAsia="Courier New" w:hAnsi="Courier New"/>
          <w:sz w:val="14"/>
          <w:szCs w:val="14"/>
          <w:color w:val="auto"/>
        </w:rPr>
        <w:t>To Employee:</w:t>
      </w:r>
      <w:r>
        <w:rPr>
          <w:sz w:val="20"/>
          <w:szCs w:val="20"/>
          <w:color w:val="auto"/>
        </w:rPr>
        <w:tab/>
      </w:r>
      <w:r>
        <w:rPr>
          <w:rFonts w:ascii="Courier New" w:cs="Courier New" w:eastAsia="Courier New" w:hAnsi="Courier New"/>
          <w:sz w:val="14"/>
          <w:szCs w:val="14"/>
          <w:color w:val="auto"/>
        </w:rPr>
        <w:t>At the address for Employee set forth below.</w:t>
      </w:r>
    </w:p>
    <w:p>
      <w:pPr>
        <w:spacing w:after="0" w:line="175" w:lineRule="exact"/>
        <w:rPr>
          <w:sz w:val="20"/>
          <w:szCs w:val="20"/>
          <w:color w:val="auto"/>
        </w:rPr>
      </w:pPr>
    </w:p>
    <w:p>
      <w:pPr>
        <w:ind w:left="440" w:hanging="431"/>
        <w:spacing w:after="0"/>
        <w:tabs>
          <w:tab w:leader="none" w:pos="44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left="800" w:right="3199" w:hanging="10"/>
        <w:spacing w:after="0" w:line="254" w:lineRule="auto"/>
        <w:tabs>
          <w:tab w:leader="none" w:pos="1147" w:val="left"/>
        </w:tabs>
        <w:numPr>
          <w:ilvl w:val="1"/>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63" w:lineRule="exact"/>
        <w:rPr>
          <w:rFonts w:ascii="Courier New" w:cs="Courier New" w:eastAsia="Courier New" w:hAnsi="Courier New"/>
          <w:sz w:val="14"/>
          <w:szCs w:val="14"/>
          <w:color w:val="auto"/>
        </w:rPr>
      </w:pPr>
    </w:p>
    <w:p>
      <w:pPr>
        <w:ind w:left="800" w:right="3199" w:hanging="10"/>
        <w:spacing w:after="0" w:line="254" w:lineRule="auto"/>
        <w:tabs>
          <w:tab w:leader="none" w:pos="1147" w:val="left"/>
        </w:tabs>
        <w:numPr>
          <w:ilvl w:val="1"/>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Subject to Section 8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200" w:lineRule="exact"/>
        <w:rPr>
          <w:sz w:val="20"/>
          <w:szCs w:val="20"/>
          <w:color w:val="auto"/>
        </w:rPr>
      </w:pPr>
    </w:p>
    <w:p>
      <w:pPr>
        <w:spacing w:after="0" w:line="29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10 of 11</w:t>
      </w:r>
    </w:p>
    <w:p>
      <w:pPr>
        <w:sectPr>
          <w:pgSz w:w="11900" w:h="16838" w:orient="portrait"/>
          <w:cols w:equalWidth="0" w:num="1">
            <w:col w:w="10159"/>
          </w:cols>
          <w:pgMar w:left="300" w:top="286" w:right="1440" w:bottom="1440" w:gutter="0" w:footer="0" w:header="0"/>
          <w:type w:val="continuous"/>
        </w:sectPr>
      </w:pPr>
    </w:p>
    <w:bookmarkStart w:id="277" w:name="page278"/>
    <w:bookmarkEnd w:id="277"/>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800" w:right="3559" w:hanging="10"/>
        <w:spacing w:after="0" w:line="255" w:lineRule="auto"/>
        <w:tabs>
          <w:tab w:leader="none" w:pos="1147"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are used herein for convenience of reference only and shall not affect the meaning of any provision of this Agreement.</w:t>
      </w:r>
    </w:p>
    <w:p>
      <w:pPr>
        <w:spacing w:after="0" w:line="161" w:lineRule="exact"/>
        <w:rPr>
          <w:rFonts w:ascii="Courier New" w:cs="Courier New" w:eastAsia="Courier New" w:hAnsi="Courier New"/>
          <w:sz w:val="14"/>
          <w:szCs w:val="14"/>
          <w:color w:val="auto"/>
        </w:rPr>
      </w:pPr>
    </w:p>
    <w:p>
      <w:pPr>
        <w:ind w:left="800" w:right="3199" w:hanging="10"/>
        <w:spacing w:after="0" w:line="258" w:lineRule="auto"/>
        <w:tabs>
          <w:tab w:leader="none" w:pos="1147"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9" w:lineRule="exact"/>
        <w:rPr>
          <w:rFonts w:ascii="Courier New" w:cs="Courier New" w:eastAsia="Courier New" w:hAnsi="Courier New"/>
          <w:sz w:val="14"/>
          <w:szCs w:val="14"/>
          <w:color w:val="auto"/>
        </w:rPr>
      </w:pPr>
    </w:p>
    <w:p>
      <w:pPr>
        <w:ind w:left="800" w:right="3719" w:hanging="10"/>
        <w:spacing w:after="0" w:line="254" w:lineRule="auto"/>
        <w:tabs>
          <w:tab w:leader="none" w:pos="1147"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 counterparts, each of which so executed shall be deemed to be an original, and such counterparts will together constitute but one Agreement.</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 WITNESS WHEREOF, the parties hereto have duly executed this Agreement as of the day and year first above written.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Earl E. DeFrates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Earl E. DeFrates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Executive Vice President &amp; CFO</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October 15, 1998</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 Robert G. Simpson</w:t>
      </w:r>
    </w:p>
    <w:p>
      <w:pPr>
        <w:spacing w:after="0" w:line="8" w:lineRule="exact"/>
        <w:rPr>
          <w:sz w:val="20"/>
          <w:szCs w:val="20"/>
          <w:color w:val="auto"/>
        </w:rPr>
      </w:pPr>
    </w:p>
    <w:p>
      <w:pPr>
        <w:ind w:left="180" w:hanging="171"/>
        <w:spacing w:after="0"/>
        <w:tabs>
          <w:tab w:leader="none" w:pos="1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Date:October 15, 1998</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Address:  5627 Palisade Falls Trail</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Kingwood, TX   77345</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11 of 11</w:t>
      </w:r>
    </w:p>
    <w:p>
      <w:pPr>
        <w:sectPr>
          <w:pgSz w:w="11900" w:h="16838" w:orient="portrait"/>
          <w:cols w:equalWidth="0" w:num="1">
            <w:col w:w="10159"/>
          </w:cols>
          <w:pgMar w:left="300" w:top="286" w:right="1440" w:bottom="1440" w:gutter="0" w:footer="0" w:header="0"/>
        </w:sectPr>
      </w:pPr>
    </w:p>
    <w:bookmarkStart w:id="278" w:name="page279"/>
    <w:bookmarkEnd w:id="278"/>
    <w:p>
      <w:pPr>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10.49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2000 BROAD-BASED EMPLOYEE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FEBRUARY 28, 2000</w:t>
      </w:r>
    </w:p>
    <w:p>
      <w:pPr>
        <w:sectPr>
          <w:pgSz w:w="11900" w:h="16838" w:orient="portrait"/>
          <w:cols w:equalWidth="0" w:num="1">
            <w:col w:w="9899"/>
          </w:cols>
          <w:pgMar w:left="560" w:top="141"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4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334"/>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ARTICLE I.</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GENERAL</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1.1.</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Purpose..........................................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1.2.</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Administration...................................</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1.3.</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Eligibility for Participation....................</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1.4.</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Types of Awards Under Plan.......................</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1.5.</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Aggregate Limitation on Awards...................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1.6.</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Effective Date and Term of Plan..................</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ARTICLE II.</w:t>
            </w:r>
          </w:p>
        </w:tc>
        <w:tc>
          <w:tcPr>
            <w:tcW w:w="80" w:type="dxa"/>
            <w:vAlign w:val="bottom"/>
          </w:tcPr>
          <w:p>
            <w:pPr>
              <w:spacing w:after="0"/>
              <w:rPr>
                <w:sz w:val="24"/>
                <w:szCs w:val="24"/>
                <w:color w:val="auto"/>
              </w:rPr>
            </w:pPr>
          </w:p>
        </w:tc>
        <w:tc>
          <w:tcPr>
            <w:tcW w:w="4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STOCK OPTIONS............................................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Award of Stock Options...........................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Stock Option Agreements..........................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Stock Option Price...............................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Term and Exercise................................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Manner of Payment................................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Delivery of Shares...............................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43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Death, Retirement and Termination of</w:t>
            </w:r>
          </w:p>
        </w:tc>
        <w:tc>
          <w:tcPr>
            <w:tcW w:w="340" w:type="dxa"/>
            <w:vAlign w:val="bottom"/>
          </w:tcPr>
          <w:p>
            <w:pPr>
              <w:spacing w:after="0"/>
              <w:rPr>
                <w:sz w:val="14"/>
                <w:szCs w:val="14"/>
                <w:color w:val="auto"/>
              </w:rPr>
            </w:pPr>
          </w:p>
        </w:tc>
      </w:tr>
      <w:tr>
        <w:trPr>
          <w:trHeight w:val="167"/>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Employment of Optionee..........................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2.8.</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Tax Election.....................................</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2.9.</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Effect of Exercise...............................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ARTICLE III.</w:t>
            </w:r>
          </w:p>
        </w:tc>
        <w:tc>
          <w:tcPr>
            <w:tcW w:w="80" w:type="dxa"/>
            <w:vAlign w:val="bottom"/>
          </w:tcPr>
          <w:p>
            <w:pPr>
              <w:spacing w:after="0"/>
              <w:rPr>
                <w:sz w:val="24"/>
                <w:szCs w:val="24"/>
                <w:color w:val="auto"/>
              </w:rPr>
            </w:pPr>
          </w:p>
        </w:tc>
        <w:tc>
          <w:tcPr>
            <w:tcW w:w="4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INCENTIVE STOCK OPTIONS.................................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Award of Incentive Stock Options.................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Incentive Stock Option Agreements................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Incentive Stock Option Price.....................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Term and Exercise................................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Maximum Amount of Incentive Stock Option Grant...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Death of Optionee................................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Retirement or Disability.........................</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Termination for Other Reasons....................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Applicability of Stock Options Sections..........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ARTICLE IV.</w:t>
            </w:r>
          </w:p>
        </w:tc>
        <w:tc>
          <w:tcPr>
            <w:tcW w:w="80" w:type="dxa"/>
            <w:vAlign w:val="bottom"/>
          </w:tcPr>
          <w:p>
            <w:pPr>
              <w:spacing w:after="0"/>
              <w:rPr>
                <w:sz w:val="24"/>
                <w:szCs w:val="24"/>
                <w:color w:val="auto"/>
              </w:rPr>
            </w:pPr>
          </w:p>
        </w:tc>
        <w:tc>
          <w:tcPr>
            <w:tcW w:w="4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RELOAD OPTIONS...........................................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Authorization of Reload Options..................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Reload Option Amendment..........................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Reload Option Price..............................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Term and Exercise................................</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Termination of Employment........................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4.6.</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Applicability of Stock Options Sections..........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ARTICLE V.</w:t>
            </w:r>
          </w:p>
        </w:tc>
        <w:tc>
          <w:tcPr>
            <w:tcW w:w="4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ALTERNATE APPRECIATION RIGHTS.............................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7"/>
        </w:trPr>
        <w:tc>
          <w:tcPr>
            <w:tcW w:w="16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Section 5.1.</w:t>
            </w:r>
          </w:p>
        </w:tc>
        <w:tc>
          <w:tcPr>
            <w:tcW w:w="4340" w:type="dxa"/>
            <w:vAlign w:val="bottom"/>
          </w:tcPr>
          <w:p>
            <w:pPr>
              <w:jc w:val="right"/>
              <w:spacing w:after="0"/>
              <w:rPr>
                <w:sz w:val="20"/>
                <w:szCs w:val="20"/>
                <w:color w:val="auto"/>
              </w:rPr>
            </w:pPr>
            <w:r>
              <w:rPr>
                <w:rFonts w:ascii="Courier New" w:cs="Courier New" w:eastAsia="Courier New" w:hAnsi="Courier New"/>
                <w:sz w:val="14"/>
                <w:szCs w:val="14"/>
                <w:color w:val="auto"/>
              </w:rPr>
              <w:t>Award of Alternate Appreciation Rights...........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59"/>
          </w:cols>
          <w:pgMar w:left="300" w:top="286" w:right="1440"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62"/>
        </w:trPr>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6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7"/>
        </w:trPr>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 5.2.</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Alternate Appreciation Rights Agreement..........</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9</w:t>
            </w:r>
          </w:p>
        </w:tc>
      </w:tr>
      <w:tr>
        <w:trPr>
          <w:trHeight w:val="167"/>
        </w:trPr>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 5.3.</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9</w:t>
            </w:r>
          </w:p>
        </w:tc>
      </w:tr>
      <w:tr>
        <w:trPr>
          <w:trHeight w:val="167"/>
        </w:trPr>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 5.4.</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Amount of Payment................................</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9</w:t>
            </w:r>
          </w:p>
        </w:tc>
      </w:tr>
      <w:tr>
        <w:trPr>
          <w:trHeight w:val="167"/>
        </w:trPr>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 5.5.</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Form of Payment..................................</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9</w:t>
            </w:r>
          </w:p>
        </w:tc>
      </w:tr>
      <w:tr>
        <w:trPr>
          <w:trHeight w:val="167"/>
        </w:trPr>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 5.6.</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Effect of Exercise...............................</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 5.7.</w:t>
            </w:r>
          </w:p>
        </w:tc>
        <w:tc>
          <w:tcPr>
            <w:tcW w:w="4300" w:type="dxa"/>
            <w:vAlign w:val="bottom"/>
          </w:tcPr>
          <w:p>
            <w:pPr>
              <w:ind w:left="60"/>
              <w:spacing w:after="0"/>
              <w:rPr>
                <w:sz w:val="20"/>
                <w:szCs w:val="20"/>
                <w:color w:val="auto"/>
              </w:rPr>
            </w:pPr>
            <w:r>
              <w:rPr>
                <w:rFonts w:ascii="Courier New" w:cs="Courier New" w:eastAsia="Courier New" w:hAnsi="Courier New"/>
                <w:sz w:val="14"/>
                <w:szCs w:val="14"/>
                <w:color w:val="auto"/>
              </w:rPr>
              <w:t>Termination of Employment, Retirement,</w:t>
            </w:r>
          </w:p>
        </w:tc>
        <w:tc>
          <w:tcPr>
            <w:tcW w:w="18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Death or Disability.............................</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10</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ARTICLE VI.</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LIMITED</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RIGHTS...........................................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6.1.</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Award of Limited Rights..........................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6.2.</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Limited Rights Agreement.........................</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6.3.</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Exercise Period..................................</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6.4.</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Amount of Payment................................</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6.5.</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Form of Payment..................................</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11</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6.6.</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Effect of Exercise...............................</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11</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6.7.</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Retirement or Disability.........................</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11</w:t>
            </w:r>
          </w:p>
        </w:tc>
      </w:tr>
      <w:tr>
        <w:trPr>
          <w:trHeight w:val="167"/>
        </w:trPr>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 6.8.</w:t>
            </w:r>
          </w:p>
        </w:tc>
        <w:tc>
          <w:tcPr>
            <w:tcW w:w="4300" w:type="dxa"/>
            <w:vAlign w:val="bottom"/>
          </w:tcPr>
          <w:p>
            <w:pPr>
              <w:ind w:left="60"/>
              <w:spacing w:after="0"/>
              <w:rPr>
                <w:sz w:val="20"/>
                <w:szCs w:val="20"/>
                <w:color w:val="auto"/>
              </w:rPr>
            </w:pPr>
            <w:r>
              <w:rPr>
                <w:rFonts w:ascii="Courier New" w:cs="Courier New" w:eastAsia="Courier New" w:hAnsi="Courier New"/>
                <w:sz w:val="14"/>
                <w:szCs w:val="14"/>
                <w:color w:val="auto"/>
              </w:rPr>
              <w:t>Death of Optionee or Termination for</w:t>
            </w:r>
          </w:p>
        </w:tc>
        <w:tc>
          <w:tcPr>
            <w:tcW w:w="18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Other Reasons...................................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11</w:t>
            </w:r>
          </w:p>
        </w:tc>
      </w:tr>
      <w:tr>
        <w:trPr>
          <w:trHeight w:val="167"/>
        </w:trPr>
        <w:tc>
          <w:tcPr>
            <w:tcW w:w="17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Section 6.9.</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Termination Related to a Change in Control.......</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11</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ARTICLE VII.</w:t>
            </w:r>
          </w:p>
        </w:tc>
        <w:tc>
          <w:tcPr>
            <w:tcW w:w="4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SUBSTITUTION AWARDS.....................................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12</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ARTICLE VIII.</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BONUS</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STOCK AWARDS.....................................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8.1.</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Award of Bonus Stock.............................</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8.2.</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Stock Bonus Agreements...........................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12</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ARTICLE IX.</w:t>
            </w:r>
          </w:p>
        </w:tc>
        <w:tc>
          <w:tcPr>
            <w:tcW w:w="4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MISCELLANEOUS............................................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9.1.</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General Restriction..............................</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9.2.</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Non-Assignability................................</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9.3.</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Withholding Taxes................................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9.4.</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Right to Terminate Employment....................</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9.5.</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Non-Uniform Determination........................</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9.6.</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Rights as a Shareholder..........................</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9.7.</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Definitions......................................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14</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9.8.</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Leaves of Absence................................</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9.9.</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Newly Eligible Employees.........................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9.10.</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9.11.</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Changes in the Company's Capital Structure.......</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16</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9.12.</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Change in Control................................</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17</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9.13.</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Amendment of the Plan............................</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18</w:t>
            </w:r>
          </w:p>
        </w:tc>
      </w:tr>
      <w:tr>
        <w:trPr>
          <w:trHeight w:val="167"/>
        </w:trPr>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Section</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9.14.</w:t>
            </w:r>
          </w:p>
        </w:tc>
        <w:tc>
          <w:tcPr>
            <w:tcW w:w="4300" w:type="dxa"/>
            <w:vAlign w:val="bottom"/>
          </w:tcPr>
          <w:p>
            <w:pPr>
              <w:jc w:val="right"/>
              <w:spacing w:after="0"/>
              <w:rPr>
                <w:sz w:val="20"/>
                <w:szCs w:val="20"/>
                <w:color w:val="auto"/>
              </w:rPr>
            </w:pPr>
            <w:r>
              <w:rPr>
                <w:rFonts w:ascii="Courier New" w:cs="Courier New" w:eastAsia="Courier New" w:hAnsi="Courier New"/>
                <w:sz w:val="14"/>
                <w:szCs w:val="14"/>
                <w:color w:val="auto"/>
              </w:rPr>
              <w:t>Effective Date...................................</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18</w:t>
            </w: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59"/>
          </w:cols>
          <w:pgMar w:left="300" w:top="286"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2000 BROAD-BASED EMPLOYEE PLAN</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I. GENERAL</w:t>
      </w:r>
    </w:p>
    <w:p>
      <w:pPr>
        <w:spacing w:after="0" w:line="175"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1.1. Purpose. The purposes of this Broad-Based Employee Plan (the "Plan") are to: (1) closely associate the interests of the employees and consultants of Waste Management, Inc. and its Subsidiaries and Affiliates (collectively referred to as the "Company") with the shareholders to generate an increased incentive to contribute to the Company's future success and prosperity, thus enhancing the value of the Company for the benefit of its stockholders; (2) provide employees and consultants with a proprietary ownership interest in the Company commensurate with Company performance, as reflected in increased shareholder value; (3) maintain competitive compensation levels thereby attracting and retaining highly competent and talented employees and consultants; and (4) provide an incentive to employees and consultants for continuous employment with or services to the Company.</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1.2. Administration.</w:t>
      </w:r>
    </w:p>
    <w:p>
      <w:pPr>
        <w:spacing w:after="0" w:line="175" w:lineRule="exact"/>
        <w:rPr>
          <w:sz w:val="20"/>
          <w:szCs w:val="20"/>
          <w:color w:val="auto"/>
        </w:rPr>
      </w:pPr>
    </w:p>
    <w:p>
      <w:pPr>
        <w:ind w:right="3299" w:firstLine="530"/>
        <w:spacing w:after="0" w:line="255" w:lineRule="auto"/>
        <w:tabs>
          <w:tab w:leader="none" w:pos="868"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a committee of non-employee directors appointed by the Board of Directors of the Company (the "Committee"), as constituted from time to time.</w:t>
      </w:r>
    </w:p>
    <w:p>
      <w:pPr>
        <w:spacing w:after="0" w:line="161" w:lineRule="exact"/>
        <w:rPr>
          <w:rFonts w:ascii="Courier New" w:cs="Courier New" w:eastAsia="Courier New" w:hAnsi="Courier New"/>
          <w:sz w:val="14"/>
          <w:szCs w:val="14"/>
          <w:color w:val="auto"/>
        </w:rPr>
      </w:pPr>
    </w:p>
    <w:p>
      <w:pPr>
        <w:ind w:right="3559" w:firstLine="530"/>
        <w:spacing w:after="0" w:line="258" w:lineRule="auto"/>
        <w:tabs>
          <w:tab w:leader="none" w:pos="868"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in its sole discretion and from time to time to:</w:t>
      </w:r>
    </w:p>
    <w:p>
      <w:pPr>
        <w:spacing w:after="0" w:line="159" w:lineRule="exact"/>
        <w:rPr>
          <w:rFonts w:ascii="Courier New" w:cs="Courier New" w:eastAsia="Courier New" w:hAnsi="Courier New"/>
          <w:sz w:val="14"/>
          <w:szCs w:val="14"/>
          <w:color w:val="auto"/>
        </w:rPr>
      </w:pPr>
    </w:p>
    <w:p>
      <w:pPr>
        <w:ind w:left="520" w:right="3299" w:firstLine="530"/>
        <w:spacing w:after="0" w:line="258" w:lineRule="auto"/>
        <w:tabs>
          <w:tab w:leader="none" w:pos="1388"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 the employees and consultants or classes of employees of and consultants to the Company eligible to participate in the Plan;</w:t>
      </w:r>
    </w:p>
    <w:p>
      <w:pPr>
        <w:spacing w:after="0" w:line="159" w:lineRule="exact"/>
        <w:rPr>
          <w:rFonts w:ascii="Courier New" w:cs="Courier New" w:eastAsia="Courier New" w:hAnsi="Courier New"/>
          <w:sz w:val="14"/>
          <w:szCs w:val="14"/>
          <w:color w:val="auto"/>
        </w:rPr>
      </w:pPr>
    </w:p>
    <w:p>
      <w:pPr>
        <w:ind w:left="520" w:right="3379" w:firstLine="530"/>
        <w:spacing w:after="0" w:line="258" w:lineRule="auto"/>
        <w:tabs>
          <w:tab w:leader="none" w:pos="1475"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awards ("Awards") provided in the Plan in such form and amount as the Committee shall determine;</w:t>
      </w:r>
    </w:p>
    <w:p>
      <w:pPr>
        <w:spacing w:after="0" w:line="159" w:lineRule="exact"/>
        <w:rPr>
          <w:rFonts w:ascii="Courier New" w:cs="Courier New" w:eastAsia="Courier New" w:hAnsi="Courier New"/>
          <w:sz w:val="14"/>
          <w:szCs w:val="14"/>
          <w:color w:val="auto"/>
        </w:rPr>
      </w:pPr>
    </w:p>
    <w:p>
      <w:pPr>
        <w:ind w:left="520" w:right="3459" w:firstLine="530"/>
        <w:spacing w:after="0" w:line="255" w:lineRule="auto"/>
        <w:tabs>
          <w:tab w:leader="none" w:pos="1561"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 such limitations, restrictions, and conditions, not inconsistent with this Plan, upon any such Award as the Committee shall deem appropriate; and</w:t>
      </w:r>
    </w:p>
    <w:p>
      <w:pPr>
        <w:spacing w:after="0" w:line="161" w:lineRule="exact"/>
        <w:rPr>
          <w:rFonts w:ascii="Courier New" w:cs="Courier New" w:eastAsia="Courier New" w:hAnsi="Courier New"/>
          <w:sz w:val="14"/>
          <w:szCs w:val="14"/>
          <w:color w:val="auto"/>
        </w:rPr>
      </w:pPr>
    </w:p>
    <w:p>
      <w:pPr>
        <w:ind w:left="520" w:right="3379" w:firstLine="530"/>
        <w:spacing w:after="0" w:line="254" w:lineRule="auto"/>
        <w:tabs>
          <w:tab w:leader="none" w:pos="1475" w:val="left"/>
        </w:tabs>
        <w:numPr>
          <w:ilvl w:val="1"/>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 the Plan and any agreement, instrument, or other document executed in connection with the Plan; adopt, amend, and rescind rules and regulations relating to the Plan; and make all other determinations and take all other action necessary or advisable for the implementation and administration of the Plan.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86"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ind w:right="3199" w:firstLine="530"/>
        <w:spacing w:after="0" w:line="253" w:lineRule="auto"/>
        <w:tabs>
          <w:tab w:leader="none" w:pos="868"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and determinations of the Committee on all matters relating to the Plan shall be in its sole discretion and shall be final, conclusive, and binding upon all persons, including the Company, any participant, any stockholder of the Company, and any employee or consultant. A majority of the members of the Committee may determine its actions and fix the time and place of its meetings. No member of the Committee shall be liable for any action taken or decision made in good faith relating to the Plan or any Award thereunder.</w:t>
      </w:r>
    </w:p>
    <w:p>
      <w:pPr>
        <w:spacing w:after="0" w:line="165"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1.3. Eligibility for Participation. Participants in the Plan ("Participants") shall be selected by the Committee from the employees of and consultants to the Company who are responsible for or contribute to the management, growth, success and profitability of the Company and who are not officers of the Company. In making this selection and in determining the form and amount of Awards, the Committee shall consider any factors deemed relevant, including the individual's functions, responsibilities, value of services to the Company, and past and potential contributions to the Company's profitability and growth.</w:t>
      </w:r>
    </w:p>
    <w:p>
      <w:pPr>
        <w:spacing w:after="0" w:line="164" w:lineRule="exact"/>
        <w:rPr>
          <w:sz w:val="20"/>
          <w:szCs w:val="20"/>
          <w:color w:val="auto"/>
        </w:rPr>
      </w:pPr>
    </w:p>
    <w:p>
      <w:pPr>
        <w:ind w:right="3379" w:firstLine="521"/>
        <w:spacing w:after="0" w:line="258" w:lineRule="auto"/>
        <w:rPr>
          <w:sz w:val="20"/>
          <w:szCs w:val="20"/>
          <w:color w:val="auto"/>
        </w:rPr>
      </w:pPr>
      <w:r>
        <w:rPr>
          <w:rFonts w:ascii="Courier New" w:cs="Courier New" w:eastAsia="Courier New" w:hAnsi="Courier New"/>
          <w:sz w:val="14"/>
          <w:szCs w:val="14"/>
          <w:color w:val="auto"/>
        </w:rPr>
        <w:t>Section 1.4. Types of Awards Under Plan. Awards under the Plan may be in the form of any one or more of the following:</w:t>
      </w:r>
    </w:p>
    <w:p>
      <w:pPr>
        <w:spacing w:after="0" w:line="160" w:lineRule="exact"/>
        <w:rPr>
          <w:sz w:val="20"/>
          <w:szCs w:val="20"/>
          <w:color w:val="auto"/>
        </w:rPr>
      </w:pPr>
    </w:p>
    <w:p>
      <w:pPr>
        <w:ind w:left="1580" w:hanging="530"/>
        <w:spacing w:after="0"/>
        <w:tabs>
          <w:tab w:leader="none" w:pos="15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as described in Article II;</w:t>
      </w:r>
    </w:p>
    <w:p>
      <w:pPr>
        <w:spacing w:after="0" w:line="175" w:lineRule="exact"/>
        <w:rPr>
          <w:rFonts w:ascii="Courier New" w:cs="Courier New" w:eastAsia="Courier New" w:hAnsi="Courier New"/>
          <w:sz w:val="14"/>
          <w:szCs w:val="14"/>
          <w:color w:val="auto"/>
        </w:rPr>
      </w:pPr>
    </w:p>
    <w:p>
      <w:pPr>
        <w:ind w:left="1580" w:hanging="530"/>
        <w:spacing w:after="0"/>
        <w:tabs>
          <w:tab w:leader="none" w:pos="15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as described in Article III;</w:t>
      </w:r>
    </w:p>
    <w:p>
      <w:pPr>
        <w:spacing w:after="0" w:line="175" w:lineRule="exact"/>
        <w:rPr>
          <w:rFonts w:ascii="Courier New" w:cs="Courier New" w:eastAsia="Courier New" w:hAnsi="Courier New"/>
          <w:sz w:val="14"/>
          <w:szCs w:val="14"/>
          <w:color w:val="auto"/>
        </w:rPr>
      </w:pPr>
    </w:p>
    <w:p>
      <w:pPr>
        <w:ind w:left="1580" w:hanging="530"/>
        <w:spacing w:after="0"/>
        <w:tabs>
          <w:tab w:leader="none" w:pos="15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Options, as described in Article IV;</w:t>
      </w:r>
    </w:p>
    <w:p>
      <w:pPr>
        <w:spacing w:after="0" w:line="175" w:lineRule="exact"/>
        <w:rPr>
          <w:rFonts w:ascii="Courier New" w:cs="Courier New" w:eastAsia="Courier New" w:hAnsi="Courier New"/>
          <w:sz w:val="14"/>
          <w:szCs w:val="14"/>
          <w:color w:val="auto"/>
        </w:rPr>
      </w:pPr>
    </w:p>
    <w:p>
      <w:pPr>
        <w:ind w:left="1580" w:hanging="530"/>
        <w:spacing w:after="0"/>
        <w:tabs>
          <w:tab w:leader="none" w:pos="15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Alternate Appreciation Rights, as described in Article V;</w:t>
      </w:r>
    </w:p>
    <w:p>
      <w:pPr>
        <w:spacing w:after="0" w:line="175" w:lineRule="exact"/>
        <w:rPr>
          <w:rFonts w:ascii="Courier New" w:cs="Courier New" w:eastAsia="Courier New" w:hAnsi="Courier New"/>
          <w:sz w:val="14"/>
          <w:szCs w:val="14"/>
          <w:color w:val="auto"/>
        </w:rPr>
      </w:pPr>
    </w:p>
    <w:p>
      <w:pPr>
        <w:ind w:left="1580" w:hanging="530"/>
        <w:spacing w:after="0"/>
        <w:tabs>
          <w:tab w:leader="none" w:pos="15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Rights, as described in Article VI;</w:t>
      </w:r>
    </w:p>
    <w:p>
      <w:pPr>
        <w:spacing w:after="0" w:line="175" w:lineRule="exact"/>
        <w:rPr>
          <w:rFonts w:ascii="Courier New" w:cs="Courier New" w:eastAsia="Courier New" w:hAnsi="Courier New"/>
          <w:sz w:val="14"/>
          <w:szCs w:val="14"/>
          <w:color w:val="auto"/>
        </w:rPr>
      </w:pPr>
    </w:p>
    <w:p>
      <w:pPr>
        <w:ind w:left="1580" w:hanging="530"/>
        <w:spacing w:after="0"/>
        <w:tabs>
          <w:tab w:leader="none" w:pos="15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Substitution Awards, as described in Article VII; and/or</w:t>
      </w:r>
    </w:p>
    <w:p>
      <w:pPr>
        <w:spacing w:after="0" w:line="175" w:lineRule="exact"/>
        <w:rPr>
          <w:rFonts w:ascii="Courier New" w:cs="Courier New" w:eastAsia="Courier New" w:hAnsi="Courier New"/>
          <w:sz w:val="14"/>
          <w:szCs w:val="14"/>
          <w:color w:val="auto"/>
        </w:rPr>
      </w:pPr>
    </w:p>
    <w:p>
      <w:pPr>
        <w:ind w:left="1580" w:hanging="530"/>
        <w:spacing w:after="0"/>
        <w:tabs>
          <w:tab w:leader="none" w:pos="15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Bonus Awards, as described in Article VIII.</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Awards under the Plan shall be evidenced by an Award Agreement between the Company and the recipient of the Award, in form and substance satisfactory to the Committee, and not inconsistent with this Plan.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6"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1.5. Aggregate Limitation on Awards.</w:t>
      </w:r>
    </w:p>
    <w:p>
      <w:pPr>
        <w:spacing w:after="0" w:line="175" w:lineRule="exact"/>
        <w:rPr>
          <w:sz w:val="20"/>
          <w:szCs w:val="20"/>
          <w:color w:val="auto"/>
        </w:rPr>
      </w:pPr>
    </w:p>
    <w:p>
      <w:pPr>
        <w:ind w:right="3199" w:firstLine="530"/>
        <w:spacing w:after="0" w:line="254" w:lineRule="auto"/>
        <w:tabs>
          <w:tab w:leader="none" w:pos="868"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which may be issued under the Plan shall be authorized and unissued or treasury shares of Common Stock $.01 par value, of the Company ("Common Stock"). Subject to the further provisions of this Section 1.5 and Section 9.10, the maximum number of shares of Common Stock which may be issued under the Plan shall be 3,000,000.</w:t>
      </w:r>
    </w:p>
    <w:p>
      <w:pPr>
        <w:spacing w:after="0" w:line="162" w:lineRule="exact"/>
        <w:rPr>
          <w:rFonts w:ascii="Courier New" w:cs="Courier New" w:eastAsia="Courier New" w:hAnsi="Courier New"/>
          <w:sz w:val="14"/>
          <w:szCs w:val="14"/>
          <w:color w:val="auto"/>
        </w:rPr>
      </w:pPr>
    </w:p>
    <w:p>
      <w:pPr>
        <w:ind w:right="3559" w:firstLine="530"/>
        <w:spacing w:after="0" w:line="258" w:lineRule="auto"/>
        <w:tabs>
          <w:tab w:leader="none" w:pos="868"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maximum number of shares of Common Stock that may be issued under the Plan:</w:t>
      </w:r>
    </w:p>
    <w:p>
      <w:pPr>
        <w:spacing w:after="0" w:line="159" w:lineRule="exact"/>
        <w:rPr>
          <w:rFonts w:ascii="Courier New" w:cs="Courier New" w:eastAsia="Courier New" w:hAnsi="Courier New"/>
          <w:sz w:val="14"/>
          <w:szCs w:val="14"/>
          <w:color w:val="auto"/>
        </w:rPr>
      </w:pPr>
    </w:p>
    <w:p>
      <w:pPr>
        <w:jc w:val="both"/>
        <w:ind w:left="520" w:right="3299" w:firstLine="530"/>
        <w:spacing w:after="0" w:line="254" w:lineRule="auto"/>
        <w:tabs>
          <w:tab w:leader="none" w:pos="1388" w:val="left"/>
        </w:tabs>
        <w:numPr>
          <w:ilvl w:val="1"/>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shares issued (including the shares, if any, withheld for tax withholding requirements) shall be counted when cash is used as full payment for shares issued upon exercise of a Stock Option, Incentive Stock Option, or Reload Option;</w:t>
      </w:r>
    </w:p>
    <w:p>
      <w:pPr>
        <w:spacing w:after="0" w:line="163" w:lineRule="exact"/>
        <w:rPr>
          <w:rFonts w:ascii="Courier New" w:cs="Courier New" w:eastAsia="Courier New" w:hAnsi="Courier New"/>
          <w:sz w:val="14"/>
          <w:szCs w:val="14"/>
          <w:color w:val="auto"/>
        </w:rPr>
      </w:pPr>
    </w:p>
    <w:p>
      <w:pPr>
        <w:jc w:val="both"/>
        <w:ind w:left="520" w:right="3299" w:firstLine="530"/>
        <w:spacing w:after="0" w:line="255" w:lineRule="auto"/>
        <w:tabs>
          <w:tab w:leader="none" w:pos="1475" w:val="left"/>
        </w:tabs>
        <w:numPr>
          <w:ilvl w:val="1"/>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the shares issued (including the shares, if any, withheld for tax withholding requirements) as a result of an exercise of Alternate Appreciation Rights shall be counted; and</w:t>
      </w:r>
    </w:p>
    <w:p>
      <w:pPr>
        <w:spacing w:after="0" w:line="161" w:lineRule="exact"/>
        <w:rPr>
          <w:rFonts w:ascii="Courier New" w:cs="Courier New" w:eastAsia="Courier New" w:hAnsi="Courier New"/>
          <w:sz w:val="14"/>
          <w:szCs w:val="14"/>
          <w:color w:val="auto"/>
        </w:rPr>
      </w:pPr>
    </w:p>
    <w:p>
      <w:pPr>
        <w:ind w:left="520" w:right="3199" w:firstLine="530"/>
        <w:spacing w:after="0" w:line="254" w:lineRule="auto"/>
        <w:tabs>
          <w:tab w:leader="none" w:pos="1561" w:val="left"/>
        </w:tabs>
        <w:numPr>
          <w:ilvl w:val="1"/>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the net shares issued (including the shares, if any, withheld for tax withholding requirements) shall be counted when shares of Common Stock or another Award under the Plan are used or withheld as full or partial payment for shares issued upon exercise of a Stock Option, Incentive Stock Option, or Reload Option;</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provided, however, in all events the maximum number of shares of Common Stock that may be issued pursuant to Incentive Stock Options is 3,000,000.</w:t>
      </w:r>
    </w:p>
    <w:p>
      <w:pPr>
        <w:spacing w:after="0" w:line="160" w:lineRule="exact"/>
        <w:rPr>
          <w:sz w:val="20"/>
          <w:szCs w:val="20"/>
          <w:color w:val="auto"/>
        </w:rPr>
      </w:pPr>
    </w:p>
    <w:p>
      <w:pPr>
        <w:ind w:right="3199" w:firstLine="530"/>
        <w:spacing w:after="0" w:line="254" w:lineRule="auto"/>
        <w:tabs>
          <w:tab w:leader="none" w:pos="868"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of Common Stock actually issued pursuant to the exercise of Stock Options, Incentive Stock Options, Reload Options, or Alternate Appreciation Rights, there shall be deemed to have been issued a number of shares equal to the number of shares of Common Stock in respect of which Limited Rights (as described in Article VI) shall have been exercised.</w:t>
      </w:r>
    </w:p>
    <w:p>
      <w:pPr>
        <w:spacing w:after="0" w:line="162" w:lineRule="exact"/>
        <w:rPr>
          <w:rFonts w:ascii="Courier New" w:cs="Courier New" w:eastAsia="Courier New" w:hAnsi="Courier New"/>
          <w:sz w:val="14"/>
          <w:szCs w:val="14"/>
          <w:color w:val="auto"/>
        </w:rPr>
      </w:pPr>
    </w:p>
    <w:p>
      <w:pPr>
        <w:ind w:right="3199" w:firstLine="530"/>
        <w:spacing w:after="0" w:line="253" w:lineRule="auto"/>
        <w:tabs>
          <w:tab w:leader="none" w:pos="868"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tendered by a Participant or withheld as payment for shares issued upon exercise of a Stock Option, Incentive Stock Option, or Reload Option shall be available for issuance under the Plan. Any shares of Common Stock subject to a Stock Option, Incentive Stock Option, or Reload Option that for any reason is terminated unexercised or expires shall again be available for issuance under the Plan, but shares subject to a Stock Option, Incentive Stock Option, or Reload Option that are not issued as a result of the exercise of Limited Rights shall not again be available for issuance under the Plan.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6"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ind w:right="3199" w:firstLine="530"/>
        <w:spacing w:after="0" w:line="258" w:lineRule="auto"/>
        <w:tabs>
          <w:tab w:leader="none" w:pos="868"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of Common Stock with respect to which any Participant may receive Awards in any calendar year is 500,000.</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1.6. Effective Date and Term of Plan.</w:t>
      </w:r>
    </w:p>
    <w:p>
      <w:pPr>
        <w:spacing w:after="0" w:line="175" w:lineRule="exact"/>
        <w:rPr>
          <w:sz w:val="20"/>
          <w:szCs w:val="20"/>
          <w:color w:val="auto"/>
        </w:rPr>
      </w:pPr>
    </w:p>
    <w:p>
      <w:pPr>
        <w:ind w:right="3639" w:firstLine="530"/>
        <w:spacing w:after="0" w:line="258" w:lineRule="auto"/>
        <w:tabs>
          <w:tab w:leader="none" w:pos="868"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become effective on the date it is approved by the Board of Directors of the Company.</w:t>
      </w:r>
    </w:p>
    <w:p>
      <w:pPr>
        <w:spacing w:after="0" w:line="159" w:lineRule="exact"/>
        <w:rPr>
          <w:rFonts w:ascii="Courier New" w:cs="Courier New" w:eastAsia="Courier New" w:hAnsi="Courier New"/>
          <w:sz w:val="14"/>
          <w:szCs w:val="14"/>
          <w:color w:val="auto"/>
        </w:rPr>
      </w:pPr>
    </w:p>
    <w:p>
      <w:pPr>
        <w:ind w:right="3199" w:firstLine="530"/>
        <w:spacing w:after="0" w:line="254" w:lineRule="auto"/>
        <w:tabs>
          <w:tab w:leader="none" w:pos="868"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Awards shall be made under the Plan after the tenth anniversary of the effective date of this Plan; provided, however, that the Plan and all Awards made under the Plan prior to such date shall remain in effect until such Awards have been satisfied or terminated in accordance with the Plan and the terms of such Awards.</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ARTICLE II. STOCK OPTIONS</w:t>
      </w:r>
    </w:p>
    <w:p>
      <w:pPr>
        <w:spacing w:after="0" w:line="175"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2.1. Award of Stock Options. The Committee may from time to time, and subject to the provisions of the Plan and such other terms and conditions as the Committee may prescribe, grant to any Participant in the Plan one or more options to purchase the number of shares of Common Stock ("Stock Options") allotted by the Committee. The date a Stock Option is granted shall mean the date selected by the Committee as of which the Committee allots a specific number of shares to a Participant pursuant to the Plan.</w:t>
      </w:r>
    </w:p>
    <w:p>
      <w:pPr>
        <w:spacing w:after="0" w:line="165"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2.2. Stock Option Agreements. The grant of a Stock Option shall be evidenced by a written Award Agreement, executed by the Company and the holder of the Stock Option (the "Optionee"), stating the number of shares of Common Stock subject to the Stock Option evidenced thereby, and in such form as the Committee may from time to time determine.</w:t>
      </w:r>
    </w:p>
    <w:p>
      <w:pPr>
        <w:spacing w:after="0" w:line="162" w:lineRule="exact"/>
        <w:rPr>
          <w:sz w:val="20"/>
          <w:szCs w:val="20"/>
          <w:color w:val="auto"/>
        </w:rPr>
      </w:pPr>
    </w:p>
    <w:p>
      <w:pPr>
        <w:ind w:right="3559" w:firstLine="521"/>
        <w:spacing w:after="0" w:line="254" w:lineRule="auto"/>
        <w:rPr>
          <w:sz w:val="20"/>
          <w:szCs w:val="20"/>
          <w:color w:val="auto"/>
        </w:rPr>
      </w:pPr>
      <w:r>
        <w:rPr>
          <w:rFonts w:ascii="Courier New" w:cs="Courier New" w:eastAsia="Courier New" w:hAnsi="Courier New"/>
          <w:sz w:val="14"/>
          <w:szCs w:val="14"/>
          <w:color w:val="auto"/>
        </w:rPr>
        <w:t>Section 2.3. Stock Option Price. The Option Price per share of Common Stock deliverable upon the exercise of a Stock Option shall be an amount selected by the Committee and shall not be less than 100% of the Fair Market Value of a share of Common Stock on the date the Stock Option is granted.</w:t>
      </w:r>
    </w:p>
    <w:p>
      <w:pPr>
        <w:spacing w:after="0" w:line="163" w:lineRule="exact"/>
        <w:rPr>
          <w:sz w:val="20"/>
          <w:szCs w:val="20"/>
          <w:color w:val="auto"/>
        </w:rPr>
      </w:pPr>
    </w:p>
    <w:p>
      <w:pPr>
        <w:ind w:right="3299" w:firstLine="521"/>
        <w:spacing w:after="0" w:line="253" w:lineRule="auto"/>
        <w:rPr>
          <w:sz w:val="20"/>
          <w:szCs w:val="20"/>
          <w:color w:val="auto"/>
        </w:rPr>
      </w:pPr>
      <w:r>
        <w:rPr>
          <w:rFonts w:ascii="Courier New" w:cs="Courier New" w:eastAsia="Courier New" w:hAnsi="Courier New"/>
          <w:sz w:val="14"/>
          <w:szCs w:val="14"/>
          <w:color w:val="auto"/>
        </w:rPr>
        <w:t>Section 2.4. Term and Exercise. A Stock Option shall not be exercisable prior to six months from the date of its grant unless a shorter period is provided by the Committee or by another Section of this Plan, and may be exercised during the period established by the Committee, but not after ten years from the date of grant thereof (the "Option Term"). No Stock Option shall be exercisable after the expiration of its Option Term.</w:t>
      </w:r>
    </w:p>
    <w:p>
      <w:pPr>
        <w:spacing w:after="0" w:line="165"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2.5. Manner of Payment. Each Award Agreement providing for Stock Options shall set forth the procedure governing the exercise of the Stock Option granted thereunder, and shall provide that, upon such exercise in respect of any shares of</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6"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Common Stock subject thereto, the Optionee shall pay to the Company, in full, the Option Price for such shares with cash, which may be pursuant to a "cashless-broker" exercise pursuant to procedures established by the Committee from time to time, or with previously owned Common Stock, or at the discretion of the Committee, in whole or in part with, the surrender of another Award under the Plan, the withholding of shares of Common Stock issuable upon exercise of such Stock Option, other property, or any combination thereof (each based on the Fair Market Value of such Common Stock, Award or other property on the date the Stock Option is exercised as determined by the Committee).</w:t>
      </w:r>
    </w:p>
    <w:p>
      <w:pPr>
        <w:spacing w:after="0" w:line="164"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2.6. Delivery of Shares. As soon as practicable after receipt of payment, the Committee shall deliver to the Optionee a certificate or certificates for such shares of Common Stock. The Optionee shall become a shareholder of the Company with respect to Common Stock represented by share certificates so issued and as such shall be fully entitled to receive dividends, to vote and to exercise all other rights of a shareholder.</w:t>
      </w:r>
    </w:p>
    <w:p>
      <w:pPr>
        <w:spacing w:after="0" w:line="165" w:lineRule="exact"/>
        <w:rPr>
          <w:sz w:val="20"/>
          <w:szCs w:val="20"/>
          <w:color w:val="auto"/>
        </w:rPr>
      </w:pPr>
    </w:p>
    <w:p>
      <w:pPr>
        <w:ind w:right="3299" w:firstLine="521"/>
        <w:spacing w:after="0" w:line="255" w:lineRule="auto"/>
        <w:rPr>
          <w:sz w:val="20"/>
          <w:szCs w:val="20"/>
          <w:color w:val="auto"/>
        </w:rPr>
      </w:pPr>
      <w:r>
        <w:rPr>
          <w:rFonts w:ascii="Courier New" w:cs="Courier New" w:eastAsia="Courier New" w:hAnsi="Courier New"/>
          <w:sz w:val="14"/>
          <w:szCs w:val="14"/>
          <w:color w:val="auto"/>
        </w:rPr>
        <w:t>Section 2.7. Death, Retirement and Termination of Employment of Optionee. Unless otherwise provided in an Award Agreement or otherwise agreed to by the Committee:</w:t>
      </w:r>
    </w:p>
    <w:p>
      <w:pPr>
        <w:spacing w:after="0" w:line="162" w:lineRule="exact"/>
        <w:rPr>
          <w:sz w:val="20"/>
          <w:szCs w:val="20"/>
          <w:color w:val="auto"/>
        </w:rPr>
      </w:pPr>
    </w:p>
    <w:p>
      <w:pPr>
        <w:ind w:right="3199" w:firstLine="530"/>
        <w:spacing w:after="0" w:line="253" w:lineRule="auto"/>
        <w:tabs>
          <w:tab w:leader="none" w:pos="868"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Optionee, any rights to the extent exercisable by the Optionee on the date of termination of employment or consulting, as the case may be, may be exercised by the Optionee's estate, or by a person who acquires the right to exercise such Stock Option by bequest or inheritance or by reason of the death of the Optionee, provided that such exercise occurs within both the remaining effective term of the Stock Option and one year after the Optionee's death. The provisions of this Section shall apply notwithstanding the fact that the Optionee's employment may have terminated prior to death.</w:t>
      </w:r>
    </w:p>
    <w:p>
      <w:pPr>
        <w:spacing w:after="0" w:line="164" w:lineRule="exact"/>
        <w:rPr>
          <w:rFonts w:ascii="Courier New" w:cs="Courier New" w:eastAsia="Courier New" w:hAnsi="Courier New"/>
          <w:sz w:val="14"/>
          <w:szCs w:val="14"/>
          <w:color w:val="auto"/>
        </w:rPr>
      </w:pPr>
    </w:p>
    <w:p>
      <w:pPr>
        <w:ind w:right="3199" w:firstLine="530"/>
        <w:spacing w:after="0" w:line="254" w:lineRule="auto"/>
        <w:tabs>
          <w:tab w:leader="none" w:pos="868"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Optionee's employment by reason of retirement or permanent disability (as each is determined by the Committee), the Optionee may, within 36 months from the date of termination, exercise any Stock Options to the extent such Stock Options are exercisable on the date of such termination of employment.</w:t>
      </w:r>
    </w:p>
    <w:p>
      <w:pPr>
        <w:spacing w:after="0" w:line="162" w:lineRule="exact"/>
        <w:rPr>
          <w:rFonts w:ascii="Courier New" w:cs="Courier New" w:eastAsia="Courier New" w:hAnsi="Courier New"/>
          <w:sz w:val="14"/>
          <w:szCs w:val="14"/>
          <w:color w:val="auto"/>
        </w:rPr>
      </w:pPr>
    </w:p>
    <w:p>
      <w:pPr>
        <w:ind w:right="3299" w:firstLine="530"/>
        <w:spacing w:after="0" w:line="253" w:lineRule="auto"/>
        <w:tabs>
          <w:tab w:leader="none" w:pos="868"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Subsections (a) and (b) of this Section 2.7, or except as otherwise determined by the Committee, all Stock Options shall terminate three months after the date of the termination of the Optionee's employment or consulting, as the case may be, and shall be exercisable during such period only to the extent exercisable on the date of termination of employment or consulting.</w:t>
      </w:r>
    </w:p>
    <w:p>
      <w:pPr>
        <w:spacing w:after="0" w:line="165"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2.8. Tax Election. Recipients of Stock Options who are directors or executive officers of the Company or who own more than 10% of the Common Stock of the Company ("Section 16(a) Option Holders") at the time of exercise of a Stock Option may elect, in lieu of paying to the Company an amount required to be withheld under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7"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applicable tax laws in connection with the exercise of a Stock Option in whole or in part, to have the Company withhold shares of Common Stock having a fair market value equal to the amount required to be withheld. Such election may not be made prior to six months following the grant of the Stock Option, except in the event of a Section 16(a) Option Holders's death or disability. The election may be made at the time the Stock Option is exercised by notifying the Company of the election, specifying the amount of such withholding and the date on which the number of shares to be withheld is to be determined ("Tax Date"), which shall be either (i) the date the Stock Option is exercised or (ii) a date six months after the Stock Option was granted, if later. The number of shares of Common Stock to be withheld to satisfy the tax obligation shall be the amount of such tax liability divided by the fair market value of the Common Stock on the Tax Date (or if not a business day, on the next closest business day). If the Tax Date is not the exercise date, the Company may issue the full number of shares of Common Stock to which the Section 16(a) Option Holders is entitled, and such option holder shall be obligated to tender to the Company on the Tax Date a number of such shares necessary to satisfy the withholding obligation. Certificates representing such shares of Common Stock shall bear a legend describing such Section 16(a) Option Holders obligation hereunder.</w:t>
      </w:r>
    </w:p>
    <w:p>
      <w:pPr>
        <w:spacing w:after="0" w:line="174" w:lineRule="exact"/>
        <w:rPr>
          <w:sz w:val="20"/>
          <w:szCs w:val="20"/>
          <w:color w:val="auto"/>
        </w:rPr>
      </w:pPr>
    </w:p>
    <w:p>
      <w:pPr>
        <w:ind w:right="3299" w:firstLine="521"/>
        <w:spacing w:after="0" w:line="254" w:lineRule="auto"/>
        <w:rPr>
          <w:sz w:val="20"/>
          <w:szCs w:val="20"/>
          <w:color w:val="auto"/>
        </w:rPr>
      </w:pPr>
      <w:r>
        <w:rPr>
          <w:rFonts w:ascii="Courier New" w:cs="Courier New" w:eastAsia="Courier New" w:hAnsi="Courier New"/>
          <w:sz w:val="14"/>
          <w:szCs w:val="14"/>
          <w:color w:val="auto"/>
        </w:rPr>
        <w:t>Section 2.9. Effect of Exercise. The exercise of any Stock Option shall cancel that number of related Alternate Appreciation Rights and/or Limited Rights, if any, that is equal to the number of shares of Common Stock purchased pursuant to said option unless otherwise agreed by the Committee in an Award Agreement or otherwise.</w:t>
      </w:r>
    </w:p>
    <w:p>
      <w:pPr>
        <w:spacing w:after="0" w:line="16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ARTICLE III. INCENTIVE STOCK OPTIONS</w:t>
      </w:r>
    </w:p>
    <w:p>
      <w:pPr>
        <w:spacing w:after="0" w:line="175" w:lineRule="exact"/>
        <w:rPr>
          <w:sz w:val="20"/>
          <w:szCs w:val="20"/>
          <w:color w:val="auto"/>
        </w:rPr>
      </w:pPr>
    </w:p>
    <w:p>
      <w:pPr>
        <w:ind w:right="3299" w:firstLine="521"/>
        <w:spacing w:after="0" w:line="253" w:lineRule="auto"/>
        <w:rPr>
          <w:sz w:val="20"/>
          <w:szCs w:val="20"/>
          <w:color w:val="auto"/>
        </w:rPr>
      </w:pPr>
      <w:r>
        <w:rPr>
          <w:rFonts w:ascii="Courier New" w:cs="Courier New" w:eastAsia="Courier New" w:hAnsi="Courier New"/>
          <w:sz w:val="14"/>
          <w:szCs w:val="14"/>
          <w:color w:val="auto"/>
        </w:rPr>
        <w:t>Section 3.1. Award of Incentive Stock Options. The Committee may, from time to time and subject to the provisions of the Plan and such other terms and conditions as the Committee may prescribe, grant to any employee of the Company or a Subsidiary one or more "incentive stock options" (intended to qualify as such under the provisions of Section 422 of the Internal Revenue Code of 1986, as amended (the "Code") ("Incentive Stock Options") to purchase the number of shares of Common Stock allotted by the Committee. The date an Incentive Stock Option is granted shall mean the date selected by the Committee as of which the Committee allots a specific number of shares to a participant pursuant to the Plan.</w:t>
      </w:r>
    </w:p>
    <w:p>
      <w:pPr>
        <w:spacing w:after="0" w:line="331" w:lineRule="exact"/>
        <w:rPr>
          <w:sz w:val="20"/>
          <w:szCs w:val="20"/>
          <w:color w:val="auto"/>
        </w:rPr>
      </w:pPr>
    </w:p>
    <w:p>
      <w:pPr>
        <w:ind w:right="3299" w:firstLine="521"/>
        <w:spacing w:after="0" w:line="254" w:lineRule="auto"/>
        <w:rPr>
          <w:sz w:val="20"/>
          <w:szCs w:val="20"/>
          <w:color w:val="auto"/>
        </w:rPr>
      </w:pPr>
      <w:r>
        <w:rPr>
          <w:rFonts w:ascii="Courier New" w:cs="Courier New" w:eastAsia="Courier New" w:hAnsi="Courier New"/>
          <w:sz w:val="14"/>
          <w:szCs w:val="14"/>
          <w:color w:val="auto"/>
        </w:rPr>
        <w:t>Section 3.2. Incentive Stock Option Agreements. The grant of an Incentive Stock Option shall be evidenced by a written Award Agreement, executed by the Company and the holder of an Incentive Stock Option (the "Optionee"), stating the number of shares of Common Stock subject to the Incentive Stock Option evidenced thereby, and in such form as the Committee may from time to time determine.</w:t>
      </w:r>
    </w:p>
    <w:p>
      <w:pPr>
        <w:spacing w:after="0" w:line="329" w:lineRule="exact"/>
        <w:rPr>
          <w:sz w:val="20"/>
          <w:szCs w:val="20"/>
          <w:color w:val="auto"/>
        </w:rPr>
      </w:pPr>
    </w:p>
    <w:p>
      <w:pPr>
        <w:ind w:right="3199" w:firstLine="521"/>
        <w:spacing w:after="0" w:line="255" w:lineRule="auto"/>
        <w:rPr>
          <w:sz w:val="20"/>
          <w:szCs w:val="20"/>
          <w:color w:val="auto"/>
        </w:rPr>
      </w:pPr>
      <w:r>
        <w:rPr>
          <w:rFonts w:ascii="Courier New" w:cs="Courier New" w:eastAsia="Courier New" w:hAnsi="Courier New"/>
          <w:sz w:val="14"/>
          <w:szCs w:val="14"/>
          <w:color w:val="auto"/>
        </w:rPr>
        <w:t>Section 3.3. Incentive Stock Option Price. The Option Price per share of Common Stock deliverable upon the exercise of an Incentive Stock Option shall be at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6"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least 100% of the Fair Market Value of a share of Common Stock on the date the Incentive Stock Option is granted; provided, however, the Option Price per share of Common Stock deliverable upon the exercise of an Incentive Stock Option granted to any owner of 10% or more of the total combined voting power of all classes of stock of the Company and its subsidiaries shall be at least 110% of the fair market value of a share of Common Stock on the date the Incentive Stock Option is granted.</w:t>
      </w:r>
    </w:p>
    <w:p>
      <w:pPr>
        <w:spacing w:after="0" w:line="165" w:lineRule="exact"/>
        <w:rPr>
          <w:sz w:val="20"/>
          <w:szCs w:val="20"/>
          <w:color w:val="auto"/>
        </w:rPr>
      </w:pPr>
    </w:p>
    <w:p>
      <w:pPr>
        <w:ind w:right="3299" w:firstLine="521"/>
        <w:spacing w:after="0" w:line="253" w:lineRule="auto"/>
        <w:rPr>
          <w:sz w:val="20"/>
          <w:szCs w:val="20"/>
          <w:color w:val="auto"/>
        </w:rPr>
      </w:pPr>
      <w:r>
        <w:rPr>
          <w:rFonts w:ascii="Courier New" w:cs="Courier New" w:eastAsia="Courier New" w:hAnsi="Courier New"/>
          <w:sz w:val="14"/>
          <w:szCs w:val="14"/>
          <w:color w:val="auto"/>
        </w:rPr>
        <w:t>Section 3.4. Term and Exercise. Each Incentive Stock Option shall not be exercisable prior to six months from the date of its grant unless a shorter period is provided by the Committee or another Section of this Plan, and may be exercised during the period established by the Committee, but not after ten years from the date of grant thereof (the "Option Term"). No Incentive Stock Option shall be exercisable after the expiration of its Option Term.</w:t>
      </w:r>
    </w:p>
    <w:p>
      <w:pPr>
        <w:spacing w:after="0" w:line="165"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3.5. Maximum Amount of Incentive Stock Option Grant. To the extent that the aggregate Fair Market Value (determined at the time the respective Incentive Stock Option is granted) of Common Stock with respect to which Incentive Stock Options granted are exercisable for the first time by an individual during any calendar year under all incentive stock option plans of the Company and its parent and subsidiary corporations exceeds $100,000, such Incentive Stock Options shall be treated as Options which do not constitute Incentive Stock Options.</w:t>
      </w:r>
    </w:p>
    <w:p>
      <w:pPr>
        <w:spacing w:after="0" w:line="332"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Section 3.6. Death of Optionee. Unless otherwise provided in an Award Agreement:</w:t>
      </w:r>
    </w:p>
    <w:p>
      <w:pPr>
        <w:spacing w:after="0" w:line="160" w:lineRule="exact"/>
        <w:rPr>
          <w:sz w:val="20"/>
          <w:szCs w:val="20"/>
          <w:color w:val="auto"/>
        </w:rPr>
      </w:pPr>
    </w:p>
    <w:p>
      <w:pPr>
        <w:ind w:right="3199" w:firstLine="530"/>
        <w:spacing w:after="0" w:line="253" w:lineRule="auto"/>
        <w:tabs>
          <w:tab w:leader="none" w:pos="868"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Optionee, any Incentive Stock Option exercisable by the Optionee on the date of termination of employment may be exercised by the Optionee's estate or by a person who acquires the right to exercise such Incentive Stock Option by bequest or inheritance or by reason of the death of the Optionee, provided that such exercise occurs within both the remaining option term of the Incentive Stock Option and one year after the Optionee's death.</w:t>
      </w:r>
    </w:p>
    <w:p>
      <w:pPr>
        <w:spacing w:after="0" w:line="331" w:lineRule="exact"/>
        <w:rPr>
          <w:rFonts w:ascii="Courier New" w:cs="Courier New" w:eastAsia="Courier New" w:hAnsi="Courier New"/>
          <w:sz w:val="14"/>
          <w:szCs w:val="14"/>
          <w:color w:val="auto"/>
        </w:rPr>
      </w:pPr>
    </w:p>
    <w:p>
      <w:pPr>
        <w:ind w:right="3459" w:firstLine="530"/>
        <w:spacing w:after="0" w:line="258" w:lineRule="auto"/>
        <w:tabs>
          <w:tab w:leader="none" w:pos="868"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shall apply notwithstanding the fact that the Optionee's employment may have terminated prior to death.</w:t>
      </w:r>
    </w:p>
    <w:p>
      <w:pPr>
        <w:spacing w:after="0" w:line="160"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3.7. Retirement or Disability. Unless otherwise provided in an Award Agreement, upon the termination of the Optionee's employment by reason of permanent disability or retirement (as each is determined by the Committee), the Optionee may, within 36 months from the date of such termination of employment, exercise any Incentive Stock Options to the extent such Incentive Stock Options were exercisable at the date of such termination of employment. Notwithstanding the foregoing, the tax treatment available pursuant to Section 422 of the Code upon the exercise of an Incentive Stock Option will not be available to an Optionee who exercises any Incentive Stock Options more than (i) 12 months after the date of termination of employment due to</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6"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permanent disability or (ii) three months after the date of termination of employment due to retirement.</w:t>
      </w:r>
    </w:p>
    <w:p>
      <w:pPr>
        <w:spacing w:after="0" w:line="160"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3.8. Termination for Other Reasons. Except as provided in Sections 3.6 and 3.7 or except as otherwise determined by the Committee, all Incentive Stock Options shall terminate three months after the date of the termination of the Optionee's employment and shall be exercisable during such period only to the extent exercisable on the date of termination of employment.</w:t>
      </w:r>
    </w:p>
    <w:p>
      <w:pPr>
        <w:spacing w:after="0" w:line="162"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3.9. Applicability of Stock Options Sections. Sections 2.5, Manner of Payment; 2.6, Delivery of Shares; 2.8, Tax Elections and 2.9, Effect of Exercise, applicable to Stock Options, shall apply equally to Incentive Stock Options. Such Sections are incorporated by reference in this Article III as though fully set forth herein.</w:t>
      </w:r>
    </w:p>
    <w:p>
      <w:pPr>
        <w:spacing w:after="0" w:line="16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ARTICLE IV. RELOAD OPTIONS</w:t>
      </w:r>
    </w:p>
    <w:p>
      <w:pPr>
        <w:spacing w:after="0" w:line="175" w:lineRule="exact"/>
        <w:rPr>
          <w:sz w:val="20"/>
          <w:szCs w:val="20"/>
          <w:color w:val="auto"/>
        </w:rPr>
      </w:pPr>
    </w:p>
    <w:p>
      <w:pPr>
        <w:ind w:right="3199" w:firstLine="521"/>
        <w:spacing w:after="0" w:line="252" w:lineRule="auto"/>
        <w:rPr>
          <w:sz w:val="20"/>
          <w:szCs w:val="20"/>
          <w:color w:val="auto"/>
        </w:rPr>
      </w:pPr>
      <w:r>
        <w:rPr>
          <w:rFonts w:ascii="Courier New" w:cs="Courier New" w:eastAsia="Courier New" w:hAnsi="Courier New"/>
          <w:sz w:val="14"/>
          <w:szCs w:val="14"/>
          <w:color w:val="auto"/>
        </w:rPr>
        <w:t>Section 4.1. Authorization of Reload Options. Concurrently with or subsequent to the award of Stock Options to any Participant in the Plan, the Committee may authorize reload options ("Reload Options") to purchase shares of Common Stock. The number of Reload Options shall equal (i) the number of shares of Common Stock used to pay the exercise price of the underlying Stock Options or Incentive Stock Options and (ii) to the extent authorized by the Committee, the number of shares of Common Stock withheld by the Company in payment of the exercise price underlying the Stock Option or Incentive Stock Option or used to satisfy any tax withholding requirement incident to the exercise of the underlying Stock Options or Incentive Stock Options. The grant of a Reload Option will become effective upon the exercise of underlying Stock Options, Incentive Stock Options, or Reload Options through the use of shares of Common Stock held by the Optionee or the withholding of shares by the Company in payment of the exercise price of the underlying Stock Option or Incentive Stock Option held by the Optionee. Notwithstanding the fact that the underlying option may be an Incentive Stock Option, a Reload Option is not intended to qualify as an "incentive stock option" under Section 422 of the Code.</w:t>
      </w:r>
    </w:p>
    <w:p>
      <w:pPr>
        <w:spacing w:after="0" w:line="173"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4.2. Reload Option Amendment. Each Award Agreement shall state whether the Committee has authorized Reload Options with respect to the Stock Options and/or Incentive Stock Options covered by such Award Agreement. Upon the exercise of an underlying Stock Option, Incentive Stock Option, or other Reload Option, the Reload Option will be evidenced by an amendment to the underlying Award Agreement in such form as the Committee shall approve.</w:t>
      </w:r>
    </w:p>
    <w:p>
      <w:pPr>
        <w:spacing w:after="0" w:line="165" w:lineRule="exact"/>
        <w:rPr>
          <w:sz w:val="20"/>
          <w:szCs w:val="20"/>
          <w:color w:val="auto"/>
        </w:rPr>
      </w:pPr>
    </w:p>
    <w:p>
      <w:pPr>
        <w:ind w:right="3299" w:firstLine="521"/>
        <w:spacing w:after="0" w:line="254" w:lineRule="auto"/>
        <w:rPr>
          <w:sz w:val="20"/>
          <w:szCs w:val="20"/>
          <w:color w:val="auto"/>
        </w:rPr>
      </w:pPr>
      <w:r>
        <w:rPr>
          <w:rFonts w:ascii="Courier New" w:cs="Courier New" w:eastAsia="Courier New" w:hAnsi="Courier New"/>
          <w:sz w:val="14"/>
          <w:szCs w:val="14"/>
          <w:color w:val="auto"/>
        </w:rPr>
        <w:t>Section 4.3. Reload Option Price. The Option Price per share of Common Stock deliverable upon the exercise of a Reload Option shall be the Fair Market Value of a share of Common Stock on the date the grant of the Reload Option becomes effective.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6"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Section 4.4. Term and Exercise. Each Reload Option is fully exercisable six months from the effective date of grant. The term of each Reload Option shall be equal to the remaining option term of the underlying Stock Option and/or Incentive Stock Option.</w:t>
      </w:r>
    </w:p>
    <w:p>
      <w:pPr>
        <w:spacing w:after="0" w:line="163"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4.5. Termination of Employment. Unless otherwise determined by the Committee in an Award Agreement or otherwise, no additional Reload Options shall be granted to Optionees when Stock Options, Incentive Stock Options, and/or Reload Options are exercised pursuant to the terms of this Plan following termination of the Optionee's employment.</w:t>
      </w:r>
    </w:p>
    <w:p>
      <w:pPr>
        <w:spacing w:after="0" w:line="162"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4.6. Applicability of Stock Options Sections. Sections 2.5, Manner of Payment; 2.6 Delivery of Shares; 2.7, Death, Retirement and Termination of Employment of Optionee; 2.8, Tax Elections; and 2.9, Effect of Exercise, applicable to Stock Options, shall apply equally to Reload Options. Such Sections are incorporated by reference in this Article IV as though fully set forth herein.</w:t>
      </w:r>
    </w:p>
    <w:p>
      <w:pPr>
        <w:spacing w:after="0" w:line="329"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ARTICLE V. ALTERNATE APPRECIATION RIGHTS</w:t>
      </w:r>
    </w:p>
    <w:p>
      <w:pPr>
        <w:spacing w:after="0" w:line="175"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5.1. Award of Alternate Appreciation Rights. Concurrently with or subsequent to the award of any Stock Option, Incentive Stock Option, or Reload Option to purchase one or more shares of Common Stock, the Committee may, subject to the provisions of the Plan and such other terms and conditions as the Committee may prescribe, award to the Optionee with respect to each share of Common Stock covered by an Option, a related alternate appreciation right permitting the Optionee to be paid the appreciation on the Option in lieu of exercising the Option ("Alternate Appreciation Right").</w:t>
      </w:r>
    </w:p>
    <w:p>
      <w:pPr>
        <w:spacing w:after="0" w:line="164" w:lineRule="exact"/>
        <w:rPr>
          <w:sz w:val="20"/>
          <w:szCs w:val="20"/>
          <w:color w:val="auto"/>
        </w:rPr>
      </w:pPr>
    </w:p>
    <w:p>
      <w:pPr>
        <w:ind w:right="3299" w:firstLine="521"/>
        <w:spacing w:after="0" w:line="255" w:lineRule="auto"/>
        <w:rPr>
          <w:sz w:val="20"/>
          <w:szCs w:val="20"/>
          <w:color w:val="auto"/>
        </w:rPr>
      </w:pPr>
      <w:r>
        <w:rPr>
          <w:rFonts w:ascii="Courier New" w:cs="Courier New" w:eastAsia="Courier New" w:hAnsi="Courier New"/>
          <w:sz w:val="14"/>
          <w:szCs w:val="14"/>
          <w:color w:val="auto"/>
        </w:rPr>
        <w:t>Section 5.2. Alternate Appreciation Rights Agreement. Alternate Appreciation Rights shall be evidenced by written Award Agreements in such form as the Committee may from time to time determine.</w:t>
      </w:r>
    </w:p>
    <w:p>
      <w:pPr>
        <w:spacing w:after="0" w:line="162" w:lineRule="exact"/>
        <w:rPr>
          <w:sz w:val="20"/>
          <w:szCs w:val="20"/>
          <w:color w:val="auto"/>
        </w:rPr>
      </w:pPr>
    </w:p>
    <w:p>
      <w:pPr>
        <w:ind w:right="3299" w:firstLine="521"/>
        <w:spacing w:after="0" w:line="253" w:lineRule="auto"/>
        <w:rPr>
          <w:sz w:val="20"/>
          <w:szCs w:val="20"/>
          <w:color w:val="auto"/>
        </w:rPr>
      </w:pPr>
      <w:r>
        <w:rPr>
          <w:rFonts w:ascii="Courier New" w:cs="Courier New" w:eastAsia="Courier New" w:hAnsi="Courier New"/>
          <w:sz w:val="14"/>
          <w:szCs w:val="14"/>
          <w:color w:val="auto"/>
        </w:rPr>
        <w:t>Section 5.3. Exercise. An Optionee who has been granted Alternate Appreciation Rights may, from time to time, in lieu of the exercise of an equal number of Options, elect to exercise one or more Alternate Appreciation Rights and thereby become entitled to receive from the Company payment in Common Stock of the number of shares determined pursuant to Section 5.4 and 5.5. Alternate Appreciation Rights shall be exercisable only to the same extent and subject to the same conditions as the Options related thereto are exercisable, as provided in this Plan. The Committee may, in its discretion, prescribe additional conditions to the exercise of any Alternate Appreciation Rights.</w:t>
      </w:r>
    </w:p>
    <w:p>
      <w:pPr>
        <w:spacing w:after="0" w:line="164" w:lineRule="exact"/>
        <w:rPr>
          <w:sz w:val="20"/>
          <w:szCs w:val="20"/>
          <w:color w:val="auto"/>
        </w:rPr>
      </w:pPr>
    </w:p>
    <w:p>
      <w:pPr>
        <w:ind w:right="3199" w:firstLine="521"/>
        <w:spacing w:after="0" w:line="255" w:lineRule="auto"/>
        <w:rPr>
          <w:sz w:val="20"/>
          <w:szCs w:val="20"/>
          <w:color w:val="auto"/>
        </w:rPr>
      </w:pPr>
      <w:r>
        <w:rPr>
          <w:rFonts w:ascii="Courier New" w:cs="Courier New" w:eastAsia="Courier New" w:hAnsi="Courier New"/>
          <w:sz w:val="14"/>
          <w:szCs w:val="14"/>
          <w:color w:val="auto"/>
        </w:rPr>
        <w:t>Section 5.4. Amount of Payment. The amount of payment to which an Optionee shall be entitled upon the exercise of each Alternate Appreciation Right shall be equal to</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6"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100% of the amount, if any, by which the Fair Market Value of a share of Common Stock on the exercise date exceeds the Option Price per share on the Option related to such Alternate Appreciation Right. A Section 16(a) Option Holder may elect to withhold shares of Common Stock issued under this Section to pay taxes as described in Section 2.8.</w:t>
      </w:r>
    </w:p>
    <w:p>
      <w:pPr>
        <w:spacing w:after="0" w:line="162"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5.5. Form of Payment. The number of shares to be paid shall be determined by dividing the amount of payment determined pursuant to Section 5.4 by the Fair Market Value of a share of Common Stock on the exercise date of such Alternate Appreciation Rights. As soon as practicable after exercise, the Company shall deliver to the Optionee a certificate or certificates for such shares of Common Stock.</w:t>
      </w:r>
    </w:p>
    <w:p>
      <w:pPr>
        <w:spacing w:after="0" w:line="165" w:lineRule="exact"/>
        <w:rPr>
          <w:sz w:val="20"/>
          <w:szCs w:val="20"/>
          <w:color w:val="auto"/>
        </w:rPr>
      </w:pPr>
    </w:p>
    <w:p>
      <w:pPr>
        <w:ind w:right="3559" w:firstLine="521"/>
        <w:spacing w:after="0" w:line="254" w:lineRule="auto"/>
        <w:rPr>
          <w:sz w:val="20"/>
          <w:szCs w:val="20"/>
          <w:color w:val="auto"/>
        </w:rPr>
      </w:pPr>
      <w:r>
        <w:rPr>
          <w:rFonts w:ascii="Courier New" w:cs="Courier New" w:eastAsia="Courier New" w:hAnsi="Courier New"/>
          <w:sz w:val="14"/>
          <w:szCs w:val="14"/>
          <w:color w:val="auto"/>
        </w:rPr>
        <w:t>Section 5.6. Effect of Exercise. Unless otherwise provided in an Award Agreement or agreed to by the Committee, the exercise of any Alternate Appreciation Rights shall cancel an equal number of Stock Options, Incentive Stock Options, Reload Options, and Limited Rights, if any, related to said Alternate Appreciation Rights.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5.7. Termination of Employment, Retirement, Death or Disability.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Unless otherwise provided in an Award Agreement or agreed to by the Committee:</w:t>
      </w:r>
    </w:p>
    <w:p>
      <w:pPr>
        <w:spacing w:after="0" w:line="175" w:lineRule="exact"/>
        <w:rPr>
          <w:sz w:val="20"/>
          <w:szCs w:val="20"/>
          <w:color w:val="auto"/>
        </w:rPr>
      </w:pPr>
    </w:p>
    <w:p>
      <w:pPr>
        <w:ind w:left="520" w:right="3199" w:firstLine="530"/>
        <w:spacing w:after="0" w:line="253" w:lineRule="auto"/>
        <w:tabs>
          <w:tab w:leader="none" w:pos="1388"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Alternate Appreciation Rights to the extent such Alternate Appreciation Rights are exercisable during such six-month period.</w:t>
      </w:r>
    </w:p>
    <w:p>
      <w:pPr>
        <w:spacing w:after="0" w:line="331" w:lineRule="exact"/>
        <w:rPr>
          <w:rFonts w:ascii="Courier New" w:cs="Courier New" w:eastAsia="Courier New" w:hAnsi="Courier New"/>
          <w:sz w:val="14"/>
          <w:szCs w:val="14"/>
          <w:color w:val="auto"/>
        </w:rPr>
      </w:pPr>
    </w:p>
    <w:p>
      <w:pPr>
        <w:ind w:left="520" w:right="3199" w:firstLine="530"/>
        <w:spacing w:after="0" w:line="255" w:lineRule="auto"/>
        <w:tabs>
          <w:tab w:leader="none" w:pos="1388"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5.7(a), all Alternate Appreciation Rights shall terminate three months after the date of the termination of the Optionee's employment, consulting or upon the death of the Optionee.</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ARTICLE VI. LIMITED RIGHTS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Section 6.1. Award of Limited Rights. Concurrently with or subsequent to the award of any Stock Option, Incentive Stock Option, Reload Option, or Alternate Appreciation Right, the Committee may, subject to the provisions of the Plan and such other terms and conditions as the Committee may prescribe, award to the Optionee with respect to each share of Common Stock covered by an Option, a related limited right permitting the Optionee, during a specified limited time period, to be paid the appreciation on the Option in lieu of exercising the Option ("Limited Right").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6"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4"/>
          <w:szCs w:val="14"/>
          <w:color w:val="auto"/>
        </w:rPr>
        <w:t>14</w:t>
      </w:r>
    </w:p>
    <w:p>
      <w:pPr>
        <w:spacing w:after="0" w:line="8"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Section 6.2. Limited Rights Agreement. Limited Rights granted under the Plan shall be evidenced by written Award Agreements in such form as the Committee may from time to time determine.</w:t>
      </w:r>
    </w:p>
    <w:p>
      <w:pPr>
        <w:spacing w:after="0" w:line="162"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6.3. Exercise Period. Limited Rights are exercisable in full for a period of seven months following the date of a Change in Control of the Company (the "Exercise Period"); provided, however, that Limited Rights may not be exercised under any circumstances until the expiration of the six-month period following the date of grant.</w:t>
      </w:r>
    </w:p>
    <w:p>
      <w:pPr>
        <w:spacing w:after="0" w:line="162"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6.4. Amount of Payment. The amount of payment to which an Optionee shall be entitled upon the exercise of each Limited Right shall be equal to 100% of the amount, if any, which is equal to the difference between the Option Price per share of Common Stock covered by the related Option and the Market Price of a share of such Common Stock. "Market Price" is defined to be the greater of (i) the highest price per share of the Company's Common Stock paid in connection with any Change in Control and (ii) the highest price per share of the Company's Common Stock reflected in the consolidated trading tables of The Wall Street Journal (presently the New York Stock Exchange - Composite Transactions) during the 60-day period prior to the Change in Control.</w:t>
      </w:r>
    </w:p>
    <w:p>
      <w:pPr>
        <w:spacing w:after="0" w:line="164"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Section 6.5. Form of Payment. Payment of the amount to which an Optionee is entitled upon the exercise of Limited Rights, as determined pursuant to Section 6.4, shall be made solely in cash.</w:t>
      </w:r>
    </w:p>
    <w:p>
      <w:pPr>
        <w:spacing w:after="0" w:line="162" w:lineRule="exact"/>
        <w:rPr>
          <w:sz w:val="20"/>
          <w:szCs w:val="20"/>
          <w:color w:val="auto"/>
        </w:rPr>
      </w:pPr>
    </w:p>
    <w:p>
      <w:pPr>
        <w:ind w:right="3299" w:firstLine="521"/>
        <w:spacing w:after="0" w:line="253" w:lineRule="auto"/>
        <w:rPr>
          <w:sz w:val="20"/>
          <w:szCs w:val="20"/>
          <w:color w:val="auto"/>
        </w:rPr>
      </w:pPr>
      <w:r>
        <w:rPr>
          <w:rFonts w:ascii="Courier New" w:cs="Courier New" w:eastAsia="Courier New" w:hAnsi="Courier New"/>
          <w:sz w:val="14"/>
          <w:szCs w:val="14"/>
          <w:color w:val="auto"/>
        </w:rPr>
        <w:t>Section 6.6. Effect of Exercise. If Limited Rights are exercised, the Stock Options, Incentive Stock Options, Reload Options, and Alternate Appreciation Rights, if any, related to such Limited Rights shall cease to be exercisable to the extent of the number of shares with respect to which the Limited Rights were exercised. Upon the exercise or termination of the Stock Options, Incentive Stock Options, Reload Options, and Alternate Appreciation Rights, if any, related to such Limited Rights, the Limited Rights granted with respect thereto terminate to the extent of the number of shares as to which the related options and Alternate Appreciation Rights were exercised or terminated.</w:t>
      </w:r>
    </w:p>
    <w:p>
      <w:pPr>
        <w:spacing w:after="0" w:line="164"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6.7. Retirement or Disability. 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Limited Right to the extent such Limited Right is exercisable during such six-month period.</w:t>
      </w:r>
    </w:p>
    <w:p>
      <w:pPr>
        <w:spacing w:after="0" w:line="165" w:lineRule="exact"/>
        <w:rPr>
          <w:sz w:val="20"/>
          <w:szCs w:val="20"/>
          <w:color w:val="auto"/>
        </w:rPr>
      </w:pPr>
    </w:p>
    <w:p>
      <w:pPr>
        <w:ind w:right="3199" w:firstLine="521"/>
        <w:spacing w:after="0" w:line="255" w:lineRule="auto"/>
        <w:rPr>
          <w:sz w:val="20"/>
          <w:szCs w:val="20"/>
          <w:color w:val="auto"/>
        </w:rPr>
      </w:pPr>
      <w:r>
        <w:rPr>
          <w:rFonts w:ascii="Courier New" w:cs="Courier New" w:eastAsia="Courier New" w:hAnsi="Courier New"/>
          <w:sz w:val="14"/>
          <w:szCs w:val="14"/>
          <w:color w:val="auto"/>
        </w:rPr>
        <w:t>Section 6.8. Death of Optionee or Termination for Other Reasons. Except as provided in Sections 6.7 and 6.9, or except as otherwise determined by the Committee, all</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6"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Limited Rights granted under the Plan shall terminate upon the termination of the Optionee's employment, consulting or upon the death of the Optionee.</w:t>
      </w:r>
    </w:p>
    <w:p>
      <w:pPr>
        <w:spacing w:after="0" w:line="160"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Section 6.9. Termination Related to a Change in Control. The requirement that an Optionee be terminated by reason of retirement or permanent disability or be employed by the Company at the time of exercise pursuant to Sections 6.7 and 6.8, respectively, is waived during the Exercise Period as to an Optionee who (i) was employed by the Company at the time of the Change in Control and</w:t>
      </w:r>
    </w:p>
    <w:p>
      <w:pPr>
        <w:spacing w:after="0" w:line="2" w:lineRule="exact"/>
        <w:rPr>
          <w:sz w:val="20"/>
          <w:szCs w:val="20"/>
          <w:color w:val="auto"/>
        </w:rPr>
      </w:pPr>
    </w:p>
    <w:p>
      <w:pPr>
        <w:ind w:right="3199" w:firstLine="9"/>
        <w:spacing w:after="0" w:line="253" w:lineRule="auto"/>
        <w:tabs>
          <w:tab w:leader="none" w:pos="434"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subsequently terminated by the Company other than for just cause or who voluntarily terminates if such termination was the result of a good faith determination by the Optionee that as a result of the Change in Control he is unable to effectively discharge his present duties or the duties of the position which he occupied just prior to the Change in Control. As used herein "just cause" shall mean willful misconduct or dishonesty or conviction of or failure to contest prosecution for a felony, or excessive absenteeism unrelated to illness.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6"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ARTICLE VII. SUBSTITUTION AWARDS</w:t>
      </w:r>
    </w:p>
    <w:p>
      <w:pPr>
        <w:spacing w:after="0" w:line="175"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7.1. Awards may be granted under the Plan from time to time in substitution for stock options held by individuals employed by corporations who become employees of the Company as a result of a merger or consolidation of the employing corporation with the Company, or the acquisition by the Company of the assets of the employing corporation, or the acquisition by the Company of stock of the employing corporation with the result that such employing corporation becomes a Subsidiary or an Affiliate.</w:t>
      </w:r>
    </w:p>
    <w:p>
      <w:pPr>
        <w:spacing w:after="0" w:line="16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ARTICLE VIII. BONUS STOCK AWARDS</w:t>
      </w:r>
    </w:p>
    <w:p>
      <w:pPr>
        <w:spacing w:after="0" w:line="175"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8.1. Award of Bonus Stock. The Committee may from time to time, and subject to the provisions of this Plan and such other terms and conditions as the Committee may prescribe, grant to any Participant in the Plan shares of Common Stock ("Stock Bonus"). A Stock Bonus shall vest (i) in the case of performance-based vesting criteria, no sooner than one year following the date of the Stock Bonus grant, and (ii) in the case of time-based vesting criteria, no sooner than one-third of the grant on each subsequent anniversary of the date of grant. Notwithstanding the foregoing, the Committee may grant a fully vested Stock Bonus in lieu of an earned cash bonus.</w:t>
      </w:r>
    </w:p>
    <w:p>
      <w:pPr>
        <w:spacing w:after="0" w:line="164" w:lineRule="exact"/>
        <w:rPr>
          <w:sz w:val="20"/>
          <w:szCs w:val="20"/>
          <w:color w:val="auto"/>
        </w:rPr>
      </w:pPr>
    </w:p>
    <w:p>
      <w:pPr>
        <w:ind w:right="3299" w:firstLine="521"/>
        <w:spacing w:after="0" w:line="254" w:lineRule="auto"/>
        <w:rPr>
          <w:sz w:val="20"/>
          <w:szCs w:val="20"/>
          <w:color w:val="auto"/>
        </w:rPr>
      </w:pPr>
      <w:r>
        <w:rPr>
          <w:rFonts w:ascii="Courier New" w:cs="Courier New" w:eastAsia="Courier New" w:hAnsi="Courier New"/>
          <w:sz w:val="14"/>
          <w:szCs w:val="14"/>
          <w:color w:val="auto"/>
        </w:rPr>
        <w:t>Section 8.2. Stock Bonus Agreements. The grant of a Stock Bonus shall be evidenced by a written Award Agreement, executed by the Company and the recipient of a Stock Bonus, in such form as the Committee may from time to time determine, providing for the terms of such grant, including any vesting schedule, restrictions on the transfer of such Common Stock or other matters.</w:t>
      </w:r>
    </w:p>
    <w:p>
      <w:pPr>
        <w:spacing w:after="0" w:line="16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ARTICLE IX. MISCELLANEOUS</w:t>
      </w:r>
    </w:p>
    <w:p>
      <w:pPr>
        <w:spacing w:after="0" w:line="175"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9.1. General Restriction. Each Award under the Plan shall be subject to the requirement that, if at any time the Committee shall determine that (i) the listing, registration, or qualification of the shares of Common Stock subject to or related thereto upon any securities exchange or under any state or federal law, or (ii) the consent or approval of any government regulatory body, or (iii) an agreement by the grantee of an Award with respect to the disposition of shares of Common Stock, is necessary or desirable as a condition of, or in connection with, the granting of such Award or the issue or purchase of shares of Common Stock thereunder, such Award may not be consummated in whole or in part unless such listing, registration, qualification, consent, approval or agreement shall have been effected or obtained free of any conditions not acceptable to the Committee.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6" w:right="1440"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4"/>
          <w:szCs w:val="14"/>
          <w:color w:val="auto"/>
        </w:rPr>
        <w:t>17</w:t>
      </w:r>
    </w:p>
    <w:p>
      <w:pPr>
        <w:spacing w:after="0" w:line="8"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9.2. Non-Assignability. Except as provided below, no Award under the Plan shall be assignable or transferable by the recipient thereof, except by will or by the laws of descent and distribution, and during the life of the recipient, such Award shall be exercisable only by such person or by such person's guardian or legal representative.</w:t>
      </w:r>
    </w:p>
    <w:p>
      <w:pPr>
        <w:spacing w:after="0" w:line="162"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Notwithstanding the foregoing, as provided by the Committee in an Award Agreement, Awards (other than Incentive Stock Options) may be transferred (in whole or in part in a form approved by the Company) by a Participant to (i) the spouse, children or grandchildren of the Participant ("Immediate Family Members"), (ii) a trust or trusts for the exclusive benefit of the Immediate Family Members and, if applicable, the Participant, or (iii) a partnership in which such Immediate Family Members and, if applicable, the Participant are the only partners. Following any such transfer, the Award shall continue to be subject to the same terms and conditions as were applicable to the Award immediately prior to the transfer. A transferee of an Award may not transfer the Award except to an Immediate Family Member or the Participant.</w:t>
      </w:r>
    </w:p>
    <w:p>
      <w:pPr>
        <w:spacing w:after="0" w:line="163" w:lineRule="exact"/>
        <w:rPr>
          <w:sz w:val="20"/>
          <w:szCs w:val="20"/>
          <w:color w:val="auto"/>
        </w:rPr>
      </w:pPr>
    </w:p>
    <w:p>
      <w:pPr>
        <w:ind w:right="3199" w:firstLine="521"/>
        <w:spacing w:after="0" w:line="253" w:lineRule="auto"/>
        <w:rPr>
          <w:sz w:val="20"/>
          <w:szCs w:val="20"/>
          <w:color w:val="auto"/>
        </w:rPr>
      </w:pPr>
      <w:r>
        <w:rPr>
          <w:rFonts w:ascii="Courier New" w:cs="Courier New" w:eastAsia="Courier New" w:hAnsi="Courier New"/>
          <w:sz w:val="14"/>
          <w:szCs w:val="14"/>
          <w:color w:val="auto"/>
        </w:rPr>
        <w:t>Section 9.3. Withholding Taxes. Whenever the Company proposes or is required to issue or transfer shares of Common Stock under the Plan, the Company shall have the right to require the grantee to remit to the Company an amount sufficient to satisfy any federal, state and/or local withholding tax requirements prior to the delivery of any certificates for such shares. Alternatively, the Company may issue or transfer such shares of the Company net of the number of shares sufficient to satisfy the withholding tax requirements. For withholding tax purposes, the shares of Common Stock shall be valued on the date the withholding obligation is incurred.</w:t>
      </w:r>
    </w:p>
    <w:p>
      <w:pPr>
        <w:spacing w:after="0" w:line="164" w:lineRule="exact"/>
        <w:rPr>
          <w:sz w:val="20"/>
          <w:szCs w:val="20"/>
          <w:color w:val="auto"/>
        </w:rPr>
      </w:pPr>
    </w:p>
    <w:p>
      <w:pPr>
        <w:ind w:right="3299" w:firstLine="521"/>
        <w:spacing w:after="0" w:line="254" w:lineRule="auto"/>
        <w:rPr>
          <w:sz w:val="20"/>
          <w:szCs w:val="20"/>
          <w:color w:val="auto"/>
        </w:rPr>
      </w:pPr>
      <w:r>
        <w:rPr>
          <w:rFonts w:ascii="Courier New" w:cs="Courier New" w:eastAsia="Courier New" w:hAnsi="Courier New"/>
          <w:sz w:val="14"/>
          <w:szCs w:val="14"/>
          <w:color w:val="auto"/>
        </w:rPr>
        <w:t>Section 9.4. Right to Terminate Employment. Nothing in the Plan or in any agreement entered into pursuant to the Plan shall confer upon any Participant the right to continue in the employment of, or consulting to, the Company or effect any right which the Company may have to terminate the employment or consulting relationship of such Participant.</w:t>
      </w:r>
    </w:p>
    <w:p>
      <w:pPr>
        <w:spacing w:after="0" w:line="162"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Section 9.5. Non-Uniform Determination. The Committee's determinations under the Plan (including without limitation determinations of the persons to receive Awards, the form, amount and timing of such Awards, the terms and provisions of such Awards and the agreements evidencing same) need not be uniform and may be made by it selectively among persons who receive, or are eligible to receive, awards under the Plan, whether or not such persons are similarly situated.</w:t>
      </w:r>
    </w:p>
    <w:p>
      <w:pPr>
        <w:spacing w:after="0" w:line="165" w:lineRule="exact"/>
        <w:rPr>
          <w:sz w:val="20"/>
          <w:szCs w:val="20"/>
          <w:color w:val="auto"/>
        </w:rPr>
      </w:pPr>
    </w:p>
    <w:p>
      <w:pPr>
        <w:ind w:right="3199" w:firstLine="521"/>
        <w:spacing w:after="0" w:line="255" w:lineRule="auto"/>
        <w:rPr>
          <w:sz w:val="20"/>
          <w:szCs w:val="20"/>
          <w:color w:val="auto"/>
        </w:rPr>
      </w:pPr>
      <w:r>
        <w:rPr>
          <w:rFonts w:ascii="Courier New" w:cs="Courier New" w:eastAsia="Courier New" w:hAnsi="Courier New"/>
          <w:sz w:val="14"/>
          <w:szCs w:val="14"/>
          <w:color w:val="auto"/>
        </w:rPr>
        <w:t>Section 9.6. Rights as a Shareholder. The recipient of any Award under the Plan shall have no right as a shareholder with respect thereto unless and until certificates for shares of Common Stock are issued to him.</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6"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9.7. Definitions. In this Plan the following definitions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apply:</w:t>
      </w:r>
    </w:p>
    <w:p>
      <w:pPr>
        <w:spacing w:after="0" w:line="175" w:lineRule="exact"/>
        <w:rPr>
          <w:sz w:val="20"/>
          <w:szCs w:val="20"/>
          <w:color w:val="auto"/>
        </w:rPr>
      </w:pPr>
    </w:p>
    <w:p>
      <w:pPr>
        <w:ind w:left="520" w:right="3459" w:firstLine="530"/>
        <w:spacing w:after="0" w:line="254" w:lineRule="auto"/>
        <w:tabs>
          <w:tab w:leader="none" w:pos="1388"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any corporation of which, at the time more than 50% of the shares entitled to vote generally in an election of directors are owned directly or indirectly by the Company or any subsidiary thereof.</w:t>
      </w:r>
    </w:p>
    <w:p>
      <w:pPr>
        <w:spacing w:after="0" w:line="163" w:lineRule="exact"/>
        <w:rPr>
          <w:rFonts w:ascii="Courier New" w:cs="Courier New" w:eastAsia="Courier New" w:hAnsi="Courier New"/>
          <w:sz w:val="14"/>
          <w:szCs w:val="14"/>
          <w:color w:val="auto"/>
        </w:rPr>
      </w:pPr>
    </w:p>
    <w:p>
      <w:pPr>
        <w:ind w:left="520" w:right="3199" w:firstLine="530"/>
        <w:spacing w:after="0" w:line="255" w:lineRule="auto"/>
        <w:tabs>
          <w:tab w:leader="none" w:pos="1388"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any person or entity which directly, or indirectly through one or more intermediaries, controls, is controlled by, or is under common control with the Company.</w:t>
      </w:r>
    </w:p>
    <w:p>
      <w:pPr>
        <w:spacing w:after="0" w:line="161" w:lineRule="exact"/>
        <w:rPr>
          <w:rFonts w:ascii="Courier New" w:cs="Courier New" w:eastAsia="Courier New" w:hAnsi="Courier New"/>
          <w:sz w:val="14"/>
          <w:szCs w:val="14"/>
          <w:color w:val="auto"/>
        </w:rPr>
      </w:pPr>
    </w:p>
    <w:p>
      <w:pPr>
        <w:ind w:left="520" w:right="3199" w:firstLine="530"/>
        <w:spacing w:after="0" w:line="253" w:lineRule="auto"/>
        <w:tabs>
          <w:tab w:leader="none" w:pos="1388"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as of any date and in respect or any share of Common Stock means the lowest reported trading price on such date or on the next business day, if such date is not a business day, of a share of Common Stock reflected in the consolidated trading tables of The Wall Street Journal (presently the New York Stock Exchange - Composite Transactions) or any other publication selected by the Committee, provided that, if shares of Common Stock shall not have been quoted on the New York Stock Exchange for more than 10 days immediately preceding such date or if deemed appropriate by the Committee for any other reason, the fair market value of shares of Common Stock shall be as determined by the Committee in such other manner as it may deem appropriate. In no event shall the Fair Market Value of any share of Common Stock be less than its par value.</w:t>
      </w:r>
    </w:p>
    <w:p>
      <w:pPr>
        <w:spacing w:after="0" w:line="163" w:lineRule="exact"/>
        <w:rPr>
          <w:rFonts w:ascii="Courier New" w:cs="Courier New" w:eastAsia="Courier New" w:hAnsi="Courier New"/>
          <w:sz w:val="14"/>
          <w:szCs w:val="14"/>
          <w:color w:val="auto"/>
        </w:rPr>
      </w:pPr>
    </w:p>
    <w:p>
      <w:pPr>
        <w:ind w:left="520" w:right="3379" w:firstLine="530"/>
        <w:spacing w:after="0" w:line="258" w:lineRule="auto"/>
        <w:tabs>
          <w:tab w:leader="none" w:pos="1561"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Stock Option, Incentive Stock Option, or Reload Option.</w:t>
      </w:r>
    </w:p>
    <w:p>
      <w:pPr>
        <w:spacing w:after="0" w:line="159" w:lineRule="exact"/>
        <w:rPr>
          <w:rFonts w:ascii="Courier New" w:cs="Courier New" w:eastAsia="Courier New" w:hAnsi="Courier New"/>
          <w:sz w:val="14"/>
          <w:szCs w:val="14"/>
          <w:color w:val="auto"/>
        </w:rPr>
      </w:pPr>
    </w:p>
    <w:p>
      <w:pPr>
        <w:ind w:left="520" w:right="3299" w:firstLine="530"/>
        <w:spacing w:after="0" w:line="255" w:lineRule="auto"/>
        <w:tabs>
          <w:tab w:leader="none" w:pos="1388"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means the purchase price per share of the Common Stock deliverable upon the exercise of a Stock Option, Incentive Stock Option, or Reload Option.</w:t>
      </w:r>
    </w:p>
    <w:p>
      <w:pPr>
        <w:spacing w:after="0" w:line="161" w:lineRule="exact"/>
        <w:rPr>
          <w:rFonts w:ascii="Courier New" w:cs="Courier New" w:eastAsia="Courier New" w:hAnsi="Courier New"/>
          <w:sz w:val="14"/>
          <w:szCs w:val="14"/>
          <w:color w:val="auto"/>
        </w:rPr>
      </w:pPr>
    </w:p>
    <w:p>
      <w:pPr>
        <w:ind w:left="520" w:right="3199" w:firstLine="530"/>
        <w:spacing w:after="0" w:line="255" w:lineRule="auto"/>
        <w:tabs>
          <w:tab w:leader="none" w:pos="1388"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means the occurrence, at any time during the specified term of an Option granted under the Plan, of any of the following events:</w:t>
      </w:r>
    </w:p>
    <w:p>
      <w:pPr>
        <w:spacing w:after="0" w:line="161" w:lineRule="exact"/>
        <w:rPr>
          <w:rFonts w:ascii="Courier New" w:cs="Courier New" w:eastAsia="Courier New" w:hAnsi="Courier New"/>
          <w:sz w:val="14"/>
          <w:szCs w:val="14"/>
          <w:color w:val="auto"/>
        </w:rPr>
      </w:pPr>
    </w:p>
    <w:p>
      <w:pPr>
        <w:ind w:left="1060" w:right="3199" w:firstLine="511"/>
        <w:spacing w:after="0" w:line="253" w:lineRule="auto"/>
        <w:tabs>
          <w:tab w:leader="none" w:pos="1928" w:val="left"/>
        </w:tabs>
        <w:numPr>
          <w:ilvl w:val="1"/>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6" w:right="1440" w:bottom="1440" w:gutter="0" w:footer="0" w:header="0"/>
        </w:sectPr>
      </w:pPr>
    </w:p>
    <w:bookmarkStart w:id="296" w:name="page297"/>
    <w:bookmarkEnd w:id="296"/>
    <w:p>
      <w:pPr>
        <w:ind w:left="26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ind w:left="1060" w:right="3199" w:firstLine="511"/>
        <w:spacing w:after="0" w:line="253" w:lineRule="auto"/>
        <w:tabs>
          <w:tab w:leader="none" w:pos="2014"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64" w:lineRule="exact"/>
        <w:rPr>
          <w:rFonts w:ascii="Courier New" w:cs="Courier New" w:eastAsia="Courier New" w:hAnsi="Courier New"/>
          <w:sz w:val="14"/>
          <w:szCs w:val="14"/>
          <w:color w:val="auto"/>
        </w:rPr>
      </w:pPr>
    </w:p>
    <w:p>
      <w:pPr>
        <w:ind w:left="2100" w:hanging="529"/>
        <w:spacing w:after="0"/>
        <w:tabs>
          <w:tab w:leader="none" w:pos="210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report filed on Schedule 13D or Schedule</w:t>
      </w:r>
    </w:p>
    <w:p>
      <w:pPr>
        <w:spacing w:after="0" w:line="8" w:lineRule="exact"/>
        <w:rPr>
          <w:sz w:val="20"/>
          <w:szCs w:val="20"/>
          <w:color w:val="auto"/>
        </w:rPr>
      </w:pPr>
    </w:p>
    <w:p>
      <w:pPr>
        <w:ind w:left="1060" w:right="3199"/>
        <w:spacing w:after="0" w:line="253" w:lineRule="auto"/>
        <w:rPr>
          <w:sz w:val="20"/>
          <w:szCs w:val="20"/>
          <w:color w:val="auto"/>
        </w:rPr>
      </w:pPr>
      <w:r>
        <w:rPr>
          <w:rFonts w:ascii="Courier New" w:cs="Courier New" w:eastAsia="Courier New" w:hAnsi="Courier New"/>
          <w:sz w:val="14"/>
          <w:szCs w:val="14"/>
          <w:color w:val="auto"/>
        </w:rPr>
        <w:t>14D-1 (or any successor schedule, form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331" w:lineRule="exact"/>
        <w:rPr>
          <w:sz w:val="20"/>
          <w:szCs w:val="20"/>
          <w:color w:val="auto"/>
        </w:rPr>
      </w:pPr>
    </w:p>
    <w:p>
      <w:pPr>
        <w:ind w:left="1060" w:right="3299" w:firstLine="511"/>
        <w:spacing w:after="0" w:line="253" w:lineRule="auto"/>
        <w:tabs>
          <w:tab w:leader="none" w:pos="2014"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64"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Section 9.8. Leaves of Absence. The Committee shall be entitled to make such rules, regulations, and determinations as it deems appropriate under the Plan in respect of any leave of absence taken by the recipient of any Award. Without limiting the generality of the foregoing, the Committee shall be entitled to determine (i) whether or not any such leave of absence shall constitute a termination of employment within the meaning of the Plan and (ii) the impact, if any, of any such leave of absence on Awards under the Plan theretofore made to any recipient who takes such leave of absence.</w:t>
      </w:r>
    </w:p>
    <w:p>
      <w:pPr>
        <w:spacing w:after="0" w:line="164" w:lineRule="exact"/>
        <w:rPr>
          <w:sz w:val="20"/>
          <w:szCs w:val="20"/>
          <w:color w:val="auto"/>
        </w:rPr>
      </w:pPr>
    </w:p>
    <w:p>
      <w:pPr>
        <w:ind w:right="3299" w:firstLine="521"/>
        <w:spacing w:after="0" w:line="254" w:lineRule="auto"/>
        <w:rPr>
          <w:sz w:val="20"/>
          <w:szCs w:val="20"/>
          <w:color w:val="auto"/>
        </w:rPr>
      </w:pPr>
      <w:r>
        <w:rPr>
          <w:rFonts w:ascii="Courier New" w:cs="Courier New" w:eastAsia="Courier New" w:hAnsi="Courier New"/>
          <w:sz w:val="14"/>
          <w:szCs w:val="14"/>
          <w:color w:val="auto"/>
        </w:rPr>
        <w:t>Section 9.9. Newly Eligible Employees. The Committee shall be entitled to make such rules, regulations, determinations and awards as it deems appropriate in respect of any employee who becomes eligible to participate in the Plan or any portion thereof after the commencement of an award or incentive period.</w:t>
      </w:r>
    </w:p>
    <w:p>
      <w:pPr>
        <w:spacing w:after="0" w:line="163"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Section 9.10. Adjustments. In any event of any change in the outstanding Common Stock by reason of a stock dividend or distributions, recapitalization, merger, consolidation, split-up, combination, exchange of shares or the like, the Committee may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6"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4"/>
          <w:szCs w:val="14"/>
          <w:color w:val="auto"/>
        </w:rPr>
        <w:t>20</w:t>
      </w:r>
    </w:p>
    <w:p>
      <w:pPr>
        <w:spacing w:after="0" w:line="8" w:lineRule="exact"/>
        <w:rPr>
          <w:sz w:val="20"/>
          <w:szCs w:val="20"/>
          <w:color w:val="auto"/>
        </w:rPr>
      </w:pPr>
    </w:p>
    <w:p>
      <w:pPr>
        <w:ind w:right="3559"/>
        <w:spacing w:after="0" w:line="254" w:lineRule="auto"/>
        <w:rPr>
          <w:sz w:val="20"/>
          <w:szCs w:val="20"/>
          <w:color w:val="auto"/>
        </w:rPr>
      </w:pPr>
      <w:r>
        <w:rPr>
          <w:rFonts w:ascii="Courier New" w:cs="Courier New" w:eastAsia="Courier New" w:hAnsi="Courier New"/>
          <w:sz w:val="14"/>
          <w:szCs w:val="14"/>
          <w:color w:val="auto"/>
        </w:rPr>
        <w:t>appropriately adjust the number of shares of Common Stock that may be issued under the Plan, the number of shares of Common Stock subject to Options theretofore granted under the Plan, and any and all other matters deemed appropriate by the Committee.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9.11. Changes in the Company's Capital Structure.</w:t>
      </w:r>
    </w:p>
    <w:p>
      <w:pPr>
        <w:spacing w:after="0" w:line="175" w:lineRule="exact"/>
        <w:rPr>
          <w:sz w:val="20"/>
          <w:szCs w:val="20"/>
          <w:color w:val="auto"/>
        </w:rPr>
      </w:pPr>
    </w:p>
    <w:p>
      <w:pPr>
        <w:ind w:left="520" w:right="3199" w:firstLine="530"/>
        <w:spacing w:after="0" w:line="253" w:lineRule="auto"/>
        <w:tabs>
          <w:tab w:leader="none" w:pos="1388"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outstanding Options, Alternative Appreciation Rights, or Limited Rights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330" w:lineRule="exact"/>
        <w:rPr>
          <w:rFonts w:ascii="Courier New" w:cs="Courier New" w:eastAsia="Courier New" w:hAnsi="Courier New"/>
          <w:sz w:val="14"/>
          <w:szCs w:val="14"/>
          <w:color w:val="auto"/>
        </w:rPr>
      </w:pPr>
    </w:p>
    <w:p>
      <w:pPr>
        <w:ind w:left="520" w:right="3299" w:firstLine="530"/>
        <w:spacing w:after="0" w:line="253" w:lineRule="auto"/>
        <w:tabs>
          <w:tab w:leader="none" w:pos="1388"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while there are outstanding Options, the Company shall effect a subdivision or consolidation of shares or other increase or reduction of the number of shares of the Common Stock outstanding without receiving compensation therefor in money, services or property, then (i) in the event of an increase in the number of such shares outstanding, the number of shares of Common Stock then subject to Options hereunder shall be proportionately increased; and (ii) in the event of a decrease in the number of such shares outstanding the number of shares then available for Option hereunder shall be proportionately decreased.</w:t>
      </w:r>
    </w:p>
    <w:p>
      <w:pPr>
        <w:spacing w:after="0" w:line="164" w:lineRule="exact"/>
        <w:rPr>
          <w:rFonts w:ascii="Courier New" w:cs="Courier New" w:eastAsia="Courier New" w:hAnsi="Courier New"/>
          <w:sz w:val="14"/>
          <w:szCs w:val="14"/>
          <w:color w:val="auto"/>
        </w:rPr>
      </w:pPr>
    </w:p>
    <w:p>
      <w:pPr>
        <w:ind w:left="520" w:right="3199" w:firstLine="530"/>
        <w:spacing w:after="0" w:line="253" w:lineRule="auto"/>
        <w:tabs>
          <w:tab w:leader="none" w:pos="1388"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 merger of one or more corporations into the Company, or after a consolidation of the Company and one or more corporations in which the Company shall be the surviving corporation, each holder of an outstanding Option shall, at no additional cost, be entitled upon exercise of such Option to receive (subject to any required action by stockholders) in lieu of the number of shares as to which such Option shall then be so exercisable, the number and class of stock or other securities to which such holder would have been entitled to receive pursuant to the terms of the agreement of merger or consolidation if, immediately prior to such merger or consolidation, such holder had been the holder of record of a number of shares of the Company equal to the number of shares as to which such Option had been exercisable.</w:t>
      </w:r>
    </w:p>
    <w:p>
      <w:pPr>
        <w:spacing w:after="0" w:line="163" w:lineRule="exact"/>
        <w:rPr>
          <w:rFonts w:ascii="Courier New" w:cs="Courier New" w:eastAsia="Courier New" w:hAnsi="Courier New"/>
          <w:sz w:val="14"/>
          <w:szCs w:val="14"/>
          <w:color w:val="auto"/>
        </w:rPr>
      </w:pPr>
    </w:p>
    <w:p>
      <w:pPr>
        <w:ind w:left="520" w:right="3299" w:firstLine="530"/>
        <w:spacing w:after="0" w:line="253" w:lineRule="auto"/>
        <w:tabs>
          <w:tab w:leader="none" w:pos="1388"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merged into or consolidated with another corporation or other entity under circumstances where the Company is not the surviving corporation, or if the Company sells or otherwise disposes of substantially all of its assets to another corporation or other entity while unexercised Options remain outstanding, then the Committee may direct that any of the following shall occur: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6" w:right="1440" w:bottom="1440" w:gutter="0" w:footer="0" w:header="0"/>
        </w:sectPr>
      </w:pPr>
    </w:p>
    <w:bookmarkStart w:id="298" w:name="page299"/>
    <w:bookmarkEnd w:id="298"/>
    <w:p>
      <w:pPr>
        <w:ind w:left="260"/>
        <w:spacing w:after="0"/>
        <w:rPr>
          <w:sz w:val="20"/>
          <w:szCs w:val="20"/>
          <w:color w:val="auto"/>
        </w:rPr>
      </w:pPr>
      <w:r>
        <w:rPr>
          <w:rFonts w:ascii="Courier New" w:cs="Courier New" w:eastAsia="Courier New" w:hAnsi="Courier New"/>
          <w:sz w:val="14"/>
          <w:szCs w:val="14"/>
          <w:color w:val="auto"/>
        </w:rPr>
        <w:t>21</w:t>
      </w:r>
    </w:p>
    <w:p>
      <w:pPr>
        <w:spacing w:after="0" w:line="8" w:lineRule="exact"/>
        <w:rPr>
          <w:sz w:val="20"/>
          <w:szCs w:val="20"/>
          <w:color w:val="auto"/>
        </w:rPr>
      </w:pPr>
    </w:p>
    <w:p>
      <w:pPr>
        <w:ind w:left="1060" w:right="3199" w:firstLine="511"/>
        <w:spacing w:after="0" w:line="253" w:lineRule="auto"/>
        <w:tabs>
          <w:tab w:leader="none" w:pos="1928"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successor entity is willing to assume the obligation to deliver shares of stock or securities after the effective date of the merger, consolidation or sale of assets, as the case may be, each holder of an outstanding Option shall be entitled to receive, upon the exercise of such Option and payment of the Option Price, in lieu of shares of Common Stock, such shares of stock or other securities as the holder of such Option would have been entitled to receive had such Option been exercised immediately prior to the consummation of such merger, consolidation or sale, and any related Alternate Appreciation Right and Limited Right associated with such Option shall apply as nearly as practicable to the shares of stock or other securities purchasable upon exercise of the Option following such merger, consolidation or sale of assets.</w:t>
      </w:r>
    </w:p>
    <w:p>
      <w:pPr>
        <w:spacing w:after="0" w:line="162" w:lineRule="exact"/>
        <w:rPr>
          <w:rFonts w:ascii="Courier New" w:cs="Courier New" w:eastAsia="Courier New" w:hAnsi="Courier New"/>
          <w:sz w:val="14"/>
          <w:szCs w:val="14"/>
          <w:color w:val="auto"/>
        </w:rPr>
      </w:pPr>
    </w:p>
    <w:p>
      <w:pPr>
        <w:ind w:left="1060" w:right="3199" w:firstLine="511"/>
        <w:spacing w:after="0" w:line="253" w:lineRule="auto"/>
        <w:tabs>
          <w:tab w:leader="none" w:pos="2014"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waive any limitations set forth in or imposed pursuant to this Plan or any Award Agreement with respect to such Option and any related Alternate Appreciation Right or Limited Option such that such Option and related Alternate Appreciation Right and Limited Right shall become exercisable prior to the record or effective date of such merger, consolidation or sale of assets.</w:t>
      </w:r>
    </w:p>
    <w:p>
      <w:pPr>
        <w:spacing w:after="0" w:line="165" w:lineRule="exact"/>
        <w:rPr>
          <w:rFonts w:ascii="Courier New" w:cs="Courier New" w:eastAsia="Courier New" w:hAnsi="Courier New"/>
          <w:sz w:val="14"/>
          <w:szCs w:val="14"/>
          <w:color w:val="auto"/>
        </w:rPr>
      </w:pPr>
    </w:p>
    <w:p>
      <w:pPr>
        <w:ind w:left="1060" w:right="3199" w:firstLine="511"/>
        <w:spacing w:after="0" w:line="253" w:lineRule="auto"/>
        <w:tabs>
          <w:tab w:leader="none" w:pos="2101"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cancel all outstanding Options and Alternate Appreciation Rights (but not Limited Rights) as of the effective date of any such merger, consolidation, or sale of assets provided that prior notice of such cancellation shall be given to each holder of an Option at least 30 days prior to the effective date of such merger, consolidation, or sale of assets, and each holder of an Option shall have the right to exercise such Option and any related Alternate Appreciation Right in full during a period of not less than 30 days prior to the effective date of such merger, consolidation, or sale of assets. No action taken by the Committee under this subsection shall have the effect of terminating, and nothing in this subsection shall permit the Committee to terminate, any Limited Right held by an Optionee.</w:t>
      </w:r>
    </w:p>
    <w:p>
      <w:pPr>
        <w:spacing w:after="0" w:line="163" w:lineRule="exact"/>
        <w:rPr>
          <w:sz w:val="20"/>
          <w:szCs w:val="20"/>
          <w:color w:val="auto"/>
        </w:rPr>
      </w:pPr>
    </w:p>
    <w:p>
      <w:pPr>
        <w:ind w:left="520" w:right="3199" w:firstLine="530"/>
        <w:spacing w:after="0" w:line="253" w:lineRule="auto"/>
        <w:tabs>
          <w:tab w:leader="none" w:pos="1388"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 provided, the issuance by the Company of Common Stock or any other shares of capital stock or services convertible into shares of capital stock, for cash property, labor done or other consideration, shall not affect, and no adjustment by reason thereof shall be made with respect to, the number or price of shares of Common Stock then subject to outstanding Options.</w:t>
      </w:r>
    </w:p>
    <w:p>
      <w:pPr>
        <w:spacing w:after="0" w:line="165" w:lineRule="exact"/>
        <w:rPr>
          <w:sz w:val="20"/>
          <w:szCs w:val="20"/>
          <w:color w:val="auto"/>
        </w:rPr>
      </w:pPr>
    </w:p>
    <w:p>
      <w:pPr>
        <w:ind w:right="3199" w:firstLine="521"/>
        <w:spacing w:after="0" w:line="254" w:lineRule="auto"/>
        <w:rPr>
          <w:sz w:val="20"/>
          <w:szCs w:val="20"/>
          <w:color w:val="auto"/>
        </w:rPr>
      </w:pPr>
      <w:r>
        <w:rPr>
          <w:rFonts w:ascii="Courier New" w:cs="Courier New" w:eastAsia="Courier New" w:hAnsi="Courier New"/>
          <w:sz w:val="14"/>
          <w:szCs w:val="14"/>
          <w:color w:val="auto"/>
        </w:rPr>
        <w:t>Section 9.12. Change in Control. Any Award granted under the Plan prior to the date of a Change in Control shall be immediately exercisable in full on such date, without regard to any times of exercise established under its Award Agreement; provided,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86"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4"/>
          <w:szCs w:val="14"/>
          <w:color w:val="auto"/>
        </w:rPr>
        <w:t>22</w:t>
      </w:r>
    </w:p>
    <w:p>
      <w:pPr>
        <w:spacing w:after="0" w:line="8" w:lineRule="exact"/>
        <w:rPr>
          <w:sz w:val="20"/>
          <w:szCs w:val="20"/>
          <w:color w:val="auto"/>
        </w:rPr>
      </w:pPr>
    </w:p>
    <w:p>
      <w:pPr>
        <w:ind w:right="3819"/>
        <w:spacing w:after="0" w:line="258" w:lineRule="auto"/>
        <w:rPr>
          <w:sz w:val="20"/>
          <w:szCs w:val="20"/>
          <w:color w:val="auto"/>
        </w:rPr>
      </w:pPr>
      <w:r>
        <w:rPr>
          <w:rFonts w:ascii="Courier New" w:cs="Courier New" w:eastAsia="Courier New" w:hAnsi="Courier New"/>
          <w:sz w:val="14"/>
          <w:szCs w:val="14"/>
          <w:color w:val="auto"/>
        </w:rPr>
        <w:t>however, in no event shall Stock Options or Incentive Stock Options be exerciseable after the tenth anniversary of their respective grant dates.</w:t>
      </w:r>
    </w:p>
    <w:p>
      <w:pPr>
        <w:spacing w:after="0" w:line="160" w:lineRule="exact"/>
        <w:rPr>
          <w:sz w:val="20"/>
          <w:szCs w:val="20"/>
          <w:color w:val="auto"/>
        </w:rPr>
      </w:pPr>
    </w:p>
    <w:p>
      <w:pPr>
        <w:ind w:left="520"/>
        <w:spacing w:after="0"/>
        <w:tabs>
          <w:tab w:leader="none" w:pos="1900" w:val="left"/>
        </w:tabs>
        <w:rPr>
          <w:sz w:val="20"/>
          <w:szCs w:val="20"/>
          <w:color w:val="auto"/>
        </w:rPr>
      </w:pPr>
      <w:r>
        <w:rPr>
          <w:rFonts w:ascii="Courier New" w:cs="Courier New" w:eastAsia="Courier New" w:hAnsi="Courier New"/>
          <w:sz w:val="14"/>
          <w:szCs w:val="14"/>
          <w:color w:val="auto"/>
        </w:rPr>
        <w:t>Section 9.13.</w:t>
        <w:tab/>
        <w:t>Amendment of the Plan.</w:t>
      </w:r>
    </w:p>
    <w:p>
      <w:pPr>
        <w:spacing w:after="0" w:line="175" w:lineRule="exact"/>
        <w:rPr>
          <w:sz w:val="20"/>
          <w:szCs w:val="20"/>
          <w:color w:val="auto"/>
        </w:rPr>
      </w:pPr>
    </w:p>
    <w:p>
      <w:pPr>
        <w:ind w:left="520" w:right="3199" w:firstLine="530"/>
        <w:spacing w:after="0" w:line="253" w:lineRule="auto"/>
        <w:tabs>
          <w:tab w:leader="none" w:pos="1388"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without further action by the shareholders and without receiving further consideration from the Participants, amend this Plan or condition or modify Awards under this Plan in response to changes in securities or other laws or rules, regulations or regulatory interpretations thereof applicable to this Plan or to comply with stock exchange rules or requirements.</w:t>
      </w:r>
    </w:p>
    <w:p>
      <w:pPr>
        <w:spacing w:after="0" w:line="165" w:lineRule="exact"/>
        <w:rPr>
          <w:rFonts w:ascii="Courier New" w:cs="Courier New" w:eastAsia="Courier New" w:hAnsi="Courier New"/>
          <w:sz w:val="14"/>
          <w:szCs w:val="14"/>
          <w:color w:val="auto"/>
        </w:rPr>
      </w:pPr>
    </w:p>
    <w:p>
      <w:pPr>
        <w:ind w:left="520" w:right="3199" w:firstLine="530"/>
        <w:spacing w:after="0" w:line="254" w:lineRule="auto"/>
        <w:tabs>
          <w:tab w:leader="none" w:pos="1388"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at any time and from time to time terminate or modify or amend the Plan in any respect. The termination or any modification or amendment of the Plan, except as provided in subsection (a), shall not, without the consent of a Participant, affect his or her rights under an Award previously granted to him or her.</w:t>
      </w:r>
    </w:p>
    <w:p>
      <w:pPr>
        <w:spacing w:after="0" w:line="162" w:lineRule="exact"/>
        <w:rPr>
          <w:sz w:val="20"/>
          <w:szCs w:val="20"/>
          <w:color w:val="auto"/>
        </w:rPr>
      </w:pPr>
    </w:p>
    <w:p>
      <w:pPr>
        <w:ind w:right="3819" w:firstLine="521"/>
        <w:spacing w:after="0" w:line="258" w:lineRule="auto"/>
        <w:rPr>
          <w:sz w:val="20"/>
          <w:szCs w:val="20"/>
          <w:color w:val="auto"/>
        </w:rPr>
      </w:pPr>
      <w:r>
        <w:rPr>
          <w:rFonts w:ascii="Courier New" w:cs="Courier New" w:eastAsia="Courier New" w:hAnsi="Courier New"/>
          <w:sz w:val="14"/>
          <w:szCs w:val="14"/>
          <w:color w:val="auto"/>
        </w:rPr>
        <w:t>Section 9.14. Effective Date. The Plan shall become effective as of February 29, 2000.</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86"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EXHIBIT 12.1</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Computation of Ratio Earnings to Fixed Charges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 Thousands, Except Ratios)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Ended December</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7"/>
        </w:trPr>
        <w:tc>
          <w:tcPr>
            <w:tcW w:w="4860" w:type="dxa"/>
            <w:vAlign w:val="bottom"/>
          </w:tcPr>
          <w:p>
            <w:pPr>
              <w:spacing w:after="0"/>
              <w:rPr>
                <w:sz w:val="14"/>
                <w:szCs w:val="14"/>
                <w:color w:val="auto"/>
              </w:rPr>
            </w:pPr>
          </w:p>
        </w:tc>
        <w:tc>
          <w:tcPr>
            <w:tcW w:w="3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 income</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860" w:type="dxa"/>
            <w:vAlign w:val="bottom"/>
          </w:tcPr>
          <w:p>
            <w:pPr>
              <w:ind w:left="260"/>
              <w:spacing w:after="0"/>
              <w:rPr>
                <w:sz w:val="20"/>
                <w:szCs w:val="20"/>
                <w:color w:val="auto"/>
              </w:rPr>
            </w:pPr>
            <w:r>
              <w:rPr>
                <w:rFonts w:ascii="Courier New" w:cs="Courier New" w:eastAsia="Courier New" w:hAnsi="Courier New"/>
                <w:sz w:val="14"/>
                <w:szCs w:val="14"/>
                <w:color w:val="auto"/>
              </w:rPr>
              <w:t>taxes, undistributed earnings from affiliated</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60" w:type="dxa"/>
            <w:vAlign w:val="bottom"/>
          </w:tcPr>
          <w:p>
            <w:pPr>
              <w:ind w:left="260"/>
              <w:spacing w:after="0"/>
              <w:rPr>
                <w:sz w:val="20"/>
                <w:szCs w:val="20"/>
                <w:color w:val="auto"/>
              </w:rPr>
            </w:pPr>
            <w:r>
              <w:rPr>
                <w:rFonts w:ascii="Courier New" w:cs="Courier New" w:eastAsia="Courier New" w:hAnsi="Courier New"/>
                <w:sz w:val="14"/>
                <w:szCs w:val="14"/>
                <w:color w:val="auto"/>
              </w:rPr>
              <w:t>companies, and minority interest</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$(138,551)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$(678,919)</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$(609,024)</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Fixed charges deducted from income: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6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769,655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681,457</w:t>
            </w: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555,576</w:t>
            </w:r>
          </w:p>
        </w:tc>
      </w:tr>
      <w:tr>
        <w:trPr>
          <w:trHeight w:val="167"/>
        </w:trPr>
        <w:tc>
          <w:tcPr>
            <w:tcW w:w="4860" w:type="dxa"/>
            <w:vAlign w:val="bottom"/>
          </w:tcPr>
          <w:p>
            <w:pPr>
              <w:ind w:left="260"/>
              <w:spacing w:after="0"/>
              <w:rPr>
                <w:sz w:val="20"/>
                <w:szCs w:val="20"/>
                <w:color w:val="auto"/>
              </w:rPr>
            </w:pPr>
            <w:r>
              <w:rPr>
                <w:rFonts w:ascii="Courier New" w:cs="Courier New" w:eastAsia="Courier New" w:hAnsi="Courier New"/>
                <w:sz w:val="14"/>
                <w:szCs w:val="14"/>
                <w:color w:val="auto"/>
              </w:rPr>
              <w:t>Implicit interest in rents</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75,219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79,108</w:t>
            </w: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58,869</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844,874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760,565</w:t>
            </w: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614,445</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ind w:left="960"/>
              <w:spacing w:after="0"/>
              <w:rPr>
                <w:sz w:val="20"/>
                <w:szCs w:val="20"/>
                <w:color w:val="auto"/>
              </w:rPr>
            </w:pPr>
            <w:r>
              <w:rPr>
                <w:rFonts w:ascii="Courier New" w:cs="Courier New" w:eastAsia="Courier New" w:hAnsi="Courier New"/>
                <w:sz w:val="14"/>
                <w:szCs w:val="14"/>
                <w:color w:val="auto"/>
              </w:rPr>
              <w:t>Earnings available for fixed charges</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$ 706,323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81,646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5,421</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$ 769,655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$ 681,457</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$ 555,576</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Capitalized interest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34,284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41,501</w:t>
            </w: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51,376</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Implicit interest in rents</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75,218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79,108</w:t>
            </w:r>
          </w:p>
        </w:tc>
        <w:tc>
          <w:tcPr>
            <w:tcW w:w="1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58,869</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ind w:left="960"/>
              <w:spacing w:after="0"/>
              <w:rPr>
                <w:sz w:val="20"/>
                <w:szCs w:val="20"/>
                <w:color w:val="auto"/>
              </w:rPr>
            </w:pPr>
            <w:r>
              <w:rPr>
                <w:rFonts w:ascii="Courier New" w:cs="Courier New" w:eastAsia="Courier New" w:hAnsi="Courier New"/>
                <w:sz w:val="14"/>
                <w:szCs w:val="14"/>
                <w:color w:val="auto"/>
              </w:rPr>
              <w:t>Total fixed charges</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$ 879,157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$ 802,066</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$ 665,821</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n/a(1)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n/a(2)</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n/a(3)</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520" w:right="3199" w:hanging="511"/>
        <w:spacing w:after="0" w:line="253" w:lineRule="auto"/>
        <w:tabs>
          <w:tab w:leader="none" w:pos="52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for 1999 was less than a one-to-one ratio. Additional earnings available for fixed charges of $172.8 million were needed to have a one-to-one ratio. The earnings available for fixed charges were negatively impacted by merger cost of $44.6 million primarily related to the merger between Waste Management, Inc. and Waste Management Holdings, Inc. during July 1998 and asset impairments and unusual items of $738.8 million (see Note 15 to the financial statements).</w:t>
      </w:r>
    </w:p>
    <w:p>
      <w:pPr>
        <w:spacing w:after="0" w:line="164" w:lineRule="exact"/>
        <w:rPr>
          <w:rFonts w:ascii="Courier New" w:cs="Courier New" w:eastAsia="Courier New" w:hAnsi="Courier New"/>
          <w:sz w:val="14"/>
          <w:szCs w:val="14"/>
          <w:color w:val="auto"/>
        </w:rPr>
      </w:pPr>
    </w:p>
    <w:p>
      <w:pPr>
        <w:ind w:left="520" w:right="3199" w:hanging="511"/>
        <w:spacing w:after="0" w:line="253" w:lineRule="auto"/>
        <w:tabs>
          <w:tab w:leader="none" w:pos="52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for 1998 was less than a one-to-one ratio. Additional earnings available for fixed charges of $720.4 million were needed to have a one-to-one ratio. The earnings available for fixed charges were negatively impacted by merger cost of $1.8 billion and unusual items of $864.1 million related primarily to the mergers between Waste Management, Inc. and Waste Management Holdings, Inc. during July 1998, and Waste Management, Inc. and Eastern Environmental Services, Inc. during December 1998.</w:t>
      </w:r>
    </w:p>
    <w:p>
      <w:pPr>
        <w:spacing w:after="0" w:line="164" w:lineRule="exact"/>
        <w:rPr>
          <w:rFonts w:ascii="Courier New" w:cs="Courier New" w:eastAsia="Courier New" w:hAnsi="Courier New"/>
          <w:sz w:val="14"/>
          <w:szCs w:val="14"/>
          <w:color w:val="auto"/>
        </w:rPr>
      </w:pPr>
    </w:p>
    <w:p>
      <w:pPr>
        <w:ind w:left="520" w:right="3199" w:hanging="511"/>
        <w:spacing w:after="0" w:line="253" w:lineRule="auto"/>
        <w:tabs>
          <w:tab w:leader="none" w:pos="52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for 1997 was less than a one-to-one ratio. Additional earnings available for fixed charges of $660.4 million were needed to have a one-to-one ratio.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Inc. of its operating assets and investments.</w:t>
      </w:r>
    </w:p>
    <w:p>
      <w:pPr>
        <w:sectPr>
          <w:pgSz w:w="11900" w:h="16838" w:orient="portrait"/>
          <w:cols w:equalWidth="0" w:num="1">
            <w:col w:w="10159"/>
          </w:cols>
          <w:pgMar w:left="300" w:top="142"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21.1</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WASTE MANAGEMENT, INC. SUBSIDIARIES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3368084 Canada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635952 Ontario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709292 Alberta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730810 Alberta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740922 Alberta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762570 Alberta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Smith &amp; Sons (Waste Disposal)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A.C.T.S.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A.S.P.I.C.A. S.r.1.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A-1 Compaction,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Dba United Waste Systems of West Michigan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Acaverde S.A. de C.V.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Acaverde Servicios, S.A. de C.V.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Action Portables,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Advanced Environmental Technical Services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Advanced Environmental Technical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Afvalstoffen Terminal Moerdijk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Ahren's Container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Akron Regional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Allens United Septic Tank Services (Manawtu)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Allens United Septic Tank Services (Whangarei)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Alliance Sanitary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All-Waste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All-Waste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Canyon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Landfill Gas Co.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Waste Control of New York,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Anchorage Refuse,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Andersen, Incorporated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Anderson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Anderson-Cottonwood Disposal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APEX Waste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Arden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Arklin Brothers Enterprises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Arrow Refuse,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Aseo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Ashira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Atascadero Waste Alternatives, Inc.</w:t>
      </w:r>
    </w:p>
    <w:p>
      <w:pPr>
        <w:sectPr>
          <w:pgSz w:w="11900" w:h="16838" w:orient="portrait"/>
          <w:cols w:equalWidth="0" w:num="1">
            <w:col w:w="10159"/>
          </w:cols>
          <w:pgMar w:left="30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1 of 36</w:t>
      </w:r>
    </w:p>
    <w:p>
      <w:pPr>
        <w:sectPr>
          <w:pgSz w:w="11900" w:h="16838" w:orient="portrait"/>
          <w:cols w:equalWidth="0" w:num="1">
            <w:col w:w="10159"/>
          </w:cols>
          <w:pgMar w:left="300" w:top="141" w:right="1440" w:bottom="1440" w:gutter="0" w:footer="0" w:header="0"/>
          <w:type w:val="continuous"/>
        </w:sectPr>
      </w:pPr>
    </w:p>
    <w:bookmarkStart w:id="302" w:name="page303"/>
    <w:bookmarkEnd w:id="302"/>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Atlantic Waste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ATM Entsorgung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Automated Recycling Technologies,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Automated Salvage Transport,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Auxiwaste Services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Avenal Waste Alternatives,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 Bryant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Azusa Land Reclamation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B&amp;B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B&amp;E Cartage,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B&amp;L Disposal Co.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Holmes (Graded Paper)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B.J.:s Tankrengoring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Bad Bins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Baltimore Environmental Recovery Group, Inc.</w:t>
      </w:r>
    </w:p>
    <w:p>
      <w:pPr>
        <w:spacing w:after="0" w:line="175" w:lineRule="exact"/>
        <w:rPr>
          <w:sz w:val="20"/>
          <w:szCs w:val="20"/>
          <w:color w:val="auto"/>
        </w:rPr>
      </w:pPr>
    </w:p>
    <w:p>
      <w:pPr>
        <w:ind w:right="4939"/>
        <w:spacing w:after="0" w:line="597" w:lineRule="auto"/>
        <w:rPr>
          <w:sz w:val="20"/>
          <w:szCs w:val="20"/>
          <w:color w:val="auto"/>
        </w:rPr>
      </w:pPr>
      <w:r>
        <w:rPr>
          <w:rFonts w:ascii="Courier New" w:cs="Courier New" w:eastAsia="Courier New" w:hAnsi="Courier New"/>
          <w:sz w:val="14"/>
          <w:szCs w:val="14"/>
          <w:color w:val="auto"/>
        </w:rPr>
        <w:t>Baltimore Refuse Energy Systems Company, Limited Partnership Bargningsjouren I Soderhamn AB Bayside of Marion, Inc.</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Bentofix Technologies (CANADA),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Bentofix Technologies (USA),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Besco Bins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Best Recycling and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Bestan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BFI (NZ)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BFI Waste Care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Big Valley Transport,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Bio Gro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Bisig Disposal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Bluegrass Containment,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Bolton Road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Boone Waste Industries,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Boothscreek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 Container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Bosarge &amp; Edmonds Contractors,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Dba Robo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Boudin's Waste &amp;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Braddon Enterprises,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Brazoria County Recycling Center,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BCRC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Brazoria County Recycling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USA Brazoria County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WRS Transfer Station</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2 of 36</w:t>
      </w:r>
    </w:p>
    <w:p>
      <w:pPr>
        <w:sectPr>
          <w:pgSz w:w="11900" w:h="16838" w:orient="portrait"/>
          <w:cols w:equalWidth="0" w:num="1">
            <w:col w:w="10159"/>
          </w:cols>
          <w:pgMar w:left="300" w:top="286" w:right="1440" w:bottom="1440" w:gutter="0" w:footer="0" w:header="0"/>
          <w:type w:val="continuous"/>
        </w:sectPr>
      </w:pPr>
    </w:p>
    <w:bookmarkStart w:id="303" w:name="page304"/>
    <w:bookmarkEnd w:id="303"/>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Brem-Air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Bridgeport Resco Company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Britannia Crest Recycling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Briteway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Broderna Hedblom AB</w:t>
      </w:r>
    </w:p>
    <w:p>
      <w:pPr>
        <w:spacing w:after="0" w:line="175" w:lineRule="exact"/>
        <w:rPr>
          <w:sz w:val="20"/>
          <w:szCs w:val="20"/>
          <w:color w:val="auto"/>
        </w:rPr>
      </w:pPr>
    </w:p>
    <w:p>
      <w:pPr>
        <w:ind w:right="3459"/>
        <w:spacing w:after="0" w:line="597" w:lineRule="auto"/>
        <w:rPr>
          <w:sz w:val="20"/>
          <w:szCs w:val="20"/>
          <w:color w:val="auto"/>
        </w:rPr>
      </w:pPr>
      <w:r>
        <w:rPr>
          <w:rFonts w:ascii="Courier New" w:cs="Courier New" w:eastAsia="Courier New" w:hAnsi="Courier New"/>
          <w:sz w:val="14"/>
          <w:szCs w:val="14"/>
          <w:color w:val="auto"/>
        </w:rPr>
        <w:t>Browning Ferris Industries (Superannuations) Pty Ltd Budget Bins Ltd Builders Bins Pty Ltd Burnsville Sanitary Landfill, Inc. Buy-In, Inc.</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BV Van Vliet Groep Milieundienstverleners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C&amp;L Disposal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C.D.M.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C.I.D. MRRF,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C.I.D. Refuse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Caire's CKC Enterprises,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 Sanitation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 Sierra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 Sierra Transfer,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 Asbestos Monofill, Inc.</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CAM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 Waste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Campbell Wells Norm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Canadian Waste Services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Canadian Waste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Canterbury Waste Services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Sanitation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Capitol City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Capitol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Caramella-Ballardini,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Cardinal Ridge Development,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Carmel Marina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Carolina Grading,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Carver Transfer &amp; Processing,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Cedar Hammock Refuse Disposal Corporation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Manatee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Sarasota County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Cedar Ridge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Disposal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Missouri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Valley Waste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Ceriani Cave Srl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Chadwick Road Landfill,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Dba Chadwick Road Landfill</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3 of 36</w:t>
      </w:r>
    </w:p>
    <w:p>
      <w:pPr>
        <w:sectPr>
          <w:pgSz w:w="11900" w:h="16838" w:orient="portrait"/>
          <w:cols w:equalWidth="0" w:num="1">
            <w:col w:w="10159"/>
          </w:cols>
          <w:pgMar w:left="300" w:top="286" w:right="1440" w:bottom="1440" w:gutter="0" w:footer="0" w:header="0"/>
          <w:type w:val="continuous"/>
        </w:sectPr>
      </w:pPr>
    </w:p>
    <w:bookmarkStart w:id="304" w:name="page305"/>
    <w:bookmarkEnd w:id="304"/>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Clearview Environmental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Development Company, Inc.</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Monroeville Landfill</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North Huntington Hauling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Development of Ohio,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of Mississippi,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of West Virginia,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Charlotte Landscaping &amp;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Chastang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Waste Management de Mexico, S.A. de C.V.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Waste Management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Waste Management of Indiana,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Waste Management of the Northwest,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 Waste Management,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Trade Waste Incineration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Chem-Nuclear of Canada,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Chem-Nuclear Systems,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Chesser Island Road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Suppliers,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Chiquita Canyon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Chuck's Portable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Disposal Systems,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Disposal Systems Corporation,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Environmental Services Landfill, Inc. of Florida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Environmental Services Landfill, Inc. of Hastings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Environmental Services of West Michigan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Express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Hastings Sanitary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Lubbers Resource Systems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Environmental Services Landfill, Inc. of Lapeer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Pioneer Rock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Environmental Services Landfill, Inc. of Panama City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Environmental Services Landfill, Inc. of Saginaw</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Saginaw Valley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Environmental Services, Inc. of Mid-Michigan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CES-Saginaw</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CES- West Branch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Express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Environmental Services, Inc. of Waters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Management Corporation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Adam Refuse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Brent Run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CES - Montrose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Disposal System</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Environment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Environmental Contracting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Environmental</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4 of 36</w:t>
      </w:r>
    </w:p>
    <w:p>
      <w:pPr>
        <w:sectPr>
          <w:pgSz w:w="11900" w:h="16838" w:orient="portrait"/>
          <w:cols w:equalWidth="0" w:num="1">
            <w:col w:w="10159"/>
          </w:cols>
          <w:pgMar w:left="300" w:top="286" w:right="1440" w:bottom="1440" w:gutter="0" w:footer="0" w:header="0"/>
          <w:type w:val="continuous"/>
        </w:sectPr>
      </w:pPr>
    </w:p>
    <w:bookmarkStart w:id="305" w:name="page306"/>
    <w:bookmarkEnd w:id="305"/>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Environmental Services East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Environmental Services of Montrose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Environmental Services of Joilet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Equipment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Express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Liquid Treatment and Processing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Municipal Services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Recycling Center City Sand &amp;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D&amp;J Refuse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G&amp;G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Gary's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J.L. Smith Refuse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M&amp;M Contracting of Michigan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M&amp;M Holding Company,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Metro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Michigan City Management Corporation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Moore's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People's Garbage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People's Garbage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People's Garbage Disposal of Midland/Gladwin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Pollard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Premier Steel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Raska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Seymour Road Demolition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Seymour Road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Soave-Volpe Hauling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Trashbusters Transfer Station,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United Machinery Movers and Erectors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Universal Waste &amp; Transit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Whitefeather Development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Clarfield Recycling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Clayton-Ward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CleanSoils of Fairless Hills,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Cleburne Landfill Company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Cleburne Landfill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Clements Waste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Cloverdale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CNS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CNSI Sub,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Coast Waste Management,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Cocopah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Colorado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Columbia County Drop Off Box,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Forest Grove Disposal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 Trucking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Columbia County Recycling &amp; Garbage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Columbia Geosystems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Columbia Nehalem Sanitary Service, Inc.</w:t>
      </w: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5 of 36</w:t>
      </w:r>
    </w:p>
    <w:p>
      <w:pPr>
        <w:sectPr>
          <w:pgSz w:w="11900" w:h="16838" w:orient="portrait"/>
          <w:cols w:equalWidth="0" w:num="1">
            <w:col w:w="10159"/>
          </w:cols>
          <w:pgMar w:left="300" w:top="286"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Colusa Solid Waste &amp;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Valley Sanitary Waste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Conservation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Container Recycling Alliance,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Contractor Container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Copper Mountain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Corning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Coshocton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Cougar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Countryside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County-Wide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 Control I Sandviken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CWM Chemical Services,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CWM Resource Recovery,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Dafters Sanitary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Dakota Landfill, Inc.</w:t>
      </w:r>
    </w:p>
    <w:p>
      <w:pPr>
        <w:spacing w:after="0" w:line="175" w:lineRule="exact"/>
        <w:rPr>
          <w:sz w:val="20"/>
          <w:szCs w:val="20"/>
          <w:color w:val="auto"/>
        </w:rPr>
      </w:pPr>
    </w:p>
    <w:p>
      <w:pPr>
        <w:jc w:val="right"/>
        <w:ind w:right="7539"/>
        <w:spacing w:after="0"/>
        <w:rPr>
          <w:sz w:val="20"/>
          <w:szCs w:val="20"/>
          <w:color w:val="auto"/>
        </w:rPr>
      </w:pPr>
      <w:r>
        <w:rPr>
          <w:rFonts w:ascii="Courier New" w:cs="Courier New" w:eastAsia="Courier New" w:hAnsi="Courier New"/>
          <w:sz w:val="14"/>
          <w:szCs w:val="14"/>
          <w:color w:val="auto"/>
        </w:rPr>
        <w:t>Dakota Resource Recovery, Inc.</w:t>
      </w:r>
    </w:p>
    <w:p>
      <w:pPr>
        <w:spacing w:after="0" w:line="8" w:lineRule="exact"/>
        <w:rPr>
          <w:sz w:val="20"/>
          <w:szCs w:val="20"/>
          <w:color w:val="auto"/>
        </w:rPr>
      </w:pPr>
    </w:p>
    <w:p>
      <w:pPr>
        <w:jc w:val="right"/>
        <w:ind w:right="7539"/>
        <w:spacing w:after="0"/>
        <w:rPr>
          <w:sz w:val="20"/>
          <w:szCs w:val="20"/>
          <w:color w:val="auto"/>
        </w:rPr>
      </w:pPr>
      <w:r>
        <w:rPr>
          <w:rFonts w:ascii="Courier New" w:cs="Courier New" w:eastAsia="Courier New" w:hAnsi="Courier New"/>
          <w:sz w:val="14"/>
          <w:szCs w:val="14"/>
          <w:color w:val="auto"/>
        </w:rPr>
        <w:t>United Waste Transfer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Dauphin Meadows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Decker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 Valley Landfill, Inc.</w:t>
      </w:r>
    </w:p>
    <w:p>
      <w:pPr>
        <w:spacing w:after="0" w:line="175" w:lineRule="exact"/>
        <w:rPr>
          <w:sz w:val="20"/>
          <w:szCs w:val="20"/>
          <w:color w:val="auto"/>
        </w:rPr>
      </w:pPr>
    </w:p>
    <w:p>
      <w:pPr>
        <w:jc w:val="right"/>
        <w:ind w:right="7539"/>
        <w:spacing w:after="0"/>
        <w:rPr>
          <w:sz w:val="20"/>
          <w:szCs w:val="20"/>
          <w:color w:val="auto"/>
        </w:rPr>
      </w:pPr>
      <w:r>
        <w:rPr>
          <w:rFonts w:ascii="Courier New" w:cs="Courier New" w:eastAsia="Courier New" w:hAnsi="Courier New"/>
          <w:sz w:val="14"/>
          <w:szCs w:val="14"/>
          <w:color w:val="auto"/>
        </w:rPr>
        <w:t>Deer Track Park Landfill, Inc.</w:t>
      </w:r>
    </w:p>
    <w:p>
      <w:pPr>
        <w:spacing w:after="0" w:line="8" w:lineRule="exact"/>
        <w:rPr>
          <w:sz w:val="20"/>
          <w:szCs w:val="20"/>
          <w:color w:val="auto"/>
        </w:rPr>
      </w:pPr>
    </w:p>
    <w:p>
      <w:pPr>
        <w:jc w:val="right"/>
        <w:ind w:right="7539"/>
        <w:spacing w:after="0"/>
        <w:rPr>
          <w:sz w:val="20"/>
          <w:szCs w:val="20"/>
          <w:color w:val="auto"/>
        </w:rPr>
      </w:pPr>
      <w:r>
        <w:rPr>
          <w:rFonts w:ascii="Courier New" w:cs="Courier New" w:eastAsia="Courier New" w:hAnsi="Courier New"/>
          <w:sz w:val="14"/>
          <w:szCs w:val="14"/>
          <w:color w:val="auto"/>
        </w:rPr>
        <w:t>Advance Service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DeLand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Recyclable Products,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Dickinson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Disposal Services,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Disposal Services Medical Waste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Diversified Scientific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 Trucking,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Donno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Drake's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Waste Marketing,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Durachem Limited Partnership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Eager Beaver Sanitary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Eagle River Refuse,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Earthcorp,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Earthmovers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 Liverpool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Development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Disposal of Georgia,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Environmental Services of Florida,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Environmental Services of the Northeast,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Transfer of New York, Inc.</w:t>
      </w:r>
    </w:p>
    <w:p>
      <w:pPr>
        <w:sectPr>
          <w:pgSz w:w="11900" w:h="16838" w:orient="portrait"/>
          <w:cols w:equalWidth="0" w:num="1">
            <w:col w:w="10159"/>
          </w:cols>
          <w:pgMar w:left="300" w:top="286" w:right="1440" w:bottom="643" w:gutter="0" w:footer="0" w:header="0"/>
        </w:sectPr>
      </w:pP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6 of 36</w:t>
      </w:r>
    </w:p>
    <w:p>
      <w:pPr>
        <w:sectPr>
          <w:pgSz w:w="11900" w:h="16838" w:orient="portrait"/>
          <w:cols w:equalWidth="0" w:num="1">
            <w:col w:w="10159"/>
          </w:cols>
          <w:pgMar w:left="300" w:top="286" w:right="1440" w:bottom="643" w:gutter="0" w:footer="0" w:header="0"/>
          <w:type w:val="continuous"/>
        </w:sectPr>
      </w:pPr>
    </w:p>
    <w:bookmarkStart w:id="307" w:name="page308"/>
    <w:bookmarkEnd w:id="307"/>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Waste of New York,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Waste of West Virginia,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 Waste,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Ecoadda Srl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Ecol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Econergy Moerdijk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Ecopi Srl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Ecoserve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Ecovision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Eksjo Rehallning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 Coqui de San Juan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 Coqui Landfill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 Coqui Waste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 Dorado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Elk River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EMICA S.r.1.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Englewood Disposal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Envirofil of Illinois,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Envirofil,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Enviroland, Incorporated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Control,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Technologies China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Enviropace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Credit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ESG Entsorgungswirtschaft Soest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Evergreen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Evergreen Recycling &amp; Disposal Facility,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F.L.I. International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Fall River Recycling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Farmer's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Feather River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Fernley Disposal,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Churchill County Refuse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Fernley Sanitation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FFF,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Fibre Fuel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Waste Ltd. (Guernsey)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Freeth &amp; Brocks Bins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Front Range Landfill,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Best Trash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City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ERD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Franklin Street Transfer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Frontier Environmental,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Future-Tech Environmental Services, Inc.</w:t>
      </w:r>
    </w:p>
    <w:p>
      <w:pPr>
        <w:sectPr>
          <w:pgSz w:w="11900" w:h="16838" w:orient="portrait"/>
          <w:cols w:equalWidth="0" w:num="1">
            <w:col w:w="10159"/>
          </w:cols>
          <w:pgMar w:left="300" w:top="286" w:right="1440" w:bottom="1144" w:gutter="0" w:footer="0" w:header="0"/>
        </w:sectPr>
      </w:pP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7 of 36</w:t>
      </w:r>
    </w:p>
    <w:p>
      <w:pPr>
        <w:sectPr>
          <w:pgSz w:w="11900" w:h="16838" w:orient="portrait"/>
          <w:cols w:equalWidth="0" w:num="1">
            <w:col w:w="10159"/>
          </w:cols>
          <w:pgMar w:left="300" w:top="286" w:right="1440" w:bottom="1144" w:gutter="0" w:footer="0" w:header="0"/>
          <w:type w:val="continuous"/>
        </w:sectPr>
      </w:pPr>
    </w:p>
    <w:bookmarkStart w:id="308" w:name="page309"/>
    <w:bookmarkEnd w:id="308"/>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G.C. Environmental,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 Industries,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 Landfills,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Gallia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Garnet of Maryland,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Gastriklands Atervinnings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Rubbish Collection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Sanitation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Geolining Abdichtungstechnik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 Waste Systems,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B.J.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Chapman Waste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Rolling Hills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Augusta- Aiken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Atlanta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Macon</w:t>
      </w:r>
    </w:p>
    <w:p>
      <w:pPr>
        <w:spacing w:after="0" w:line="175" w:lineRule="exact"/>
        <w:rPr>
          <w:sz w:val="20"/>
          <w:szCs w:val="20"/>
          <w:color w:val="auto"/>
        </w:rPr>
      </w:pPr>
    </w:p>
    <w:p>
      <w:pPr>
        <w:ind w:right="5039"/>
        <w:spacing w:after="0" w:line="420" w:lineRule="auto"/>
        <w:rPr>
          <w:sz w:val="20"/>
          <w:szCs w:val="20"/>
          <w:color w:val="auto"/>
        </w:rPr>
      </w:pPr>
      <w:r>
        <w:rPr>
          <w:rFonts w:ascii="Courier New" w:cs="Courier New" w:eastAsia="Courier New" w:hAnsi="Courier New"/>
          <w:sz w:val="14"/>
          <w:szCs w:val="14"/>
          <w:color w:val="auto"/>
        </w:rPr>
        <w:t>GES Gesallschaft zur Entdorgung von Sekundaerrohstoffen mbH Gesam Gestione Servizi Ambientali S.p.A. Gestion Des Rebuts D.M.P.</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Mauricie Bois- Franc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Parc Hirondelles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Gestioni Ambientali, Srl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 Industries,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Glenn County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Glen's Sanitary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Golden State Debris Box</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Graham Road Recycling &amp; Disposal Facility,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Central Sanitary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Central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Greater Manchester Sites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 Valley Disposal - Burbank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 Valley Disposal - District-1,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 Valley Disposal - San Jose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 Valley Disposal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 Valley Landfill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 Valley Recycling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Greenfield WMI Transfer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Greenhills Landfill Restoration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Ground, Sea, Air International Forwarder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Grupo WMX, S.A. De C.V.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Guadalupe Rubbish Disposal Co.,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Guangzhou Guang Jia Environmental Protection Co.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Gulf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Guyan Transfer and Sanitation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H.B.J.J., Incorporated</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8 of 36</w:t>
      </w:r>
    </w:p>
    <w:p>
      <w:pPr>
        <w:sectPr>
          <w:pgSz w:w="11900" w:h="16838" w:orient="portrait"/>
          <w:cols w:equalWidth="0" w:num="1">
            <w:col w:w="10159"/>
          </w:cols>
          <w:pgMar w:left="300" w:top="286" w:right="1440" w:bottom="1440" w:gutter="0" w:footer="0" w:header="0"/>
          <w:type w:val="continuous"/>
        </w:sectPr>
      </w:pPr>
    </w:p>
    <w:bookmarkStart w:id="309" w:name="page310"/>
    <w:bookmarkEnd w:id="309"/>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Hamm's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Hangzhou Zhong Jia Environmental Technology Co.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Harris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Harris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Harwood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Hillsboro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Hillside Recycling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Hite Construction,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Hollander Industriediensten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Hollister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Holyoke Sanitary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Hopper Services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Hudson Jersey Sanitation Co.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IBKA Miljoservice 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IBKA UK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Ichochema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Icopower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Icosloop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Icotech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Icova B.V.</w:t>
      </w:r>
    </w:p>
    <w:p>
      <w:pPr>
        <w:spacing w:after="0" w:line="175"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4"/>
          <w:szCs w:val="14"/>
          <w:color w:val="auto"/>
        </w:rPr>
        <w:t>Icova Maltha Glascollecting</w:t>
        <w:tab/>
        <w:t>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Landfills,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Disposal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Sanitation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Incline Sanitation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Interport Paper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Intersan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Location Sanico Ltee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Dechex Ltee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Centre de Tri Transit (1) Inc./Transit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IRA S.r.1.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Bar J Land,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Aberg Forvaltning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van Loenen en Zonen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J.H.:s Miljo &amp; Transport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J.R. McKeen Contractors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Jaarstveld Groen En Milieu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Jahner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Jay County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Jennings Environmental Services Pty Ltd (50%)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Jennings Liquid Waste Pty Ltd. (50%)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JFS (UK)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Smith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Johnson Canyon Road Disposal Site, Inc.</w:t>
      </w:r>
    </w:p>
    <w:p>
      <w:pPr>
        <w:sectPr>
          <w:pgSz w:w="11900" w:h="16838" w:orient="portrait"/>
          <w:cols w:equalWidth="0" w:num="1">
            <w:col w:w="10159"/>
          </w:cols>
          <w:pgMar w:left="300" w:top="286" w:right="1440" w:bottom="1144" w:gutter="0" w:footer="0" w:header="0"/>
        </w:sectPr>
      </w:pP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Page 9 of 36</w:t>
      </w:r>
    </w:p>
    <w:p>
      <w:pPr>
        <w:sectPr>
          <w:pgSz w:w="11900" w:h="16838" w:orient="portrait"/>
          <w:cols w:equalWidth="0" w:num="1">
            <w:col w:w="10159"/>
          </w:cols>
          <w:pgMar w:left="300" w:top="286" w:right="1440" w:bottom="1144" w:gutter="0" w:footer="0" w:header="0"/>
          <w:type w:val="continuous"/>
        </w:sectPr>
      </w:pPr>
    </w:p>
    <w:bookmarkStart w:id="310" w:name="page311"/>
    <w:bookmarkEnd w:id="310"/>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Jones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Jones Sanitation,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Jumbo Bins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Junker Sanitation Services,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United Waste Systems of Minnesota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and W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Kahle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Keene Road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Kelly Run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Ken's Pickup Service,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United Waste Systems of Northern Michigan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Kershaw County,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Disposal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Kimmins Recycling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King George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Klamath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Klok Containers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Knutson Material Recovery Facility,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Knutson Services,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Knutson Kleen Sweep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L&amp;K Debris Box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 &amp; K Disposal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L&amp;M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 de Kleijn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 Reclamation Company,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Kestrel Hawk Park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Landfill of Pine Ridge,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Landfill Services of Charleston,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Landfill Systems,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Landfill Systems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Larry's Sanitary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Lassen Waste Lines,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Lassen Waste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Laurel Highlands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Laurel Ridge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LCS Services,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LCS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 Mountain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Lewis Road Disposal Site,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LFG Production (Partnership)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LG-Garnet of Maryland JV</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DC U line Transfer Liberty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 Lane West Owner's Association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 Waste Management,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Living Earth Joint Venture Company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Local Sanitation of Rowan County, L.L.C.</w:t>
      </w:r>
    </w:p>
    <w:p>
      <w:pPr>
        <w:sectPr>
          <w:pgSz w:w="11900" w:h="16838" w:orient="portrait"/>
          <w:cols w:equalWidth="0" w:num="1">
            <w:col w:w="10159"/>
          </w:cols>
          <w:pgMar w:left="300" w:top="286" w:right="1440" w:bottom="1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10 of 36</w:t>
      </w:r>
    </w:p>
    <w:p>
      <w:pPr>
        <w:sectPr>
          <w:pgSz w:w="11900" w:h="16838" w:orient="portrait"/>
          <w:cols w:equalWidth="0" w:num="1">
            <w:col w:w="10159"/>
          </w:cols>
          <w:pgMar w:left="300" w:top="286" w:right="1440" w:bottom="1144" w:gutter="0" w:footer="0" w:header="0"/>
          <w:type w:val="continuous"/>
        </w:sectPr>
      </w:pPr>
    </w:p>
    <w:bookmarkStart w:id="311" w:name="page312"/>
    <w:bookmarkEnd w:id="311"/>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Lo-Cost Waste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Lodi Sanitary City Disposal Co.,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Longview of Mercer County I,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Longview of Mid-Missouri,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Longview of Ocean County,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Longview of Pettis County,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Longview of St. Joseph,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Loristan Services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M.P.S. Medical Package Service Srl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M.S.T.S.,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Mac's Garbage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Madison Lane Properties,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Mahoning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Manliba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Maplewood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Marangi Brothers,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Maraoil 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Marius Pedersen Odense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Mashor &amp; Reym Charters Sdn Bhd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Mashor Reym Sdn. Bhd.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Mashor WM Brunei Sdn Bhd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 Gravel,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Massachusetts Refusetech,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McDaniel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McGill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McGinnes Industrial Maintenance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Meadowfill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Megastock,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Michigan Environs, Inc.</w:t>
      </w:r>
    </w:p>
    <w:p>
      <w:pPr>
        <w:spacing w:after="0" w:line="8" w:lineRule="exact"/>
        <w:rPr>
          <w:sz w:val="20"/>
          <w:szCs w:val="20"/>
          <w:color w:val="auto"/>
        </w:rPr>
      </w:pPr>
    </w:p>
    <w:p>
      <w:pPr>
        <w:jc w:val="both"/>
        <w:ind w:left="800"/>
        <w:spacing w:after="0"/>
        <w:tabs>
          <w:tab w:leader="none" w:pos="1460" w:val="left"/>
        </w:tabs>
        <w:rPr>
          <w:sz w:val="20"/>
          <w:szCs w:val="20"/>
          <w:color w:val="auto"/>
        </w:rPr>
      </w:pPr>
      <w:r>
        <w:rPr>
          <w:rFonts w:ascii="Courier New" w:cs="Courier New" w:eastAsia="Courier New" w:hAnsi="Courier New"/>
          <w:sz w:val="14"/>
          <w:szCs w:val="14"/>
          <w:color w:val="auto"/>
        </w:rPr>
        <w:t>United</w:t>
        <w:tab/>
        <w:t>Waste Systems of Menominee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UWS of Menominee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 Valley Portable Storage,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Middle Island Enterprises,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Midwest Transport,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Miljoarbetarna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Miller's Sanitary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M-L Commercial Garbage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Modesto Garbage,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Mohave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Moor Refuse,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Mountain Indemnity Insurance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Mountain Waste,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Mountainview Landfill, Inc.</w:t>
      </w:r>
    </w:p>
    <w:p>
      <w:pPr>
        <w:sectPr>
          <w:pgSz w:w="11900" w:h="16838" w:orient="portrait"/>
          <w:cols w:equalWidth="0" w:num="1">
            <w:col w:w="10159"/>
          </w:cols>
          <w:pgMar w:left="300" w:top="286" w:right="1440" w:bottom="9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11 of 36</w:t>
      </w:r>
    </w:p>
    <w:p>
      <w:pPr>
        <w:sectPr>
          <w:pgSz w:w="11900" w:h="16838" w:orient="portrait"/>
          <w:cols w:equalWidth="0" w:num="1">
            <w:col w:w="10159"/>
          </w:cols>
          <w:pgMar w:left="300" w:top="286" w:right="1440" w:bottom="976" w:gutter="0" w:footer="0" w:header="0"/>
          <w:type w:val="continuous"/>
        </w:sectPr>
      </w:pPr>
    </w:p>
    <w:bookmarkStart w:id="312" w:name="page313"/>
    <w:bookmarkEnd w:id="312"/>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Mountainview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MSTS. Lizenz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Mull Entsorgung West GmbH &amp; Co. KG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Mull Entsorgung West Verwaltungs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Napa Garbage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Napa Valley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Nassjo Renhallning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Guaranty Insurance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Neal Road Landfill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Nevada City Garbage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Nevada County Transfer,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England CR,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Milford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Organic Fertilizer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NH/VT Energy Recovery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Nichols Sanitation,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Lake Placid Sanitation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Hennepin Recycling &amp; Transfer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Valley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Northern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Northwestern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Norwaste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NSC Sales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Nu-Way Live Oak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NYOFCO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s.r.1.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Oak Grove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Oakridge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Oakwood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Ocean Combustion Service,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OCS NV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&amp; Solvent Process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Okeechobee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Olson's Sanitation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Olympic View Sanitary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County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Disposal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Resource Recovery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Orbit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Environmental Partners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Waste Alternatives,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Waste Management Holdings Pty.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Waste Management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Waste Management Ltd.</w:t>
      </w:r>
    </w:p>
    <w:p>
      <w:pPr>
        <w:sectPr>
          <w:pgSz w:w="11900" w:h="16838" w:orient="portrait"/>
          <w:cols w:equalWidth="0" w:num="1">
            <w:col w:w="10159"/>
          </w:cols>
          <w:pgMar w:left="300" w:top="286" w:right="1440" w:bottom="642" w:gutter="0" w:footer="0" w:header="0"/>
        </w:sectPr>
      </w:pP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12 of 36</w:t>
      </w:r>
    </w:p>
    <w:p>
      <w:pPr>
        <w:sectPr>
          <w:pgSz w:w="11900" w:h="16838" w:orient="portrait"/>
          <w:cols w:equalWidth="0" w:num="1">
            <w:col w:w="10159"/>
          </w:cols>
          <w:pgMar w:left="300" w:top="286" w:right="1440" w:bottom="642" w:gutter="0" w:footer="0" w:header="0"/>
          <w:type w:val="continuous"/>
        </w:sectPr>
      </w:pPr>
    </w:p>
    <w:bookmarkStart w:id="313" w:name="page314"/>
    <w:bookmarkEnd w:id="313"/>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Waste Management Pty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Waste Management,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Palo Alto Sanitation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Paper Recycling International,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Pappy,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Paradise Solid Waste Systems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Pearl Delta WMI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Pecan Grove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Peerless Landfill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Peninsula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Penn Warner Club,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Pen-Rob,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Penuelas Valley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People's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Peterson Demolition,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Phillipps &amp; Cypher,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Superior Portables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Phoenix Resources,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Photodigit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Pikes Point Transportation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Pilmuir Waste Disposal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Pine Bluff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Pine Grove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Pine Grove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Pine Ridge Landfill, Inc.</w:t>
      </w:r>
    </w:p>
    <w:p>
      <w:pPr>
        <w:spacing w:after="0" w:line="175" w:lineRule="exact"/>
        <w:rPr>
          <w:sz w:val="20"/>
          <w:szCs w:val="20"/>
          <w:color w:val="auto"/>
        </w:rPr>
      </w:pPr>
    </w:p>
    <w:p>
      <w:pPr>
        <w:jc w:val="right"/>
        <w:ind w:right="8319"/>
        <w:spacing w:after="0"/>
        <w:rPr>
          <w:sz w:val="20"/>
          <w:szCs w:val="20"/>
          <w:color w:val="auto"/>
        </w:rPr>
      </w:pPr>
      <w:r>
        <w:rPr>
          <w:rFonts w:ascii="Courier New" w:cs="Courier New" w:eastAsia="Courier New" w:hAnsi="Courier New"/>
          <w:sz w:val="14"/>
          <w:szCs w:val="14"/>
          <w:color w:val="auto"/>
        </w:rPr>
        <w:t>Pine Tree Acres, Inc.</w:t>
      </w:r>
    </w:p>
    <w:p>
      <w:pPr>
        <w:spacing w:after="0" w:line="8" w:lineRule="exact"/>
        <w:rPr>
          <w:sz w:val="20"/>
          <w:szCs w:val="20"/>
          <w:color w:val="auto"/>
        </w:rPr>
      </w:pPr>
    </w:p>
    <w:p>
      <w:pPr>
        <w:jc w:val="right"/>
        <w:ind w:right="8319"/>
        <w:spacing w:after="0"/>
        <w:rPr>
          <w:sz w:val="20"/>
          <w:szCs w:val="20"/>
          <w:color w:val="auto"/>
        </w:rPr>
      </w:pPr>
      <w:r>
        <w:rPr>
          <w:rFonts w:ascii="Courier New" w:cs="Courier New" w:eastAsia="Courier New" w:hAnsi="Courier New"/>
          <w:sz w:val="14"/>
          <w:szCs w:val="14"/>
          <w:color w:val="auto"/>
        </w:rPr>
        <w:t>S&amp;V Disposal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Plantation Oaks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Poly-Jon of Savannah,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PPK Environmental &amp; Infrastructure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Practical Recycling Systems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Prairie Bluff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Premier Cart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Progesam Ecosistemi Srl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PT Prasada Pamunah Limbah Industri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PT Waste Management Indonesia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Sanitary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Pulaski Sanitation,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Pullman Chimney of Canada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Pullman Power Products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Pullman Power Products International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Pullman Power Products of Ohio, Inc.</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13 of 36</w:t>
      </w:r>
    </w:p>
    <w:p>
      <w:pPr>
        <w:sectPr>
          <w:pgSz w:w="11900" w:h="16838" w:orient="portrait"/>
          <w:cols w:equalWidth="0" w:num="1">
            <w:col w:w="10159"/>
          </w:cols>
          <w:pgMar w:left="300" w:top="286" w:right="1440" w:bottom="1440" w:gutter="0" w:footer="0" w:header="0"/>
          <w:type w:val="continuous"/>
        </w:sectPr>
      </w:pPr>
    </w:p>
    <w:bookmarkStart w:id="314" w:name="page315"/>
    <w:bookmarkEnd w:id="314"/>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(ACT)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(Central Coast)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(Lyndhurst)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(NSW)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(SA)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(Victoria)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(WA)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Affiliates Superannuation Fund Pty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PWM Waste Services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Quail Hollow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Quality Waste Control,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Questquill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R&amp;B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R&amp;R Disposals,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R.S.W.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 Johnson (Haulage)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Rail Cycle North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Rail-Cycle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RCC Fiber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RCI Hudson,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United Waste Systems of Hudson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Recuperi Piemontesi Srl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Recycle &amp; Recover,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Recycle America,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Recycle Minnesota Resources,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Recycle New Zealand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Re-Cy-Co,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United Waste Transfer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 Bluff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Redwood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Refuse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Refuse Energy Systems Company J.V.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Refuse Services, Inc.</w:t>
      </w:r>
    </w:p>
    <w:p>
      <w:pPr>
        <w:spacing w:after="0" w:line="8"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4"/>
          <w:szCs w:val="14"/>
          <w:color w:val="auto"/>
        </w:rPr>
        <w:t>Clay County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Jacksonville Waste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Refuse,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Sage Street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Stead Street Transfer Station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Regin B.V. (20%)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Recycling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Regular Rubbish Removal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Reliable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Reliable Trash Hauling,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Remote Landfill Services, Inc.</w:t>
      </w:r>
    </w:p>
    <w:p>
      <w:pPr>
        <w:sectPr>
          <w:pgSz w:w="11900" w:h="16838" w:orient="portrait"/>
          <w:cols w:equalWidth="0" w:num="1">
            <w:col w:w="10159"/>
          </w:cols>
          <w:pgMar w:left="300" w:top="286" w:right="1440" w:bottom="1144" w:gutter="0" w:footer="0" w:header="0"/>
        </w:sectPr>
      </w:pP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14 of 36</w:t>
      </w:r>
    </w:p>
    <w:p>
      <w:pPr>
        <w:sectPr>
          <w:pgSz w:w="11900" w:h="16838" w:orient="portrait"/>
          <w:cols w:equalWidth="0" w:num="1">
            <w:col w:w="10159"/>
          </w:cols>
          <w:pgMar w:left="300" w:top="286" w:right="1440" w:bottom="1144" w:gutter="0" w:footer="0" w:header="0"/>
          <w:type w:val="continuous"/>
        </w:sectPr>
      </w:pPr>
    </w:p>
    <w:bookmarkStart w:id="315" w:name="page316"/>
    <w:bookmarkEnd w:id="315"/>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Reno Disposal Co.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Reno Sanitation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Sparks Sanitation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Renovadan Miljoservice 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Rent-a-Weld (Wirral)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Resco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Residuals Processing,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Residuos Industriales Multiquim, S.A. de C.V.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Control Composting,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 Control,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Reuter Recycling of Florida,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Reym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Richland County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Ridge Generating Station Limited Partnership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RIH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Riley Energy Systems of Lisbon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 Risk Management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Riverbend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 Meadows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RRT Design &amp; Construction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RRT Empire Returns of Monroe County,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RRT of New Jersey,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RRT of Pennsylvania,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RTS Landfill,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Del Mar Virginia District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Plant Atkinson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South Side Sanitation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Starr Tranfer Station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Rural Dispos-all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Rust Capital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Rust Controldua, S.A. De C.V.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Rust Engineering &amp; Construction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Rust International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Rust International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S&amp;J Landfill, Limited Partnership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S&amp;S Grading,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S.A.P. s.p.a.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S.P.E.M. S.p.A.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S.V. Farming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Sacramento Valley Environmental Waste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Saframa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SAH Transportation,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Sakab Batteri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Salinas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Salutec, S.A.</w:t>
      </w:r>
    </w:p>
    <w:p>
      <w:pPr>
        <w:sectPr>
          <w:pgSz w:w="11900" w:h="16838" w:orient="portrait"/>
          <w:cols w:equalWidth="0" w:num="1">
            <w:col w:w="10159"/>
          </w:cols>
          <w:pgMar w:left="300" w:top="286" w:right="1440" w:bottom="1144" w:gutter="0" w:footer="0" w:header="0"/>
        </w:sectPr>
      </w:pP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15 of 36</w:t>
      </w:r>
    </w:p>
    <w:p>
      <w:pPr>
        <w:sectPr>
          <w:pgSz w:w="11900" w:h="16838" w:orient="portrait"/>
          <w:cols w:equalWidth="0" w:num="1">
            <w:col w:w="10159"/>
          </w:cols>
          <w:pgMar w:left="300" w:top="286" w:right="1440" w:bottom="1144" w:gutter="0" w:footer="0" w:header="0"/>
          <w:type w:val="continuous"/>
        </w:sectPr>
      </w:pPr>
    </w:p>
    <w:bookmarkStart w:id="316" w:name="page317"/>
    <w:bookmarkEnd w:id="316"/>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San-Co Disposal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Sanifill de Mexico (US),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Sanifill de Mexico, S.A. de C.V.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Sanifill Forest Products,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Sanifill of Florida,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Sanifill of Hawaii,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Sanifill of San Juan,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Sanifill Power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San-I-Pak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SASA Ltda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 Holdings,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L&amp;D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Sanitary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SCS Contractors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Serrot Corporation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Serrot International, Inc. (f.k.a. National Seal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Serubam Servicos Urbanos E Ambientais Ltda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Servizi Piemonte S.r.1.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SES Bridgeport,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SES Connecticut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Shade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Shereg Schleswig Holstein Entsorgung Recycling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Shoreline Disposal Co.,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Sierra Estrella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Signal Capital Sherman Station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Signal RESCO,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Sirmas Srl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Skaraborgs Energi-Och Mijo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SMC Smaltimenti Controllati S.p.a.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Smyrna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Soaring Vista Properties,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Sokins Enterprises,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Sonoma Marin Waste Management,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Sonoma West Marin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 China WMI Transfer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Southern Alleghenies Landfill,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Altoona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Recycling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Southern Plains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Southern Waste Services,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Spruce Ridge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Star Sanitation Services, Inc.</w:t>
      </w:r>
    </w:p>
    <w:p>
      <w:pPr>
        <w:sectPr>
          <w:pgSz w:w="11900" w:h="16838" w:orient="portrait"/>
          <w:cols w:equalWidth="0" w:num="1">
            <w:col w:w="10159"/>
          </w:cols>
          <w:pgMar w:left="300" w:top="286" w:right="1440" w:bottom="1144" w:gutter="0" w:footer="0" w:header="0"/>
        </w:sectPr>
      </w:pP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16 of 36</w:t>
      </w:r>
    </w:p>
    <w:p>
      <w:pPr>
        <w:sectPr>
          <w:pgSz w:w="11900" w:h="16838" w:orient="portrait"/>
          <w:cols w:equalWidth="0" w:num="1">
            <w:col w:w="10159"/>
          </w:cols>
          <w:pgMar w:left="300" w:top="286" w:right="1440" w:bottom="1144" w:gutter="0" w:footer="0" w:header="0"/>
          <w:type w:val="continuous"/>
        </w:sectPr>
      </w:pPr>
    </w:p>
    <w:bookmarkStart w:id="317" w:name="page318"/>
    <w:bookmarkEnd w:id="317"/>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Stockton Scavengers Association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Stony Hollow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Storey County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Suburban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 Waste Alternatives,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 Cycle,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 Kwik,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Svensk Avfallskonvertering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Swindell-Dressler Energy Supply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Swindell-Dressler Leasing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Sylvan &amp; Qvibelius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Sylvans Kemiteknik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 R. Walters Investments,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Tabulator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Tabulator Forvaltning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Waste Management Charitable Foundation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Woodlands of Van Buren,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River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Tidy Up Australia Pty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Tidy Up Holdings Pty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TNT Sands,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Tonitown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Town &amp; Country Refuse,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Port-O-Let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 S.E. s.p.a.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 &amp; Domestic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 Domestic (1997)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Trail Ridge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Transamerican Waste Central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Transamerican Waste Industries of Southeast,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Transamerican Waste Industries,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Transmetro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Transportbedrijf Van Bliet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TransWaste,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Trash Hunters of Tunica,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Trash Hunters,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Tri-County Sanitary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TVG Transport und Verwertungsgesellschaft Darmstadt-Dieburg 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Twin City Sanitation,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Tyneside Waste Paper Co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 Waste Management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Waste Systems Leasing,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Waste Systems of Gardner, Inc.</w:t>
      </w:r>
    </w:p>
    <w:p>
      <w:pPr>
        <w:sectPr>
          <w:pgSz w:w="11900" w:h="16838" w:orient="portrait"/>
          <w:cols w:equalWidth="0" w:num="1">
            <w:col w:w="10159"/>
          </w:cols>
          <w:pgMar w:left="300" w:top="286" w:right="1440" w:bottom="1144" w:gutter="0" w:footer="0" w:header="0"/>
        </w:sectPr>
      </w:pP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17 of 36</w:t>
      </w:r>
    </w:p>
    <w:p>
      <w:pPr>
        <w:sectPr>
          <w:pgSz w:w="11900" w:h="16838" w:orient="portrait"/>
          <w:cols w:equalWidth="0" w:num="1">
            <w:col w:w="10159"/>
          </w:cols>
          <w:pgMar w:left="300" w:top="286" w:right="1440" w:bottom="1144" w:gutter="0" w:footer="0" w:header="0"/>
          <w:type w:val="continuous"/>
        </w:sectPr>
      </w:pPr>
    </w:p>
    <w:bookmarkStart w:id="318" w:name="page319"/>
    <w:bookmarkEnd w:id="318"/>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Waste Systems of Minneapolis,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Waste Systems of Minnesota,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Bellaire Sanitation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Gallagher's Service</w:t>
      </w:r>
    </w:p>
    <w:p>
      <w:pPr>
        <w:spacing w:after="0" w:line="8" w:lineRule="exact"/>
        <w:rPr>
          <w:sz w:val="20"/>
          <w:szCs w:val="20"/>
          <w:color w:val="auto"/>
        </w:rPr>
      </w:pPr>
    </w:p>
    <w:p>
      <w:pPr>
        <w:ind w:left="800" w:right="7799" w:hanging="10"/>
        <w:spacing w:after="0" w:line="252" w:lineRule="auto"/>
        <w:tabs>
          <w:tab w:leader="none" w:pos="1234"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Young Rubbish Lake Sanitation</w:t>
      </w: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Mike's Disposal and Recycling Service</w:t>
      </w:r>
    </w:p>
    <w:p>
      <w:pPr>
        <w:spacing w:after="0" w:line="8" w:lineRule="exact"/>
        <w:rPr>
          <w:rFonts w:ascii="Courier New" w:cs="Courier New" w:eastAsia="Courier New" w:hAnsi="Courier New"/>
          <w:sz w:val="14"/>
          <w:szCs w:val="14"/>
          <w:color w:val="auto"/>
        </w:rPr>
      </w:pPr>
    </w:p>
    <w:p>
      <w:pPr>
        <w:jc w:val="both"/>
        <w:ind w:left="800" w:right="90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UWS UWT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Waste Systems of Onaway,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Waste Systems of Trinity County,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Waste Systems,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Mike's Disposal &amp; Recycling Service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Waste Transfer,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Crinc,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South Hills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Valley Facility,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Arizona Landfill, Inc.</w:t>
      </w:r>
    </w:p>
    <w:p>
      <w:pPr>
        <w:spacing w:after="0" w:line="175" w:lineRule="exact"/>
        <w:rPr>
          <w:sz w:val="20"/>
          <w:szCs w:val="20"/>
          <w:color w:val="auto"/>
        </w:rPr>
      </w:pPr>
    </w:p>
    <w:p>
      <w:pPr>
        <w:jc w:val="right"/>
        <w:ind w:right="7459"/>
        <w:spacing w:after="0"/>
        <w:rPr>
          <w:sz w:val="20"/>
          <w:szCs w:val="20"/>
          <w:color w:val="auto"/>
        </w:rPr>
      </w:pPr>
      <w:r>
        <w:rPr>
          <w:rFonts w:ascii="Courier New" w:cs="Courier New" w:eastAsia="Courier New" w:hAnsi="Courier New"/>
          <w:sz w:val="14"/>
          <w:szCs w:val="14"/>
          <w:color w:val="auto"/>
        </w:rPr>
        <w:t>USA Waste Geneva Landfill, Inc.</w:t>
      </w:r>
    </w:p>
    <w:p>
      <w:pPr>
        <w:spacing w:after="0" w:line="8" w:lineRule="exact"/>
        <w:rPr>
          <w:sz w:val="20"/>
          <w:szCs w:val="20"/>
          <w:color w:val="auto"/>
        </w:rPr>
      </w:pPr>
    </w:p>
    <w:p>
      <w:pPr>
        <w:jc w:val="right"/>
        <w:ind w:right="7459"/>
        <w:spacing w:after="0"/>
        <w:rPr>
          <w:sz w:val="20"/>
          <w:szCs w:val="20"/>
          <w:color w:val="auto"/>
        </w:rPr>
      </w:pPr>
      <w:r>
        <w:rPr>
          <w:rFonts w:ascii="Courier New" w:cs="Courier New" w:eastAsia="Courier New" w:hAnsi="Courier New"/>
          <w:sz w:val="14"/>
          <w:szCs w:val="14"/>
          <w:color w:val="auto"/>
        </w:rPr>
        <w:t>USA Waste of Ashtabula</w:t>
      </w:r>
    </w:p>
    <w:p>
      <w:pPr>
        <w:spacing w:after="0" w:line="175" w:lineRule="exact"/>
        <w:rPr>
          <w:sz w:val="20"/>
          <w:szCs w:val="20"/>
          <w:color w:val="auto"/>
        </w:rPr>
      </w:pPr>
    </w:p>
    <w:p>
      <w:pPr>
        <w:jc w:val="right"/>
        <w:ind w:right="7119"/>
        <w:spacing w:after="0"/>
        <w:rPr>
          <w:sz w:val="20"/>
          <w:szCs w:val="20"/>
          <w:color w:val="auto"/>
        </w:rPr>
      </w:pPr>
      <w:r>
        <w:rPr>
          <w:rFonts w:ascii="Courier New" w:cs="Courier New" w:eastAsia="Courier New" w:hAnsi="Courier New"/>
          <w:sz w:val="14"/>
          <w:szCs w:val="14"/>
          <w:color w:val="auto"/>
        </w:rPr>
        <w:t>USA Waste Industrial Services, Inc.</w:t>
      </w:r>
    </w:p>
    <w:p>
      <w:pPr>
        <w:spacing w:after="0" w:line="8" w:lineRule="exact"/>
        <w:rPr>
          <w:sz w:val="20"/>
          <w:szCs w:val="20"/>
          <w:color w:val="auto"/>
        </w:rPr>
      </w:pPr>
    </w:p>
    <w:p>
      <w:pPr>
        <w:jc w:val="right"/>
        <w:ind w:right="7119"/>
        <w:spacing w:after="0"/>
        <w:rPr>
          <w:sz w:val="20"/>
          <w:szCs w:val="20"/>
          <w:color w:val="auto"/>
        </w:rPr>
      </w:pPr>
      <w:r>
        <w:rPr>
          <w:rFonts w:ascii="Courier New" w:cs="Courier New" w:eastAsia="Courier New" w:hAnsi="Courier New"/>
          <w:sz w:val="14"/>
          <w:szCs w:val="14"/>
          <w:color w:val="auto"/>
        </w:rPr>
        <w:t>USA Environmental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Landfill Operations and Transfer,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Waste-Management Resources,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Alaska,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California,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Castaic Disposal</w:t>
      </w:r>
    </w:p>
    <w:p>
      <w:pPr>
        <w:spacing w:after="0" w:line="8" w:lineRule="exact"/>
        <w:rPr>
          <w:sz w:val="20"/>
          <w:szCs w:val="20"/>
          <w:color w:val="auto"/>
        </w:rPr>
      </w:pPr>
    </w:p>
    <w:p>
      <w:pPr>
        <w:jc w:val="right"/>
        <w:ind w:right="5719"/>
        <w:spacing w:after="0"/>
        <w:rPr>
          <w:sz w:val="20"/>
          <w:szCs w:val="20"/>
          <w:color w:val="auto"/>
        </w:rPr>
      </w:pPr>
      <w:r>
        <w:rPr>
          <w:rFonts w:ascii="Courier New" w:cs="Courier New" w:eastAsia="Courier New" w:hAnsi="Courier New"/>
          <w:sz w:val="14"/>
          <w:szCs w:val="14"/>
          <w:color w:val="auto"/>
        </w:rPr>
        <w:t>Newhall Ranch Waste and Recycling Services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Stevenson Ranch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USA Waste of San Jose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Orange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Palmdale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Antelope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 I Rubbish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DC,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Fairless Hills,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Kentucky,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Maryland,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A.R.D. Equipment,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ARD Equipment Leasing Co., L.L.C.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Debris Disposers, Ltd.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Lowery's Trash Removal &amp;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Minnesota,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Kato Sanitation Northwest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Meeker County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West Side Hauling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Mississippi,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New Jersey,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Atlantic City Hauling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Bergen County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Burlington County Landfill</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18 of 36</w:t>
      </w:r>
    </w:p>
    <w:p>
      <w:pPr>
        <w:sectPr>
          <w:pgSz w:w="11900" w:h="16838" w:orient="portrait"/>
          <w:cols w:equalWidth="0" w:num="1">
            <w:col w:w="10159"/>
          </w:cols>
          <w:pgMar w:left="300" w:top="286"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New York City,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Marshall's Refuse,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 Hempstead Transfer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Ohio,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Johnson Disposal</w:t>
      </w:r>
    </w:p>
    <w:p>
      <w:pPr>
        <w:spacing w:after="0" w:line="8"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4"/>
          <w:szCs w:val="14"/>
          <w:color w:val="auto"/>
        </w:rPr>
        <w:t>Johnson Disposal Transfer &amp; Recycling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Mound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Northern Ohio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Reliable Sanitation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Sanitary Commercial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Oregon,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Alpine Disposal &amp;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Energy Reclamation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Forest Grove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Klamath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Metropolitan Disposal &amp;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Mt. Hood Refuse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Sandy Transfer Station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Pennsylvania,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Helmick's Sanitation and General Hauling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Kittinning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LeHigh Hauling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Mainline Sanitation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Tri-Valley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Tri-Valley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USA Waste of Harrisburg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Pennsylvania,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Texas Landfills,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Virginia Landfills,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Bethel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Bushrod Disposal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James City County Transfer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Qualla Road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Virginia,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North Carolina Landfills,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Anson Road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Coble Road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of Nevada,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of NYC,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Services-Hickory Hills,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UWS Barre,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UWS of Rhode Island,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Truk-Away of R.I.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V&amp;W Investments, Inc.</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VAI</w:t>
        <w:tab/>
        <w:t>VA Projekt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Vallery Commericial Disposal Co.,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Valley Garbage and Rubbish Company,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Heath Sanitation Service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Valley Garbage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Van Handal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Van Loenen Milieu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Van Loenen Recycling Beheer B.V.</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19 of 36</w:t>
      </w:r>
    </w:p>
    <w:p>
      <w:pPr>
        <w:sectPr>
          <w:pgSz w:w="11900" w:h="16838" w:orient="portrait"/>
          <w:cols w:equalWidth="0" w:num="1">
            <w:col w:w="10159"/>
          </w:cols>
          <w:pgMar w:left="300" w:top="286" w:right="1440" w:bottom="1440" w:gutter="0" w:footer="0" w:header="0"/>
          <w:type w:val="continuous"/>
        </w:sectPr>
      </w:pPr>
    </w:p>
    <w:bookmarkStart w:id="320" w:name="page321"/>
    <w:bookmarkEnd w:id="320"/>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Van Loenen Transport en Verhuur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 Projekt 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VDL Plus Two,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VE-Part S.r.1.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Vern's Refuse Service,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Vickery Environmental,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Medical Services- Dayton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Vliko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Voyageur Disposal Processing,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Voyageur Leasing,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Voyageur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 Risk Management,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Walters and Vann,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Winton Disposal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Warner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Warner West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Warner East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Wasco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Waste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Wasilla Refuse,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Away Group,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Environmental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LaGrange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Montgomery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Phoenix City Transfer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Springhill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Alabama-Central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Alabama-East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Alabama-North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Alabama-South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Care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Care Medisafe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Clearance (Holdings)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Control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Disposal Services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(Auckland)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(Land)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(UK) Holdings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(W.M.) Israel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Austria 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Collection and Recycling,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Empire Waste Management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Great Western Reclamation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SAWDCO Collection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Sunset Environment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Valley Waste Management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Inland Valley</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20 of 36</w:t>
      </w:r>
    </w:p>
    <w:p>
      <w:pPr>
        <w:sectPr>
          <w:pgSz w:w="11900" w:h="16838" w:orient="portrait"/>
          <w:cols w:equalWidth="0" w:num="1">
            <w:col w:w="10159"/>
          </w:cols>
          <w:pgMar w:left="300" w:top="286" w:right="1440" w:bottom="1440" w:gutter="0" w:footer="0" w:header="0"/>
          <w:type w:val="continuous"/>
        </w:sectPr>
      </w:pPr>
    </w:p>
    <w:bookmarkStart w:id="321" w:name="page322"/>
    <w:bookmarkEnd w:id="321"/>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Orange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Sacramento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San Gabriel/Pomona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Santa Cruz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Central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Woodland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Controladora, S.A. de C.V.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Danmark 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Development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Arizona,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Colorado,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Central Weld Sanitary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Colorado Springs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County Line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Denver/Arapahoe Disposal Site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East Weld Sanitary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 Weld Sanitary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Colorado-Landfill Division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Maine,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Disposal Services of Maine-Crossroads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Maryland,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Sandy Hill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Massachusetts,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Oregon,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Columbia Ridge Landfill and Recycling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Oregon Waste Systems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Pennsylvania,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Burlington County Resource Recovery Facilities Complex</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G.R.O.W.S.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Meadowlands Baler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Meadowland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Northwest Sanitary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Pottstown Landfill and Recycling Center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Virginia,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Middle Peninsula Landfill and Recycling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Disposal Services of Washington,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Greater Wenatchee Regional Landfill and Recycling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Washington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Environmental Services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Environmental,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Federal Services of Hanford,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Federal Services of Idaho,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Federal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Financing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Geotech,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Greece AAE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 of Florida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Atlantic Waste Management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Broward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Central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Environmental Waste Systems</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21 of 36</w:t>
      </w:r>
    </w:p>
    <w:p>
      <w:pPr>
        <w:sectPr>
          <w:pgSz w:w="11900" w:h="16838" w:orient="portrait"/>
          <w:cols w:equalWidth="0" w:num="1">
            <w:col w:w="10159"/>
          </w:cols>
          <w:pgMar w:left="300" w:top="286" w:right="1440" w:bottom="1440" w:gutter="0" w:footer="0" w:header="0"/>
          <w:type w:val="continuous"/>
        </w:sectPr>
      </w:pPr>
    </w:p>
    <w:bookmarkStart w:id="322" w:name="page323"/>
    <w:bookmarkEnd w:id="322"/>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Florida Environmental Waste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Florida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Florida Resource Management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Gulf Coast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Hillsborough Heights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Medly Landfill &amp; Recycling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Rubbish Gobbler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Southeast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Southern Sanitation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South Florida Service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United Sanitation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Bay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Collier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Dade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Monroe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Pasco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Tampa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International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International Services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International,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International,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Italia SpA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Municipal Services of California,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N.Z.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Nederland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Alameda County,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Altamont Landfill and Resource Recovery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Central Division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Davis Street Station for Material Recovery and Transfer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East Bay Disposal Co.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Livermore Dublin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Northern Division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 of Northern California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Southern Division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Sunnyvale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Tri-Cities Recycling and Disposal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Arizona,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Asset Recovery Group</w:t>
      </w:r>
    </w:p>
    <w:p>
      <w:pPr>
        <w:spacing w:after="0" w:line="8" w:lineRule="exact"/>
        <w:rPr>
          <w:sz w:val="20"/>
          <w:szCs w:val="20"/>
          <w:color w:val="auto"/>
        </w:rPr>
      </w:pPr>
    </w:p>
    <w:p>
      <w:pPr>
        <w:ind w:left="800" w:right="3199"/>
        <w:spacing w:after="0" w:line="253" w:lineRule="auto"/>
        <w:rPr>
          <w:sz w:val="20"/>
          <w:szCs w:val="20"/>
          <w:color w:val="auto"/>
        </w:rPr>
      </w:pPr>
      <w:r>
        <w:rPr>
          <w:rFonts w:ascii="Courier New" w:cs="Courier New" w:eastAsia="Courier New" w:hAnsi="Courier New"/>
          <w:sz w:val="14"/>
          <w:szCs w:val="14"/>
          <w:color w:val="auto"/>
        </w:rPr>
        <w:t>Butterfield Station Recycling and Disposal Facility Industrial Services Division Sky Harbor regional Transfer &amp; Recycling Center 27th Avenue Recycling and Disposal Facility Waste Management of Northern Arizona Waste Management of Phoenix- North Waste Management of Phoenix - Recycle America Waste Management of Phoenix- South Waste Management of Tucson Waste Management of Tucson- Recycle America Waste Management of Verde Valley WMI Services- Phoenix</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Arkansas,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Brushy Island Recycling and Disposal Facility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22 of 36</w:t>
      </w:r>
    </w:p>
    <w:p>
      <w:pPr>
        <w:sectPr>
          <w:pgSz w:w="11900" w:h="16838" w:orient="portrait"/>
          <w:cols w:equalWidth="0" w:num="1">
            <w:col w:w="10159"/>
          </w:cols>
          <w:pgMar w:left="300" w:top="286"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Jefferson County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Shannon Road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Union County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Arkansas North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Arkansas South</w:t>
      </w:r>
    </w:p>
    <w:p>
      <w:pPr>
        <w:spacing w:after="0" w:line="175" w:lineRule="exact"/>
        <w:rPr>
          <w:sz w:val="20"/>
          <w:szCs w:val="20"/>
          <w:color w:val="auto"/>
        </w:rPr>
      </w:pPr>
    </w:p>
    <w:p>
      <w:pPr>
        <w:ind w:left="800" w:right="3299" w:hanging="780"/>
        <w:spacing w:after="0" w:line="253" w:lineRule="auto"/>
        <w:rPr>
          <w:sz w:val="20"/>
          <w:szCs w:val="20"/>
          <w:color w:val="auto"/>
        </w:rPr>
      </w:pPr>
      <w:r>
        <w:rPr>
          <w:rFonts w:ascii="Courier New" w:cs="Courier New" w:eastAsia="Courier New" w:hAnsi="Courier New"/>
          <w:sz w:val="14"/>
          <w:szCs w:val="14"/>
          <w:color w:val="auto"/>
        </w:rPr>
        <w:t>Waste Management of California, Inc. Kirby Canyon recycling and Disposal Facility Lancaster Recycling and Disposal Facility Simi Valley Recycling and Disposal Facility Universal Refuse Removal of El Cajon Waste Management of Fresno County Waste Management of Lancaster Waste Management of Los Angeles Waste Management of Los Angeles- South Waste Management of North County Waste Management of San Diego Waste Management of San Fernando Valley Waste Management of Santa Clara County Waste Management of the Desert WMI Services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Carolinas,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Piedmont Landfill and Recycling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Asheville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Carolinas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Central Carolina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Eastern Carolina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Piedmont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Raleigh/Durham</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Wilmington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Triad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Central Florida,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Aluchua Waste Management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gridSpan w:val="3"/>
          </w:tcPr>
          <w:p>
            <w:pPr>
              <w:spacing w:after="0"/>
              <w:rPr>
                <w:sz w:val="20"/>
                <w:szCs w:val="20"/>
                <w:color w:val="auto"/>
              </w:rPr>
            </w:pPr>
            <w:r>
              <w:rPr>
                <w:rFonts w:ascii="Courier New" w:cs="Courier New" w:eastAsia="Courier New" w:hAnsi="Courier New"/>
                <w:sz w:val="14"/>
                <w:szCs w:val="14"/>
                <w:color w:val="auto"/>
              </w:rPr>
              <w:t>Waste Management of Colorado, Inc.</w:t>
            </w:r>
          </w:p>
        </w:tc>
        <w:tc>
          <w:tcPr>
            <w:tcW w:w="2040" w:type="dxa"/>
            <w:vAlign w:val="bottom"/>
          </w:tcPr>
          <w:p>
            <w:pPr>
              <w:spacing w:after="0"/>
              <w:rPr>
                <w:sz w:val="14"/>
                <w:szCs w:val="14"/>
                <w:color w:val="auto"/>
              </w:rPr>
            </w:pPr>
          </w:p>
        </w:tc>
      </w:tr>
      <w:tr>
        <w:trPr>
          <w:trHeight w:val="167"/>
        </w:trPr>
        <w:tc>
          <w:tcPr>
            <w:tcW w:w="24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Canon City Disposal</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Recycling</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Colorado Springs</w:t>
            </w:r>
          </w:p>
        </w:tc>
        <w:tc>
          <w:tcPr>
            <w:tcW w:w="3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Transfer Station</w:t>
            </w:r>
          </w:p>
        </w:tc>
      </w:tr>
      <w:tr>
        <w:trPr>
          <w:trHeight w:val="167"/>
        </w:trPr>
        <w:tc>
          <w:tcPr>
            <w:tcW w:w="326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Englewood Transfer Station</w:t>
            </w:r>
          </w:p>
        </w:tc>
        <w:tc>
          <w:tcPr>
            <w:tcW w:w="204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Port-O-Let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Aurora</w:t>
            </w:r>
          </w:p>
        </w:tc>
        <w:tc>
          <w:tcPr>
            <w:tcW w:w="204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Colorado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 Aurora Facility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Colorado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 North Facility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Colorado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 Recycle Facility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Colorado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 South Facility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Colorado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Springs-Recycle America</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Facility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Denver</w:t>
            </w:r>
          </w:p>
        </w:tc>
        <w:tc>
          <w:tcPr>
            <w:tcW w:w="204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Denver -</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Recycle America</w:t>
            </w:r>
          </w:p>
        </w:tc>
      </w:tr>
      <w:tr>
        <w:trPr>
          <w:trHeight w:val="167"/>
        </w:trPr>
        <w:tc>
          <w:tcPr>
            <w:tcW w:w="24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Processing Facility</w:t>
            </w:r>
          </w:p>
        </w:tc>
        <w:tc>
          <w:tcPr>
            <w:tcW w:w="7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Northern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Colorado</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Pueblo</w:t>
            </w:r>
          </w:p>
        </w:tc>
        <w:tc>
          <w:tcPr>
            <w:tcW w:w="204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Rockies</w:t>
            </w:r>
          </w:p>
        </w:tc>
      </w:tr>
    </w:tbl>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Medical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Connecticut,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(fka USA Waste of Connecticut,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Delaware,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Delaware - Wilmington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Delmarva</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23 of 36</w:t>
      </w:r>
    </w:p>
    <w:p>
      <w:pPr>
        <w:sectPr>
          <w:pgSz w:w="11900" w:h="16838" w:orient="portrait"/>
          <w:cols w:equalWidth="0" w:num="1">
            <w:col w:w="10159"/>
          </w:cols>
          <w:pgMar w:left="300" w:top="286"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Five Oaks Recycling and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Florida Holding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Georgia,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Live Oak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Superior Sanitation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Savannah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Tennessee Valley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Grass Valley,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Hawaii,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Waimanalo Gilch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West Hawaii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Idaho,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Illinois,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Banner/Western Disposal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Chain of Rocks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CID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DeKalb County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Durbin Paper Stock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Five Oaks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Greene Valley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Kankakee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Laraway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McLean County Disposal and recycling Services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Milam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Prairie Hill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Settler's Hill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Tazewell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TCD Services United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Systems Waste Management - Metro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North Waste Management - Northwest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West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Metro East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Peoria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South Suburbs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Wheatland Prairie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Woodland Recycling and Disposal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Indiana Holdings One,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Indiana Holdings Two,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Indiana LLC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Deercroft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Glenwood Ridge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Oak Ridge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Prairie View recycling and Disposal Facility</w:t>
      </w:r>
    </w:p>
    <w:p>
      <w:pPr>
        <w:spacing w:after="0" w:line="8" w:lineRule="exact"/>
        <w:rPr>
          <w:sz w:val="20"/>
          <w:szCs w:val="20"/>
          <w:color w:val="auto"/>
        </w:rPr>
      </w:pPr>
    </w:p>
    <w:p>
      <w:pPr>
        <w:ind w:left="800" w:right="3559"/>
        <w:spacing w:after="0" w:line="254" w:lineRule="auto"/>
        <w:rPr>
          <w:sz w:val="20"/>
          <w:szCs w:val="20"/>
          <w:color w:val="auto"/>
        </w:rPr>
      </w:pPr>
      <w:r>
        <w:rPr>
          <w:rFonts w:ascii="Courier New" w:cs="Courier New" w:eastAsia="Courier New" w:hAnsi="Courier New"/>
          <w:sz w:val="14"/>
          <w:szCs w:val="14"/>
          <w:color w:val="auto"/>
        </w:rPr>
        <w:t>Superior Waste Systems Twin Bridges Recycling and Disposal Facility Waste Management of Central Indiana Waste Management of Evansville Waste Management of Fort Wayne Waste Management of Indianapolis Waste Management of Indianapolis - Hamilton County Transfer</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Kokomo</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24 of 36</w:t>
      </w:r>
    </w:p>
    <w:p>
      <w:pPr>
        <w:sectPr>
          <w:pgSz w:w="11900" w:h="16838" w:orient="portrait"/>
          <w:cols w:equalWidth="0" w:num="1">
            <w:col w:w="10159"/>
          </w:cols>
          <w:pgMar w:left="300" w:top="286" w:right="1440"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162"/>
        </w:trPr>
        <w:tc>
          <w:tcPr>
            <w:tcW w:w="222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4"/>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Lafayette</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Muncie</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Northwest Indiana</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Warsaw</w:t>
            </w:r>
          </w:p>
        </w:tc>
      </w:tr>
      <w:tr>
        <w:trPr>
          <w:trHeight w:val="167"/>
        </w:trPr>
        <w:tc>
          <w:tcPr>
            <w:tcW w:w="418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Wheeler Recycling and Disposal Facility</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Waste Management of Iowa,</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24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Solid Waste Systems</w:t>
            </w:r>
          </w:p>
        </w:tc>
        <w:tc>
          <w:tcPr>
            <w:tcW w:w="170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Kansas,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Forest View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Rolling Meadows recycling &amp;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Solid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Topeka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Wichita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 Refuse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Kentucky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Kentucky L.L.C.</w:t>
      </w:r>
    </w:p>
    <w:p>
      <w:pPr>
        <w:spacing w:after="0" w:line="8" w:lineRule="exact"/>
        <w:rPr>
          <w:sz w:val="20"/>
          <w:szCs w:val="20"/>
          <w:color w:val="auto"/>
        </w:rPr>
      </w:pPr>
    </w:p>
    <w:p>
      <w:pPr>
        <w:ind w:left="800" w:right="3299"/>
        <w:spacing w:after="0" w:line="253" w:lineRule="auto"/>
        <w:rPr>
          <w:sz w:val="20"/>
          <w:szCs w:val="20"/>
          <w:color w:val="auto"/>
        </w:rPr>
      </w:pPr>
      <w:r>
        <w:rPr>
          <w:rFonts w:ascii="Courier New" w:cs="Courier New" w:eastAsia="Courier New" w:hAnsi="Courier New"/>
          <w:sz w:val="14"/>
          <w:szCs w:val="14"/>
          <w:color w:val="auto"/>
        </w:rPr>
        <w:t>Blue Ridge Recycling and Disposal Facility Kramer Lane Recycling and Disposal Facility Lexington recycling and Disposal Facility Outer Loop recycling and Disposal Facility Waste Management of Kentucky - Gray Disposal Waste Management of Kentucky - Lexington Waste Management of Kentucky - Louisville Waste Management of Kentucky - Madison Disposal Waste Management of Kentucky - Stevens Dispos- All Service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Leon County,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Louisiana Holdings One,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Louisiana L.L.C.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Acadiana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Acadia Parish Sanitary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Alexandria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Waste and Pollution Control-Algiers Residential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Waste and Pollution Control-Eastern New Orleans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Residential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Waste and Pollution Control-Kelvin Recycling</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Waste and Pollution Control-St. Bernard Parish</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Residential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Waste and Pollution Control-Slidell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Waste and Pollution Control-West Jefferson</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Residential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Jefferson Davis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Kelvin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Magnolia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Pelican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Pelican State Environmental Services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Acadiana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Baton Rouge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Bayous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Central Louisiana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Lake Charles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New Orleans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Northeast Louisiana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Northwest Louisiana</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25 of 36</w:t>
      </w:r>
    </w:p>
    <w:p>
      <w:pPr>
        <w:sectPr>
          <w:pgSz w:w="11900" w:h="16838" w:orient="portrait"/>
          <w:cols w:equalWidth="0" w:num="1">
            <w:col w:w="10159"/>
          </w:cols>
          <w:pgMar w:left="300" w:top="286" w:right="1440" w:bottom="1440" w:gutter="0" w:footer="0" w:header="0"/>
        </w:sectPr>
      </w:pPr>
    </w:p>
    <w:bookmarkStart w:id="326" w:name="page327"/>
    <w:bookmarkEnd w:id="326"/>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Pines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St. Landry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St. Tammany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 Louisiana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Woodside Recycling and Disposal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Maine,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Maine-Portland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Maryland,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Mobile Offices of Maryland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Cambridge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Greater Washington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Maryland, Baltimore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Southern Maryland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Medical Services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 of Maryland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Massachusetts,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Somerville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Management-Container Services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Boston-North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Central Massachusetts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Massachusetts-Gloucester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Massachusetts-South Shore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Michigan,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Autumn Hills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Cedar Ridge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Eagle Valley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Efficient Sanitation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Northern Oaks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America-Metro Detroit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Rubbish Venice Park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Detroit-Residential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 Metro Detroit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Michigan-Alma Transfer and Recycling</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Michigan-Area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Michigan-Burr Oak</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Michigan-Central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Michigan-Detroit East Recycling</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Transfer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Michigan-Detroit Transfer and Recycling</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Michigan-Detroit MRF/Transfer</w:t>
      </w:r>
    </w:p>
    <w:p>
      <w:pPr>
        <w:spacing w:after="0" w:line="8" w:lineRule="exact"/>
        <w:rPr>
          <w:sz w:val="20"/>
          <w:szCs w:val="20"/>
          <w:color w:val="auto"/>
        </w:rPr>
      </w:pPr>
    </w:p>
    <w:p>
      <w:pPr>
        <w:ind w:left="800"/>
        <w:spacing w:after="0"/>
        <w:tabs>
          <w:tab w:leader="none" w:pos="5280" w:val="left"/>
        </w:tabs>
        <w:rPr>
          <w:sz w:val="20"/>
          <w:szCs w:val="20"/>
          <w:color w:val="auto"/>
        </w:rPr>
      </w:pPr>
      <w:r>
        <w:rPr>
          <w:rFonts w:ascii="Courier New" w:cs="Courier New" w:eastAsia="Courier New" w:hAnsi="Courier New"/>
          <w:sz w:val="14"/>
          <w:szCs w:val="14"/>
          <w:color w:val="auto"/>
        </w:rPr>
        <w:t>Waste Management of Michigan-Dowagiac Transfer and</w:t>
        <w:tab/>
        <w:t>Recycling</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 Holland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 Holland Transfer and Recycling</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Michigan-Mideast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Michigan-Mideast/Port Huron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Michigan-Midwest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Michigan-Northern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Michigan-Recycle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America/Grand Rapids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Michigan-Southwest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Michigan-Western</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26 of 36</w:t>
      </w:r>
    </w:p>
    <w:p>
      <w:pPr>
        <w:sectPr>
          <w:pgSz w:w="11900" w:h="16838" w:orient="portrait"/>
          <w:cols w:equalWidth="0" w:num="1">
            <w:col w:w="10159"/>
          </w:cols>
          <w:pgMar w:left="300" w:top="286" w:right="1440" w:bottom="1440" w:gutter="0" w:footer="0" w:header="0"/>
        </w:sectPr>
      </w:pPr>
    </w:p>
    <w:bookmarkStart w:id="327" w:name="page328"/>
    <w:bookmarkEnd w:id="327"/>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Westside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Services-Eastern Michigan/Northwest Ohio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Woodland Meadows Recycling and Disposal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Minnesota,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Anoka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Dietman Sanitation &amp;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Northern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 of Minnesota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Sun Prairie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Blaine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LeSeur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Rochester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Savage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St. Cloud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Hastings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 of Minnesota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Mississippi,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Pecan Grove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Pine Ridge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Plantation Oaks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Prairie Bluff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Central Mississippi-Jackson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Central Mississippi-Kosciusko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Central Mississippi-Meridian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Central Mississippi-Vicksburg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 Mississippi-Clarksdale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 Mississippi-Columbus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 Mississippi-Corinth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 Mississippi-Greenville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 Mississippi-Grenada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 Mississippi-Tupelo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 Mississippi-Gulfport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 Mississippi-McComb</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 Mississippi-Natchez</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 Mississippi-Pine Belt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Missouri,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Black Oak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Environmental Industries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Kahle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Meramec Hauling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Pezold Hauling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Rumble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Kansas City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Springfield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St. Louis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Ozarks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Montana,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Great Falls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Nebraska,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Douglas County Recycling and Disposal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Nevada, Inc. (fka USA Waste of Nevada,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New Hampshire,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Turnkey Recycling and Environmental Enterprises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New Hampshire- Londonberry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New Hampshire- New Hampton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New Hampshire- Rochester</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27 of 36</w:t>
      </w:r>
    </w:p>
    <w:p>
      <w:pPr>
        <w:sectPr>
          <w:pgSz w:w="11900" w:h="16838" w:orient="portrait"/>
          <w:cols w:equalWidth="0" w:num="1">
            <w:col w:w="10159"/>
          </w:cols>
          <w:pgMar w:left="300" w:top="286" w:right="1440" w:bottom="1440" w:gutter="0" w:footer="0" w:header="0"/>
        </w:sectPr>
      </w:pPr>
    </w:p>
    <w:bookmarkStart w:id="328" w:name="page329"/>
    <w:bookmarkEnd w:id="328"/>
    <w:p>
      <w:pPr>
        <w:ind w:left="260"/>
        <w:spacing w:after="0"/>
        <w:rPr>
          <w:sz w:val="20"/>
          <w:szCs w:val="20"/>
          <w:color w:val="auto"/>
        </w:rPr>
      </w:pPr>
      <w:r>
        <w:rPr>
          <w:rFonts w:ascii="Courier New" w:cs="Courier New" w:eastAsia="Courier New" w:hAnsi="Courier New"/>
          <w:sz w:val="14"/>
          <w:szCs w:val="14"/>
          <w:color w:val="auto"/>
        </w:rPr>
        <w:t>28</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New Hampshire- Peterborough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New Jersey,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Avenue A Transfer &amp; Recycling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Middle Martee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Camden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New Mexico,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Environmental Waste Equipment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Hobbs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Landfill Hauling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Landfill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R&amp;B Rubbish Removal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Rio Rancho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San Juan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Seay Brothers Rolloff Tijeras Disposal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United Waste Systems</w:t>
            </w:r>
          </w:p>
        </w:tc>
        <w:tc>
          <w:tcPr>
            <w:tcW w:w="400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Albuquerque-Recycle America</w:t>
            </w:r>
          </w:p>
        </w:tc>
      </w:tr>
      <w:tr>
        <w:trPr>
          <w:trHeight w:val="167"/>
        </w:trPr>
        <w:tc>
          <w:tcPr>
            <w:tcW w:w="25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Processing Facility</w:t>
            </w:r>
          </w:p>
        </w:tc>
        <w:tc>
          <w:tcPr>
            <w:tcW w:w="4000" w:type="dxa"/>
            <w:vAlign w:val="bottom"/>
          </w:tcPr>
          <w:p>
            <w:pPr>
              <w:spacing w:after="0"/>
              <w:rPr>
                <w:sz w:val="14"/>
                <w:szCs w:val="14"/>
                <w:color w:val="auto"/>
              </w:rPr>
            </w:pP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Four Corners</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Southeast New Mexico</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the Southwest</w:t>
            </w:r>
          </w:p>
        </w:tc>
      </w:tr>
      <w:tr>
        <w:trPr>
          <w:trHeight w:val="334"/>
        </w:trPr>
        <w:tc>
          <w:tcPr>
            <w:tcW w:w="6520" w:type="dxa"/>
            <w:vAlign w:val="bottom"/>
            <w:gridSpan w:val="3"/>
          </w:tcPr>
          <w:p>
            <w:pPr>
              <w:spacing w:after="0"/>
              <w:rPr>
                <w:sz w:val="20"/>
                <w:szCs w:val="20"/>
                <w:color w:val="auto"/>
              </w:rPr>
            </w:pPr>
            <w:r>
              <w:rPr>
                <w:rFonts w:ascii="Courier New" w:cs="Courier New" w:eastAsia="Courier New" w:hAnsi="Courier New"/>
                <w:sz w:val="14"/>
                <w:szCs w:val="14"/>
                <w:color w:val="auto"/>
              </w:rPr>
              <w:t>Waste Management of New York, L.L.C.</w:t>
            </w:r>
          </w:p>
        </w:tc>
      </w:tr>
      <w:tr>
        <w:trPr>
          <w:trHeight w:val="167"/>
        </w:trPr>
        <w:tc>
          <w:tcPr>
            <w:tcW w:w="25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High Acres Landfill</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and Recycling Facility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Eastern New York</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Hudson Valley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New York-Albion</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New York-Buffalo</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New York-Rochester</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New York-Syracuse</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New York-Utica</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Southwestern New York W</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MI Services of New York</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Waste Management of North</w:t>
            </w:r>
          </w:p>
        </w:tc>
        <w:tc>
          <w:tcPr>
            <w:tcW w:w="4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Dakota, Inc.</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Northern Waste Systems</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Waste Management of Ohio,</w:t>
            </w:r>
          </w:p>
        </w:tc>
        <w:tc>
          <w:tcPr>
            <w:tcW w:w="4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Countywide Recycling and Disposal Facility</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ELDA Recycling and Disposal Facility</w:t>
            </w:r>
          </w:p>
        </w:tc>
      </w:tr>
      <w:tr>
        <w:trPr>
          <w:trHeight w:val="167"/>
        </w:trPr>
        <w:tc>
          <w:tcPr>
            <w:tcW w:w="25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Evergreen Recycling</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and Disposal Facility</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Herrick Valley Recycling and Disposal Facility</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Lake County Recycling and Disposal Facility</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Pinnacle Road Recycling and Disposal Facility</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Seneca East Recycling and Disposal Facility</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Stony Hollow Recycling and Disposal facility</w:t>
            </w:r>
          </w:p>
        </w:tc>
      </w:tr>
      <w:tr>
        <w:trPr>
          <w:trHeight w:val="167"/>
        </w:trPr>
        <w:tc>
          <w:tcPr>
            <w:tcW w:w="652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Suburban Recycling and Disposal Facility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Ohio-Akron</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Ohio-Blaylock</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Ohio-Cleveland Transfer and Recycling Facility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Ohio-Cleveland West</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Ohio-Columbus</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Ohio-Columbus Transfer and Recycling Facility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Ohio-Findlay</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Ohio-IWD</w:t>
            </w:r>
          </w:p>
        </w:tc>
      </w:tr>
      <w:tr>
        <w:trPr>
          <w:trHeight w:val="167"/>
        </w:trPr>
        <w:tc>
          <w:tcPr>
            <w:tcW w:w="2220" w:type="dxa"/>
            <w:vAlign w:val="bottom"/>
          </w:tcPr>
          <w:p>
            <w:pPr>
              <w:ind w:left="800"/>
              <w:spacing w:after="0"/>
              <w:rPr>
                <w:sz w:val="20"/>
                <w:szCs w:val="20"/>
                <w:color w:val="auto"/>
              </w:rPr>
            </w:pPr>
            <w:r>
              <w:rPr>
                <w:rFonts w:ascii="Courier New" w:cs="Courier New" w:eastAsia="Courier New" w:hAnsi="Courier New"/>
                <w:sz w:val="14"/>
                <w:szCs w:val="14"/>
                <w:color w:val="auto"/>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000" w:type="dxa"/>
            <w:vAlign w:val="bottom"/>
          </w:tcPr>
          <w:p>
            <w:pPr>
              <w:spacing w:after="0"/>
              <w:rPr>
                <w:sz w:val="20"/>
                <w:szCs w:val="20"/>
                <w:color w:val="auto"/>
              </w:rPr>
            </w:pPr>
            <w:r>
              <w:rPr>
                <w:rFonts w:ascii="Courier New" w:cs="Courier New" w:eastAsia="Courier New" w:hAnsi="Courier New"/>
                <w:sz w:val="14"/>
                <w:szCs w:val="14"/>
                <w:color w:val="auto"/>
              </w:rPr>
              <w:t>Ohio-Koogler</w:t>
            </w:r>
          </w:p>
        </w:tc>
      </w:tr>
    </w:tbl>
    <w:p>
      <w:pPr>
        <w:spacing w:after="0" w:line="200" w:lineRule="exact"/>
        <w:rPr>
          <w:sz w:val="20"/>
          <w:szCs w:val="20"/>
          <w:color w:val="auto"/>
        </w:rPr>
      </w:pPr>
    </w:p>
    <w:p>
      <w:pPr>
        <w:spacing w:after="0" w:line="30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28 of 36</w:t>
      </w:r>
    </w:p>
    <w:p>
      <w:pPr>
        <w:sectPr>
          <w:pgSz w:w="11900" w:h="16838" w:orient="portrait"/>
          <w:cols w:equalWidth="0" w:num="1">
            <w:col w:w="10159"/>
          </w:cols>
          <w:pgMar w:left="300" w:top="286" w:right="1440" w:bottom="1440" w:gutter="0" w:footer="0" w:header="0"/>
        </w:sectPr>
      </w:pPr>
    </w:p>
    <w:bookmarkStart w:id="329" w:name="page330"/>
    <w:bookmarkEnd w:id="329"/>
    <w:p>
      <w:pPr>
        <w:ind w:left="260"/>
        <w:spacing w:after="0"/>
        <w:rPr>
          <w:sz w:val="20"/>
          <w:szCs w:val="20"/>
          <w:color w:val="auto"/>
        </w:rPr>
      </w:pPr>
      <w:r>
        <w:rPr>
          <w:rFonts w:ascii="Courier New" w:cs="Courier New" w:eastAsia="Courier New" w:hAnsi="Courier New"/>
          <w:sz w:val="14"/>
          <w:szCs w:val="14"/>
          <w:color w:val="auto"/>
        </w:rPr>
        <w:t>29</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Ohio-Lima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Ohio-Lima Transfer and Recycling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Ohio-M&amp;M Sanitation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Ohio-Newark</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Ohio-Northwest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Ohio-Recycle America/Toledo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Ohio-S.E.M.</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Ohio-Shelby County Transfer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Ohio-Suburban Sanitation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Ohio-Western Reserve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Ohio-Youngstown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Services-Ohio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Oklahoma,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East Oak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Muskogee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Quarry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Oklahoma City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Tulsa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Oregon,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Metro South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Port-O-Let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Vancouver U.S.A.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Zero Garbage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Pennsylvania,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Alderfer &amp; Frank</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Lake View Landfill (Northern)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Mid-Atlantic Recycling and Distribution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Milton Grove Demolition and Tire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Philadelphia Transfer and Recycling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Pottsville Transfer Station Recycle America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River Road Landfill Steel Valley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Forge Recycling and Resource Recovery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Tully Town Resource Recovery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Automation Waste Management - Allentown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Dixon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Camp Hill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Delaware Valley-North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Delaware Valley-South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Erie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Greater Lancaster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Greencastle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Greenville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Indian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Laurel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Northeast Pennsylvania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Pennsylvania-Hauling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Pittsburgh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Pottstown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Wilkinsburg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Medical Services of New Jersey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Medical Services of New York</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Medical Services of Pennsylvania</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29 of 36</w:t>
      </w:r>
    </w:p>
    <w:p>
      <w:pPr>
        <w:sectPr>
          <w:pgSz w:w="11900" w:h="16838" w:orient="portrait"/>
          <w:cols w:equalWidth="0" w:num="1">
            <w:col w:w="10159"/>
          </w:cols>
          <w:pgMar w:left="300" w:top="286" w:right="1440" w:bottom="1440" w:gutter="0" w:footer="0" w:header="0"/>
        </w:sectPr>
      </w:pPr>
    </w:p>
    <w:bookmarkStart w:id="330" w:name="page331"/>
    <w:bookmarkEnd w:id="330"/>
    <w:p>
      <w:pPr>
        <w:ind w:left="260"/>
        <w:spacing w:after="0"/>
        <w:rPr>
          <w:sz w:val="20"/>
          <w:szCs w:val="20"/>
          <w:color w:val="auto"/>
        </w:rPr>
      </w:pPr>
      <w:r>
        <w:rPr>
          <w:rFonts w:ascii="Courier New" w:cs="Courier New" w:eastAsia="Courier New" w:hAnsi="Courier New"/>
          <w:sz w:val="14"/>
          <w:szCs w:val="14"/>
          <w:color w:val="auto"/>
        </w:rPr>
        <w:t>30</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Medical Services of West Virginia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Rhode Island,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Rhode Island- Newport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South Carolina,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Charleston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Hickory Hill Sanitary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Palmetto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Sandy Pines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 Carolina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Low Country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South Dakota,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Sioux Falls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Black Hills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Texas,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All Waste Paper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Atascosita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Austin Community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 Bluebonnet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Centex Waste Management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Coastal Plains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Comal County Recycling and Disposal Facility</w:t>
      </w:r>
    </w:p>
    <w:p>
      <w:pPr>
        <w:spacing w:after="0" w:line="8" w:lineRule="exact"/>
        <w:rPr>
          <w:sz w:val="20"/>
          <w:szCs w:val="20"/>
          <w:color w:val="auto"/>
        </w:rPr>
      </w:pPr>
    </w:p>
    <w:p>
      <w:pPr>
        <w:ind w:left="800" w:right="4259"/>
        <w:spacing w:after="0" w:line="252" w:lineRule="auto"/>
        <w:rPr>
          <w:sz w:val="20"/>
          <w:szCs w:val="20"/>
          <w:color w:val="auto"/>
        </w:rPr>
      </w:pPr>
      <w:r>
        <w:rPr>
          <w:rFonts w:ascii="Courier New" w:cs="Courier New" w:eastAsia="Courier New" w:hAnsi="Courier New"/>
          <w:sz w:val="14"/>
          <w:szCs w:val="14"/>
          <w:color w:val="auto"/>
        </w:rPr>
        <w:t>Covell Gardens Landfill DFW Recycling and Disposal Facility Fogle Garbage Service Garbage</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Gobbler Hillside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Kingwood Garbage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Lacy Lakeview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Longhorn Disposal Northwest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Oak Hill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Pecan Prairie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America-Dallas Bulk grade Division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America-Dallas High Grade Division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S&amp;B trucking &amp; Sanitation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Security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Skyline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Texas Waste Management</w:t>
      </w:r>
    </w:p>
    <w:p>
      <w:pPr>
        <w:spacing w:after="0" w:line="8" w:lineRule="exact"/>
        <w:rPr>
          <w:sz w:val="20"/>
          <w:szCs w:val="20"/>
          <w:color w:val="auto"/>
        </w:rPr>
      </w:pPr>
    </w:p>
    <w:p>
      <w:pPr>
        <w:ind w:left="800" w:right="3979"/>
        <w:spacing w:after="0" w:line="252" w:lineRule="auto"/>
        <w:rPr>
          <w:sz w:val="20"/>
          <w:szCs w:val="20"/>
          <w:color w:val="auto"/>
        </w:rPr>
      </w:pPr>
      <w:r>
        <w:rPr>
          <w:rFonts w:ascii="Courier New" w:cs="Courier New" w:eastAsia="Courier New" w:hAnsi="Courier New"/>
          <w:sz w:val="14"/>
          <w:szCs w:val="14"/>
          <w:color w:val="auto"/>
        </w:rPr>
        <w:t>Waste Management of Fort Worth Recycling and Disposal Facility Waste Management - Golden Triangle Waste Management of Dallas-East</w:t>
      </w:r>
    </w:p>
    <w:p>
      <w:pPr>
        <w:spacing w:after="0" w:line="1" w:lineRule="exact"/>
        <w:rPr>
          <w:sz w:val="20"/>
          <w:szCs w:val="20"/>
          <w:color w:val="auto"/>
        </w:rPr>
      </w:pPr>
    </w:p>
    <w:p>
      <w:pPr>
        <w:ind w:left="800" w:right="3979"/>
        <w:spacing w:after="0" w:line="260" w:lineRule="auto"/>
        <w:rPr>
          <w:sz w:val="20"/>
          <w:szCs w:val="20"/>
          <w:color w:val="auto"/>
        </w:rPr>
      </w:pPr>
      <w:r>
        <w:rPr>
          <w:rFonts w:ascii="Courier New" w:cs="Courier New" w:eastAsia="Courier New" w:hAnsi="Courier New"/>
          <w:sz w:val="14"/>
          <w:szCs w:val="14"/>
          <w:color w:val="auto"/>
        </w:rPr>
        <w:t>Waste Management of Dallas Recycle America Processing Facility Waste Management of Dallas-West Waste Management of East Texas</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Fort Worth</w:t>
      </w:r>
    </w:p>
    <w:p>
      <w:pPr>
        <w:spacing w:after="0" w:line="8" w:lineRule="exact"/>
        <w:rPr>
          <w:sz w:val="20"/>
          <w:szCs w:val="20"/>
          <w:color w:val="auto"/>
        </w:rPr>
      </w:pPr>
    </w:p>
    <w:p>
      <w:pPr>
        <w:ind w:left="800" w:right="3979"/>
        <w:spacing w:after="0" w:line="252" w:lineRule="auto"/>
        <w:rPr>
          <w:sz w:val="20"/>
          <w:szCs w:val="20"/>
          <w:color w:val="auto"/>
        </w:rPr>
      </w:pPr>
      <w:r>
        <w:rPr>
          <w:rFonts w:ascii="Courier New" w:cs="Courier New" w:eastAsia="Courier New" w:hAnsi="Courier New"/>
          <w:sz w:val="14"/>
          <w:szCs w:val="14"/>
          <w:color w:val="auto"/>
        </w:rPr>
        <w:t>Waste Management of Fort Worth Recycling and Disposal Facility Waste Management of Houston</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Northeast Texas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Southeast Texas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Southeast Texas-Angleton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Southeast Texas-Dickinson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 Texas</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30 of 36</w:t>
      </w:r>
    </w:p>
    <w:p>
      <w:pPr>
        <w:sectPr>
          <w:pgSz w:w="11900" w:h="16838" w:orient="portrait"/>
          <w:cols w:equalWidth="0" w:num="1">
            <w:col w:w="10159"/>
          </w:cols>
          <w:pgMar w:left="300" w:top="286" w:right="1440" w:bottom="1440" w:gutter="0" w:footer="0" w:header="0"/>
        </w:sectPr>
      </w:pPr>
    </w:p>
    <w:bookmarkStart w:id="331" w:name="page332"/>
    <w:bookmarkEnd w:id="331"/>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West Texas Westside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Williamson County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 of Dallas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 of North Texas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 of Texas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Utah,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Northern Utah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Reliable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Salt Lake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Varick Avenue,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Virginia,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Manassas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Hampton Roads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Northern Virginia</w:t>
      </w:r>
    </w:p>
    <w:p>
      <w:pPr>
        <w:spacing w:after="0" w:line="8" w:lineRule="exact"/>
        <w:rPr>
          <w:sz w:val="20"/>
          <w:szCs w:val="20"/>
          <w:color w:val="auto"/>
        </w:rPr>
      </w:pPr>
    </w:p>
    <w:p>
      <w:pPr>
        <w:jc w:val="right"/>
        <w:ind w:right="4859"/>
        <w:spacing w:after="0"/>
        <w:rPr>
          <w:sz w:val="20"/>
          <w:szCs w:val="20"/>
          <w:color w:val="auto"/>
        </w:rPr>
      </w:pPr>
      <w:r>
        <w:rPr>
          <w:rFonts w:ascii="Courier New" w:cs="Courier New" w:eastAsia="Courier New" w:hAnsi="Courier New"/>
          <w:sz w:val="14"/>
          <w:szCs w:val="14"/>
          <w:color w:val="auto"/>
        </w:rPr>
        <w:t>Waste Management of Northern Virginia-Crown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Outer Banks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Richmond/Fiber Fuels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Richmond Port-O-Let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Richmond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Virginia-Blue Ridge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 of Hampton Roads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 of Virginia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Washington,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Mountain Group-Northwest Office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Port-O-Let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Recycle America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Valley Topsoil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Management-Northwest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Ellensburg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Greater Wenatchee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Kennewick</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Seattle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Spokane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Yakima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Management-SnoKing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Management-Rainier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West Virginia,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Shenandoah Valley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Wisconsin,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Best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DSI of Shawano County,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Mallard Ridge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Metro/Stone Ridge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Orchard Ridge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Parkview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Parkway Container Services,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Pheasant Run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Ridgeview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Timberline Trail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UWS Transportation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Valley Trail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Management-Northeast Wisconsin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Fox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La Crosse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31 of 36</w:t>
      </w:r>
    </w:p>
    <w:p>
      <w:pPr>
        <w:sectPr>
          <w:pgSz w:w="11900" w:h="16838" w:orient="portrait"/>
          <w:cols w:equalWidth="0" w:num="1">
            <w:col w:w="10159"/>
          </w:cols>
          <w:pgMar w:left="300" w:top="286" w:right="1440" w:bottom="1440" w:gutter="0" w:footer="0" w:header="0"/>
        </w:sectPr>
      </w:pPr>
    </w:p>
    <w:bookmarkStart w:id="332" w:name="page333"/>
    <w:bookmarkEnd w:id="332"/>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Madison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Milwaukee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Muskego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Rockford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Wisconsin-East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Southwest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St. Croix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 Tri County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Services of Wisconsin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Waste Management of Wyoming,</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334"/>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Waste Management Operations Ireland</w:t>
            </w:r>
          </w:p>
        </w:tc>
      </w:tr>
      <w:tr>
        <w:trPr>
          <w:trHeight w:val="334"/>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Waste Management Paper Stock</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Company, Inc.</w:t>
            </w:r>
          </w:p>
        </w:tc>
      </w:tr>
      <w:tr>
        <w:trPr>
          <w:trHeight w:val="167"/>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Southern Sanitation</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Southeast-Recycle America</w:t>
            </w:r>
          </w:p>
        </w:tc>
      </w:tr>
      <w:tr>
        <w:trPr>
          <w:trHeight w:val="167"/>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Waste Management of</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Florida-Recycle America</w:t>
            </w:r>
          </w:p>
        </w:tc>
      </w:tr>
      <w:tr>
        <w:trPr>
          <w:trHeight w:val="167"/>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Waste Management of</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Sarasota-Recycle America</w:t>
            </w:r>
          </w:p>
        </w:tc>
      </w:tr>
      <w:tr>
        <w:trPr>
          <w:trHeight w:val="167"/>
        </w:trPr>
        <w:tc>
          <w:tcPr>
            <w:tcW w:w="2480" w:type="dxa"/>
            <w:vAlign w:val="bottom"/>
          </w:tcPr>
          <w:p>
            <w:pPr>
              <w:jc w:val="right"/>
              <w:spacing w:after="0"/>
              <w:rPr>
                <w:sz w:val="20"/>
                <w:szCs w:val="20"/>
                <w:color w:val="auto"/>
              </w:rPr>
            </w:pPr>
            <w:r>
              <w:rPr>
                <w:rFonts w:ascii="Courier New" w:cs="Courier New" w:eastAsia="Courier New" w:hAnsi="Courier New"/>
                <w:sz w:val="14"/>
                <w:szCs w:val="14"/>
                <w:color w:val="auto"/>
              </w:rPr>
              <w:t>Waste Management of</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Tampa- Recycle America</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Partners,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American Refuse Systems,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Ocmulgee Disposal,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Plastic Products,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Project Services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Queensland Pty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Recycling &amp; Services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Recycling and Disposal Services of California,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San Fernando Valley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Recycling of New Jersey,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Safety Recycling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Remediation Services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Roxby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Services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Siam Holdings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Siam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South America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Stendhal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Technical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Technology Center,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Thailand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Transfer of New Jersey,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Inc. of Tennessee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Chestnut Ridge Landfill and Recycling Center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Nashville Hauling Nashville Transfer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Tennessee - Clarksville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Tennessee - Jackson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Tennessee - Knoxville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Tennessee - Memphis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Tennessee - Nashville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West Camden Sanitary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Resource Technologies,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32 of 36</w:t>
      </w:r>
    </w:p>
    <w:p>
      <w:pPr>
        <w:sectPr>
          <w:pgSz w:w="11900" w:h="16838" w:orient="portrait"/>
          <w:cols w:equalWidth="0" w:num="1">
            <w:col w:w="10159"/>
          </w:cols>
          <w:pgMar w:left="300" w:top="286" w:right="1440" w:bottom="1440" w:gutter="0" w:footer="0" w:header="0"/>
        </w:sectPr>
      </w:pPr>
    </w:p>
    <w:bookmarkStart w:id="333" w:name="page334"/>
    <w:bookmarkEnd w:id="333"/>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Resources of Tennessee,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Wastech,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Waterblast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Webster Parish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WESI Baltimore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WESI Capital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WESI Peekskill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WESI Westchester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Wessex Waste Gas to Energy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Wessex Waste Management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Australian Landfill Services Pty Limited (50%)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Essex Disposal Co.,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Westchester Resco Associates,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Westchester Resco Company,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Westchester Waste Services Co.,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Western El Dorado Recovery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Western Land Acquisition,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Western U.P.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Western Waste Industries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Conroe Industrial Transportation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Conroe Landfill #7</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Conroe Landfill Administration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Fresno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Inland Empire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Redondo Beach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Sunnydale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Western Beaumont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Western Longmont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WW/Chino Transfer Station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WW/Conroe Processing Plant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WW/EL Sobrante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Nassau Landfill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WW/Southern California Processing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Westlake Truck Leasing,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Westley Trading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Baltimore,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Canada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Carteret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Cedar Creek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Claremont Company,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Clean Water New Jersey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Coal Services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Concord Company,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Concord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Connecticut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Culm Services Inc.</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33 of 36</w:t>
      </w:r>
    </w:p>
    <w:p>
      <w:pPr>
        <w:sectPr>
          <w:pgSz w:w="11900" w:h="16838" w:orient="portrait"/>
          <w:cols w:equalWidth="0" w:num="1">
            <w:col w:w="10159"/>
          </w:cols>
          <w:pgMar w:left="300" w:top="286" w:right="1440" w:bottom="1440" w:gutter="0" w:footer="0" w:header="0"/>
          <w:type w:val="continuous"/>
        </w:sectPr>
      </w:pPr>
    </w:p>
    <w:bookmarkStart w:id="334" w:name="page335"/>
    <w:bookmarkEnd w:id="334"/>
    <w:p>
      <w:pPr>
        <w:ind w:left="260"/>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Energy Leasing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Environmental Systems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Falls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Frackville Energy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Frackville Properties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Fuel Services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Fuels Service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Gloucester Company, 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Gloucester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Guam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Hudson Energy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Land Resources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Lassen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Martell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McKay Bay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Millbury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New Hampshire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New Jersey,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NHC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North Broward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North Shore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Norwalk Energy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Penacook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Pinellas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Polk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Putnam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Ridge Energy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Saugus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Shasta Energy Company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Sherman Station Energy Company, G.P.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Sherman Station One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Sherman Station Two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Shrewsbury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South Broward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Spokane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Technologies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Technologies International,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Water Technologies Baltimore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Water Technologies Canada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Wheelabrator Water Technologies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Lake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Hepworth Landfill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Williams Disposal Service, Inc.</w:t>
      </w:r>
    </w:p>
    <w:p>
      <w:pPr>
        <w:sectPr>
          <w:pgSz w:w="11900" w:h="16838" w:orient="portrait"/>
          <w:cols w:equalWidth="0" w:num="1">
            <w:col w:w="10159"/>
          </w:cols>
          <w:pgMar w:left="300" w:top="286" w:right="1440" w:bottom="809" w:gutter="0" w:footer="0" w:header="0"/>
        </w:sectPr>
      </w:pP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34 of 36</w:t>
      </w:r>
    </w:p>
    <w:p>
      <w:pPr>
        <w:sectPr>
          <w:pgSz w:w="11900" w:h="16838" w:orient="portrait"/>
          <w:cols w:equalWidth="0" w:num="1">
            <w:col w:w="10159"/>
          </w:cols>
          <w:pgMar w:left="300" w:top="286" w:right="1440" w:bottom="809" w:gutter="0" w:footer="0" w:header="0"/>
          <w:type w:val="continuous"/>
        </w:sectPr>
      </w:pPr>
    </w:p>
    <w:bookmarkStart w:id="335" w:name="page336"/>
    <w:bookmarkEnd w:id="335"/>
    <w:p>
      <w:pPr>
        <w:ind w:left="260"/>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Williams Landfill,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Williwaw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WINZ Bins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Asia BV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International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Landfills of Georgia,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Landfills of Michigan,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Landfills of Ohio,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Landfills of Tennessee,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Miljoservice 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Partnership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Resources,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Selbergs AB</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Services S. 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Transportation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Umwelttechnik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Vedenkierratys 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 Ymparistopalvelut 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WMD Bockmann Fritz Ohlig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WMD Just Wertstoffe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WMD Knab GmgH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WMD Knab Zwischenlager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WMD Knoss &amp; Anthes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WMD Schreiber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WMD Waste Management Deutschland Holding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WMI Medical Services of Indiana,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WMI Mexico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WMI Sverige AB</w:t>
      </w:r>
    </w:p>
    <w:p>
      <w:pPr>
        <w:spacing w:after="0" w:line="175"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WMI Waste Management of Canada Inc.</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TCL Waste Systems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Big Bear Services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Fraser Valley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Halton/Hamilton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Materials Processing-Recycle Canada</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Materials Processing-Toronto Transfer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McLellan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Oxford/Perth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Calgary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Edmonton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Greater Toronto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Greater Vancouver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Southwestern Ontario</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of the Okanagan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Waste Management York/Simcoe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West Edmonton Recycling and Disposal Facility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du Quebec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 Hull/Ottawa</w:t>
      </w:r>
    </w:p>
    <w:p>
      <w:pPr>
        <w:sectPr>
          <w:pgSz w:w="11900" w:h="16838" w:orient="portrait"/>
          <w:cols w:equalWidth="0" w:num="1">
            <w:col w:w="10159"/>
          </w:cols>
          <w:pgMar w:left="300" w:top="286" w:right="1440" w:bottom="1440" w:gutter="0" w:footer="0" w:header="0"/>
        </w:sectPr>
      </w:pP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35 of 36</w:t>
      </w:r>
    </w:p>
    <w:p>
      <w:pPr>
        <w:sectPr>
          <w:pgSz w:w="11900" w:h="16838" w:orient="portrait"/>
          <w:cols w:equalWidth="0" w:num="1">
            <w:col w:w="10159"/>
          </w:cols>
          <w:pgMar w:left="300" w:top="286" w:right="1440" w:bottom="1440" w:gutter="0" w:footer="0" w:header="0"/>
          <w:type w:val="continuous"/>
        </w:sectPr>
      </w:pPr>
    </w:p>
    <w:bookmarkStart w:id="336" w:name="page337"/>
    <w:bookmarkEnd w:id="336"/>
    <w:p>
      <w:pPr>
        <w:ind w:left="26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Recyclage Quebec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Rive - Sud</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WMI Waste Management DuCanada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WMI Waste Management of Halton, Hamilton, Niagara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WMNA Container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WMNA Rail-Cycle Sub,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WR Pollard and Son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WTI Air Pollution Control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WTI China Holdings I,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WTI China Holdings II,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WTI International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WTI Qicheng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WTI Rust Holdings,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WTI Taicang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WTI Yingkou LLC.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Wynne's Rubbish &amp; Recycling,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Yell County Landfill,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Zenith/Kremer Material Recovery,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Suburban Recycling Service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Zenith/Kremer Waste Systems, Inc.</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Cecil Shykes Sanitary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Home Town Garbage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Kremer Disposal</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Kremer Recycling</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Suburban Sanitation Service</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Zenith Recycling</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Page 36 of 36</w:t>
      </w:r>
    </w:p>
    <w:p>
      <w:pPr>
        <w:sectPr>
          <w:pgSz w:w="11900" w:h="16838" w:orient="portrait"/>
          <w:cols w:equalWidth="0" w:num="1">
            <w:col w:w="10159"/>
          </w:cols>
          <w:pgMar w:left="300" w:top="286" w:right="1440" w:bottom="1440" w:gutter="0" w:footer="0" w:header="0"/>
        </w:sectPr>
      </w:pPr>
    </w:p>
    <w:bookmarkStart w:id="337" w:name="page338"/>
    <w:bookmarkEnd w:id="337"/>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23.1</w:t>
      </w:r>
    </w:p>
    <w:p>
      <w:pPr>
        <w:spacing w:after="0" w:line="34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included in this Annual Report on Form 10-K into the Company's previously filed Registration Statements on Form S-8 (Registration Nos.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33-43619, 33-72436, 33-84988, 33-84990, 33-59807, 33-61621, 33-61625, 33-61627,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333-02181, 333-08161, 333-14115, 333-14613, 333-34819, 333-51975, 333-64239,</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333-70055, 333-59247, 333-56113), previously filed Registration Statements on Form S-3 (Registration Nos. 333-00097, 333-08573, 333-32471, 333-33889,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333-52197, 333-80063, 333-21035, 333-17453, 333-17421, 33-63143, 33-62547,</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33-85018, 33-42988, 33-76226, 333-63893, 333-21035, 33-76224), and previously filed Registration Statements on Form S-4 (Registration Nos. 333-31979 and 333-32805, 333-63981, 333-60103, 333-14109).</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ectPr>
          <w:pgSz w:w="11900" w:h="16838" w:orient="portrait"/>
          <w:cols w:equalWidth="0" w:num="1">
            <w:col w:w="10159"/>
          </w:cols>
          <w:pgMar w:left="300" w:top="141" w:right="1440" w:bottom="1440" w:gutter="0" w:footer="0" w:header="0"/>
        </w:sectPr>
      </w:pPr>
    </w:p>
    <w:bookmarkStart w:id="338" w:name="page339"/>
    <w:bookmarkEnd w:id="338"/>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23.2</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42" w:lineRule="exact"/>
        <w:rPr>
          <w:sz w:val="20"/>
          <w:szCs w:val="20"/>
          <w:color w:val="auto"/>
        </w:rPr>
      </w:pPr>
    </w:p>
    <w:p>
      <w:pPr>
        <w:jc w:val="both"/>
        <w:ind w:right="4079" w:firstLine="521"/>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Waste Management, Inc. on Form S-3 (File Nos. 333-00097,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333-08573, 333-32471, 333-33889, 333-52197, 333-80063, 333-21035, 333-17453,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333-17421, 33-63143, 33-62547, 33-85018, 33-42988, 33-76226, 333-63893,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333-21035 and 33-76224), on Form S-4 (File Nos. 333-31979, 333-32805, 333-63981,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333-60103 and 333-14109), and on Form S-8 (File Nos. 33-43619, 33-72436,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33-84988, 33-84990, 33-59807, 33-61621, 33-61625, 33-61627, 333-02181,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333-08161, 333-14115, 333-14613, 333-34819, 333-51975, 333-64239, 333-70055,</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333-56113, and 333-59247), of our report dated March 16, 1998, on our audit of the consolidated financial statements of operations, stockholders' equity and cash flows of USA Waste Services, Inc. for the year ended December 31, 1997, which report is included in this Annual Report on Form 10-K.</w:t>
      </w:r>
    </w:p>
    <w:p>
      <w:pPr>
        <w:spacing w:after="0" w:line="330"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PricewaterhouseCoopers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29, 2000</w:t>
      </w:r>
    </w:p>
    <w:p>
      <w:pPr>
        <w:sectPr>
          <w:pgSz w:w="11900" w:h="16838" w:orient="portrait"/>
          <w:cols w:equalWidth="0" w:num="1">
            <w:col w:w="10159"/>
          </w:cols>
          <w:pgMar w:left="300" w:top="141" w:right="1440" w:bottom="1440" w:gutter="0" w:footer="0" w:header="0"/>
        </w:sectPr>
      </w:pPr>
    </w:p>
    <w:bookmarkStart w:id="339" w:name="page340"/>
    <w:bookmarkEnd w:id="339"/>
    <w:p>
      <w:pPr>
        <w:ind w:left="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179"/>
        <w:spacing w:after="0" w:line="255"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WASTE MANAGEMENT, INC. FOR THE YEAR ENDED DECEMBER 31, 1999 AND IS QUALIFIED IN ITS ENTIRETY BY REFERENCE TO SUCH FINANCIAL STATEMENTS.</w:t>
      </w:r>
    </w:p>
    <w:p>
      <w:pPr>
        <w:spacing w:after="0" w:line="162"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DEC-31-1999</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JAN-01-1999</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DEC-31-1999</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181,357</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2,239,647</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289,499</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107,222</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6,220,545</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16,469,276</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6,165,473</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22,681,424</w:t>
      </w:r>
    </w:p>
    <w:p>
      <w:pPr>
        <w:spacing w:after="0" w:line="8"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7,489,455</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11,498,088</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6,273</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4,396,339</w:t>
      </w:r>
    </w:p>
    <w:p>
      <w:pPr>
        <w:spacing w:after="0" w:line="8"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22,681,424</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13,126,920</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12,586,966</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268,379</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769,655</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(162,732)</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232,319</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(395,051)</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(2,513)</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(397,564)</w:t>
      </w:r>
    </w:p>
    <w:p>
      <w:pPr>
        <w:spacing w:after="0" w:line="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(0.65)</w:t>
      </w:r>
    </w:p>
    <w:p>
      <w:pPr>
        <w:spacing w:after="0" w:line="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(0.65)</w:t>
      </w:r>
    </w:p>
    <w:sectPr>
      <w:pgSz w:w="11900" w:h="16838" w:orient="portrait"/>
      <w:cols w:equalWidth="0" w:num="1">
        <w:col w:w="10119"/>
      </w:cols>
      <w:pgMar w:left="34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00B9D9"/>
    <w:multiLevelType w:val="hybridMultilevel"/>
    <w:lvl w:ilvl="0">
      <w:lvlJc w:val="left"/>
      <w:lvlText w:val="-"/>
      <w:numFmt w:val="bullet"/>
      <w:start w:val="1"/>
    </w:lvl>
  </w:abstractNum>
  <w:abstractNum w:abstractNumId="1">
    <w:nsid w:val="15BCABA8"/>
    <w:multiLevelType w:val="hybridMultilevel"/>
    <w:lvl w:ilvl="0">
      <w:lvlJc w:val="left"/>
      <w:lvlText w:val="[%1]"/>
      <w:numFmt w:val="upperLetter"/>
      <w:start w:val="24"/>
    </w:lvl>
  </w:abstractNum>
  <w:abstractNum w:abstractNumId="2">
    <w:nsid w:val="4E0B9A87"/>
    <w:multiLevelType w:val="hybridMultilevel"/>
    <w:lvl w:ilvl="0">
      <w:lvlJc w:val="left"/>
      <w:lvlText w:val="["/>
      <w:numFmt w:val="bullet"/>
      <w:start w:val="1"/>
    </w:lvl>
  </w:abstractNum>
  <w:abstractNum w:abstractNumId="3">
    <w:nsid w:val="434BAE75"/>
    <w:multiLevelType w:val="hybridMultilevel"/>
    <w:lvl w:ilvl="0">
      <w:lvlJc w:val="left"/>
      <w:lvlText w:val="-"/>
      <w:numFmt w:val="bullet"/>
      <w:start w:val="1"/>
    </w:lvl>
  </w:abstractNum>
  <w:abstractNum w:abstractNumId="4">
    <w:nsid w:val="4F38F265"/>
    <w:multiLevelType w:val="hybridMultilevel"/>
    <w:lvl w:ilvl="0">
      <w:lvlJc w:val="left"/>
      <w:lvlText w:val="-"/>
      <w:numFmt w:val="bullet"/>
      <w:start w:val="1"/>
    </w:lvl>
  </w:abstractNum>
  <w:abstractNum w:abstractNumId="5">
    <w:nsid w:val="4C502870"/>
    <w:multiLevelType w:val="hybridMultilevel"/>
    <w:lvl w:ilvl="0">
      <w:lvlJc w:val="left"/>
      <w:lvlText w:val="-"/>
      <w:numFmt w:val="bullet"/>
      <w:start w:val="1"/>
    </w:lvl>
  </w:abstractNum>
  <w:abstractNum w:abstractNumId="6">
    <w:nsid w:val="1DE8725A"/>
    <w:multiLevelType w:val="hybridMultilevel"/>
    <w:lvl w:ilvl="0">
      <w:lvlJc w:val="left"/>
      <w:lvlText w:val="-"/>
      <w:numFmt w:val="bullet"/>
      <w:start w:val="1"/>
    </w:lvl>
  </w:abstractNum>
  <w:abstractNum w:abstractNumId="7">
    <w:nsid w:val="6A37288A"/>
    <w:multiLevelType w:val="hybridMultilevel"/>
    <w:lvl w:ilvl="0">
      <w:lvlJc w:val="left"/>
      <w:lvlText w:val="-"/>
      <w:numFmt w:val="bullet"/>
      <w:start w:val="1"/>
    </w:lvl>
  </w:abstractNum>
  <w:abstractNum w:abstractNumId="8">
    <w:nsid w:val="8F8B73F"/>
    <w:multiLevelType w:val="hybridMultilevel"/>
    <w:lvl w:ilvl="0">
      <w:lvlJc w:val="left"/>
      <w:lvlText w:val="-"/>
      <w:numFmt w:val="bullet"/>
      <w:start w:val="1"/>
    </w:lvl>
  </w:abstractNum>
  <w:abstractNum w:abstractNumId="9">
    <w:nsid w:val="CA6B462"/>
    <w:multiLevelType w:val="hybridMultilevel"/>
    <w:lvl w:ilvl="0">
      <w:lvlJc w:val="left"/>
      <w:lvlText w:val="-"/>
      <w:numFmt w:val="bullet"/>
      <w:start w:val="1"/>
    </w:lvl>
  </w:abstractNum>
  <w:abstractNum w:abstractNumId="10">
    <w:nsid w:val="763CB680"/>
    <w:multiLevelType w:val="hybridMultilevel"/>
    <w:lvl w:ilvl="0">
      <w:lvlJc w:val="left"/>
      <w:lvlText w:val="(%1)"/>
      <w:numFmt w:val="decimal"/>
      <w:start w:val="1"/>
    </w:lvl>
  </w:abstractNum>
  <w:abstractNum w:abstractNumId="11">
    <w:nsid w:val="15B71329"/>
    <w:multiLevelType w:val="hybridMultilevel"/>
    <w:lvl w:ilvl="0">
      <w:lvlJc w:val="left"/>
      <w:lvlText w:val="(%1)"/>
      <w:numFmt w:val="decimal"/>
      <w:start w:val="1"/>
    </w:lvl>
  </w:abstractNum>
  <w:abstractNum w:abstractNumId="12">
    <w:nsid w:val="3DA97044"/>
    <w:multiLevelType w:val="hybridMultilevel"/>
    <w:lvl w:ilvl="0">
      <w:lvlJc w:val="left"/>
      <w:lvlText w:val="-"/>
      <w:numFmt w:val="bullet"/>
      <w:start w:val="1"/>
    </w:lvl>
  </w:abstractNum>
  <w:abstractNum w:abstractNumId="13">
    <w:nsid w:val="1CDCE2DE"/>
    <w:multiLevelType w:val="hybridMultilevel"/>
    <w:lvl w:ilvl="0">
      <w:lvlJc w:val="left"/>
      <w:lvlText w:val="-"/>
      <w:numFmt w:val="bullet"/>
      <w:start w:val="1"/>
    </w:lvl>
  </w:abstractNum>
  <w:abstractNum w:abstractNumId="14">
    <w:nsid w:val="69D3947C"/>
    <w:multiLevelType w:val="hybridMultilevel"/>
    <w:lvl w:ilvl="0">
      <w:lvlJc w:val="left"/>
      <w:lvlText w:val="(%1)"/>
      <w:numFmt w:val="lowerLetter"/>
      <w:start w:val="1"/>
    </w:lvl>
  </w:abstractNum>
  <w:abstractNum w:abstractNumId="15">
    <w:nsid w:val="2539DFA5"/>
    <w:multiLevelType w:val="hybridMultilevel"/>
    <w:lvl w:ilvl="0">
      <w:lvlJc w:val="left"/>
      <w:lvlText w:val="%1)"/>
      <w:numFmt w:val="lowerLetter"/>
      <w:start w:val="1"/>
    </w:lvl>
  </w:abstractNum>
  <w:abstractNum w:abstractNumId="16">
    <w:nsid w:val="2DB88089"/>
    <w:multiLevelType w:val="hybridMultilevel"/>
    <w:lvl w:ilvl="0">
      <w:lvlJc w:val="left"/>
      <w:lvlText w:val="(%1)"/>
      <w:numFmt w:val="lowerLetter"/>
      <w:start w:val="1"/>
    </w:lvl>
  </w:abstractNum>
  <w:abstractNum w:abstractNumId="17">
    <w:nsid w:val="706B674E"/>
    <w:multiLevelType w:val="hybridMultilevel"/>
    <w:lvl w:ilvl="0">
      <w:lvlJc w:val="left"/>
      <w:lvlText w:val="-"/>
      <w:numFmt w:val="bullet"/>
      <w:start w:val="1"/>
    </w:lvl>
    <w:lvl w:ilvl="1">
      <w:lvlJc w:val="left"/>
      <w:lvlText w:val="*"/>
      <w:numFmt w:val="bullet"/>
      <w:start w:val="1"/>
    </w:lvl>
    <w:lvl w:ilvl="2">
      <w:lvlJc w:val="left"/>
      <w:lvlText w:val="%3"/>
      <w:numFmt w:val="decimal"/>
      <w:start w:val="27"/>
    </w:lvl>
  </w:abstractNum>
  <w:abstractNum w:abstractNumId="18">
    <w:nsid w:val="2C106A57"/>
    <w:multiLevelType w:val="hybridMultilevel"/>
    <w:lvl w:ilvl="0">
      <w:lvlJc w:val="left"/>
      <w:lvlText w:val="(%1)"/>
      <w:numFmt w:val="upperLetter"/>
      <w:start w:val="1"/>
    </w:lvl>
  </w:abstractNum>
  <w:abstractNum w:abstractNumId="19">
    <w:nsid w:val="684EED59"/>
    <w:multiLevelType w:val="hybridMultilevel"/>
    <w:lvl w:ilvl="0">
      <w:lvlJc w:val="left"/>
      <w:lvlText w:val="-"/>
      <w:numFmt w:val="bullet"/>
      <w:start w:val="1"/>
    </w:lvl>
    <w:lvl w:ilvl="1">
      <w:lvlJc w:val="left"/>
      <w:lvlText w:val="*"/>
      <w:numFmt w:val="bullet"/>
      <w:start w:val="1"/>
    </w:lvl>
    <w:lvl w:ilvl="2">
      <w:lvlJc w:val="left"/>
      <w:lvlText w:val="%3"/>
      <w:numFmt w:val="decimal"/>
      <w:start w:val="27"/>
    </w:lvl>
  </w:abstractNum>
  <w:abstractNum w:abstractNumId="20">
    <w:nsid w:val="545EE5D3"/>
    <w:multiLevelType w:val="hybridMultilevel"/>
    <w:lvl w:ilvl="0">
      <w:lvlJc w:val="left"/>
      <w:lvlText w:val="%1."/>
      <w:numFmt w:val="decimal"/>
      <w:start w:val="1"/>
    </w:lvl>
  </w:abstractNum>
  <w:abstractNum w:abstractNumId="21">
    <w:nsid w:val="4A66051"/>
    <w:multiLevelType w:val="hybridMultilevel"/>
    <w:lvl w:ilvl="0">
      <w:lvlJc w:val="left"/>
      <w:lvlText w:val="%1."/>
      <w:numFmt w:val="decimal"/>
      <w:start w:val="2"/>
    </w:lvl>
  </w:abstractNum>
  <w:abstractNum w:abstractNumId="22">
    <w:nsid w:val="20F4BDAD"/>
    <w:multiLevelType w:val="hybridMultilevel"/>
    <w:lvl w:ilvl="0">
      <w:lvlJc w:val="left"/>
      <w:lvlText w:val="%1."/>
      <w:numFmt w:val="decimal"/>
      <w:start w:val="3"/>
    </w:lvl>
  </w:abstractNum>
  <w:abstractNum w:abstractNumId="23">
    <w:nsid w:val="639DEFAC"/>
    <w:multiLevelType w:val="hybridMultilevel"/>
    <w:lvl w:ilvl="0">
      <w:lvlJc w:val="left"/>
      <w:lvlText w:val="(%1)"/>
      <w:numFmt w:val="lowerLetter"/>
      <w:start w:val="1"/>
    </w:lvl>
  </w:abstractNum>
  <w:abstractNum w:abstractNumId="24">
    <w:nsid w:val="501F9786"/>
    <w:multiLevelType w:val="hybridMultilevel"/>
    <w:lvl w:ilvl="0">
      <w:lvlJc w:val="left"/>
      <w:lvlText w:val="%1."/>
      <w:numFmt w:val="decimal"/>
      <w:start w:val="4"/>
    </w:lvl>
  </w:abstractNum>
  <w:abstractNum w:abstractNumId="25">
    <w:nsid w:val="6B057295"/>
    <w:multiLevelType w:val="hybridMultilevel"/>
    <w:lvl w:ilvl="0">
      <w:lvlJc w:val="left"/>
      <w:lvlText w:val="(%1)"/>
      <w:numFmt w:val="lowerLetter"/>
      <w:start w:val="1"/>
    </w:lvl>
  </w:abstractNum>
  <w:abstractNum w:abstractNumId="26">
    <w:nsid w:val="2771AC80"/>
    <w:multiLevelType w:val="hybridMultilevel"/>
    <w:lvl w:ilvl="0">
      <w:lvlJc w:val="left"/>
      <w:lvlText w:val="(%1)"/>
      <w:numFmt w:val="lowerLetter"/>
      <w:start w:val="2"/>
    </w:lvl>
    <w:lvl w:ilvl="1">
      <w:lvlJc w:val="left"/>
      <w:lvlText w:val="(%2)"/>
      <w:numFmt w:val="lowerRoman"/>
      <w:start w:val="1"/>
    </w:lvl>
  </w:abstractNum>
  <w:abstractNum w:abstractNumId="27">
    <w:nsid w:val="1C4A08EC"/>
    <w:multiLevelType w:val="hybridMultilevel"/>
    <w:lvl w:ilvl="0">
      <w:lvlJc w:val="left"/>
      <w:lvlText w:val="(%1)"/>
      <w:numFmt w:val="lowerLetter"/>
      <w:start w:val="4"/>
    </w:lvl>
  </w:abstractNum>
  <w:abstractNum w:abstractNumId="28">
    <w:nsid w:val="1958BD17"/>
    <w:multiLevelType w:val="hybridMultilevel"/>
    <w:lvl w:ilvl="0">
      <w:lvlJc w:val="left"/>
      <w:lvlText w:val="(%1)"/>
      <w:numFmt w:val="lowerLetter"/>
      <w:start w:val="7"/>
    </w:lvl>
    <w:lvl w:ilvl="1">
      <w:lvlJc w:val="left"/>
      <w:lvlText w:val="(%2)"/>
      <w:numFmt w:val="lowerRoman"/>
      <w:start w:val="1"/>
    </w:lvl>
  </w:abstractNum>
  <w:abstractNum w:abstractNumId="29">
    <w:nsid w:val="4E647FE4"/>
    <w:multiLevelType w:val="hybridMultilevel"/>
    <w:lvl w:ilvl="0">
      <w:lvlJc w:val="left"/>
      <w:lvlText w:val="(%1)"/>
      <w:numFmt w:val="lowerRoman"/>
      <w:start w:val="2"/>
    </w:lvl>
  </w:abstractNum>
  <w:abstractNum w:abstractNumId="30">
    <w:nsid w:val="E0BB885"/>
    <w:multiLevelType w:val="hybridMultilevel"/>
    <w:lvl w:ilvl="0">
      <w:lvlJc w:val="left"/>
      <w:lvlText w:val="(%1)"/>
      <w:numFmt w:val="lowerLetter"/>
      <w:start w:val="8"/>
    </w:lvl>
  </w:abstractNum>
  <w:abstractNum w:abstractNumId="31">
    <w:nsid w:val="565976F1"/>
    <w:multiLevelType w:val="hybridMultilevel"/>
    <w:lvl w:ilvl="0">
      <w:lvlJc w:val="left"/>
      <w:lvlText w:val="(%1)"/>
      <w:numFmt w:val="lowerLetter"/>
      <w:start w:val="10"/>
    </w:lvl>
  </w:abstractNum>
  <w:abstractNum w:abstractNumId="32">
    <w:nsid w:val="64212B8C"/>
    <w:multiLevelType w:val="hybridMultilevel"/>
    <w:lvl w:ilvl="0">
      <w:lvlJc w:val="left"/>
      <w:lvlText w:val="%1."/>
      <w:numFmt w:val="decimal"/>
      <w:start w:val="5"/>
    </w:lvl>
  </w:abstractNum>
  <w:abstractNum w:abstractNumId="33">
    <w:nsid w:val="5C17530C"/>
    <w:multiLevelType w:val="hybridMultilevel"/>
    <w:lvl w:ilvl="0">
      <w:lvlJc w:val="left"/>
      <w:lvlText w:val="(%1)"/>
      <w:numFmt w:val="lowerLetter"/>
      <w:start w:val="1"/>
    </w:lvl>
    <w:lvl w:ilvl="1">
      <w:lvlJc w:val="left"/>
      <w:lvlText w:val="(%2)"/>
      <w:numFmt w:val="decimal"/>
      <w:start w:val="90"/>
    </w:lvl>
    <w:lvl w:ilvl="2">
      <w:lvlJc w:val="left"/>
      <w:lvlText w:val="(%3)"/>
      <w:numFmt w:val="lowerLetter"/>
      <w:start w:val="9"/>
    </w:lvl>
  </w:abstractNum>
  <w:abstractNum w:abstractNumId="34">
    <w:nsid w:val="19A5256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35">
    <w:nsid w:val="335A1DF1"/>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
    </w:lvl>
  </w:abstractNum>
  <w:abstractNum w:abstractNumId="36">
    <w:nsid w:val="28677B7C"/>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35"/>
    </w:lvl>
  </w:abstractNum>
  <w:abstractNum w:abstractNumId="37">
    <w:nsid w:val="378D97C0"/>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38">
    <w:nsid w:val="1D91467C"/>
    <w:multiLevelType w:val="hybridMultilevel"/>
    <w:lvl w:ilvl="0">
      <w:lvlJc w:val="left"/>
      <w:lvlText w:val="%1."/>
      <w:numFmt w:val="decimal"/>
      <w:start w:val="6"/>
    </w:lvl>
  </w:abstractNum>
  <w:abstractNum w:abstractNumId="39">
    <w:nsid w:val="316032BB"/>
    <w:multiLevelType w:val="hybridMultilevel"/>
    <w:lvl w:ilvl="0">
      <w:lvlJc w:val="left"/>
      <w:lvlText w:val="(%1)"/>
      <w:numFmt w:val="lowerLetter"/>
      <w:start w:val="1"/>
    </w:lvl>
    <w:lvl w:ilvl="1">
      <w:lvlJc w:val="left"/>
      <w:lvlText w:val="(%2)"/>
      <w:numFmt w:val="lowerRoman"/>
      <w:start w:val="1"/>
    </w:lvl>
  </w:abstractNum>
  <w:abstractNum w:abstractNumId="40">
    <w:nsid w:val="44344C22"/>
    <w:multiLevelType w:val="hybridMultilevel"/>
    <w:lvl w:ilvl="0">
      <w:lvlJc w:val="left"/>
      <w:lvlText w:val="%1"/>
      <w:numFmt w:val="lowerLetter"/>
      <w:start w:val="1"/>
    </w:lvl>
    <w:lvl w:ilvl="1">
      <w:lvlJc w:val="left"/>
      <w:lvlText w:val="(%2)"/>
      <w:numFmt w:val="lowerRoman"/>
      <w:start w:val="2"/>
    </w:lvl>
  </w:abstractNum>
  <w:abstractNum w:abstractNumId="41">
    <w:nsid w:val="13CDFCFC"/>
    <w:multiLevelType w:val="hybridMultilevel"/>
    <w:lvl w:ilvl="0">
      <w:lvlJc w:val="left"/>
      <w:lvlText w:val="(%1)"/>
      <w:numFmt w:val="lowerLetter"/>
      <w:start w:val="3"/>
    </w:lvl>
    <w:lvl w:ilvl="1">
      <w:lvlJc w:val="left"/>
      <w:lvlText w:val="(%2)"/>
      <w:numFmt w:val="lowerRoman"/>
      <w:start w:val="1"/>
    </w:lvl>
  </w:abstractNum>
  <w:abstractNum w:abstractNumId="42">
    <w:nsid w:val="471745E4"/>
    <w:multiLevelType w:val="hybridMultilevel"/>
    <w:lvl w:ilvl="0">
      <w:lvlJc w:val="left"/>
      <w:lvlText w:val="(%1)"/>
      <w:numFmt w:val="lowerLetter"/>
      <w:start w:val="4"/>
    </w:lvl>
    <w:lvl w:ilvl="1">
      <w:lvlJc w:val="left"/>
      <w:lvlText w:val="(%2)"/>
      <w:numFmt w:val="lowerRoman"/>
      <w:start w:val="1"/>
    </w:lvl>
  </w:abstractNum>
  <w:abstractNum w:abstractNumId="43">
    <w:nsid w:val="1DDBC66"/>
    <w:multiLevelType w:val="hybridMultilevel"/>
    <w:lvl w:ilvl="0">
      <w:lvlJc w:val="left"/>
      <w:lvlText w:val="(%1)"/>
      <w:numFmt w:val="lowerLetter"/>
      <w:start w:val="5"/>
    </w:lvl>
    <w:lvl w:ilvl="1">
      <w:lvlJc w:val="left"/>
      <w:lvlText w:val="(%2)"/>
      <w:numFmt w:val="lowerRoman"/>
      <w:start w:val="1"/>
    </w:lvl>
  </w:abstractNum>
  <w:abstractNum w:abstractNumId="44">
    <w:nsid w:val="30AADFDA"/>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2"/>
    </w:lvl>
  </w:abstractNum>
  <w:abstractNum w:abstractNumId="45">
    <w:nsid w:val="30EADA61"/>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46">
    <w:nsid w:val="27179C0B"/>
    <w:multiLevelType w:val="hybridMultilevel"/>
    <w:lvl w:ilvl="0">
      <w:lvlJc w:val="left"/>
      <w:lvlText w:val="(%1)"/>
      <w:numFmt w:val="lowerLetter"/>
      <w:start w:val="7"/>
    </w:lvl>
  </w:abstractNum>
  <w:abstractNum w:abstractNumId="47">
    <w:nsid w:val="5E636063"/>
    <w:multiLevelType w:val="hybridMultilevel"/>
    <w:lvl w:ilvl="0">
      <w:lvlJc w:val="left"/>
      <w:lvlText w:val="%1."/>
      <w:numFmt w:val="decimal"/>
      <w:start w:val="7"/>
    </w:lvl>
  </w:abstractNum>
  <w:abstractNum w:abstractNumId="48">
    <w:nsid w:val="215641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
    <w:nsid w:val="53280662"/>
    <w:multiLevelType w:val="hybridMultilevel"/>
    <w:lvl w:ilvl="0">
      <w:lvlJc w:val="left"/>
      <w:lvlText w:val="(%1)"/>
      <w:numFmt w:val="lowerLetter"/>
      <w:start w:val="2"/>
    </w:lvl>
    <w:lvl w:ilvl="1">
      <w:lvlJc w:val="left"/>
      <w:lvlText w:val="(%2)"/>
      <w:numFmt w:val="lowerRoman"/>
      <w:start w:val="1"/>
    </w:lvl>
  </w:abstractNum>
  <w:abstractNum w:abstractNumId="50">
    <w:nsid w:val="46B24DBC"/>
    <w:multiLevelType w:val="hybridMultilevel"/>
    <w:lvl w:ilvl="0">
      <w:lvlJc w:val="left"/>
      <w:lvlText w:val="(%1)"/>
      <w:numFmt w:val="lowerRoman"/>
      <w:start w:val="4"/>
    </w:lvl>
    <w:lvl w:ilvl="1">
      <w:lvlJc w:val="left"/>
      <w:lvlText w:val="(%2)"/>
      <w:numFmt w:val="lowerRoman"/>
      <w:start w:val="3"/>
    </w:lvl>
  </w:abstractNum>
  <w:abstractNum w:abstractNumId="51">
    <w:nsid w:val="75B52783"/>
    <w:multiLevelType w:val="hybridMultilevel"/>
    <w:lvl w:ilvl="0">
      <w:lvlJc w:val="left"/>
      <w:lvlText w:val="%1"/>
      <w:numFmt w:val="lowerLetter"/>
      <w:start w:val="1"/>
    </w:lvl>
    <w:lvl w:ilvl="1">
      <w:lvlJc w:val="left"/>
      <w:lvlText w:val="(%2)"/>
      <w:numFmt w:val="lowerRoman"/>
      <w:start w:val="5"/>
    </w:lvl>
  </w:abstractNum>
  <w:abstractNum w:abstractNumId="52">
    <w:nsid w:val="57CE66B4"/>
    <w:multiLevelType w:val="hybridMultilevel"/>
    <w:lvl w:ilvl="0">
      <w:lvlJc w:val="left"/>
      <w:lvlText w:val="(%1)"/>
      <w:numFmt w:val="lowerLetter"/>
      <w:start w:val="3"/>
    </w:lvl>
    <w:lvl w:ilvl="1">
      <w:lvlJc w:val="left"/>
      <w:lvlText w:val="(%2)"/>
      <w:numFmt w:val="lowerRoman"/>
      <w:start w:val="1"/>
    </w:lvl>
  </w:abstractNum>
  <w:abstractNum w:abstractNumId="53">
    <w:nsid w:val="67A70B69"/>
    <w:multiLevelType w:val="hybridMultilevel"/>
    <w:lvl w:ilvl="0">
      <w:lvlJc w:val="left"/>
      <w:lvlText w:val="(%1)"/>
      <w:numFmt w:val="lowerRoman"/>
      <w:start w:val="3"/>
    </w:lvl>
  </w:abstractNum>
  <w:abstractNum w:abstractNumId="54">
    <w:nsid w:val="5953172F"/>
    <w:multiLevelType w:val="hybridMultilevel"/>
    <w:lvl w:ilvl="0">
      <w:lvlJc w:val="left"/>
      <w:lvlText w:val="(%1)"/>
      <w:numFmt w:val="lowerRoman"/>
      <w:start w:val="1"/>
    </w:lvl>
  </w:abstractNum>
  <w:abstractNum w:abstractNumId="55">
    <w:nsid w:val="27EDFE3A"/>
    <w:multiLevelType w:val="hybridMultilevel"/>
    <w:lvl w:ilvl="0">
      <w:lvlJc w:val="left"/>
      <w:lvlText w:val="%1."/>
      <w:numFmt w:val="decimal"/>
      <w:start w:val="8"/>
    </w:lvl>
  </w:abstractNum>
  <w:abstractNum w:abstractNumId="56">
    <w:nsid w:val="52AC7DFF"/>
    <w:multiLevelType w:val="hybridMultilevel"/>
    <w:lvl w:ilvl="0">
      <w:lvlJc w:val="left"/>
      <w:lvlText w:val="(%1)"/>
      <w:numFmt w:val="lowerLetter"/>
      <w:start w:val="1"/>
    </w:lvl>
    <w:lvl w:ilvl="1">
      <w:lvlJc w:val="left"/>
      <w:lvlText w:val="(%2)"/>
      <w:numFmt w:val="decimal"/>
      <w:start w:val="2"/>
    </w:lvl>
  </w:abstractNum>
  <w:abstractNum w:abstractNumId="57">
    <w:nsid w:val="C4C3AF"/>
    <w:multiLevelType w:val="hybridMultilevel"/>
    <w:lvl w:ilvl="0">
      <w:lvlJc w:val="left"/>
      <w:lvlText w:val="(%1)"/>
      <w:numFmt w:val="lowerLetter"/>
      <w:start w:val="3"/>
    </w:lvl>
    <w:lvl w:ilvl="1">
      <w:lvlJc w:val="left"/>
      <w:lvlText w:val="(%2)"/>
      <w:numFmt w:val="lowerLetter"/>
      <w:start w:val="35"/>
    </w:lvl>
  </w:abstractNum>
  <w:abstractNum w:abstractNumId="58">
    <w:nsid w:val="44380727"/>
    <w:multiLevelType w:val="hybridMultilevel"/>
    <w:lvl w:ilvl="0">
      <w:lvlJc w:val="left"/>
      <w:lvlText w:val="%1."/>
      <w:numFmt w:val="decimal"/>
      <w:start w:val="9"/>
    </w:lvl>
  </w:abstractNum>
  <w:abstractNum w:abstractNumId="59">
    <w:nsid w:val="6C053B16"/>
    <w:multiLevelType w:val="hybridMultilevel"/>
    <w:lvl w:ilvl="0">
      <w:lvlJc w:val="left"/>
      <w:lvlText w:val="(%1)"/>
      <w:numFmt w:val="lowerLetter"/>
      <w:start w:val="1"/>
    </w:lvl>
  </w:abstractNum>
  <w:abstractNum w:abstractNumId="60">
    <w:nsid w:val="4F294393"/>
    <w:multiLevelType w:val="hybridMultilevel"/>
    <w:lvl w:ilvl="0">
      <w:lvlJc w:val="left"/>
      <w:lvlText w:val="%1."/>
      <w:numFmt w:val="decimal"/>
      <w:start w:val="10"/>
    </w:lvl>
  </w:abstractNum>
  <w:abstractNum w:abstractNumId="61">
    <w:nsid w:val="5243BFAC"/>
    <w:multiLevelType w:val="hybridMultilevel"/>
    <w:lvl w:ilvl="0">
      <w:lvlJc w:val="left"/>
      <w:lvlText w:val="%1."/>
      <w:numFmt w:val="decimal"/>
      <w:start w:val="11"/>
    </w:lvl>
  </w:abstractNum>
  <w:abstractNum w:abstractNumId="62">
    <w:nsid w:val="425EB207"/>
    <w:multiLevelType w:val="hybridMultilevel"/>
    <w:lvl w:ilvl="0">
      <w:lvlJc w:val="left"/>
      <w:lvlText w:val="%1."/>
      <w:numFmt w:val="decimal"/>
      <w:start w:val="12"/>
    </w:lvl>
  </w:abstractNum>
  <w:abstractNum w:abstractNumId="63">
    <w:nsid w:val="334A6F1F"/>
    <w:multiLevelType w:val="hybridMultilevel"/>
    <w:lvl w:ilvl="0">
      <w:lvlJc w:val="left"/>
      <w:lvlText w:val="%1."/>
      <w:numFmt w:val="decimal"/>
      <w:start w:val="13"/>
    </w:lvl>
  </w:abstractNum>
  <w:abstractNum w:abstractNumId="64">
    <w:nsid w:val="2E5B12B8"/>
    <w:multiLevelType w:val="hybridMultilevel"/>
    <w:lvl w:ilvl="0">
      <w:lvlJc w:val="left"/>
      <w:lvlText w:val="%1."/>
      <w:numFmt w:val="decimal"/>
      <w:start w:val="14"/>
    </w:lvl>
  </w:abstractNum>
  <w:abstractNum w:abstractNumId="65">
    <w:nsid w:val="5C03D76D"/>
    <w:multiLevelType w:val="hybridMultilevel"/>
    <w:lvl w:ilvl="0">
      <w:lvlJc w:val="left"/>
      <w:lvlText w:val="%1."/>
      <w:numFmt w:val="decimal"/>
      <w:start w:val="15"/>
    </w:lvl>
  </w:abstractNum>
  <w:abstractNum w:abstractNumId="66">
    <w:nsid w:val="66A48D11"/>
    <w:multiLevelType w:val="hybridMultilevel"/>
    <w:lvl w:ilvl="0">
      <w:lvlJc w:val="left"/>
      <w:lvlText w:val="%1."/>
      <w:numFmt w:val="decimal"/>
      <w:start w:val="16"/>
    </w:lvl>
  </w:abstractNum>
  <w:abstractNum w:abstractNumId="67">
    <w:nsid w:val="56C28E34"/>
    <w:multiLevelType w:val="hybridMultilevel"/>
    <w:lvl w:ilvl="0">
      <w:lvlJc w:val="left"/>
      <w:lvlText w:val="%1."/>
      <w:numFmt w:val="decimal"/>
      <w:start w:val="17"/>
    </w:lvl>
  </w:abstractNum>
  <w:abstractNum w:abstractNumId="68">
    <w:nsid w:val="13916F2D"/>
    <w:multiLevelType w:val="hybridMultilevel"/>
    <w:lvl w:ilvl="0">
      <w:lvlJc w:val="left"/>
      <w:lvlText w:val="%1."/>
      <w:numFmt w:val="decimal"/>
      <w:start w:val="18"/>
    </w:lvl>
  </w:abstractNum>
  <w:abstractNum w:abstractNumId="69">
    <w:nsid w:val="435D38D"/>
    <w:multiLevelType w:val="hybridMultilevel"/>
    <w:lvl w:ilvl="0">
      <w:lvlJc w:val="left"/>
      <w:lvlText w:val="%1."/>
      <w:numFmt w:val="decimal"/>
      <w:start w:val="19"/>
    </w:lvl>
  </w:abstractNum>
  <w:abstractNum w:abstractNumId="70">
    <w:nsid w:val="822C0EF"/>
    <w:multiLevelType w:val="hybridMultilevel"/>
    <w:lvl w:ilvl="0">
      <w:lvlJc w:val="left"/>
      <w:lvlText w:val="(%1)"/>
      <w:numFmt w:val="lowerLetter"/>
      <w:start w:val="1"/>
    </w:lvl>
  </w:abstractNum>
  <w:abstractNum w:abstractNumId="71">
    <w:nsid w:val="57C5BB4F"/>
    <w:multiLevelType w:val="hybridMultilevel"/>
    <w:lvl w:ilvl="0">
      <w:lvlJc w:val="left"/>
      <w:lvlText w:val="%1."/>
      <w:numFmt w:val="decimal"/>
      <w:start w:val="1"/>
    </w:lvl>
  </w:abstractNum>
  <w:abstractNum w:abstractNumId="72">
    <w:nsid w:val="1803D089"/>
    <w:multiLevelType w:val="hybridMultilevel"/>
    <w:lvl w:ilvl="0">
      <w:lvlJc w:val="left"/>
      <w:lvlText w:val="%1."/>
      <w:numFmt w:val="decimal"/>
      <w:start w:val="2"/>
    </w:lvl>
  </w:abstractNum>
  <w:abstractNum w:abstractNumId="73">
    <w:nsid w:val="4F3A06D4"/>
    <w:multiLevelType w:val="hybridMultilevel"/>
    <w:lvl w:ilvl="0">
      <w:lvlJc w:val="left"/>
      <w:lvlText w:val="%1."/>
      <w:numFmt w:val="decimal"/>
      <w:start w:val="3"/>
    </w:lvl>
  </w:abstractNum>
  <w:abstractNum w:abstractNumId="74">
    <w:nsid w:val="59A377B6"/>
    <w:multiLevelType w:val="hybridMultilevel"/>
    <w:lvl w:ilvl="0">
      <w:lvlJc w:val="left"/>
      <w:lvlText w:val="(%1)"/>
      <w:numFmt w:val="lowerLetter"/>
      <w:start w:val="1"/>
    </w:lvl>
  </w:abstractNum>
  <w:abstractNum w:abstractNumId="75">
    <w:nsid w:val="48AEB063"/>
    <w:multiLevelType w:val="hybridMultilevel"/>
    <w:lvl w:ilvl="0">
      <w:lvlJc w:val="left"/>
      <w:lvlText w:val="%1."/>
      <w:numFmt w:val="decimal"/>
      <w:start w:val="4"/>
    </w:lvl>
  </w:abstractNum>
  <w:abstractNum w:abstractNumId="76">
    <w:nsid w:val="24E135"/>
    <w:multiLevelType w:val="hybridMultilevel"/>
    <w:lvl w:ilvl="0">
      <w:lvlJc w:val="left"/>
      <w:lvlText w:val="(%1)"/>
      <w:numFmt w:val="lowerLetter"/>
      <w:start w:val="1"/>
    </w:lvl>
  </w:abstractNum>
  <w:abstractNum w:abstractNumId="77">
    <w:nsid w:val="BB13C1"/>
    <w:multiLevelType w:val="hybridMultilevel"/>
    <w:lvl w:ilvl="0">
      <w:lvlJc w:val="left"/>
      <w:lvlText w:val="(%1)"/>
      <w:numFmt w:val="lowerLetter"/>
      <w:start w:val="2"/>
    </w:lvl>
    <w:lvl w:ilvl="1">
      <w:lvlJc w:val="left"/>
      <w:lvlText w:val="(%2)"/>
      <w:numFmt w:val="lowerRoman"/>
      <w:start w:val="1"/>
    </w:lvl>
  </w:abstractNum>
  <w:abstractNum w:abstractNumId="78">
    <w:nsid w:val="271210C7"/>
    <w:multiLevelType w:val="hybridMultilevel"/>
    <w:lvl w:ilvl="0">
      <w:lvlJc w:val="left"/>
      <w:lvlText w:val="(%1)"/>
      <w:numFmt w:val="lowerLetter"/>
      <w:start w:val="7"/>
    </w:lvl>
    <w:lvl w:ilvl="1">
      <w:lvlJc w:val="left"/>
      <w:lvlText w:val="%2."/>
      <w:numFmt w:val="decimal"/>
      <w:start w:val="1"/>
    </w:lvl>
  </w:abstractNum>
  <w:abstractNum w:abstractNumId="79">
    <w:nsid w:val="217B22E4"/>
    <w:multiLevelType w:val="hybridMultilevel"/>
    <w:lvl w:ilvl="0">
      <w:lvlJc w:val="left"/>
      <w:lvlText w:val="%1."/>
      <w:numFmt w:val="decimal"/>
      <w:start w:val="5"/>
    </w:lvl>
  </w:abstractNum>
  <w:abstractNum w:abstractNumId="80">
    <w:nsid w:val="53E31A24"/>
    <w:multiLevelType w:val="hybridMultilevel"/>
    <w:lvl w:ilvl="0">
      <w:lvlJc w:val="left"/>
      <w:lvlText w:val="(%1)"/>
      <w:numFmt w:val="lowerLetter"/>
      <w:start w:val="1"/>
    </w:lvl>
    <w:lvl w:ilvl="1">
      <w:lvlJc w:val="left"/>
      <w:lvlText w:val="(%2)"/>
      <w:numFmt w:val="decimal"/>
      <w:start w:val="30"/>
    </w:lvl>
  </w:abstractNum>
  <w:abstractNum w:abstractNumId="81">
    <w:nsid w:val="6DC45E83"/>
    <w:multiLevelType w:val="hybridMultilevel"/>
    <w:lvl w:ilvl="0">
      <w:lvlJc w:val="left"/>
      <w:lvlText w:val="%1"/>
      <w:numFmt w:val="lowerLetter"/>
      <w:start w:val="1"/>
    </w:lvl>
    <w:lvl w:ilvl="1">
      <w:lvlJc w:val="left"/>
      <w:lvlText w:val="(%2)"/>
      <w:numFmt w:val="decimal"/>
      <w:start w:val="90"/>
    </w:lvl>
  </w:abstractNum>
  <w:abstractNum w:abstractNumId="82">
    <w:nsid w:val="17304A67"/>
    <w:multiLevelType w:val="hybridMultilevel"/>
    <w:lvl w:ilvl="0">
      <w:lvlJc w:val="left"/>
      <w:lvlText w:val="(%1)"/>
      <w:numFmt w:val="lowerRoman"/>
      <w:start w:val="1"/>
    </w:lvl>
  </w:abstractNum>
  <w:abstractNum w:abstractNumId="83">
    <w:nsid w:val="2BB180D8"/>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84">
    <w:nsid w:val="556B69ED"/>
    <w:multiLevelType w:val="hybridMultilevel"/>
    <w:lvl w:ilvl="0">
      <w:lvlJc w:val="left"/>
      <w:lvlText w:val="%1"/>
      <w:numFmt w:val="lowerLetter"/>
      <w:start w:val="1"/>
    </w:lvl>
    <w:lvl w:ilvl="1">
      <w:lvlJc w:val="left"/>
      <w:lvlText w:val="(%2)"/>
      <w:numFmt w:val="lowerLetter"/>
      <w:start w:val="35"/>
    </w:lvl>
  </w:abstractNum>
  <w:abstractNum w:abstractNumId="85">
    <w:nsid w:val="70836196"/>
    <w:multiLevelType w:val="hybridMultilevel"/>
    <w:lvl w:ilvl="0">
      <w:lvlJc w:val="left"/>
      <w:lvlText w:val="(%1)"/>
      <w:numFmt w:val="lowerLetter"/>
      <w:start w:val="5"/>
    </w:lvl>
    <w:lvl w:ilvl="1">
      <w:lvlJc w:val="left"/>
      <w:lvlText w:val="%2"/>
      <w:numFmt w:val="lowerLetter"/>
      <w:start w:val="1"/>
    </w:lvl>
  </w:abstractNum>
  <w:abstractNum w:abstractNumId="86">
    <w:nsid w:val="539F7F12"/>
    <w:multiLevelType w:val="hybridMultilevel"/>
    <w:lvl w:ilvl="0">
      <w:lvlJc w:val="left"/>
      <w:lvlText w:val="%1."/>
      <w:numFmt w:val="decimal"/>
      <w:start w:val="6"/>
    </w:lvl>
  </w:abstractNum>
  <w:abstractNum w:abstractNumId="87">
    <w:nsid w:val="2817E7EC"/>
    <w:multiLevelType w:val="hybridMultilevel"/>
    <w:lvl w:ilvl="0">
      <w:lvlJc w:val="left"/>
      <w:lvlText w:val="(%1)"/>
      <w:numFmt w:val="lowerLetter"/>
      <w:start w:val="1"/>
    </w:lvl>
    <w:lvl w:ilvl="1">
      <w:lvlJc w:val="left"/>
      <w:lvlText w:val="(%2)"/>
      <w:numFmt w:val="lowerRoman"/>
      <w:start w:val="1"/>
    </w:lvl>
  </w:abstractNum>
  <w:abstractNum w:abstractNumId="88">
    <w:nsid w:val="71482545"/>
    <w:multiLevelType w:val="hybridMultilevel"/>
    <w:lvl w:ilvl="0">
      <w:lvlJc w:val="left"/>
      <w:lvlText w:val="%1"/>
      <w:numFmt w:val="lowerLetter"/>
      <w:start w:val="1"/>
    </w:lvl>
    <w:lvl w:ilvl="1">
      <w:lvlJc w:val="left"/>
      <w:lvlText w:val="(%2)"/>
      <w:numFmt w:val="lowerRoman"/>
      <w:start w:val="3"/>
    </w:lvl>
  </w:abstractNum>
  <w:abstractNum w:abstractNumId="89">
    <w:nsid w:val="17D78639"/>
    <w:multiLevelType w:val="hybridMultilevel"/>
    <w:lvl w:ilvl="0">
      <w:lvlJc w:val="left"/>
      <w:lvlText w:val="(%1)"/>
      <w:numFmt w:val="lowerLetter"/>
      <w:start w:val="2"/>
    </w:lvl>
    <w:lvl w:ilvl="1">
      <w:lvlJc w:val="left"/>
      <w:lvlText w:val="(%2)"/>
      <w:numFmt w:val="lowerRoman"/>
      <w:start w:val="1"/>
    </w:lvl>
  </w:abstractNum>
  <w:abstractNum w:abstractNumId="90">
    <w:nsid w:val="141D2302"/>
    <w:multiLevelType w:val="hybridMultilevel"/>
    <w:lvl w:ilvl="0">
      <w:lvlJc w:val="left"/>
      <w:lvlText w:val="(%1)"/>
      <w:numFmt w:val="lowerLetter"/>
      <w:start w:val="3"/>
    </w:lvl>
    <w:lvl w:ilvl="1">
      <w:lvlJc w:val="left"/>
      <w:lvlText w:val="(%2)"/>
      <w:numFmt w:val="lowerRoman"/>
      <w:start w:val="1"/>
    </w:lvl>
  </w:abstractNum>
  <w:abstractNum w:abstractNumId="91">
    <w:nsid w:val="407168D8"/>
    <w:multiLevelType w:val="hybridMultilevel"/>
    <w:lvl w:ilvl="0">
      <w:lvlJc w:val="left"/>
      <w:lvlText w:val="(%1)"/>
      <w:numFmt w:val="lowerLetter"/>
      <w:start w:val="4"/>
    </w:lvl>
    <w:lvl w:ilvl="1">
      <w:lvlJc w:val="left"/>
      <w:lvlText w:val="(%2)"/>
      <w:numFmt w:val="lowerRoman"/>
      <w:start w:val="1"/>
    </w:lvl>
  </w:abstractNum>
  <w:abstractNum w:abstractNumId="92">
    <w:nsid w:val="6A1B45E5"/>
    <w:multiLevelType w:val="hybridMultilevel"/>
    <w:lvl w:ilvl="0">
      <w:lvlJc w:val="left"/>
      <w:lvlText w:val="(%1)"/>
      <w:numFmt w:val="lowerLetter"/>
      <w:start w:val="5"/>
    </w:lvl>
  </w:abstractNum>
  <w:abstractNum w:abstractNumId="93">
    <w:nsid w:val="567BD50A"/>
    <w:multiLevelType w:val="hybridMultilevel"/>
    <w:lvl w:ilvl="0">
      <w:lvlJc w:val="left"/>
      <w:lvlText w:val="(%1)"/>
      <w:numFmt w:val="lowerRoman"/>
      <w:start w:val="1"/>
    </w:lvl>
    <w:lvl w:ilvl="1">
      <w:lvlJc w:val="left"/>
      <w:lvlText w:val="(%2)"/>
      <w:numFmt w:val="decimal"/>
      <w:start w:val="2"/>
    </w:lvl>
  </w:abstractNum>
  <w:abstractNum w:abstractNumId="94">
    <w:nsid w:val="73BBD7F8"/>
    <w:multiLevelType w:val="hybridMultilevel"/>
    <w:lvl w:ilvl="0">
      <w:lvlJc w:val="left"/>
      <w:lvlText w:val="%1"/>
      <w:numFmt w:val="lowerLetter"/>
      <w:start w:val="1"/>
    </w:lvl>
    <w:lvl w:ilvl="1">
      <w:lvlJc w:val="left"/>
      <w:lvlText w:val="(%2)"/>
      <w:numFmt w:val="lowerRoman"/>
      <w:start w:val="7"/>
    </w:lvl>
  </w:abstractNum>
  <w:abstractNum w:abstractNumId="95">
    <w:nsid w:val="1876589D"/>
    <w:multiLevelType w:val="hybridMultilevel"/>
    <w:lvl w:ilvl="0">
      <w:lvlJc w:val="left"/>
      <w:lvlText w:val="(%1)"/>
      <w:numFmt w:val="lowerLetter"/>
      <w:start w:val="6"/>
    </w:lvl>
    <w:lvl w:ilvl="1">
      <w:lvlJc w:val="left"/>
      <w:lvlText w:val="%2"/>
      <w:numFmt w:val="lowerRoman"/>
      <w:start w:val="1"/>
    </w:lvl>
  </w:abstractNum>
  <w:abstractNum w:abstractNumId="96">
    <w:nsid w:val="327FAC77"/>
    <w:multiLevelType w:val="hybridMultilevel"/>
    <w:lvl w:ilvl="0">
      <w:lvlJc w:val="left"/>
      <w:lvlText w:val="%1."/>
      <w:numFmt w:val="decimal"/>
      <w:start w:val="7"/>
    </w:lvl>
  </w:abstractNum>
  <w:abstractNum w:abstractNumId="97">
    <w:nsid w:val="5A606509"/>
    <w:multiLevelType w:val="hybridMultilevel"/>
    <w:lvl w:ilvl="0">
      <w:lvlJc w:val="left"/>
      <w:lvlText w:val="(%1)"/>
      <w:numFmt w:val="lowerLetter"/>
      <w:start w:val="1"/>
    </w:lvl>
    <w:lvl w:ilvl="1">
      <w:lvlJc w:val="left"/>
      <w:lvlText w:val="(%2)"/>
      <w:numFmt w:val="lowerRoman"/>
      <w:start w:val="1"/>
    </w:lvl>
  </w:abstractNum>
  <w:abstractNum w:abstractNumId="98">
    <w:nsid w:val="6F38E6D1"/>
    <w:multiLevelType w:val="hybridMultilevel"/>
    <w:lvl w:ilvl="0">
      <w:lvlJc w:val="left"/>
      <w:lvlText w:val="(%1)"/>
      <w:numFmt w:val="lowerLetter"/>
      <w:start w:val="2"/>
    </w:lvl>
    <w:lvl w:ilvl="1">
      <w:lvlJc w:val="left"/>
      <w:lvlText w:val="(%2)"/>
      <w:numFmt w:val="lowerRoman"/>
      <w:start w:val="1"/>
    </w:lvl>
  </w:abstractNum>
  <w:abstractNum w:abstractNumId="99">
    <w:nsid w:val="46111BA5"/>
    <w:multiLevelType w:val="hybridMultilevel"/>
    <w:lvl w:ilvl="0">
      <w:lvlJc w:val="left"/>
      <w:lvlText w:val="(%1)"/>
      <w:numFmt w:val="lowerRoman"/>
      <w:start w:val="4"/>
    </w:lvl>
  </w:abstractNum>
  <w:abstractNum w:abstractNumId="100">
    <w:nsid w:val="5E963896"/>
    <w:multiLevelType w:val="hybridMultilevel"/>
    <w:lvl w:ilvl="0">
      <w:lvlJc w:val="left"/>
      <w:lvlText w:val="%1"/>
      <w:numFmt w:val="lowerLetter"/>
      <w:start w:val="1"/>
    </w:lvl>
    <w:lvl w:ilvl="1">
      <w:lvlJc w:val="left"/>
      <w:lvlText w:val="(%2)"/>
      <w:numFmt w:val="lowerRoman"/>
      <w:start w:val="5"/>
    </w:lvl>
  </w:abstractNum>
  <w:abstractNum w:abstractNumId="101">
    <w:nsid w:val="775BA7C1"/>
    <w:multiLevelType w:val="hybridMultilevel"/>
    <w:lvl w:ilvl="0">
      <w:lvlJc w:val="left"/>
      <w:lvlText w:val="(%1)"/>
      <w:numFmt w:val="lowerLetter"/>
      <w:start w:val="3"/>
    </w:lvl>
    <w:lvl w:ilvl="1">
      <w:lvlJc w:val="left"/>
      <w:lvlText w:val="(%2)"/>
      <w:numFmt w:val="lowerRoman"/>
      <w:start w:val="1"/>
    </w:lvl>
  </w:abstractNum>
  <w:abstractNum w:abstractNumId="102">
    <w:nsid w:val="1DD6D6F4"/>
    <w:multiLevelType w:val="hybridMultilevel"/>
    <w:lvl w:ilvl="0">
      <w:lvlJc w:val="left"/>
      <w:lvlText w:val="(%1)"/>
      <w:numFmt w:val="lowerRoman"/>
      <w:start w:val="4"/>
    </w:lvl>
  </w:abstractNum>
  <w:abstractNum w:abstractNumId="103">
    <w:nsid w:val="769A091F"/>
    <w:multiLevelType w:val="hybridMultilevel"/>
    <w:lvl w:ilvl="0">
      <w:lvlJc w:val="left"/>
      <w:lvlText w:val="(%1)"/>
      <w:numFmt w:val="lowerRoman"/>
      <w:start w:val="1"/>
    </w:lvl>
  </w:abstractNum>
  <w:abstractNum w:abstractNumId="104">
    <w:nsid w:val="4695AE95"/>
    <w:multiLevelType w:val="hybridMultilevel"/>
    <w:lvl w:ilvl="0">
      <w:lvlJc w:val="left"/>
      <w:lvlText w:val="%1"/>
      <w:numFmt w:val="decimal"/>
      <w:start w:val="1"/>
    </w:lvl>
    <w:lvl w:ilvl="1">
      <w:lvlJc w:val="left"/>
      <w:lvlText w:val="(%2)"/>
      <w:numFmt w:val="decimal"/>
      <w:start w:val="1"/>
    </w:lvl>
  </w:abstractNum>
  <w:abstractNum w:abstractNumId="105">
    <w:nsid w:val="777A4EAA"/>
    <w:multiLevelType w:val="hybridMultilevel"/>
    <w:lvl w:ilvl="0">
      <w:lvlJc w:val="left"/>
      <w:lvlText w:val="%1."/>
      <w:numFmt w:val="decimal"/>
      <w:start w:val="8"/>
    </w:lvl>
    <w:lvl w:ilvl="1">
      <w:lvlJc w:val="left"/>
      <w:lvlText w:val="%2"/>
      <w:numFmt w:val="decimal"/>
      <w:start w:val="1"/>
    </w:lvl>
  </w:abstractNum>
  <w:abstractNum w:abstractNumId="106">
    <w:nsid w:val="3F48B982"/>
    <w:multiLevelType w:val="hybridMultilevel"/>
    <w:lvl w:ilvl="0">
      <w:lvlJc w:val="left"/>
      <w:lvlText w:val="(%1)"/>
      <w:numFmt w:val="lowerLetter"/>
      <w:start w:val="1"/>
    </w:lvl>
    <w:lvl w:ilvl="1">
      <w:lvlJc w:val="left"/>
      <w:lvlText w:val="(%2)"/>
      <w:numFmt w:val="decimal"/>
      <w:start w:val="2"/>
    </w:lvl>
  </w:abstractNum>
  <w:abstractNum w:abstractNumId="107">
    <w:nsid w:val="46BA8FCA"/>
    <w:multiLevelType w:val="hybridMultilevel"/>
    <w:lvl w:ilvl="0">
      <w:lvlJc w:val="left"/>
      <w:lvlText w:val="(%1)"/>
      <w:numFmt w:val="lowerLetter"/>
      <w:start w:val="2"/>
    </w:lvl>
    <w:lvl w:ilvl="1">
      <w:lvlJc w:val="left"/>
      <w:lvlText w:val="(%2)"/>
      <w:numFmt w:val="lowerLetter"/>
      <w:start w:val="35"/>
    </w:lvl>
  </w:abstractNum>
  <w:abstractNum w:abstractNumId="108">
    <w:nsid w:val="7835626C"/>
    <w:multiLevelType w:val="hybridMultilevel"/>
    <w:lvl w:ilvl="0">
      <w:lvlJc w:val="left"/>
      <w:lvlText w:val="%1."/>
      <w:numFmt w:val="decimal"/>
      <w:start w:val="9"/>
    </w:lvl>
  </w:abstractNum>
  <w:abstractNum w:abstractNumId="109">
    <w:nsid w:val="665ACA49"/>
    <w:multiLevelType w:val="hybridMultilevel"/>
    <w:lvl w:ilvl="0">
      <w:lvlJc w:val="left"/>
      <w:lvlText w:val="(%1)"/>
      <w:numFmt w:val="lowerLetter"/>
      <w:start w:val="1"/>
    </w:lvl>
  </w:abstractNum>
  <w:abstractNum w:abstractNumId="110">
    <w:nsid w:val="6835B2AE"/>
    <w:multiLevelType w:val="hybridMultilevel"/>
    <w:lvl w:ilvl="0">
      <w:lvlJc w:val="left"/>
      <w:lvlText w:val="%1."/>
      <w:numFmt w:val="decimal"/>
      <w:start w:val="10"/>
    </w:lvl>
  </w:abstractNum>
  <w:abstractNum w:abstractNumId="111">
    <w:nsid w:val="4C187C90"/>
    <w:multiLevelType w:val="hybridMultilevel"/>
    <w:lvl w:ilvl="0">
      <w:lvlJc w:val="left"/>
      <w:lvlText w:val="%1."/>
      <w:numFmt w:val="decimal"/>
      <w:start w:val="11"/>
    </w:lvl>
  </w:abstractNum>
  <w:abstractNum w:abstractNumId="112">
    <w:nsid w:val="541F28CD"/>
    <w:multiLevelType w:val="hybridMultilevel"/>
    <w:lvl w:ilvl="0">
      <w:lvlJc w:val="left"/>
      <w:lvlText w:val="%1."/>
      <w:numFmt w:val="decimal"/>
      <w:start w:val="12"/>
    </w:lvl>
  </w:abstractNum>
  <w:abstractNum w:abstractNumId="113">
    <w:nsid w:val="7F65FD16"/>
    <w:multiLevelType w:val="hybridMultilevel"/>
    <w:lvl w:ilvl="0">
      <w:lvlJc w:val="left"/>
      <w:lvlText w:val="%1."/>
      <w:numFmt w:val="decimal"/>
      <w:start w:val="13"/>
    </w:lvl>
  </w:abstractNum>
  <w:abstractNum w:abstractNumId="114">
    <w:nsid w:val="77C9FD68"/>
    <w:multiLevelType w:val="hybridMultilevel"/>
    <w:lvl w:ilvl="0">
      <w:lvlJc w:val="left"/>
      <w:lvlText w:val="%1."/>
      <w:numFmt w:val="decimal"/>
      <w:start w:val="14"/>
    </w:lvl>
  </w:abstractNum>
  <w:abstractNum w:abstractNumId="115">
    <w:nsid w:val="298A92BA"/>
    <w:multiLevelType w:val="hybridMultilevel"/>
    <w:lvl w:ilvl="0">
      <w:lvlJc w:val="left"/>
      <w:lvlText w:val="%1."/>
      <w:numFmt w:val="decimal"/>
      <w:start w:val="15"/>
    </w:lvl>
  </w:abstractNum>
  <w:abstractNum w:abstractNumId="116">
    <w:nsid w:val="6FE95EAC"/>
    <w:multiLevelType w:val="hybridMultilevel"/>
    <w:lvl w:ilvl="0">
      <w:lvlJc w:val="left"/>
      <w:lvlText w:val="%1."/>
      <w:numFmt w:val="decimal"/>
      <w:start w:val="16"/>
    </w:lvl>
  </w:abstractNum>
  <w:abstractNum w:abstractNumId="117">
    <w:nsid w:val="4B697C7A"/>
    <w:multiLevelType w:val="hybridMultilevel"/>
    <w:lvl w:ilvl="0">
      <w:lvlJc w:val="left"/>
      <w:lvlText w:val="%1."/>
      <w:numFmt w:val="decimal"/>
      <w:start w:val="17"/>
    </w:lvl>
  </w:abstractNum>
  <w:abstractNum w:abstractNumId="118">
    <w:nsid w:val="51A27AA6"/>
    <w:multiLevelType w:val="hybridMultilevel"/>
    <w:lvl w:ilvl="0">
      <w:lvlJc w:val="left"/>
      <w:lvlText w:val="%1."/>
      <w:numFmt w:val="decimal"/>
      <w:start w:val="18"/>
    </w:lvl>
  </w:abstractNum>
  <w:abstractNum w:abstractNumId="119">
    <w:nsid w:val="613183F2"/>
    <w:multiLevelType w:val="hybridMultilevel"/>
    <w:lvl w:ilvl="0">
      <w:lvlJc w:val="left"/>
      <w:lvlText w:val="%1."/>
      <w:numFmt w:val="decimal"/>
      <w:start w:val="19"/>
    </w:lvl>
  </w:abstractNum>
  <w:abstractNum w:abstractNumId="120">
    <w:nsid w:val="634102B4"/>
    <w:multiLevelType w:val="hybridMultilevel"/>
    <w:lvl w:ilvl="0">
      <w:lvlJc w:val="left"/>
      <w:lvlText w:val="(%1)"/>
      <w:numFmt w:val="lowerLetter"/>
      <w:start w:val="1"/>
    </w:lvl>
  </w:abstractNum>
  <w:abstractNum w:abstractNumId="121">
    <w:nsid w:val="65BF9DA8"/>
    <w:multiLevelType w:val="hybridMultilevel"/>
    <w:lvl w:ilvl="0">
      <w:lvlJc w:val="left"/>
      <w:lvlText w:val="(%1)"/>
      <w:numFmt w:val="lowerLetter"/>
      <w:start w:val="3"/>
    </w:lvl>
  </w:abstractNum>
  <w:abstractNum w:abstractNumId="122">
    <w:nsid w:val="21A2ECCA"/>
    <w:multiLevelType w:val="hybridMultilevel"/>
    <w:lvl w:ilvl="0">
      <w:lvlJc w:val="left"/>
      <w:lvlText w:val="-"/>
      <w:numFmt w:val="bullet"/>
      <w:start w:val="1"/>
    </w:lvl>
  </w:abstractNum>
  <w:abstractNum w:abstractNumId="123">
    <w:nsid w:val="4D5C4899"/>
    <w:multiLevelType w:val="hybridMultilevel"/>
    <w:lvl w:ilvl="0">
      <w:lvlJc w:val="left"/>
      <w:lvlText w:val="%1."/>
      <w:numFmt w:val="decimal"/>
      <w:start w:val="1"/>
    </w:lvl>
  </w:abstractNum>
  <w:abstractNum w:abstractNumId="124">
    <w:nsid w:val="3C3B72B2"/>
    <w:multiLevelType w:val="hybridMultilevel"/>
    <w:lvl w:ilvl="0">
      <w:lvlJc w:val="left"/>
      <w:lvlText w:val="%1."/>
      <w:numFmt w:val="decimal"/>
      <w:start w:val="2"/>
    </w:lvl>
  </w:abstractNum>
  <w:abstractNum w:abstractNumId="125">
    <w:nsid w:val="155EC4C2"/>
    <w:multiLevelType w:val="hybridMultilevel"/>
    <w:lvl w:ilvl="0">
      <w:lvlJc w:val="left"/>
      <w:lvlText w:val="%1."/>
      <w:numFmt w:val="decimal"/>
      <w:start w:val="3"/>
    </w:lvl>
  </w:abstractNum>
  <w:abstractNum w:abstractNumId="126">
    <w:nsid w:val="65D2A137"/>
    <w:multiLevelType w:val="hybridMultilevel"/>
    <w:lvl w:ilvl="0">
      <w:lvlJc w:val="left"/>
      <w:lvlText w:val="(%1)"/>
      <w:numFmt w:val="lowerLetter"/>
      <w:start w:val="1"/>
    </w:lvl>
  </w:abstractNum>
  <w:abstractNum w:abstractNumId="127">
    <w:nsid w:val="6EBB1F2A"/>
    <w:multiLevelType w:val="hybridMultilevel"/>
    <w:lvl w:ilvl="0">
      <w:lvlJc w:val="left"/>
      <w:lvlText w:val="%1."/>
      <w:numFmt w:val="decimal"/>
      <w:start w:val="4"/>
    </w:lvl>
  </w:abstractNum>
  <w:abstractNum w:abstractNumId="128">
    <w:nsid w:val="6FBF29CB"/>
    <w:multiLevelType w:val="hybridMultilevel"/>
    <w:lvl w:ilvl="0">
      <w:lvlJc w:val="left"/>
      <w:lvlText w:val="(%1)"/>
      <w:numFmt w:val="lowerLetter"/>
      <w:start w:val="1"/>
    </w:lvl>
  </w:abstractNum>
  <w:abstractNum w:abstractNumId="129">
    <w:nsid w:val="550B8808"/>
    <w:multiLevelType w:val="hybridMultilevel"/>
    <w:lvl w:ilvl="0">
      <w:lvlJc w:val="left"/>
      <w:lvlText w:val="(%1)"/>
      <w:numFmt w:val="lowerLetter"/>
      <w:start w:val="2"/>
    </w:lvl>
    <w:lvl w:ilvl="1">
      <w:lvlJc w:val="left"/>
      <w:lvlText w:val="(%2)"/>
      <w:numFmt w:val="lowerRoman"/>
      <w:start w:val="1"/>
    </w:lvl>
  </w:abstractNum>
  <w:abstractNum w:abstractNumId="130">
    <w:nsid w:val="34CC3ACF"/>
    <w:multiLevelType w:val="hybridMultilevel"/>
    <w:lvl w:ilvl="0">
      <w:lvlJc w:val="left"/>
      <w:lvlText w:val="%1"/>
      <w:numFmt w:val="lowerLetter"/>
      <w:start w:val="1"/>
    </w:lvl>
    <w:lvl w:ilvl="1">
      <w:lvlJc w:val="left"/>
      <w:lvlText w:val="(%2)"/>
      <w:numFmt w:val="decimal"/>
      <w:start w:val="4"/>
    </w:lvl>
  </w:abstractNum>
  <w:abstractNum w:abstractNumId="131">
    <w:nsid w:val="4E556261"/>
    <w:multiLevelType w:val="hybridMultilevel"/>
    <w:lvl w:ilvl="0">
      <w:lvlJc w:val="left"/>
      <w:lvlText w:val="(%1)"/>
      <w:numFmt w:val="lowerLetter"/>
      <w:start w:val="8"/>
    </w:lvl>
    <w:lvl w:ilvl="1">
      <w:lvlJc w:val="left"/>
      <w:lvlText w:val="%2"/>
      <w:numFmt w:val="decimal"/>
      <w:start w:val="1"/>
    </w:lvl>
  </w:abstractNum>
  <w:abstractNum w:abstractNumId="132">
    <w:nsid w:val="4C672FC9"/>
    <w:multiLevelType w:val="hybridMultilevel"/>
    <w:lvl w:ilvl="0">
      <w:lvlJc w:val="left"/>
      <w:lvlText w:val="%1"/>
      <w:numFmt w:val="lowerLetter"/>
      <w:start w:val="1"/>
    </w:lvl>
    <w:lvl w:ilvl="1">
      <w:lvlJc w:val="left"/>
      <w:lvlText w:val="%2."/>
      <w:numFmt w:val="decimal"/>
      <w:start w:val="1"/>
    </w:lvl>
  </w:abstractNum>
  <w:abstractNum w:abstractNumId="133">
    <w:nsid w:val="52A311C3"/>
    <w:multiLevelType w:val="hybridMultilevel"/>
    <w:lvl w:ilvl="0">
      <w:lvlJc w:val="left"/>
      <w:lvlText w:val="(%1)"/>
      <w:numFmt w:val="lowerLetter"/>
      <w:start w:val="9"/>
    </w:lvl>
    <w:lvl w:ilvl="1">
      <w:lvlJc w:val="left"/>
      <w:lvlText w:val="%2"/>
      <w:numFmt w:val="decimal"/>
      <w:start w:val="1"/>
    </w:lvl>
  </w:abstractNum>
  <w:abstractNum w:abstractNumId="134">
    <w:nsid w:val="44EF6B80"/>
    <w:multiLevelType w:val="hybridMultilevel"/>
    <w:lvl w:ilvl="0">
      <w:lvlJc w:val="left"/>
      <w:lvlText w:val="%1."/>
      <w:numFmt w:val="decimal"/>
      <w:start w:val="5"/>
    </w:lvl>
  </w:abstractNum>
  <w:abstractNum w:abstractNumId="135">
    <w:nsid w:val="12FCDE5E"/>
    <w:multiLevelType w:val="hybridMultilevel"/>
    <w:lvl w:ilvl="0">
      <w:lvlJc w:val="left"/>
      <w:lvlText w:val="(%1)"/>
      <w:numFmt w:val="lowerLetter"/>
      <w:start w:val="1"/>
    </w:lvl>
    <w:lvl w:ilvl="1">
      <w:lvlJc w:val="left"/>
      <w:lvlText w:val="(%2)"/>
      <w:numFmt w:val="decimal"/>
      <w:start w:val="30"/>
    </w:lvl>
  </w:abstractNum>
  <w:abstractNum w:abstractNumId="136">
    <w:nsid w:val="4A1D606E"/>
    <w:multiLevelType w:val="hybridMultilevel"/>
    <w:lvl w:ilvl="0">
      <w:lvlJc w:val="left"/>
      <w:lvlText w:val="%1"/>
      <w:numFmt w:val="lowerLetter"/>
      <w:start w:val="1"/>
    </w:lvl>
    <w:lvl w:ilvl="1">
      <w:lvlJc w:val="left"/>
      <w:lvlText w:val="(%2)"/>
      <w:numFmt w:val="decimal"/>
      <w:start w:val="90"/>
    </w:lvl>
  </w:abstractNum>
  <w:abstractNum w:abstractNumId="137">
    <w:nsid w:val="4382503"/>
    <w:multiLevelType w:val="hybridMultilevel"/>
    <w:lvl w:ilvl="0">
      <w:lvlJc w:val="left"/>
      <w:lvlText w:val="(%1)"/>
      <w:numFmt w:val="lowerRoman"/>
      <w:start w:val="1"/>
    </w:lvl>
  </w:abstractNum>
  <w:abstractNum w:abstractNumId="138">
    <w:nsid w:val="59B76E28"/>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39">
    <w:nsid w:val="4252C2DA"/>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140">
    <w:nsid w:val="6A92EF4C"/>
    <w:multiLevelType w:val="hybridMultilevel"/>
    <w:lvl w:ilvl="0">
      <w:lvlJc w:val="left"/>
      <w:lvlText w:val="%1"/>
      <w:numFmt w:val="lowerLetter"/>
      <w:start w:val="1"/>
    </w:lvl>
    <w:lvl w:ilvl="1">
      <w:lvlJc w:val="left"/>
      <w:lvlText w:val="(%2)"/>
      <w:numFmt w:val="lowerLetter"/>
      <w:start w:val="35"/>
    </w:lvl>
  </w:abstractNum>
  <w:abstractNum w:abstractNumId="141">
    <w:nsid w:val="41ED20D7"/>
    <w:multiLevelType w:val="hybridMultilevel"/>
    <w:lvl w:ilvl="0">
      <w:lvlJc w:val="left"/>
      <w:lvlText w:val="(%1)"/>
      <w:numFmt w:val="lowerLetter"/>
      <w:start w:val="5"/>
    </w:lvl>
    <w:lvl w:ilvl="1">
      <w:lvlJc w:val="left"/>
      <w:lvlText w:val="%2"/>
      <w:numFmt w:val="lowerLetter"/>
      <w:start w:val="1"/>
    </w:lvl>
  </w:abstractNum>
  <w:abstractNum w:abstractNumId="142">
    <w:nsid w:val="E6B3F6A"/>
    <w:multiLevelType w:val="hybridMultilevel"/>
    <w:lvl w:ilvl="0">
      <w:lvlJc w:val="left"/>
      <w:lvlText w:val="%1."/>
      <w:numFmt w:val="decimal"/>
      <w:start w:val="6"/>
    </w:lvl>
  </w:abstractNum>
  <w:abstractNum w:abstractNumId="143">
    <w:nsid w:val="3EB21819"/>
    <w:multiLevelType w:val="hybridMultilevel"/>
    <w:lvl w:ilvl="0">
      <w:lvlJc w:val="left"/>
      <w:lvlText w:val="(%1)"/>
      <w:numFmt w:val="lowerLetter"/>
      <w:start w:val="1"/>
    </w:lvl>
    <w:lvl w:ilvl="1">
      <w:lvlJc w:val="left"/>
      <w:lvlText w:val="(%2)"/>
      <w:numFmt w:val="lowerRoman"/>
      <w:start w:val="1"/>
    </w:lvl>
  </w:abstractNum>
  <w:abstractNum w:abstractNumId="144">
    <w:nsid w:val="41531DED"/>
    <w:multiLevelType w:val="hybridMultilevel"/>
    <w:lvl w:ilvl="0">
      <w:lvlJc w:val="left"/>
      <w:lvlText w:val="%1"/>
      <w:numFmt w:val="lowerLetter"/>
      <w:start w:val="1"/>
    </w:lvl>
    <w:lvl w:ilvl="1">
      <w:lvlJc w:val="left"/>
      <w:lvlText w:val="(%2)"/>
      <w:numFmt w:val="lowerRoman"/>
      <w:start w:val="2"/>
    </w:lvl>
  </w:abstractNum>
  <w:abstractNum w:abstractNumId="145">
    <w:nsid w:val="6353CD2"/>
    <w:multiLevelType w:val="hybridMultilevel"/>
    <w:lvl w:ilvl="0">
      <w:lvlJc w:val="left"/>
      <w:lvlText w:val="(%1)"/>
      <w:numFmt w:val="lowerLetter"/>
      <w:start w:val="2"/>
    </w:lvl>
    <w:lvl w:ilvl="1">
      <w:lvlJc w:val="left"/>
      <w:lvlText w:val="(%2)"/>
      <w:numFmt w:val="lowerRoman"/>
      <w:start w:val="1"/>
    </w:lvl>
  </w:abstractNum>
  <w:abstractNum w:abstractNumId="146">
    <w:nsid w:val="683CAAD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47">
    <w:nsid w:val="313C7C99"/>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148">
    <w:nsid w:val="519EB94C"/>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49">
    <w:nsid w:val="39DF2579"/>
    <w:multiLevelType w:val="hybridMultilevel"/>
    <w:lvl w:ilvl="0">
      <w:lvlJc w:val="left"/>
      <w:lvlText w:val="(%1)"/>
      <w:numFmt w:val="lowerRoman"/>
      <w:start w:val="2"/>
    </w:lvl>
  </w:abstractNum>
  <w:abstractNum w:abstractNumId="150">
    <w:nsid w:val="126E008B"/>
    <w:multiLevelType w:val="hybridMultilevel"/>
    <w:lvl w:ilvl="0">
      <w:lvlJc w:val="left"/>
      <w:lvlText w:val="(%1)"/>
      <w:numFmt w:val="lowerLetter"/>
      <w:start w:val="4"/>
    </w:lvl>
    <w:lvl w:ilvl="1">
      <w:lvlJc w:val="left"/>
      <w:lvlText w:val="(%2)"/>
      <w:numFmt w:val="lowerRoman"/>
      <w:start w:val="1"/>
    </w:lvl>
  </w:abstractNum>
  <w:abstractNum w:abstractNumId="151">
    <w:nsid w:val="34DFBC00"/>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2"/>
    </w:lvl>
  </w:abstractNum>
  <w:abstractNum w:abstractNumId="152">
    <w:nsid w:val="1F9EC322"/>
    <w:multiLevelType w:val="hybridMultilevel"/>
    <w:lvl w:ilvl="0">
      <w:lvlJc w:val="left"/>
      <w:lvlText w:val="%1"/>
      <w:numFmt w:val="lowerLetter"/>
      <w:start w:val="1"/>
    </w:lvl>
    <w:lvl w:ilvl="1">
      <w:lvlJc w:val="left"/>
      <w:lvlText w:val="(%2)"/>
      <w:numFmt w:val="lowerRoman"/>
      <w:start w:val="6"/>
    </w:lvl>
  </w:abstractNum>
  <w:abstractNum w:abstractNumId="153">
    <w:nsid w:val="3410ED56"/>
    <w:multiLevelType w:val="hybridMultilevel"/>
    <w:lvl w:ilvl="0">
      <w:lvlJc w:val="left"/>
      <w:lvlText w:val="(%1)"/>
      <w:numFmt w:val="lowerLetter"/>
      <w:start w:val="6"/>
    </w:lvl>
    <w:lvl w:ilvl="1">
      <w:lvlJc w:val="left"/>
      <w:lvlText w:val="%2"/>
      <w:numFmt w:val="lowerRoman"/>
      <w:start w:val="1"/>
    </w:lvl>
  </w:abstractNum>
  <w:abstractNum w:abstractNumId="154">
    <w:nsid w:val="23C049A"/>
    <w:multiLevelType w:val="hybridMultilevel"/>
    <w:lvl w:ilvl="0">
      <w:lvlJc w:val="left"/>
      <w:lvlText w:val="%1."/>
      <w:numFmt w:val="decimal"/>
      <w:start w:val="7"/>
    </w:lvl>
  </w:abstractNum>
  <w:abstractNum w:abstractNumId="155">
    <w:nsid w:val="5BDA35D4"/>
    <w:multiLevelType w:val="hybridMultilevel"/>
    <w:lvl w:ilvl="0">
      <w:lvlJc w:val="left"/>
      <w:lvlText w:val="(%1)"/>
      <w:numFmt w:val="lowerLetter"/>
      <w:start w:val="1"/>
    </w:lvl>
    <w:lvl w:ilvl="1">
      <w:lvlJc w:val="left"/>
      <w:lvlText w:val="(%2)"/>
      <w:numFmt w:val="lowerRoman"/>
      <w:start w:val="1"/>
    </w:lvl>
  </w:abstractNum>
  <w:abstractNum w:abstractNumId="156">
    <w:nsid w:val="496FB218"/>
    <w:multiLevelType w:val="hybridMultilevel"/>
    <w:lvl w:ilvl="0">
      <w:lvlJc w:val="left"/>
      <w:lvlText w:val="(%1)"/>
      <w:numFmt w:val="lowerLetter"/>
      <w:start w:val="2"/>
    </w:lvl>
    <w:lvl w:ilvl="1">
      <w:lvlJc w:val="left"/>
      <w:lvlText w:val="(%2)"/>
      <w:numFmt w:val="lowerRoman"/>
      <w:start w:val="1"/>
    </w:lvl>
  </w:abstractNum>
  <w:abstractNum w:abstractNumId="157">
    <w:nsid w:val="680EA5D1"/>
    <w:multiLevelType w:val="hybridMultilevel"/>
    <w:lvl w:ilvl="0">
      <w:lvlJc w:val="left"/>
      <w:lvlText w:val="(%1)"/>
      <w:numFmt w:val="lowerRoman"/>
      <w:start w:val="3"/>
    </w:lvl>
  </w:abstractNum>
  <w:abstractNum w:abstractNumId="158">
    <w:nsid w:val="4A9554FE"/>
    <w:multiLevelType w:val="hybridMultilevel"/>
    <w:lvl w:ilvl="0">
      <w:lvlJc w:val="left"/>
      <w:lvlText w:val="%1"/>
      <w:numFmt w:val="lowerLetter"/>
      <w:start w:val="1"/>
    </w:lvl>
    <w:lvl w:ilvl="1">
      <w:lvlJc w:val="left"/>
      <w:lvlText w:val="(%2)"/>
      <w:numFmt w:val="lowerRoman"/>
      <w:start w:val="5"/>
    </w:lvl>
  </w:abstractNum>
  <w:abstractNum w:abstractNumId="159">
    <w:nsid w:val="392EDBE4"/>
    <w:multiLevelType w:val="hybridMultilevel"/>
    <w:lvl w:ilvl="0">
      <w:lvlJc w:val="left"/>
      <w:lvlText w:val="(%1)"/>
      <w:numFmt w:val="lowerLetter"/>
      <w:start w:val="3"/>
    </w:lvl>
    <w:lvl w:ilvl="1">
      <w:lvlJc w:val="left"/>
      <w:lvlText w:val="(%2)"/>
      <w:numFmt w:val="lowerRoman"/>
      <w:start w:val="1"/>
    </w:lvl>
  </w:abstractNum>
  <w:abstractNum w:abstractNumId="160">
    <w:nsid w:val="3D1A2DD9"/>
    <w:multiLevelType w:val="hybridMultilevel"/>
    <w:lvl w:ilvl="0">
      <w:lvlJc w:val="left"/>
      <w:lvlText w:val="(%1)"/>
      <w:numFmt w:val="lowerRoman"/>
      <w:start w:val="4"/>
    </w:lvl>
  </w:abstractNum>
  <w:abstractNum w:abstractNumId="161">
    <w:nsid w:val="7F618FCD"/>
    <w:multiLevelType w:val="hybridMultilevel"/>
    <w:lvl w:ilvl="0">
      <w:lvlJc w:val="left"/>
      <w:lvlText w:val="(%1)"/>
      <w:numFmt w:val="lowerRoman"/>
      <w:start w:val="1"/>
    </w:lvl>
  </w:abstractNum>
  <w:abstractNum w:abstractNumId="162">
    <w:nsid w:val="7843E45"/>
    <w:multiLevelType w:val="hybridMultilevel"/>
    <w:lvl w:ilvl="0">
      <w:lvlJc w:val="left"/>
      <w:lvlText w:val="%1"/>
      <w:numFmt w:val="decimal"/>
      <w:start w:val="1"/>
    </w:lvl>
    <w:lvl w:ilvl="1">
      <w:lvlJc w:val="left"/>
      <w:lvlText w:val="(%2)"/>
      <w:numFmt w:val="decimal"/>
      <w:start w:val="1"/>
    </w:lvl>
  </w:abstractNum>
  <w:abstractNum w:abstractNumId="163">
    <w:nsid w:val="9815DA3"/>
    <w:multiLevelType w:val="hybridMultilevel"/>
    <w:lvl w:ilvl="0">
      <w:lvlJc w:val="left"/>
      <w:lvlText w:val="%1."/>
      <w:numFmt w:val="decimal"/>
      <w:start w:val="8"/>
    </w:lvl>
    <w:lvl w:ilvl="1">
      <w:lvlJc w:val="left"/>
      <w:lvlText w:val="%2"/>
      <w:numFmt w:val="decimal"/>
      <w:start w:val="1"/>
    </w:lvl>
  </w:abstractNum>
  <w:abstractNum w:abstractNumId="164">
    <w:nsid w:val="5204A191"/>
    <w:multiLevelType w:val="hybridMultilevel"/>
    <w:lvl w:ilvl="0">
      <w:lvlJc w:val="left"/>
      <w:lvlText w:val="(%1)"/>
      <w:numFmt w:val="lowerLetter"/>
      <w:start w:val="1"/>
    </w:lvl>
    <w:lvl w:ilvl="1">
      <w:lvlJc w:val="left"/>
      <w:lvlText w:val="(%2)"/>
      <w:numFmt w:val="decimal"/>
      <w:start w:val="2"/>
    </w:lvl>
  </w:abstractNum>
  <w:abstractNum w:abstractNumId="165">
    <w:nsid w:val="4C73A9C6"/>
    <w:multiLevelType w:val="hybridMultilevel"/>
    <w:lvl w:ilvl="0">
      <w:lvlJc w:val="left"/>
      <w:lvlText w:val="(%1)"/>
      <w:numFmt w:val="lowerLetter"/>
      <w:start w:val="2"/>
    </w:lvl>
    <w:lvl w:ilvl="1">
      <w:lvlJc w:val="left"/>
      <w:lvlText w:val="(%2)"/>
      <w:numFmt w:val="lowerLetter"/>
      <w:start w:val="35"/>
    </w:lvl>
  </w:abstractNum>
  <w:abstractNum w:abstractNumId="166">
    <w:nsid w:val="1C7E3C01"/>
    <w:multiLevelType w:val="hybridMultilevel"/>
    <w:lvl w:ilvl="0">
      <w:lvlJc w:val="left"/>
      <w:lvlText w:val="%1."/>
      <w:numFmt w:val="decimal"/>
      <w:start w:val="9"/>
    </w:lvl>
  </w:abstractNum>
  <w:abstractNum w:abstractNumId="167">
    <w:nsid w:val="1C2201FF"/>
    <w:multiLevelType w:val="hybridMultilevel"/>
    <w:lvl w:ilvl="0">
      <w:lvlJc w:val="left"/>
      <w:lvlText w:val="(%1)"/>
      <w:numFmt w:val="lowerLetter"/>
      <w:start w:val="1"/>
    </w:lvl>
  </w:abstractNum>
  <w:abstractNum w:abstractNumId="168">
    <w:nsid w:val="50ABCEC9"/>
    <w:multiLevelType w:val="hybridMultilevel"/>
    <w:lvl w:ilvl="0">
      <w:lvlJc w:val="left"/>
      <w:lvlText w:val="%1."/>
      <w:numFmt w:val="decimal"/>
      <w:start w:val="10"/>
    </w:lvl>
  </w:abstractNum>
  <w:abstractNum w:abstractNumId="169">
    <w:nsid w:val="7635AA2A"/>
    <w:multiLevelType w:val="hybridMultilevel"/>
    <w:lvl w:ilvl="0">
      <w:lvlJc w:val="left"/>
      <w:lvlText w:val="%1."/>
      <w:numFmt w:val="decimal"/>
      <w:start w:val="11"/>
    </w:lvl>
  </w:abstractNum>
  <w:abstractNum w:abstractNumId="170">
    <w:nsid w:val="5E74C4D9"/>
    <w:multiLevelType w:val="hybridMultilevel"/>
    <w:lvl w:ilvl="0">
      <w:lvlJc w:val="left"/>
      <w:lvlText w:val="%1."/>
      <w:numFmt w:val="decimal"/>
      <w:start w:val="12"/>
    </w:lvl>
  </w:abstractNum>
  <w:abstractNum w:abstractNumId="171">
    <w:nsid w:val="3B3EBE15"/>
    <w:multiLevelType w:val="hybridMultilevel"/>
    <w:lvl w:ilvl="0">
      <w:lvlJc w:val="left"/>
      <w:lvlText w:val="%1."/>
      <w:numFmt w:val="decimal"/>
      <w:start w:val="13"/>
    </w:lvl>
  </w:abstractNum>
  <w:abstractNum w:abstractNumId="172">
    <w:nsid w:val="3822CB01"/>
    <w:multiLevelType w:val="hybridMultilevel"/>
    <w:lvl w:ilvl="0">
      <w:lvlJc w:val="left"/>
      <w:lvlText w:val="%1."/>
      <w:numFmt w:val="decimal"/>
      <w:start w:val="14"/>
    </w:lvl>
  </w:abstractNum>
  <w:abstractNum w:abstractNumId="173">
    <w:nsid w:val="6CE00443"/>
    <w:multiLevelType w:val="hybridMultilevel"/>
    <w:lvl w:ilvl="0">
      <w:lvlJc w:val="left"/>
      <w:lvlText w:val="%1."/>
      <w:numFmt w:val="decimal"/>
      <w:start w:val="15"/>
    </w:lvl>
  </w:abstractNum>
  <w:abstractNum w:abstractNumId="174">
    <w:nsid w:val="79F0D62F"/>
    <w:multiLevelType w:val="hybridMultilevel"/>
    <w:lvl w:ilvl="0">
      <w:lvlJc w:val="left"/>
      <w:lvlText w:val="%1."/>
      <w:numFmt w:val="decimal"/>
      <w:start w:val="16"/>
    </w:lvl>
  </w:abstractNum>
  <w:abstractNum w:abstractNumId="175">
    <w:nsid w:val="7975E8EE"/>
    <w:multiLevelType w:val="hybridMultilevel"/>
    <w:lvl w:ilvl="0">
      <w:lvlJc w:val="left"/>
      <w:lvlText w:val="%1."/>
      <w:numFmt w:val="decimal"/>
      <w:start w:val="17"/>
    </w:lvl>
  </w:abstractNum>
  <w:abstractNum w:abstractNumId="176">
    <w:nsid w:val="73154115"/>
    <w:multiLevelType w:val="hybridMultilevel"/>
    <w:lvl w:ilvl="0">
      <w:lvlJc w:val="left"/>
      <w:lvlText w:val="%1."/>
      <w:numFmt w:val="decimal"/>
      <w:start w:val="18"/>
    </w:lvl>
  </w:abstractNum>
  <w:abstractNum w:abstractNumId="177">
    <w:nsid w:val="622D8102"/>
    <w:multiLevelType w:val="hybridMultilevel"/>
    <w:lvl w:ilvl="0">
      <w:lvlJc w:val="left"/>
      <w:lvlText w:val="%1."/>
      <w:numFmt w:val="decimal"/>
      <w:start w:val="19"/>
    </w:lvl>
  </w:abstractNum>
  <w:abstractNum w:abstractNumId="178">
    <w:nsid w:val="2AB26587"/>
    <w:multiLevelType w:val="hybridMultilevel"/>
    <w:lvl w:ilvl="0">
      <w:lvlJc w:val="left"/>
      <w:lvlText w:val="(%1)"/>
      <w:numFmt w:val="lowerLetter"/>
      <w:start w:val="1"/>
    </w:lvl>
  </w:abstractNum>
  <w:abstractNum w:abstractNumId="179">
    <w:nsid w:val="44B3FA61"/>
    <w:multiLevelType w:val="hybridMultilevel"/>
    <w:lvl w:ilvl="0">
      <w:lvlJc w:val="left"/>
      <w:lvlText w:val="(%1)"/>
      <w:numFmt w:val="lowerLetter"/>
      <w:start w:val="4"/>
    </w:lvl>
  </w:abstractNum>
  <w:abstractNum w:abstractNumId="180">
    <w:nsid w:val="1C0CA67C"/>
    <w:multiLevelType w:val="hybridMultilevel"/>
    <w:lvl w:ilvl="0">
      <w:lvlJc w:val="left"/>
      <w:lvlText w:val="-"/>
      <w:numFmt w:val="bullet"/>
      <w:start w:val="1"/>
    </w:lvl>
  </w:abstractNum>
  <w:abstractNum w:abstractNumId="181">
    <w:nsid w:val="3D206613"/>
    <w:multiLevelType w:val="hybridMultilevel"/>
    <w:lvl w:ilvl="0">
      <w:lvlJc w:val="left"/>
      <w:lvlText w:val="%1."/>
      <w:numFmt w:val="decimal"/>
      <w:start w:val="1"/>
    </w:lvl>
  </w:abstractNum>
  <w:abstractNum w:abstractNumId="182">
    <w:nsid w:val="7993B662"/>
    <w:multiLevelType w:val="hybridMultilevel"/>
    <w:lvl w:ilvl="0">
      <w:lvlJc w:val="left"/>
      <w:lvlText w:val="%1."/>
      <w:numFmt w:val="decimal"/>
      <w:start w:val="2"/>
    </w:lvl>
  </w:abstractNum>
  <w:abstractNum w:abstractNumId="183">
    <w:nsid w:val="3BAB699E"/>
    <w:multiLevelType w:val="hybridMultilevel"/>
    <w:lvl w:ilvl="0">
      <w:lvlJc w:val="left"/>
      <w:lvlText w:val="%1."/>
      <w:numFmt w:val="decimal"/>
      <w:start w:val="3"/>
    </w:lvl>
  </w:abstractNum>
  <w:abstractNum w:abstractNumId="184">
    <w:nsid w:val="71315369"/>
    <w:multiLevelType w:val="hybridMultilevel"/>
    <w:lvl w:ilvl="0">
      <w:lvlJc w:val="left"/>
      <w:lvlText w:val="(%1)"/>
      <w:numFmt w:val="lowerLetter"/>
      <w:start w:val="1"/>
    </w:lvl>
  </w:abstractNum>
  <w:abstractNum w:abstractNumId="185">
    <w:nsid w:val="7BCFBAFC"/>
    <w:multiLevelType w:val="hybridMultilevel"/>
    <w:lvl w:ilvl="0">
      <w:lvlJc w:val="left"/>
      <w:lvlText w:val="%1."/>
      <w:numFmt w:val="decimal"/>
      <w:start w:val="4"/>
    </w:lvl>
  </w:abstractNum>
  <w:abstractNum w:abstractNumId="186">
    <w:nsid w:val="17859F72"/>
    <w:multiLevelType w:val="hybridMultilevel"/>
    <w:lvl w:ilvl="0">
      <w:lvlJc w:val="left"/>
      <w:lvlText w:val="(%1)"/>
      <w:numFmt w:val="lowerLetter"/>
      <w:start w:val="1"/>
    </w:lvl>
  </w:abstractNum>
  <w:abstractNum w:abstractNumId="187">
    <w:nsid w:val="3AA10581"/>
    <w:multiLevelType w:val="hybridMultilevel"/>
    <w:lvl w:ilvl="0">
      <w:lvlJc w:val="left"/>
      <w:lvlText w:val="(%1)"/>
      <w:numFmt w:val="lowerLetter"/>
      <w:start w:val="3"/>
    </w:lvl>
    <w:lvl w:ilvl="1">
      <w:lvlJc w:val="left"/>
      <w:lvlText w:val="(%2)"/>
      <w:numFmt w:val="lowerLetter"/>
      <w:start w:val="9"/>
    </w:lvl>
  </w:abstractNum>
  <w:abstractNum w:abstractNumId="188">
    <w:nsid w:val="63DE60CD"/>
    <w:multiLevelType w:val="hybridMultilevel"/>
    <w:lvl w:ilvl="0">
      <w:lvlJc w:val="left"/>
      <w:lvlText w:val="%1"/>
      <w:numFmt w:val="lowerLetter"/>
      <w:start w:val="1"/>
    </w:lvl>
    <w:lvl w:ilvl="1">
      <w:lvlJc w:val="left"/>
      <w:lvlText w:val="(%2)"/>
      <w:numFmt w:val="lowerLetter"/>
      <w:start w:val="61"/>
    </w:lvl>
  </w:abstractNum>
  <w:abstractNum w:abstractNumId="189">
    <w:nsid w:val="621AF471"/>
    <w:multiLevelType w:val="hybridMultilevel"/>
    <w:lvl w:ilvl="0">
      <w:lvlJc w:val="left"/>
      <w:lvlText w:val="%1."/>
      <w:numFmt w:val="decimal"/>
      <w:start w:val="5"/>
    </w:lvl>
  </w:abstractNum>
  <w:abstractNum w:abstractNumId="190">
    <w:nsid w:val="73CFE165"/>
    <w:multiLevelType w:val="hybridMultilevel"/>
    <w:lvl w:ilvl="0">
      <w:lvlJc w:val="left"/>
      <w:lvlText w:val="(%1)"/>
      <w:numFmt w:val="lowerLetter"/>
      <w:start w:val="1"/>
    </w:lvl>
    <w:lvl w:ilvl="1">
      <w:lvlJc w:val="left"/>
      <w:lvlText w:val="(%2)"/>
      <w:numFmt w:val="lowerRoman"/>
      <w:start w:val="1"/>
    </w:lvl>
  </w:abstractNum>
  <w:abstractNum w:abstractNumId="191">
    <w:nsid w:val="20F88EA6"/>
    <w:multiLevelType w:val="hybridMultilevel"/>
    <w:lvl w:ilvl="0">
      <w:lvlJc w:val="left"/>
      <w:lvlText w:val="%1"/>
      <w:numFmt w:val="lowerLetter"/>
      <w:start w:val="1"/>
    </w:lvl>
    <w:lvl w:ilvl="1">
      <w:lvlJc w:val="left"/>
      <w:lvlText w:val="(%2)"/>
      <w:numFmt w:val="lowerRoman"/>
      <w:start w:val="2"/>
    </w:lvl>
  </w:abstractNum>
  <w:abstractNum w:abstractNumId="192">
    <w:nsid w:val="617C843E"/>
    <w:multiLevelType w:val="hybridMultilevel"/>
    <w:lvl w:ilvl="0">
      <w:lvlJc w:val="left"/>
      <w:lvlText w:val="(%1)"/>
      <w:numFmt w:val="lowerLetter"/>
      <w:start w:val="4"/>
    </w:lvl>
    <w:lvl w:ilvl="1">
      <w:lvlJc w:val="left"/>
      <w:lvlText w:val="%2"/>
      <w:numFmt w:val="lowerRoman"/>
      <w:start w:val="1"/>
    </w:lvl>
  </w:abstractNum>
  <w:abstractNum w:abstractNumId="193">
    <w:nsid w:val="7B541FAB"/>
    <w:multiLevelType w:val="hybridMultilevel"/>
    <w:lvl w:ilvl="0">
      <w:lvlJc w:val="left"/>
      <w:lvlText w:val="%1."/>
      <w:numFmt w:val="decimal"/>
      <w:start w:val="6"/>
    </w:lvl>
  </w:abstractNum>
  <w:abstractNum w:abstractNumId="194">
    <w:nsid w:val="2A79EC49"/>
    <w:multiLevelType w:val="hybridMultilevel"/>
    <w:lvl w:ilvl="0">
      <w:lvlJc w:val="left"/>
      <w:lvlText w:val="(%1)"/>
      <w:numFmt w:val="lowerLetter"/>
      <w:start w:val="1"/>
    </w:lvl>
    <w:lvl w:ilvl="1">
      <w:lvlJc w:val="left"/>
      <w:lvlText w:val="(%2)"/>
      <w:numFmt w:val="lowerRoman"/>
      <w:start w:val="1"/>
    </w:lvl>
  </w:abstractNum>
  <w:abstractNum w:abstractNumId="195">
    <w:nsid w:val="338125CF"/>
    <w:multiLevelType w:val="hybridMultilevel"/>
    <w:lvl w:ilvl="0">
      <w:lvlJc w:val="left"/>
      <w:lvlText w:val="%1"/>
      <w:numFmt w:val="lowerLetter"/>
      <w:start w:val="1"/>
    </w:lvl>
    <w:lvl w:ilvl="1">
      <w:lvlJc w:val="left"/>
      <w:lvlText w:val="(%2)"/>
      <w:numFmt w:val="lowerRoman"/>
      <w:start w:val="1"/>
    </w:lvl>
  </w:abstractNum>
  <w:abstractNum w:abstractNumId="196">
    <w:nsid w:val="47C7C971"/>
    <w:multiLevelType w:val="hybridMultilevel"/>
    <w:lvl w:ilvl="0">
      <w:lvlJc w:val="left"/>
      <w:lvlText w:val="(%1)"/>
      <w:numFmt w:val="lowerLetter"/>
      <w:start w:val="3"/>
    </w:lvl>
    <w:lvl w:ilvl="1">
      <w:lvlJc w:val="left"/>
      <w:lvlText w:val="(%2)"/>
      <w:numFmt w:val="lowerRoman"/>
      <w:start w:val="1"/>
    </w:lvl>
  </w:abstractNum>
  <w:abstractNum w:abstractNumId="197">
    <w:nsid w:val="46F8284B"/>
    <w:multiLevelType w:val="hybridMultilevel"/>
    <w:lvl w:ilvl="0">
      <w:lvlJc w:val="left"/>
      <w:lvlText w:val="%1"/>
      <w:numFmt w:val="lowerLetter"/>
      <w:start w:val="1"/>
    </w:lvl>
    <w:lvl w:ilvl="1">
      <w:lvlJc w:val="left"/>
      <w:lvlText w:val="(%2)"/>
      <w:numFmt w:val="lowerRoman"/>
      <w:start w:val="2"/>
    </w:lvl>
  </w:abstractNum>
  <w:abstractNum w:abstractNumId="198">
    <w:nsid w:val="4FA327CE"/>
    <w:multiLevelType w:val="hybridMultilevel"/>
    <w:lvl w:ilvl="0">
      <w:lvlJc w:val="left"/>
      <w:lvlText w:val="(%1)"/>
      <w:numFmt w:val="lowerLetter"/>
      <w:start w:val="6"/>
    </w:lvl>
    <w:lvl w:ilvl="1">
      <w:lvlJc w:val="left"/>
      <w:lvlText w:val="%2"/>
      <w:numFmt w:val="lowerRoman"/>
      <w:start w:val="1"/>
    </w:lvl>
  </w:abstractNum>
  <w:abstractNum w:abstractNumId="199">
    <w:nsid w:val="1873983A"/>
    <w:multiLevelType w:val="hybridMultilevel"/>
    <w:lvl w:ilvl="0">
      <w:lvlJc w:val="left"/>
      <w:lvlText w:val="(%1)"/>
      <w:numFmt w:val="lowerLetter"/>
      <w:start w:val="7"/>
    </w:lvl>
    <w:lvl w:ilvl="1">
      <w:lvlJc w:val="left"/>
      <w:lvlText w:val="(%2)"/>
      <w:numFmt w:val="lowerRoman"/>
      <w:start w:val="1"/>
    </w:lvl>
  </w:abstractNum>
  <w:abstractNum w:abstractNumId="200">
    <w:nsid w:val="3D2DD275"/>
    <w:multiLevelType w:val="hybridMultilevel"/>
    <w:lvl w:ilvl="0">
      <w:lvlJc w:val="left"/>
      <w:lvlText w:val="%1."/>
      <w:numFmt w:val="decimal"/>
      <w:start w:val="7"/>
    </w:lvl>
  </w:abstractNum>
  <w:abstractNum w:abstractNumId="201">
    <w:nsid w:val="2E17ECA7"/>
    <w:multiLevelType w:val="hybridMultilevel"/>
    <w:lvl w:ilvl="0">
      <w:lvlJc w:val="left"/>
      <w:lvlText w:val="(%1)"/>
      <w:numFmt w:val="lowerLetter"/>
      <w:start w:val="1"/>
    </w:lvl>
    <w:lvl w:ilvl="1">
      <w:lvlJc w:val="left"/>
      <w:lvlText w:val="(%2)"/>
      <w:numFmt w:val="lowerRoman"/>
      <w:start w:val="1"/>
    </w:lvl>
  </w:abstractNum>
  <w:abstractNum w:abstractNumId="202">
    <w:nsid w:val="53B2564F"/>
    <w:multiLevelType w:val="hybridMultilevel"/>
    <w:lvl w:ilvl="0">
      <w:lvlJc w:val="left"/>
      <w:lvlText w:val="%1"/>
      <w:numFmt w:val="lowerLetter"/>
      <w:start w:val="1"/>
    </w:lvl>
    <w:lvl w:ilvl="1">
      <w:lvlJc w:val="left"/>
      <w:lvlText w:val="(%2)"/>
      <w:numFmt w:val="lowerRoman"/>
      <w:start w:val="3"/>
    </w:lvl>
  </w:abstractNum>
  <w:abstractNum w:abstractNumId="203">
    <w:nsid w:val="75509D76"/>
    <w:multiLevelType w:val="hybridMultilevel"/>
    <w:lvl w:ilvl="0">
      <w:lvlJc w:val="left"/>
      <w:lvlText w:val="(%1)"/>
      <w:numFmt w:val="lowerLetter"/>
      <w:start w:val="2"/>
    </w:lvl>
    <w:lvl w:ilvl="1">
      <w:lvlJc w:val="left"/>
      <w:lvlText w:val="(%2)"/>
      <w:numFmt w:val="lowerRoman"/>
      <w:start w:val="1"/>
    </w:lvl>
  </w:abstractNum>
  <w:abstractNum w:abstractNumId="204">
    <w:nsid w:val="1AF7F0EA"/>
    <w:multiLevelType w:val="hybridMultilevel"/>
    <w:lvl w:ilvl="0">
      <w:lvlJc w:val="left"/>
      <w:lvlText w:val="(%1)"/>
      <w:numFmt w:val="lowerLetter"/>
      <w:start w:val="3"/>
    </w:lvl>
    <w:lvl w:ilvl="1">
      <w:lvlJc w:val="left"/>
      <w:lvlText w:val="(%2)"/>
      <w:numFmt w:val="lowerRoman"/>
      <w:start w:val="1"/>
    </w:lvl>
  </w:abstractNum>
  <w:abstractNum w:abstractNumId="205">
    <w:nsid w:val="4DA32C7E"/>
    <w:multiLevelType w:val="hybridMultilevel"/>
    <w:lvl w:ilvl="0">
      <w:lvlJc w:val="left"/>
      <w:lvlText w:val="%1"/>
      <w:numFmt w:val="decimal"/>
      <w:start w:val="1"/>
    </w:lvl>
    <w:lvl w:ilvl="1">
      <w:lvlJc w:val="left"/>
      <w:lvlText w:val="(%2)"/>
      <w:numFmt w:val="lowerRoman"/>
      <w:start w:val="2"/>
    </w:lvl>
  </w:abstractNum>
  <w:abstractNum w:abstractNumId="206">
    <w:nsid w:val="6EC68664"/>
    <w:multiLevelType w:val="hybridMultilevel"/>
    <w:lvl w:ilvl="0">
      <w:lvlJc w:val="left"/>
      <w:lvlText w:val="%1."/>
      <w:numFmt w:val="decimal"/>
      <w:start w:val="8"/>
    </w:lvl>
    <w:lvl w:ilvl="1">
      <w:lvlJc w:val="left"/>
      <w:lvlText w:val="%2"/>
      <w:numFmt w:val="lowerRoman"/>
      <w:start w:val="1"/>
    </w:lvl>
  </w:abstractNum>
  <w:abstractNum w:abstractNumId="207">
    <w:nsid w:val="E0D31FF"/>
    <w:multiLevelType w:val="hybridMultilevel"/>
    <w:lvl w:ilvl="0">
      <w:lvlJc w:val="left"/>
      <w:lvlText w:val="(%1)"/>
      <w:numFmt w:val="lowerLetter"/>
      <w:start w:val="1"/>
    </w:lvl>
  </w:abstractNum>
  <w:abstractNum w:abstractNumId="208">
    <w:nsid w:val="2FD0AD81"/>
    <w:multiLevelType w:val="hybridMultilevel"/>
    <w:lvl w:ilvl="0">
      <w:lvlJc w:val="left"/>
      <w:lvlText w:val="(%1)"/>
      <w:numFmt w:val="lowerLetter"/>
      <w:start w:val="4"/>
    </w:lvl>
    <w:lvl w:ilvl="1">
      <w:lvlJc w:val="left"/>
      <w:lvlText w:val="(%2)"/>
      <w:numFmt w:val="lowerLetter"/>
      <w:start w:val="35"/>
    </w:lvl>
  </w:abstractNum>
  <w:abstractNum w:abstractNumId="209">
    <w:nsid w:val="1978EBEB"/>
    <w:multiLevelType w:val="hybridMultilevel"/>
    <w:lvl w:ilvl="0">
      <w:lvlJc w:val="left"/>
      <w:lvlText w:val="%1."/>
      <w:numFmt w:val="decimal"/>
      <w:start w:val="9"/>
    </w:lvl>
  </w:abstractNum>
  <w:abstractNum w:abstractNumId="210">
    <w:nsid w:val="52C12C61"/>
    <w:multiLevelType w:val="hybridMultilevel"/>
    <w:lvl w:ilvl="0">
      <w:lvlJc w:val="left"/>
      <w:lvlText w:val="(%1)"/>
      <w:numFmt w:val="lowerLetter"/>
      <w:start w:val="1"/>
    </w:lvl>
  </w:abstractNum>
  <w:abstractNum w:abstractNumId="211">
    <w:nsid w:val="4BDD53FD"/>
    <w:multiLevelType w:val="hybridMultilevel"/>
    <w:lvl w:ilvl="0">
      <w:lvlJc w:val="left"/>
      <w:lvlText w:val="%1."/>
      <w:numFmt w:val="decimal"/>
      <w:start w:val="10"/>
    </w:lvl>
  </w:abstractNum>
  <w:abstractNum w:abstractNumId="212">
    <w:nsid w:val="569951FE"/>
    <w:multiLevelType w:val="hybridMultilevel"/>
    <w:lvl w:ilvl="0">
      <w:lvlJc w:val="left"/>
      <w:lvlText w:val="%1."/>
      <w:numFmt w:val="decimal"/>
      <w:start w:val="11"/>
    </w:lvl>
  </w:abstractNum>
  <w:abstractNum w:abstractNumId="213">
    <w:nsid w:val="4C54E2C3"/>
    <w:multiLevelType w:val="hybridMultilevel"/>
    <w:lvl w:ilvl="0">
      <w:lvlJc w:val="left"/>
      <w:lvlText w:val="%1."/>
      <w:numFmt w:val="decimal"/>
      <w:start w:val="12"/>
    </w:lvl>
  </w:abstractNum>
  <w:abstractNum w:abstractNumId="214">
    <w:nsid w:val="788BD9B"/>
    <w:multiLevelType w:val="hybridMultilevel"/>
    <w:lvl w:ilvl="0">
      <w:lvlJc w:val="left"/>
      <w:lvlText w:val="%1."/>
      <w:numFmt w:val="decimal"/>
      <w:start w:val="13"/>
    </w:lvl>
  </w:abstractNum>
  <w:abstractNum w:abstractNumId="215">
    <w:nsid w:val="47CAA567"/>
    <w:multiLevelType w:val="hybridMultilevel"/>
    <w:lvl w:ilvl="0">
      <w:lvlJc w:val="left"/>
      <w:lvlText w:val="%1."/>
      <w:numFmt w:val="decimal"/>
      <w:start w:val="14"/>
    </w:lvl>
  </w:abstractNum>
  <w:abstractNum w:abstractNumId="216">
    <w:nsid w:val="48249DBF"/>
    <w:multiLevelType w:val="hybridMultilevel"/>
    <w:lvl w:ilvl="0">
      <w:lvlJc w:val="left"/>
      <w:lvlText w:val="%1."/>
      <w:numFmt w:val="decimal"/>
      <w:start w:val="15"/>
    </w:lvl>
  </w:abstractNum>
  <w:abstractNum w:abstractNumId="217">
    <w:nsid w:val="1F0E5D0D"/>
    <w:multiLevelType w:val="hybridMultilevel"/>
    <w:lvl w:ilvl="0">
      <w:lvlJc w:val="left"/>
      <w:lvlText w:val="%1."/>
      <w:numFmt w:val="decimal"/>
      <w:start w:val="16"/>
    </w:lvl>
  </w:abstractNum>
  <w:abstractNum w:abstractNumId="218">
    <w:nsid w:val="26BAAE9"/>
    <w:multiLevelType w:val="hybridMultilevel"/>
    <w:lvl w:ilvl="0">
      <w:lvlJc w:val="left"/>
      <w:lvlText w:val="%1."/>
      <w:numFmt w:val="decimal"/>
      <w:start w:val="17"/>
    </w:lvl>
  </w:abstractNum>
  <w:abstractNum w:abstractNumId="219">
    <w:nsid w:val="2C02FE8C"/>
    <w:multiLevelType w:val="hybridMultilevel"/>
    <w:lvl w:ilvl="0">
      <w:lvlJc w:val="left"/>
      <w:lvlText w:val="%1."/>
      <w:numFmt w:val="decimal"/>
      <w:start w:val="18"/>
    </w:lvl>
  </w:abstractNum>
  <w:abstractNum w:abstractNumId="220">
    <w:nsid w:val="129517E"/>
    <w:multiLevelType w:val="hybridMultilevel"/>
    <w:lvl w:ilvl="0">
      <w:lvlJc w:val="left"/>
      <w:lvlText w:val="(%1)"/>
      <w:numFmt w:val="lowerLetter"/>
      <w:start w:val="1"/>
    </w:lvl>
  </w:abstractNum>
  <w:abstractNum w:abstractNumId="221">
    <w:nsid w:val="763B8C4E"/>
    <w:multiLevelType w:val="hybridMultilevel"/>
    <w:lvl w:ilvl="0">
      <w:lvlJc w:val="left"/>
      <w:lvlText w:val="(%1)"/>
      <w:numFmt w:val="lowerLetter"/>
      <w:start w:val="3"/>
    </w:lvl>
  </w:abstractNum>
  <w:abstractNum w:abstractNumId="222">
    <w:nsid w:val="4CFB8D32"/>
    <w:multiLevelType w:val="hybridMultilevel"/>
    <w:lvl w:ilvl="0">
      <w:lvlJc w:val="left"/>
      <w:lvlText w:val="(%1)"/>
      <w:numFmt w:val="lowerLetter"/>
      <w:start w:val="1"/>
    </w:lvl>
  </w:abstractNum>
  <w:abstractNum w:abstractNumId="223">
    <w:nsid w:val="62A5D5BD"/>
    <w:multiLevelType w:val="hybridMultilevel"/>
    <w:lvl w:ilvl="0">
      <w:lvlJc w:val="left"/>
      <w:lvlText w:val="(%1)"/>
      <w:numFmt w:val="lowerLetter"/>
      <w:start w:val="1"/>
    </w:lvl>
  </w:abstractNum>
  <w:abstractNum w:abstractNumId="224">
    <w:nsid w:val="718FABF9"/>
    <w:multiLevelType w:val="hybridMultilevel"/>
    <w:lvl w:ilvl="0">
      <w:lvlJc w:val="left"/>
      <w:lvlText w:val="(%1)"/>
      <w:numFmt w:val="lowerLetter"/>
      <w:start w:val="2"/>
    </w:lvl>
  </w:abstractNum>
  <w:abstractNum w:abstractNumId="225">
    <w:nsid w:val="7775797C"/>
    <w:multiLevelType w:val="hybridMultilevel"/>
    <w:lvl w:ilvl="0">
      <w:lvlJc w:val="left"/>
      <w:lvlText w:val="(%1)"/>
      <w:numFmt w:val="lowerLetter"/>
      <w:start w:val="1"/>
    </w:lvl>
  </w:abstractNum>
  <w:abstractNum w:abstractNumId="226">
    <w:nsid w:val="1626FB8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3"/>
    </w:lvl>
  </w:abstractNum>
  <w:abstractNum w:abstractNumId="227">
    <w:nsid w:val="3957756A"/>
    <w:multiLevelType w:val="hybridMultilevel"/>
    <w:lvl w:ilvl="0">
      <w:lvlJc w:val="left"/>
      <w:lvlText w:val="%1."/>
      <w:numFmt w:val="decimal"/>
      <w:start w:val="6"/>
    </w:lvl>
  </w:abstractNum>
  <w:abstractNum w:abstractNumId="228">
    <w:nsid w:val="3E6DA1C7"/>
    <w:multiLevelType w:val="hybridMultilevel"/>
    <w:lvl w:ilvl="0">
      <w:lvlJc w:val="left"/>
      <w:lvlText w:val="(%1)"/>
      <w:numFmt w:val="lowerLetter"/>
      <w:start w:val="1"/>
    </w:lvl>
  </w:abstractNum>
  <w:abstractNum w:abstractNumId="229">
    <w:nsid w:val="65CA235B"/>
    <w:multiLevelType w:val="hybridMultilevel"/>
    <w:lvl w:ilvl="0">
      <w:lvlJc w:val="left"/>
      <w:lvlText w:val="%1"/>
      <w:numFmt w:val="lowerLetter"/>
      <w:start w:val="1"/>
    </w:lvl>
    <w:lvl w:ilvl="1">
      <w:lvlJc w:val="left"/>
      <w:lvlText w:val="(%2)"/>
      <w:numFmt w:val="lowerRoman"/>
      <w:start w:val="1"/>
    </w:lvl>
  </w:abstractNum>
  <w:abstractNum w:abstractNumId="230">
    <w:nsid w:val="51CB0DA4"/>
    <w:multiLevelType w:val="hybridMultilevel"/>
    <w:lvl w:ilvl="0">
      <w:lvlJc w:val="left"/>
      <w:lvlText w:val="(%1)"/>
      <w:numFmt w:val="lowerLetter"/>
      <w:start w:val="2"/>
    </w:lvl>
    <w:lvl w:ilvl="1">
      <w:lvlJc w:val="left"/>
      <w:lvlText w:val="(%2)"/>
      <w:numFmt w:val="lowerRoman"/>
      <w:start w:val="1"/>
    </w:lvl>
  </w:abstractNum>
  <w:abstractNum w:abstractNumId="231">
    <w:nsid w:val="7B9B743C"/>
    <w:multiLevelType w:val="hybridMultilevel"/>
    <w:lvl w:ilvl="0">
      <w:lvlJc w:val="left"/>
      <w:lvlText w:val="(%1)"/>
      <w:numFmt w:val="lowerLetter"/>
      <w:start w:val="3"/>
    </w:lvl>
    <w:lvl w:ilvl="1">
      <w:lvlJc w:val="left"/>
      <w:lvlText w:val="(%2)"/>
      <w:numFmt w:val="lowerRoman"/>
      <w:start w:val="1"/>
    </w:lvl>
  </w:abstractNum>
  <w:abstractNum w:abstractNumId="232">
    <w:nsid w:val="13E21002"/>
    <w:multiLevelType w:val="hybridMultilevel"/>
    <w:lvl w:ilvl="0">
      <w:lvlJc w:val="left"/>
      <w:lvlText w:val="%1"/>
      <w:numFmt w:val="lowerLetter"/>
      <w:start w:val="1"/>
    </w:lvl>
    <w:lvl w:ilvl="1">
      <w:lvlJc w:val="left"/>
      <w:lvlText w:val="(%2)"/>
      <w:numFmt w:val="lowerRoman"/>
      <w:start w:val="4"/>
    </w:lvl>
  </w:abstractNum>
  <w:abstractNum w:abstractNumId="233">
    <w:nsid w:val="257D63F4"/>
    <w:multiLevelType w:val="hybridMultilevel"/>
    <w:lvl w:ilvl="0">
      <w:lvlJc w:val="left"/>
      <w:lvlText w:val="(%1)"/>
      <w:numFmt w:val="lowerLetter"/>
      <w:start w:val="6"/>
    </w:lvl>
    <w:lvl w:ilvl="1">
      <w:lvlJc w:val="left"/>
      <w:lvlText w:val="(%2)"/>
      <w:numFmt w:val="lowerRoman"/>
      <w:start w:val="1"/>
    </w:lvl>
  </w:abstractNum>
  <w:abstractNum w:abstractNumId="234">
    <w:nsid w:val="70EC11B2"/>
    <w:multiLevelType w:val="hybridMultilevel"/>
    <w:lvl w:ilvl="0">
      <w:lvlJc w:val="left"/>
      <w:lvlText w:val="(%1)"/>
      <w:numFmt w:val="lowerRoman"/>
      <w:start w:val="2"/>
    </w:lvl>
  </w:abstractNum>
  <w:abstractNum w:abstractNumId="235">
    <w:nsid w:val="2EDA00ED"/>
    <w:multiLevelType w:val="hybridMultilevel"/>
    <w:lvl w:ilvl="0">
      <w:lvlJc w:val="left"/>
      <w:lvlText w:val="%1."/>
      <w:numFmt w:val="decimal"/>
      <w:start w:val="7"/>
    </w:lvl>
  </w:abstractNum>
  <w:abstractNum w:abstractNumId="236">
    <w:nsid w:val="73209072"/>
    <w:multiLevelType w:val="hybridMultilevel"/>
    <w:lvl w:ilvl="0">
      <w:lvlJc w:val="left"/>
      <w:lvlText w:val="(%1)"/>
      <w:numFmt w:val="lowerLetter"/>
      <w:start w:val="1"/>
    </w:lvl>
    <w:lvl w:ilvl="1">
      <w:lvlJc w:val="left"/>
      <w:lvlText w:val="(%2)"/>
      <w:numFmt w:val="lowerRoman"/>
      <w:start w:val="1"/>
    </w:lvl>
  </w:abstractNum>
  <w:abstractNum w:abstractNumId="237">
    <w:nsid w:val="5FB29816"/>
    <w:multiLevelType w:val="hybridMultilevel"/>
    <w:lvl w:ilvl="0">
      <w:lvlJc w:val="left"/>
      <w:lvlText w:val="%1"/>
      <w:numFmt w:val="lowerLetter"/>
      <w:start w:val="1"/>
    </w:lvl>
    <w:lvl w:ilvl="1">
      <w:lvlJc w:val="left"/>
      <w:lvlText w:val="(%2)"/>
      <w:numFmt w:val="lowerRoman"/>
      <w:start w:val="4"/>
    </w:lvl>
  </w:abstractNum>
  <w:abstractNum w:abstractNumId="238">
    <w:nsid w:val="3CE732EC"/>
    <w:multiLevelType w:val="hybridMultilevel"/>
    <w:lvl w:ilvl="0">
      <w:lvlJc w:val="left"/>
      <w:lvlText w:val="(%1)"/>
      <w:numFmt w:val="lowerLetter"/>
      <w:start w:val="2"/>
    </w:lvl>
    <w:lvl w:ilvl="1">
      <w:lvlJc w:val="left"/>
      <w:lvlText w:val="(%2)"/>
      <w:numFmt w:val="lowerRoman"/>
      <w:start w:val="1"/>
    </w:lvl>
  </w:abstractNum>
  <w:abstractNum w:abstractNumId="239">
    <w:nsid w:val="22F13DF3"/>
    <w:multiLevelType w:val="hybridMultilevel"/>
    <w:lvl w:ilvl="0">
      <w:lvlJc w:val="left"/>
      <w:lvlText w:val="(%1)"/>
      <w:numFmt w:val="lowerRoman"/>
      <w:start w:val="4"/>
    </w:lvl>
  </w:abstractNum>
  <w:abstractNum w:abstractNumId="240">
    <w:nsid w:val="792B8401"/>
    <w:multiLevelType w:val="hybridMultilevel"/>
    <w:lvl w:ilvl="0">
      <w:lvlJc w:val="left"/>
      <w:lvlText w:val="(%1)"/>
      <w:numFmt w:val="lowerLetter"/>
      <w:start w:val="3"/>
    </w:lvl>
    <w:lvl w:ilvl="1">
      <w:lvlJc w:val="left"/>
      <w:lvlText w:val="(%2)"/>
      <w:numFmt w:val="lowerRoman"/>
      <w:start w:val="1"/>
    </w:lvl>
  </w:abstractNum>
  <w:abstractNum w:abstractNumId="241">
    <w:nsid w:val="FA85F4D"/>
    <w:multiLevelType w:val="hybridMultilevel"/>
    <w:lvl w:ilvl="0">
      <w:lvlJc w:val="left"/>
      <w:lvlText w:val="%1"/>
      <w:numFmt w:val="decimal"/>
      <w:start w:val="1"/>
    </w:lvl>
    <w:lvl w:ilvl="1">
      <w:lvlJc w:val="left"/>
      <w:lvlText w:val="(%2)"/>
      <w:numFmt w:val="lowerRoman"/>
      <w:start w:val="2"/>
    </w:lvl>
  </w:abstractNum>
  <w:abstractNum w:abstractNumId="242">
    <w:nsid w:val="6ECE91F0"/>
    <w:multiLevelType w:val="hybridMultilevel"/>
    <w:lvl w:ilvl="0">
      <w:lvlJc w:val="left"/>
      <w:lvlText w:val="%1."/>
      <w:numFmt w:val="decimal"/>
      <w:start w:val="8"/>
    </w:lvl>
    <w:lvl w:ilvl="1">
      <w:lvlJc w:val="left"/>
      <w:lvlText w:val="%2"/>
      <w:numFmt w:val="lowerRoman"/>
      <w:start w:val="1"/>
    </w:lvl>
  </w:abstractNum>
  <w:abstractNum w:abstractNumId="243">
    <w:nsid w:val="4FC4D600"/>
    <w:multiLevelType w:val="hybridMultilevel"/>
    <w:lvl w:ilvl="0">
      <w:lvlJc w:val="left"/>
      <w:lvlText w:val="(%1)"/>
      <w:numFmt w:val="lowerLetter"/>
      <w:start w:val="1"/>
    </w:lvl>
    <w:lvl w:ilvl="1">
      <w:lvlJc w:val="left"/>
      <w:lvlText w:val="(%2)"/>
      <w:numFmt w:val="decimal"/>
      <w:start w:val="1"/>
    </w:lvl>
  </w:abstractNum>
  <w:abstractNum w:abstractNumId="244">
    <w:nsid w:val="5BFD4210"/>
    <w:multiLevelType w:val="hybridMultilevel"/>
    <w:lvl w:ilvl="0">
      <w:lvlJc w:val="left"/>
      <w:lvlText w:val="(%1)"/>
      <w:numFmt w:val="lowerLetter"/>
      <w:start w:val="3"/>
    </w:lvl>
  </w:abstractNum>
  <w:abstractNum w:abstractNumId="245">
    <w:nsid w:val="76574F8B"/>
    <w:multiLevelType w:val="hybridMultilevel"/>
    <w:lvl w:ilvl="0">
      <w:lvlJc w:val="left"/>
      <w:lvlText w:val="(%1)"/>
      <w:numFmt w:val="lowerLetter"/>
      <w:start w:val="1"/>
    </w:lvl>
  </w:abstractNum>
  <w:abstractNum w:abstractNumId="246">
    <w:nsid w:val="178F7B67"/>
    <w:multiLevelType w:val="hybridMultilevel"/>
    <w:lvl w:ilvl="0">
      <w:lvlJc w:val="left"/>
      <w:lvlText w:val="(%1)"/>
      <w:numFmt w:val="lowerLetter"/>
      <w:start w:val="1"/>
    </w:lvl>
  </w:abstractNum>
  <w:abstractNum w:abstractNumId="247">
    <w:nsid w:val="2421DFCF"/>
    <w:multiLevelType w:val="hybridMultilevel"/>
    <w:lvl w:ilvl="0">
      <w:lvlJc w:val="left"/>
      <w:lvlText w:val="(%1)"/>
      <w:numFmt w:val="lowerLetter"/>
      <w:start w:val="1"/>
    </w:lvl>
  </w:abstractNum>
  <w:abstractNum w:abstractNumId="248">
    <w:nsid w:val="1565AC99"/>
    <w:multiLevelType w:val="hybridMultilevel"/>
    <w:lvl w:ilvl="0">
      <w:lvlJc w:val="left"/>
      <w:lvlText w:val="(%1)"/>
      <w:numFmt w:val="lowerLetter"/>
      <w:start w:val="1"/>
    </w:lvl>
  </w:abstractNum>
  <w:abstractNum w:abstractNumId="249">
    <w:nsid w:val="19FB2650"/>
    <w:multiLevelType w:val="hybridMultilevel"/>
    <w:lvl w:ilvl="0">
      <w:lvlJc w:val="left"/>
      <w:lvlText w:val="(%1)"/>
      <w:numFmt w:val="lowerLetter"/>
      <w:start w:val="2"/>
    </w:lvl>
  </w:abstractNum>
  <w:abstractNum w:abstractNumId="250">
    <w:nsid w:val="5024DE5B"/>
    <w:multiLevelType w:val="hybridMultilevel"/>
    <w:lvl w:ilvl="0">
      <w:lvlJc w:val="left"/>
      <w:lvlText w:val="(%1)"/>
      <w:numFmt w:val="lowerLetter"/>
      <w:start w:val="1"/>
    </w:lvl>
  </w:abstractNum>
  <w:abstractNum w:abstractNumId="251">
    <w:nsid w:val="168EFE1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3"/>
    </w:lvl>
  </w:abstractNum>
  <w:abstractNum w:abstractNumId="252">
    <w:nsid w:val="1036B29F"/>
    <w:multiLevelType w:val="hybridMultilevel"/>
    <w:lvl w:ilvl="0">
      <w:lvlJc w:val="left"/>
      <w:lvlText w:val="(%1)"/>
      <w:numFmt w:val="lowerLetter"/>
      <w:start w:val="1"/>
    </w:lvl>
  </w:abstractNum>
  <w:abstractNum w:abstractNumId="253">
    <w:nsid w:val="1D206B8E"/>
    <w:multiLevelType w:val="hybridMultilevel"/>
    <w:lvl w:ilvl="0">
      <w:lvlJc w:val="left"/>
      <w:lvlText w:val="%1"/>
      <w:numFmt w:val="lowerLetter"/>
      <w:start w:val="1"/>
    </w:lvl>
    <w:lvl w:ilvl="1">
      <w:lvlJc w:val="left"/>
      <w:lvlText w:val="(%2)"/>
      <w:numFmt w:val="lowerRoman"/>
      <w:start w:val="1"/>
    </w:lvl>
  </w:abstractNum>
  <w:abstractNum w:abstractNumId="254">
    <w:nsid w:val="7934D3D4"/>
    <w:multiLevelType w:val="hybridMultilevel"/>
    <w:lvl w:ilvl="0">
      <w:lvlJc w:val="left"/>
      <w:lvlText w:val="(%1)"/>
      <w:numFmt w:val="lowerLetter"/>
      <w:start w:val="2"/>
    </w:lvl>
    <w:lvl w:ilvl="1">
      <w:lvlJc w:val="left"/>
      <w:lvlText w:val="(%2)"/>
      <w:numFmt w:val="lowerRoman"/>
      <w:start w:val="1"/>
    </w:lvl>
  </w:abstractNum>
  <w:abstractNum w:abstractNumId="255">
    <w:nsid w:val="1C65E98"/>
    <w:multiLevelType w:val="hybridMultilevel"/>
    <w:lvl w:ilvl="0">
      <w:lvlJc w:val="left"/>
      <w:lvlText w:val="(%1)"/>
      <w:numFmt w:val="lowerLetter"/>
      <w:start w:val="3"/>
    </w:lvl>
    <w:lvl w:ilvl="1">
      <w:lvlJc w:val="left"/>
      <w:lvlText w:val="(%2)"/>
      <w:numFmt w:val="lowerRoman"/>
      <w:start w:val="1"/>
    </w:lvl>
  </w:abstractNum>
  <w:abstractNum w:abstractNumId="256">
    <w:nsid w:val="1495E50A"/>
    <w:multiLevelType w:val="hybridMultilevel"/>
    <w:lvl w:ilvl="0">
      <w:lvlJc w:val="left"/>
      <w:lvlText w:val="%1"/>
      <w:numFmt w:val="lowerLetter"/>
      <w:start w:val="1"/>
    </w:lvl>
    <w:lvl w:ilvl="1">
      <w:lvlJc w:val="left"/>
      <w:lvlText w:val="(%2)"/>
      <w:numFmt w:val="lowerRoman"/>
      <w:start w:val="4"/>
    </w:lvl>
  </w:abstractNum>
  <w:abstractNum w:abstractNumId="257">
    <w:nsid w:val="F5BCF61"/>
    <w:multiLevelType w:val="hybridMultilevel"/>
    <w:lvl w:ilvl="0">
      <w:lvlJc w:val="left"/>
      <w:lvlText w:val="(%1)"/>
      <w:numFmt w:val="lowerLetter"/>
      <w:start w:val="6"/>
    </w:lvl>
    <w:lvl w:ilvl="1">
      <w:lvlJc w:val="left"/>
      <w:lvlText w:val="%2"/>
      <w:numFmt w:val="lowerRoman"/>
      <w:start w:val="1"/>
    </w:lvl>
  </w:abstractNum>
  <w:abstractNum w:abstractNumId="258">
    <w:nsid w:val="3B1DD403"/>
    <w:multiLevelType w:val="hybridMultilevel"/>
    <w:lvl w:ilvl="0">
      <w:lvlJc w:val="left"/>
      <w:lvlText w:val="(%1)"/>
      <w:numFmt w:val="lowerRoman"/>
      <w:start w:val="1"/>
    </w:lvl>
  </w:abstractNum>
  <w:abstractNum w:abstractNumId="259">
    <w:nsid w:val="530386D1"/>
    <w:multiLevelType w:val="hybridMultilevel"/>
    <w:lvl w:ilvl="0">
      <w:lvlJc w:val="left"/>
      <w:lvlText w:val="%1."/>
      <w:numFmt w:val="decimal"/>
      <w:start w:val="7"/>
    </w:lvl>
  </w:abstractNum>
  <w:abstractNum w:abstractNumId="260">
    <w:nsid w:val="7525F2BC"/>
    <w:multiLevelType w:val="hybridMultilevel"/>
    <w:lvl w:ilvl="0">
      <w:lvlJc w:val="left"/>
      <w:lvlText w:val="(%1)"/>
      <w:numFmt w:val="lowerLetter"/>
      <w:start w:val="1"/>
    </w:lvl>
    <w:lvl w:ilvl="1">
      <w:lvlJc w:val="left"/>
      <w:lvlText w:val="(%2)"/>
      <w:numFmt w:val="lowerRoman"/>
      <w:start w:val="1"/>
    </w:lvl>
  </w:abstractNum>
  <w:abstractNum w:abstractNumId="261">
    <w:nsid w:val="CE8E1A7"/>
    <w:multiLevelType w:val="hybridMultilevel"/>
    <w:lvl w:ilvl="0">
      <w:lvlJc w:val="left"/>
      <w:lvlText w:val="%1"/>
      <w:numFmt w:val="lowerLetter"/>
      <w:start w:val="1"/>
    </w:lvl>
    <w:lvl w:ilvl="1">
      <w:lvlJc w:val="left"/>
      <w:lvlText w:val="(%2)"/>
      <w:numFmt w:val="lowerRoman"/>
      <w:start w:val="3"/>
    </w:lvl>
  </w:abstractNum>
  <w:abstractNum w:abstractNumId="262">
    <w:nsid w:val="4E9EFB0D"/>
    <w:multiLevelType w:val="hybridMultilevel"/>
    <w:lvl w:ilvl="0">
      <w:lvlJc w:val="left"/>
      <w:lvlText w:val="(%1)"/>
      <w:numFmt w:val="lowerLetter"/>
      <w:start w:val="2"/>
    </w:lvl>
    <w:lvl w:ilvl="1">
      <w:lvlJc w:val="left"/>
      <w:lvlText w:val="(%2)"/>
      <w:numFmt w:val="lowerRoman"/>
      <w:start w:val="1"/>
    </w:lvl>
  </w:abstractNum>
  <w:abstractNum w:abstractNumId="263">
    <w:nsid w:val="90802BE"/>
    <w:multiLevelType w:val="hybridMultilevel"/>
    <w:lvl w:ilvl="0">
      <w:lvlJc w:val="left"/>
      <w:lvlText w:val="(%1)"/>
      <w:numFmt w:val="lowerRoman"/>
      <w:start w:val="4"/>
    </w:lvl>
  </w:abstractNum>
  <w:abstractNum w:abstractNumId="264">
    <w:nsid w:val="3266459B"/>
    <w:multiLevelType w:val="hybridMultilevel"/>
    <w:lvl w:ilvl="0">
      <w:lvlJc w:val="left"/>
      <w:lvlText w:val="(%1)"/>
      <w:numFmt w:val="lowerLetter"/>
      <w:start w:val="3"/>
    </w:lvl>
  </w:abstractNum>
  <w:abstractNum w:abstractNumId="265">
    <w:nsid w:val="3F8B0CBF"/>
    <w:multiLevelType w:val="hybridMultilevel"/>
    <w:lvl w:ilvl="0">
      <w:lvlJc w:val="left"/>
      <w:lvlText w:val="%1"/>
      <w:numFmt w:val="decimal"/>
      <w:start w:val="1"/>
    </w:lvl>
    <w:lvl w:ilvl="1">
      <w:lvlJc w:val="left"/>
      <w:lvlText w:val="(%2)"/>
      <w:numFmt w:val="lowerRoman"/>
      <w:start w:val="1"/>
    </w:lvl>
  </w:abstractNum>
  <w:abstractNum w:abstractNumId="266">
    <w:nsid w:val="37E203AB"/>
    <w:multiLevelType w:val="hybridMultilevel"/>
    <w:lvl w:ilvl="0">
      <w:lvlJc w:val="left"/>
      <w:lvlText w:val="%1."/>
      <w:numFmt w:val="decimal"/>
      <w:start w:val="8"/>
    </w:lvl>
    <w:lvl w:ilvl="1">
      <w:lvlJc w:val="left"/>
      <w:lvlText w:val="%2"/>
      <w:numFmt w:val="lowerRoman"/>
      <w:start w:val="1"/>
    </w:lvl>
  </w:abstractNum>
  <w:abstractNum w:abstractNumId="267">
    <w:nsid w:val="2586D60E"/>
    <w:multiLevelType w:val="hybridMultilevel"/>
    <w:lvl w:ilvl="0">
      <w:lvlJc w:val="left"/>
      <w:lvlText w:val="(%1)"/>
      <w:numFmt w:val="lowerLetter"/>
      <w:start w:val="1"/>
    </w:lvl>
    <w:lvl w:ilvl="1">
      <w:lvlJc w:val="left"/>
      <w:lvlText w:val="(%2)"/>
      <w:numFmt w:val="decimal"/>
      <w:start w:val="1"/>
    </w:lvl>
  </w:abstractNum>
  <w:abstractNum w:abstractNumId="268">
    <w:nsid w:val="1F3DA4D5"/>
    <w:multiLevelType w:val="hybridMultilevel"/>
    <w:lvl w:ilvl="0">
      <w:lvlJc w:val="left"/>
      <w:lvlText w:val="%1"/>
      <w:numFmt w:val="lowerLetter"/>
      <w:start w:val="1"/>
    </w:lvl>
    <w:lvl w:ilvl="1">
      <w:lvlJc w:val="left"/>
      <w:lvlText w:val="(%2)"/>
      <w:numFmt w:val="lowerLetter"/>
      <w:start w:val="61"/>
    </w:lvl>
  </w:abstractNum>
  <w:abstractNum w:abstractNumId="269">
    <w:nsid w:val="74C93698"/>
    <w:multiLevelType w:val="hybridMultilevel"/>
    <w:lvl w:ilvl="0">
      <w:lvlJc w:val="left"/>
      <w:lvlText w:val="(%1)"/>
      <w:numFmt w:val="lowerLetter"/>
      <w:start w:val="3"/>
    </w:lvl>
    <w:lvl w:ilvl="1">
      <w:lvlJc w:val="left"/>
      <w:lvlText w:val="%2"/>
      <w:numFmt w:val="lowerLetter"/>
      <w:start w:val="1"/>
    </w:lvl>
  </w:abstractNum>
  <w:abstractNum w:abstractNumId="270">
    <w:nsid w:val="48781401"/>
    <w:multiLevelType w:val="hybridMultilevel"/>
    <w:lvl w:ilvl="0">
      <w:lvlJc w:val="left"/>
      <w:lvlText w:val="(%1)"/>
      <w:numFmt w:val="lowerLetter"/>
      <w:start w:val="1"/>
    </w:lvl>
  </w:abstractNum>
  <w:abstractNum w:abstractNumId="271">
    <w:nsid w:val="186928D6"/>
    <w:multiLevelType w:val="hybridMultilevel"/>
    <w:lvl w:ilvl="0">
      <w:lvlJc w:val="left"/>
      <w:lvlText w:val="(%1)"/>
      <w:numFmt w:val="lowerLetter"/>
      <w:start w:val="3"/>
    </w:lvl>
  </w:abstractNum>
  <w:abstractNum w:abstractNumId="272">
    <w:nsid w:val="47195E5"/>
    <w:multiLevelType w:val="hybridMultilevel"/>
    <w:lvl w:ilvl="0">
      <w:lvlJc w:val="left"/>
      <w:lvlText w:val="(%1)"/>
      <w:numFmt w:val="lowerLetter"/>
      <w:start w:val="1"/>
    </w:lvl>
  </w:abstractNum>
  <w:abstractNum w:abstractNumId="273">
    <w:nsid w:val="3746A5F2"/>
    <w:multiLevelType w:val="hybridMultilevel"/>
    <w:lvl w:ilvl="0">
      <w:lvlJc w:val="left"/>
      <w:lvlText w:val="-"/>
      <w:numFmt w:val="bullet"/>
      <w:start w:val="1"/>
    </w:lvl>
  </w:abstractNum>
  <w:abstractNum w:abstractNumId="274">
    <w:nsid w:val="682DFED6"/>
    <w:multiLevelType w:val="hybridMultilevel"/>
    <w:lvl w:ilvl="0">
      <w:lvlJc w:val="left"/>
      <w:lvlText w:val="%1."/>
      <w:numFmt w:val="decimal"/>
      <w:start w:val="1"/>
    </w:lvl>
  </w:abstractNum>
  <w:abstractNum w:abstractNumId="275">
    <w:nsid w:val="606ED7F6"/>
    <w:multiLevelType w:val="hybridMultilevel"/>
    <w:lvl w:ilvl="0">
      <w:lvlJc w:val="left"/>
      <w:lvlText w:val="%1."/>
      <w:numFmt w:val="decimal"/>
      <w:start w:val="2"/>
    </w:lvl>
  </w:abstractNum>
  <w:abstractNum w:abstractNumId="276">
    <w:nsid w:val="2D9DF57D"/>
    <w:multiLevelType w:val="hybridMultilevel"/>
    <w:lvl w:ilvl="0">
      <w:lvlJc w:val="left"/>
      <w:lvlText w:val="%1."/>
      <w:numFmt w:val="decimal"/>
      <w:start w:val="3"/>
    </w:lvl>
  </w:abstractNum>
  <w:abstractNum w:abstractNumId="277">
    <w:nsid w:val="7FBD7A3E"/>
    <w:multiLevelType w:val="hybridMultilevel"/>
    <w:lvl w:ilvl="0">
      <w:lvlJc w:val="left"/>
      <w:lvlText w:val="(%1)"/>
      <w:numFmt w:val="lowerLetter"/>
      <w:start w:val="1"/>
    </w:lvl>
  </w:abstractNum>
  <w:abstractNum w:abstractNumId="278">
    <w:nsid w:val="490B7C5"/>
    <w:multiLevelType w:val="hybridMultilevel"/>
    <w:lvl w:ilvl="0">
      <w:lvlJc w:val="left"/>
      <w:lvlText w:val="%1."/>
      <w:numFmt w:val="decimal"/>
      <w:start w:val="4"/>
    </w:lvl>
  </w:abstractNum>
  <w:abstractNum w:abstractNumId="279">
    <w:nsid w:val="4303A216"/>
    <w:multiLevelType w:val="hybridMultilevel"/>
    <w:lvl w:ilvl="0">
      <w:lvlJc w:val="left"/>
      <w:lvlText w:val="(%1)"/>
      <w:numFmt w:val="lowerLetter"/>
      <w:start w:val="1"/>
    </w:lvl>
  </w:abstractNum>
  <w:abstractNum w:abstractNumId="280">
    <w:nsid w:val="19B8A08E"/>
    <w:multiLevelType w:val="hybridMultilevel"/>
    <w:lvl w:ilvl="0">
      <w:lvlJc w:val="left"/>
      <w:lvlText w:val="(%1)"/>
      <w:numFmt w:val="lowerLetter"/>
      <w:start w:val="2"/>
    </w:lvl>
    <w:lvl w:ilvl="1">
      <w:lvlJc w:val="left"/>
      <w:lvlText w:val="(%2)"/>
      <w:numFmt w:val="lowerLetter"/>
      <w:start w:val="9"/>
    </w:lvl>
  </w:abstractNum>
  <w:abstractNum w:abstractNumId="281">
    <w:nsid w:val="54B59621"/>
    <w:multiLevelType w:val="hybridMultilevel"/>
    <w:lvl w:ilvl="0">
      <w:lvlJc w:val="left"/>
      <w:lvlText w:val="%1"/>
      <w:numFmt w:val="lowerLetter"/>
      <w:start w:val="1"/>
    </w:lvl>
    <w:lvl w:ilvl="1">
      <w:lvlJc w:val="left"/>
      <w:lvlText w:val="(%2)"/>
      <w:numFmt w:val="lowerLetter"/>
      <w:start w:val="61"/>
    </w:lvl>
  </w:abstractNum>
  <w:abstractNum w:abstractNumId="282">
    <w:nsid w:val="5992A02E"/>
    <w:multiLevelType w:val="hybridMultilevel"/>
    <w:lvl w:ilvl="0">
      <w:lvlJc w:val="left"/>
      <w:lvlText w:val="%1."/>
      <w:numFmt w:val="decimal"/>
      <w:start w:val="5"/>
    </w:lvl>
  </w:abstractNum>
  <w:abstractNum w:abstractNumId="283">
    <w:nsid w:val="29EF532D"/>
    <w:multiLevelType w:val="hybridMultilevel"/>
    <w:lvl w:ilvl="0">
      <w:lvlJc w:val="left"/>
      <w:lvlText w:val="(%1)"/>
      <w:numFmt w:val="lowerLetter"/>
      <w:start w:val="1"/>
    </w:lvl>
  </w:abstractNum>
  <w:abstractNum w:abstractNumId="284">
    <w:nsid w:val="71D601AF"/>
    <w:multiLevelType w:val="hybridMultilevel"/>
    <w:lvl w:ilvl="0">
      <w:lvlJc w:val="left"/>
      <w:lvlText w:val="%1"/>
      <w:numFmt w:val="lowerLetter"/>
      <w:start w:val="1"/>
    </w:lvl>
    <w:lvl w:ilvl="1">
      <w:lvlJc w:val="left"/>
      <w:lvlText w:val="(%2)"/>
      <w:numFmt w:val="lowerRoman"/>
      <w:start w:val="1"/>
    </w:lvl>
  </w:abstractNum>
  <w:abstractNum w:abstractNumId="285">
    <w:nsid w:val="52C77402"/>
    <w:multiLevelType w:val="hybridMultilevel"/>
    <w:lvl w:ilvl="0">
      <w:lvlJc w:val="left"/>
      <w:lvlText w:val="(%1)"/>
      <w:numFmt w:val="lowerLetter"/>
      <w:start w:val="4"/>
    </w:lvl>
    <w:lvl w:ilvl="1">
      <w:lvlJc w:val="left"/>
      <w:lvlText w:val="%2"/>
      <w:numFmt w:val="lowerRoman"/>
      <w:start w:val="1"/>
    </w:lvl>
  </w:abstractNum>
  <w:abstractNum w:abstractNumId="286">
    <w:nsid w:val="2BB5B1C6"/>
    <w:multiLevelType w:val="hybridMultilevel"/>
    <w:lvl w:ilvl="0">
      <w:lvlJc w:val="left"/>
      <w:lvlText w:val="%1."/>
      <w:numFmt w:val="decimal"/>
      <w:start w:val="6"/>
    </w:lvl>
  </w:abstractNum>
  <w:abstractNum w:abstractNumId="287">
    <w:nsid w:val="66BE6B9"/>
    <w:multiLevelType w:val="hybridMultilevel"/>
    <w:lvl w:ilvl="0">
      <w:lvlJc w:val="left"/>
      <w:lvlText w:val="(%1)"/>
      <w:numFmt w:val="lowerLetter"/>
      <w:start w:val="1"/>
    </w:lvl>
    <w:lvl w:ilvl="1">
      <w:lvlJc w:val="left"/>
      <w:lvlText w:val="(%2)"/>
      <w:numFmt w:val="lowerRoman"/>
      <w:start w:val="1"/>
    </w:lvl>
  </w:abstractNum>
  <w:abstractNum w:abstractNumId="288">
    <w:nsid w:val="62234363"/>
    <w:multiLevelType w:val="hybridMultilevel"/>
    <w:lvl w:ilvl="0">
      <w:lvlJc w:val="left"/>
      <w:lvlText w:val="%1"/>
      <w:numFmt w:val="lowerLetter"/>
      <w:start w:val="1"/>
    </w:lvl>
    <w:lvl w:ilvl="1">
      <w:lvlJc w:val="left"/>
      <w:lvlText w:val="(%2)"/>
      <w:numFmt w:val="lowerRoman"/>
      <w:start w:val="2"/>
    </w:lvl>
  </w:abstractNum>
  <w:abstractNum w:abstractNumId="289">
    <w:nsid w:val="66D385C9"/>
    <w:multiLevelType w:val="hybridMultilevel"/>
    <w:lvl w:ilvl="0">
      <w:lvlJc w:val="left"/>
      <w:lvlText w:val="(%1)"/>
      <w:numFmt w:val="lowerLetter"/>
      <w:start w:val="2"/>
    </w:lvl>
    <w:lvl w:ilvl="1">
      <w:lvlJc w:val="left"/>
      <w:lvlText w:val="(%2)"/>
      <w:numFmt w:val="lowerRoman"/>
      <w:start w:val="1"/>
    </w:lvl>
  </w:abstractNum>
  <w:abstractNum w:abstractNumId="290">
    <w:nsid w:val="596F6D8A"/>
    <w:multiLevelType w:val="hybridMultilevel"/>
    <w:lvl w:ilvl="0">
      <w:lvlJc w:val="left"/>
      <w:lvlText w:val="%1"/>
      <w:numFmt w:val="lowerLetter"/>
      <w:start w:val="1"/>
    </w:lvl>
    <w:lvl w:ilvl="1">
      <w:lvlJc w:val="left"/>
      <w:lvlText w:val="(%2)"/>
      <w:numFmt w:val="lowerRoman"/>
      <w:start w:val="1"/>
    </w:lvl>
  </w:abstractNum>
  <w:abstractNum w:abstractNumId="291">
    <w:nsid w:val="5749361F"/>
    <w:multiLevelType w:val="hybridMultilevel"/>
    <w:lvl w:ilvl="0">
      <w:lvlJc w:val="left"/>
      <w:lvlText w:val="(%1)"/>
      <w:numFmt w:val="lowerLetter"/>
      <w:start w:val="4"/>
    </w:lvl>
    <w:lvl w:ilvl="1">
      <w:lvlJc w:val="left"/>
      <w:lvlText w:val="(%2)"/>
      <w:numFmt w:val="lowerRoman"/>
      <w:start w:val="1"/>
    </w:lvl>
  </w:abstractNum>
  <w:abstractNum w:abstractNumId="292">
    <w:nsid w:val="73BC6770"/>
    <w:multiLevelType w:val="hybridMultilevel"/>
    <w:lvl w:ilvl="0">
      <w:lvlJc w:val="left"/>
      <w:lvlText w:val="%1"/>
      <w:numFmt w:val="lowerLetter"/>
      <w:start w:val="1"/>
    </w:lvl>
    <w:lvl w:ilvl="1">
      <w:lvlJc w:val="left"/>
      <w:lvlText w:val="(%2)"/>
      <w:numFmt w:val="lowerRoman"/>
      <w:start w:val="4"/>
    </w:lvl>
  </w:abstractNum>
  <w:abstractNum w:abstractNumId="293">
    <w:nsid w:val="280E6897"/>
    <w:multiLevelType w:val="hybridMultilevel"/>
    <w:lvl w:ilvl="0">
      <w:lvlJc w:val="left"/>
      <w:lvlText w:val="(%1)"/>
      <w:numFmt w:val="lowerLetter"/>
      <w:start w:val="6"/>
    </w:lvl>
    <w:lvl w:ilvl="1">
      <w:lvlJc w:val="left"/>
      <w:lvlText w:val="(%2)"/>
      <w:numFmt w:val="lowerRoman"/>
      <w:start w:val="1"/>
    </w:lvl>
  </w:abstractNum>
  <w:abstractNum w:abstractNumId="294">
    <w:nsid w:val="605138DE"/>
    <w:multiLevelType w:val="hybridMultilevel"/>
    <w:lvl w:ilvl="0">
      <w:lvlJc w:val="left"/>
      <w:lvlText w:val="%1."/>
      <w:numFmt w:val="decimal"/>
      <w:start w:val="7"/>
    </w:lvl>
  </w:abstractNum>
  <w:abstractNum w:abstractNumId="295">
    <w:nsid w:val="2622AD0C"/>
    <w:multiLevelType w:val="hybridMultilevel"/>
    <w:lvl w:ilvl="0">
      <w:lvlJc w:val="left"/>
      <w:lvlText w:val="(%1)"/>
      <w:numFmt w:val="lowerLetter"/>
      <w:start w:val="1"/>
    </w:lvl>
    <w:lvl w:ilvl="1">
      <w:lvlJc w:val="left"/>
      <w:lvlText w:val="(%2)"/>
      <w:numFmt w:val="decimal"/>
      <w:start w:val="6"/>
    </w:lvl>
  </w:abstractNum>
  <w:abstractNum w:abstractNumId="296">
    <w:nsid w:val="67997556"/>
    <w:multiLevelType w:val="hybridMultilevel"/>
    <w:lvl w:ilvl="0">
      <w:lvlJc w:val="left"/>
      <w:lvlText w:val="(%1)"/>
      <w:numFmt w:val="lowerRoman"/>
      <w:start w:val="1"/>
    </w:lvl>
  </w:abstractNum>
  <w:abstractNum w:abstractNumId="297">
    <w:nsid w:val="18333C89"/>
    <w:multiLevelType w:val="hybridMultilevel"/>
    <w:lvl w:ilvl="0">
      <w:lvlJc w:val="left"/>
      <w:lvlText w:val="%1"/>
      <w:numFmt w:val="lowerLetter"/>
      <w:start w:val="1"/>
    </w:lvl>
    <w:lvl w:ilvl="1">
      <w:lvlJc w:val="left"/>
      <w:lvlText w:val="(%2)"/>
      <w:numFmt w:val="lowerRoman"/>
      <w:start w:val="5"/>
    </w:lvl>
  </w:abstractNum>
  <w:abstractNum w:abstractNumId="298">
    <w:nsid w:val="4BA9831A"/>
    <w:multiLevelType w:val="hybridMultilevel"/>
    <w:lvl w:ilvl="0">
      <w:lvlJc w:val="left"/>
      <w:lvlText w:val="(%1)"/>
      <w:numFmt w:val="lowerLetter"/>
      <w:start w:val="2"/>
    </w:lvl>
    <w:lvl w:ilvl="1">
      <w:lvlJc w:val="left"/>
      <w:lvlText w:val="(%2)"/>
      <w:numFmt w:val="lowerRoman"/>
      <w:start w:val="1"/>
    </w:lvl>
  </w:abstractNum>
  <w:abstractNum w:abstractNumId="299">
    <w:nsid w:val="6D71A2B"/>
    <w:multiLevelType w:val="hybridMultilevel"/>
    <w:lvl w:ilvl="0">
      <w:lvlJc w:val="left"/>
      <w:lvlText w:val="(%1)"/>
      <w:numFmt w:val="lowerLetter"/>
      <w:start w:val="3"/>
    </w:lvl>
  </w:abstractNum>
  <w:abstractNum w:abstractNumId="300">
    <w:nsid w:val="CFC7321"/>
    <w:multiLevelType w:val="hybridMultilevel"/>
    <w:lvl w:ilvl="0">
      <w:lvlJc w:val="left"/>
      <w:lvlText w:val="(%1)"/>
      <w:numFmt w:val="lowerLetter"/>
      <w:start w:val="4"/>
    </w:lvl>
    <w:lvl w:ilvl="1">
      <w:lvlJc w:val="left"/>
      <w:lvlText w:val="(%2)"/>
      <w:numFmt w:val="lowerRoman"/>
      <w:start w:val="1"/>
    </w:lvl>
  </w:abstractNum>
  <w:abstractNum w:abstractNumId="301">
    <w:nsid w:val="1421971B"/>
    <w:multiLevelType w:val="hybridMultilevel"/>
    <w:lvl w:ilvl="0">
      <w:lvlJc w:val="left"/>
      <w:lvlText w:val="%1."/>
      <w:numFmt w:val="decimal"/>
      <w:start w:val="8"/>
    </w:lvl>
  </w:abstractNum>
  <w:abstractNum w:abstractNumId="302">
    <w:nsid w:val="1F404301"/>
    <w:multiLevelType w:val="hybridMultilevel"/>
    <w:lvl w:ilvl="0">
      <w:lvlJc w:val="left"/>
      <w:lvlText w:val="(%1)"/>
      <w:numFmt w:val="lowerLetter"/>
      <w:start w:val="1"/>
    </w:lvl>
  </w:abstractNum>
  <w:abstractNum w:abstractNumId="303">
    <w:nsid w:val="116E0907"/>
    <w:multiLevelType w:val="hybridMultilevel"/>
    <w:lvl w:ilvl="0">
      <w:lvlJc w:val="left"/>
      <w:lvlText w:val="(%1)"/>
      <w:numFmt w:val="lowerLetter"/>
      <w:start w:val="2"/>
    </w:lvl>
    <w:lvl w:ilvl="1">
      <w:lvlJc w:val="left"/>
      <w:lvlText w:val="(%2)"/>
      <w:numFmt w:val="lowerLetter"/>
      <w:start w:val="35"/>
    </w:lvl>
  </w:abstractNum>
  <w:abstractNum w:abstractNumId="304">
    <w:nsid w:val="4B683D0D"/>
    <w:multiLevelType w:val="hybridMultilevel"/>
    <w:lvl w:ilvl="0">
      <w:lvlJc w:val="left"/>
      <w:lvlText w:val="%1."/>
      <w:numFmt w:val="decimal"/>
      <w:start w:val="9"/>
    </w:lvl>
  </w:abstractNum>
  <w:abstractNum w:abstractNumId="305">
    <w:nsid w:val="76E41D8"/>
    <w:multiLevelType w:val="hybridMultilevel"/>
    <w:lvl w:ilvl="0">
      <w:lvlJc w:val="left"/>
      <w:lvlText w:val="(%1)"/>
      <w:numFmt w:val="lowerLetter"/>
      <w:start w:val="1"/>
    </w:lvl>
  </w:abstractNum>
  <w:abstractNum w:abstractNumId="306">
    <w:nsid w:val="71DCE0FD"/>
    <w:multiLevelType w:val="hybridMultilevel"/>
    <w:lvl w:ilvl="0">
      <w:lvlJc w:val="left"/>
      <w:lvlText w:val="%1."/>
      <w:numFmt w:val="decimal"/>
      <w:start w:val="10"/>
    </w:lvl>
  </w:abstractNum>
  <w:abstractNum w:abstractNumId="307">
    <w:nsid w:val="7906328B"/>
    <w:multiLevelType w:val="hybridMultilevel"/>
    <w:lvl w:ilvl="0">
      <w:lvlJc w:val="left"/>
      <w:lvlText w:val="%1."/>
      <w:numFmt w:val="decimal"/>
      <w:start w:val="11"/>
    </w:lvl>
  </w:abstractNum>
  <w:abstractNum w:abstractNumId="308">
    <w:nsid w:val="72BBC16"/>
    <w:multiLevelType w:val="hybridMultilevel"/>
    <w:lvl w:ilvl="0">
      <w:lvlJc w:val="left"/>
      <w:lvlText w:val="%1."/>
      <w:numFmt w:val="decimal"/>
      <w:start w:val="12"/>
    </w:lvl>
  </w:abstractNum>
  <w:abstractNum w:abstractNumId="309">
    <w:nsid w:val="766D98C2"/>
    <w:multiLevelType w:val="hybridMultilevel"/>
    <w:lvl w:ilvl="0">
      <w:lvlJc w:val="left"/>
      <w:lvlText w:val="%1."/>
      <w:numFmt w:val="decimal"/>
      <w:start w:val="13"/>
    </w:lvl>
  </w:abstractNum>
  <w:abstractNum w:abstractNumId="310">
    <w:nsid w:val="3C09D4A1"/>
    <w:multiLevelType w:val="hybridMultilevel"/>
    <w:lvl w:ilvl="0">
      <w:lvlJc w:val="left"/>
      <w:lvlText w:val="%1."/>
      <w:numFmt w:val="decimal"/>
      <w:start w:val="14"/>
    </w:lvl>
  </w:abstractNum>
  <w:abstractNum w:abstractNumId="311">
    <w:nsid w:val="20E45CA4"/>
    <w:multiLevelType w:val="hybridMultilevel"/>
    <w:lvl w:ilvl="0">
      <w:lvlJc w:val="left"/>
      <w:lvlText w:val="%1."/>
      <w:numFmt w:val="decimal"/>
      <w:start w:val="15"/>
    </w:lvl>
  </w:abstractNum>
  <w:abstractNum w:abstractNumId="312">
    <w:nsid w:val="4B232EE3"/>
    <w:multiLevelType w:val="hybridMultilevel"/>
    <w:lvl w:ilvl="0">
      <w:lvlJc w:val="left"/>
      <w:lvlText w:val="%1."/>
      <w:numFmt w:val="decimal"/>
      <w:start w:val="16"/>
    </w:lvl>
  </w:abstractNum>
  <w:abstractNum w:abstractNumId="313">
    <w:nsid w:val="159C74CF"/>
    <w:multiLevelType w:val="hybridMultilevel"/>
    <w:lvl w:ilvl="0">
      <w:lvlJc w:val="left"/>
      <w:lvlText w:val="%1."/>
      <w:numFmt w:val="decimal"/>
      <w:start w:val="17"/>
    </w:lvl>
  </w:abstractNum>
  <w:abstractNum w:abstractNumId="314">
    <w:nsid w:val="4AD3AFD2"/>
    <w:multiLevelType w:val="hybridMultilevel"/>
    <w:lvl w:ilvl="0">
      <w:lvlJc w:val="left"/>
      <w:lvlText w:val="%1."/>
      <w:numFmt w:val="decimal"/>
      <w:start w:val="18"/>
    </w:lvl>
  </w:abstractNum>
  <w:abstractNum w:abstractNumId="315">
    <w:nsid w:val="3CF93092"/>
    <w:multiLevelType w:val="hybridMultilevel"/>
    <w:lvl w:ilvl="0">
      <w:lvlJc w:val="left"/>
      <w:lvlText w:val="(%1)"/>
      <w:numFmt w:val="lowerLetter"/>
      <w:start w:val="1"/>
    </w:lvl>
  </w:abstractNum>
  <w:abstractNum w:abstractNumId="316">
    <w:nsid w:val="6863E8D2"/>
    <w:multiLevelType w:val="hybridMultilevel"/>
    <w:lvl w:ilvl="0">
      <w:lvlJc w:val="left"/>
      <w:lvlText w:val="(%1)"/>
      <w:numFmt w:val="lowerLetter"/>
      <w:start w:val="5"/>
    </w:lvl>
  </w:abstractNum>
  <w:abstractNum w:abstractNumId="317">
    <w:nsid w:val="76896198"/>
    <w:multiLevelType w:val="hybridMultilevel"/>
    <w:lvl w:ilvl="0">
      <w:lvlJc w:val="left"/>
      <w:lvlText w:val="%1."/>
      <w:numFmt w:val="decimal"/>
      <w:start w:val="1"/>
    </w:lvl>
  </w:abstractNum>
  <w:abstractNum w:abstractNumId="318">
    <w:nsid w:val="4365174B"/>
    <w:multiLevelType w:val="hybridMultilevel"/>
    <w:lvl w:ilvl="0">
      <w:lvlJc w:val="left"/>
      <w:lvlText w:val="%1."/>
      <w:numFmt w:val="decimal"/>
      <w:start w:val="2"/>
    </w:lvl>
  </w:abstractNum>
  <w:abstractNum w:abstractNumId="319">
    <w:nsid w:val="4A872C35"/>
    <w:multiLevelType w:val="hybridMultilevel"/>
    <w:lvl w:ilvl="0">
      <w:lvlJc w:val="left"/>
      <w:lvlText w:val="%1."/>
      <w:numFmt w:val="decimal"/>
      <w:start w:val="3"/>
    </w:lvl>
  </w:abstractNum>
  <w:abstractNum w:abstractNumId="320">
    <w:nsid w:val="5D5CE761"/>
    <w:multiLevelType w:val="hybridMultilevel"/>
    <w:lvl w:ilvl="0">
      <w:lvlJc w:val="left"/>
      <w:lvlText w:val="(%1)"/>
      <w:numFmt w:val="lowerLetter"/>
      <w:start w:val="1"/>
    </w:lvl>
  </w:abstractNum>
  <w:abstractNum w:abstractNumId="321">
    <w:nsid w:val="1CD484D5"/>
    <w:multiLevelType w:val="hybridMultilevel"/>
    <w:lvl w:ilvl="0">
      <w:lvlJc w:val="left"/>
      <w:lvlText w:val="%1."/>
      <w:numFmt w:val="decimal"/>
      <w:start w:val="4"/>
    </w:lvl>
  </w:abstractNum>
  <w:abstractNum w:abstractNumId="322">
    <w:nsid w:val="21D06255"/>
    <w:multiLevelType w:val="hybridMultilevel"/>
    <w:lvl w:ilvl="0">
      <w:lvlJc w:val="left"/>
      <w:lvlText w:val="(%1)"/>
      <w:numFmt w:val="lowerLetter"/>
      <w:start w:val="1"/>
    </w:lvl>
  </w:abstractNum>
  <w:abstractNum w:abstractNumId="323">
    <w:nsid w:val="51194ED1"/>
    <w:multiLevelType w:val="hybridMultilevel"/>
    <w:lvl w:ilvl="0">
      <w:lvlJc w:val="left"/>
      <w:lvlText w:val="(%1)"/>
      <w:numFmt w:val="lowerLetter"/>
      <w:start w:val="2"/>
    </w:lvl>
    <w:lvl w:ilvl="1">
      <w:lvlJc w:val="left"/>
      <w:lvlText w:val="(%2)"/>
      <w:numFmt w:val="lowerLetter"/>
      <w:start w:val="9"/>
    </w:lvl>
  </w:abstractNum>
  <w:abstractNum w:abstractNumId="324">
    <w:nsid w:val="44E2ED6C"/>
    <w:multiLevelType w:val="hybridMultilevel"/>
    <w:lvl w:ilvl="0">
      <w:lvlJc w:val="left"/>
      <w:lvlText w:val="%1"/>
      <w:numFmt w:val="lowerLetter"/>
      <w:start w:val="1"/>
    </w:lvl>
    <w:lvl w:ilvl="1">
      <w:lvlJc w:val="left"/>
      <w:lvlText w:val="(%2)"/>
      <w:numFmt w:val="lowerLetter"/>
      <w:start w:val="61"/>
    </w:lvl>
  </w:abstractNum>
  <w:abstractNum w:abstractNumId="325">
    <w:nsid w:val="2219B33"/>
    <w:multiLevelType w:val="hybridMultilevel"/>
    <w:lvl w:ilvl="0">
      <w:lvlJc w:val="left"/>
      <w:lvlText w:val="%1."/>
      <w:numFmt w:val="decimal"/>
      <w:start w:val="5"/>
    </w:lvl>
  </w:abstractNum>
  <w:abstractNum w:abstractNumId="326">
    <w:nsid w:val="773BFBDD"/>
    <w:multiLevelType w:val="hybridMultilevel"/>
    <w:lvl w:ilvl="0">
      <w:lvlJc w:val="left"/>
      <w:lvlText w:val="(%1)"/>
      <w:numFmt w:val="lowerLetter"/>
      <w:start w:val="1"/>
    </w:lvl>
  </w:abstractNum>
  <w:abstractNum w:abstractNumId="327">
    <w:nsid w:val="2C7C62C2"/>
    <w:multiLevelType w:val="hybridMultilevel"/>
    <w:lvl w:ilvl="0">
      <w:lvlJc w:val="left"/>
      <w:lvlText w:val="(%1)"/>
      <w:numFmt w:val="lowerLetter"/>
      <w:start w:val="3"/>
    </w:lvl>
    <w:lvl w:ilvl="1">
      <w:lvlJc w:val="left"/>
      <w:lvlText w:val="(%2)"/>
      <w:numFmt w:val="lowerRoman"/>
      <w:start w:val="1"/>
    </w:lvl>
  </w:abstractNum>
  <w:abstractNum w:abstractNumId="328">
    <w:nsid w:val="1A54D7BC"/>
    <w:multiLevelType w:val="hybridMultilevel"/>
    <w:lvl w:ilvl="0">
      <w:lvlJc w:val="left"/>
      <w:lvlText w:val="%1."/>
      <w:numFmt w:val="decimal"/>
      <w:start w:val="6"/>
    </w:lvl>
  </w:abstractNum>
  <w:abstractNum w:abstractNumId="329">
    <w:nsid w:val="42E57EF7"/>
    <w:multiLevelType w:val="hybridMultilevel"/>
    <w:lvl w:ilvl="0">
      <w:lvlJc w:val="left"/>
      <w:lvlText w:val="(%1)"/>
      <w:numFmt w:val="lowerLetter"/>
      <w:start w:val="1"/>
    </w:lvl>
  </w:abstractNum>
  <w:abstractNum w:abstractNumId="330">
    <w:nsid w:val="33537CED"/>
    <w:multiLevelType w:val="hybridMultilevel"/>
    <w:lvl w:ilvl="0">
      <w:lvlJc w:val="left"/>
      <w:lvlText w:val="%1"/>
      <w:numFmt w:val="lowerLetter"/>
      <w:start w:val="1"/>
    </w:lvl>
    <w:lvl w:ilvl="1">
      <w:lvlJc w:val="left"/>
      <w:lvlText w:val="(%2)"/>
      <w:numFmt w:val="lowerRoman"/>
      <w:start w:val="1"/>
    </w:lvl>
  </w:abstractNum>
  <w:abstractNum w:abstractNumId="331">
    <w:nsid w:val="27514ADE"/>
    <w:multiLevelType w:val="hybridMultilevel"/>
    <w:lvl w:ilvl="0">
      <w:lvlJc w:val="left"/>
      <w:lvlText w:val="(%1)"/>
      <w:numFmt w:val="lowerLetter"/>
      <w:start w:val="2"/>
    </w:lvl>
    <w:lvl w:ilvl="1">
      <w:lvlJc w:val="left"/>
      <w:lvlText w:val="(%2)"/>
      <w:numFmt w:val="lowerRoman"/>
      <w:start w:val="1"/>
    </w:lvl>
  </w:abstractNum>
  <w:abstractNum w:abstractNumId="332">
    <w:nsid w:val="57071613"/>
    <w:multiLevelType w:val="hybridMultilevel"/>
    <w:lvl w:ilvl="0">
      <w:lvlJc w:val="left"/>
      <w:lvlText w:val="%1"/>
      <w:numFmt w:val="lowerLetter"/>
      <w:start w:val="1"/>
    </w:lvl>
    <w:lvl w:ilvl="1">
      <w:lvlJc w:val="left"/>
      <w:lvlText w:val="(%2)"/>
      <w:numFmt w:val="lowerRoman"/>
      <w:start w:val="1"/>
    </w:lvl>
  </w:abstractNum>
  <w:abstractNum w:abstractNumId="333">
    <w:nsid w:val="5293BFEF"/>
    <w:multiLevelType w:val="hybridMultilevel"/>
    <w:lvl w:ilvl="0">
      <w:lvlJc w:val="left"/>
      <w:lvlText w:val="(%1)"/>
      <w:numFmt w:val="lowerLetter"/>
      <w:start w:val="4"/>
    </w:lvl>
    <w:lvl w:ilvl="1">
      <w:lvlJc w:val="left"/>
      <w:lvlText w:val="(%2)"/>
      <w:numFmt w:val="lowerRoman"/>
      <w:start w:val="1"/>
    </w:lvl>
  </w:abstractNum>
  <w:abstractNum w:abstractNumId="334">
    <w:nsid w:val="38BF53E5"/>
    <w:multiLevelType w:val="hybridMultilevel"/>
    <w:lvl w:ilvl="0">
      <w:lvlJc w:val="left"/>
      <w:lvlText w:val="%1"/>
      <w:numFmt w:val="lowerLetter"/>
      <w:start w:val="1"/>
    </w:lvl>
    <w:lvl w:ilvl="1">
      <w:lvlJc w:val="left"/>
      <w:lvlText w:val="(%2)"/>
      <w:numFmt w:val="lowerRoman"/>
      <w:start w:val="4"/>
    </w:lvl>
  </w:abstractNum>
  <w:abstractNum w:abstractNumId="335">
    <w:nsid w:val="226F5320"/>
    <w:multiLevelType w:val="hybridMultilevel"/>
    <w:lvl w:ilvl="0">
      <w:lvlJc w:val="left"/>
      <w:lvlText w:val="(%1)"/>
      <w:numFmt w:val="lowerLetter"/>
      <w:start w:val="6"/>
    </w:lvl>
    <w:lvl w:ilvl="1">
      <w:lvlJc w:val="left"/>
      <w:lvlText w:val="(%2)"/>
      <w:numFmt w:val="lowerRoman"/>
      <w:start w:val="1"/>
    </w:lvl>
  </w:abstractNum>
  <w:abstractNum w:abstractNumId="336">
    <w:nsid w:val="5A0201C7"/>
    <w:multiLevelType w:val="hybridMultilevel"/>
    <w:lvl w:ilvl="0">
      <w:lvlJc w:val="left"/>
      <w:lvlText w:val="%1."/>
      <w:numFmt w:val="decimal"/>
      <w:start w:val="7"/>
    </w:lvl>
  </w:abstractNum>
  <w:abstractNum w:abstractNumId="337">
    <w:nsid w:val="2A9C34E2"/>
    <w:multiLevelType w:val="hybridMultilevel"/>
    <w:lvl w:ilvl="0">
      <w:lvlJc w:val="left"/>
      <w:lvlText w:val="(%1)"/>
      <w:numFmt w:val="lowerLetter"/>
      <w:start w:val="1"/>
    </w:lvl>
    <w:lvl w:ilvl="1">
      <w:lvlJc w:val="left"/>
      <w:lvlText w:val="(%2)"/>
      <w:numFmt w:val="lowerRoman"/>
      <w:start w:val="1"/>
    </w:lvl>
  </w:abstractNum>
  <w:abstractNum w:abstractNumId="338">
    <w:nsid w:val="1B7585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339">
    <w:nsid w:val="612DBDDD"/>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340">
    <w:nsid w:val="2109CDA4"/>
    <w:multiLevelType w:val="hybridMultilevel"/>
    <w:lvl w:ilvl="0">
      <w:lvlJc w:val="left"/>
      <w:lvlText w:val="(%1)"/>
      <w:numFmt w:val="lowerLetter"/>
      <w:start w:val="3"/>
    </w:lvl>
    <w:lvl w:ilvl="1">
      <w:lvlJc w:val="left"/>
      <w:lvlText w:val="(%2)"/>
      <w:numFmt w:val="lowerRoman"/>
      <w:start w:val="1"/>
    </w:lvl>
  </w:abstractNum>
  <w:abstractNum w:abstractNumId="341">
    <w:nsid w:val="577F5A4D"/>
    <w:multiLevelType w:val="hybridMultilevel"/>
    <w:lvl w:ilvl="0">
      <w:lvlJc w:val="left"/>
      <w:lvlText w:val="%1."/>
      <w:numFmt w:val="decimal"/>
      <w:start w:val="8"/>
    </w:lvl>
  </w:abstractNum>
  <w:abstractNum w:abstractNumId="342">
    <w:nsid w:val="2121A81"/>
    <w:multiLevelType w:val="hybridMultilevel"/>
    <w:lvl w:ilvl="0">
      <w:lvlJc w:val="left"/>
      <w:lvlText w:val="(%1)"/>
      <w:numFmt w:val="lowerLetter"/>
      <w:start w:val="1"/>
    </w:lvl>
  </w:abstractNum>
  <w:abstractNum w:abstractNumId="343">
    <w:nsid w:val="6C2CFC88"/>
    <w:multiLevelType w:val="hybridMultilevel"/>
    <w:lvl w:ilvl="0">
      <w:lvlJc w:val="left"/>
      <w:lvlText w:val="(%1)"/>
      <w:numFmt w:val="lowerLetter"/>
      <w:start w:val="2"/>
    </w:lvl>
  </w:abstractNum>
  <w:abstractNum w:abstractNumId="344">
    <w:nsid w:val="6D1BCF1C"/>
    <w:multiLevelType w:val="hybridMultilevel"/>
    <w:lvl w:ilvl="0">
      <w:lvlJc w:val="left"/>
      <w:lvlText w:val="(%1)"/>
      <w:numFmt w:val="lowerLetter"/>
      <w:start w:val="4"/>
    </w:lvl>
    <w:lvl w:ilvl="1">
      <w:lvlJc w:val="left"/>
      <w:lvlText w:val="(%2)"/>
      <w:numFmt w:val="lowerLetter"/>
      <w:start w:val="35"/>
    </w:lvl>
  </w:abstractNum>
  <w:abstractNum w:abstractNumId="345">
    <w:nsid w:val="4CE5CA53"/>
    <w:multiLevelType w:val="hybridMultilevel"/>
    <w:lvl w:ilvl="0">
      <w:lvlJc w:val="left"/>
      <w:lvlText w:val="%1."/>
      <w:numFmt w:val="decimal"/>
      <w:start w:val="9"/>
    </w:lvl>
  </w:abstractNum>
  <w:abstractNum w:abstractNumId="346">
    <w:nsid w:val="29262D1A"/>
    <w:multiLevelType w:val="hybridMultilevel"/>
    <w:lvl w:ilvl="0">
      <w:lvlJc w:val="left"/>
      <w:lvlText w:val="(%1)"/>
      <w:numFmt w:val="lowerLetter"/>
      <w:start w:val="1"/>
    </w:lvl>
  </w:abstractNum>
  <w:abstractNum w:abstractNumId="347">
    <w:nsid w:val="557FB7EE"/>
    <w:multiLevelType w:val="hybridMultilevel"/>
    <w:lvl w:ilvl="0">
      <w:lvlJc w:val="left"/>
      <w:lvlText w:val="%1."/>
      <w:numFmt w:val="decimal"/>
      <w:start w:val="10"/>
    </w:lvl>
  </w:abstractNum>
  <w:abstractNum w:abstractNumId="348">
    <w:nsid w:val="436F2BEB"/>
    <w:multiLevelType w:val="hybridMultilevel"/>
    <w:lvl w:ilvl="0">
      <w:lvlJc w:val="left"/>
      <w:lvlText w:val="%1."/>
      <w:numFmt w:val="decimal"/>
      <w:start w:val="11"/>
    </w:lvl>
  </w:abstractNum>
  <w:abstractNum w:abstractNumId="349">
    <w:nsid w:val="6C8B4466"/>
    <w:multiLevelType w:val="hybridMultilevel"/>
    <w:lvl w:ilvl="0">
      <w:lvlJc w:val="left"/>
      <w:lvlText w:val="%1."/>
      <w:numFmt w:val="decimal"/>
      <w:start w:val="12"/>
    </w:lvl>
  </w:abstractNum>
  <w:abstractNum w:abstractNumId="350">
    <w:nsid w:val="2006E424"/>
    <w:multiLevelType w:val="hybridMultilevel"/>
    <w:lvl w:ilvl="0">
      <w:lvlJc w:val="left"/>
      <w:lvlText w:val="%1."/>
      <w:numFmt w:val="decimal"/>
      <w:start w:val="13"/>
    </w:lvl>
  </w:abstractNum>
  <w:abstractNum w:abstractNumId="351">
    <w:nsid w:val="20CC134C"/>
    <w:multiLevelType w:val="hybridMultilevel"/>
    <w:lvl w:ilvl="0">
      <w:lvlJc w:val="left"/>
      <w:lvlText w:val="%1."/>
      <w:numFmt w:val="decimal"/>
      <w:start w:val="14"/>
    </w:lvl>
  </w:abstractNum>
  <w:abstractNum w:abstractNumId="352">
    <w:nsid w:val="95FC93B"/>
    <w:multiLevelType w:val="hybridMultilevel"/>
    <w:lvl w:ilvl="0">
      <w:lvlJc w:val="left"/>
      <w:lvlText w:val="%1."/>
      <w:numFmt w:val="decimal"/>
      <w:start w:val="15"/>
    </w:lvl>
  </w:abstractNum>
  <w:abstractNum w:abstractNumId="353">
    <w:nsid w:val="41D74679"/>
    <w:multiLevelType w:val="hybridMultilevel"/>
    <w:lvl w:ilvl="0">
      <w:lvlJc w:val="left"/>
      <w:lvlText w:val="%1."/>
      <w:numFmt w:val="decimal"/>
      <w:start w:val="16"/>
    </w:lvl>
  </w:abstractNum>
  <w:abstractNum w:abstractNumId="354">
    <w:nsid w:val="71E5621E"/>
    <w:multiLevelType w:val="hybridMultilevel"/>
    <w:lvl w:ilvl="0">
      <w:lvlJc w:val="left"/>
      <w:lvlText w:val="%1."/>
      <w:numFmt w:val="decimal"/>
      <w:start w:val="17"/>
    </w:lvl>
  </w:abstractNum>
  <w:abstractNum w:abstractNumId="355">
    <w:nsid w:val="4E42B6A8"/>
    <w:multiLevelType w:val="hybridMultilevel"/>
    <w:lvl w:ilvl="0">
      <w:lvlJc w:val="left"/>
      <w:lvlText w:val="%1."/>
      <w:numFmt w:val="decimal"/>
      <w:start w:val="18"/>
    </w:lvl>
  </w:abstractNum>
  <w:abstractNum w:abstractNumId="356">
    <w:nsid w:val="43F8E1AC"/>
    <w:multiLevelType w:val="hybridMultilevel"/>
    <w:lvl w:ilvl="0">
      <w:lvlJc w:val="left"/>
      <w:lvlText w:val="(%1)"/>
      <w:numFmt w:val="lowerLetter"/>
      <w:start w:val="1"/>
    </w:lvl>
  </w:abstractNum>
  <w:abstractNum w:abstractNumId="357">
    <w:nsid w:val="69215DFB"/>
    <w:multiLevelType w:val="hybridMultilevel"/>
    <w:lvl w:ilvl="0">
      <w:lvlJc w:val="left"/>
      <w:lvlText w:val="-"/>
      <w:numFmt w:val="bullet"/>
      <w:start w:val="1"/>
    </w:lvl>
  </w:abstractNum>
  <w:abstractNum w:abstractNumId="358">
    <w:nsid w:val="7ABF196A"/>
    <w:multiLevelType w:val="hybridMultilevel"/>
    <w:lvl w:ilvl="0">
      <w:lvlJc w:val="left"/>
      <w:lvlText w:val="%1."/>
      <w:numFmt w:val="decimal"/>
      <w:start w:val="1"/>
    </w:lvl>
  </w:abstractNum>
  <w:abstractNum w:abstractNumId="359">
    <w:nsid w:val="5E4DB968"/>
    <w:multiLevelType w:val="hybridMultilevel"/>
    <w:lvl w:ilvl="0">
      <w:lvlJc w:val="left"/>
      <w:lvlText w:val="%1."/>
      <w:numFmt w:val="decimal"/>
      <w:start w:val="2"/>
    </w:lvl>
  </w:abstractNum>
  <w:abstractNum w:abstractNumId="360">
    <w:nsid w:val="2C06DCF3"/>
    <w:multiLevelType w:val="hybridMultilevel"/>
    <w:lvl w:ilvl="0">
      <w:lvlJc w:val="left"/>
      <w:lvlText w:val="%1."/>
      <w:numFmt w:val="decimal"/>
      <w:start w:val="3"/>
    </w:lvl>
    <w:lvl w:ilvl="1">
      <w:lvlJc w:val="left"/>
      <w:lvlText w:val="(%2)"/>
      <w:numFmt w:val="lowerLetter"/>
      <w:start w:val="1"/>
    </w:lvl>
  </w:abstractNum>
  <w:abstractNum w:abstractNumId="361">
    <w:nsid w:val="2E129658"/>
    <w:multiLevelType w:val="hybridMultilevel"/>
    <w:lvl w:ilvl="0">
      <w:lvlJc w:val="left"/>
      <w:lvlText w:val="%1"/>
      <w:numFmt w:val="decimal"/>
      <w:start w:val="1"/>
    </w:lvl>
    <w:lvl w:ilvl="1">
      <w:lvlJc w:val="left"/>
      <w:lvlText w:val="(%2)"/>
      <w:numFmt w:val="lowerLetter"/>
      <w:start w:val="3"/>
    </w:lvl>
  </w:abstractNum>
  <w:abstractNum w:abstractNumId="362">
    <w:nsid w:val="59F0446"/>
    <w:multiLevelType w:val="hybridMultilevel"/>
    <w:lvl w:ilvl="0">
      <w:lvlJc w:val="left"/>
      <w:lvlText w:val="%1."/>
      <w:numFmt w:val="decimal"/>
      <w:start w:val="5"/>
    </w:lvl>
    <w:lvl w:ilvl="1">
      <w:lvlJc w:val="left"/>
      <w:lvlText w:val="%2"/>
      <w:numFmt w:val="lowerLetter"/>
      <w:start w:val="1"/>
    </w:lvl>
  </w:abstractNum>
  <w:abstractNum w:abstractNumId="363">
    <w:nsid w:val="30DF306"/>
    <w:multiLevelType w:val="hybridMultilevel"/>
    <w:lvl w:ilvl="0">
      <w:lvlJc w:val="left"/>
      <w:lvlText w:val="(%1)"/>
      <w:numFmt w:val="lowerLetter"/>
      <w:start w:val="1"/>
    </w:lvl>
  </w:abstractNum>
  <w:abstractNum w:abstractNumId="364">
    <w:nsid w:val="A65647"/>
    <w:multiLevelType w:val="hybridMultilevel"/>
    <w:lvl w:ilvl="0">
      <w:lvlJc w:val="left"/>
      <w:lvlText w:val="%1"/>
      <w:numFmt w:val="lowerLetter"/>
      <w:start w:val="1"/>
    </w:lvl>
    <w:lvl w:ilvl="1">
      <w:lvlJc w:val="left"/>
      <w:lvlText w:val="(%2)"/>
      <w:numFmt w:val="lowerRoman"/>
      <w:start w:val="1"/>
    </w:lvl>
  </w:abstractNum>
  <w:abstractNum w:abstractNumId="365">
    <w:nsid w:val="3E5E582B"/>
    <w:multiLevelType w:val="hybridMultilevel"/>
    <w:lvl w:ilvl="0">
      <w:lvlJc w:val="left"/>
      <w:lvlText w:val="(%1)"/>
      <w:numFmt w:val="lowerLetter"/>
      <w:start w:val="4"/>
    </w:lvl>
    <w:lvl w:ilvl="1">
      <w:lvlJc w:val="left"/>
      <w:lvlText w:val="%2"/>
      <w:numFmt w:val="lowerRoman"/>
      <w:start w:val="1"/>
    </w:lvl>
  </w:abstractNum>
  <w:abstractNum w:abstractNumId="366">
    <w:nsid w:val="257D4626"/>
    <w:multiLevelType w:val="hybridMultilevel"/>
    <w:lvl w:ilvl="0">
      <w:lvlJc w:val="left"/>
      <w:lvlText w:val="%1."/>
      <w:numFmt w:val="decimal"/>
      <w:start w:val="6"/>
    </w:lvl>
  </w:abstractNum>
  <w:abstractNum w:abstractNumId="367">
    <w:nsid w:val="5AA8580E"/>
    <w:multiLevelType w:val="hybridMultilevel"/>
    <w:lvl w:ilvl="0">
      <w:lvlJc w:val="left"/>
      <w:lvlText w:val="(%1)"/>
      <w:numFmt w:val="lowerLetter"/>
      <w:start w:val="1"/>
    </w:lvl>
    <w:lvl w:ilvl="1">
      <w:lvlJc w:val="left"/>
      <w:lvlText w:val="(%2)"/>
      <w:numFmt w:val="lowerLetter"/>
      <w:start w:val="9"/>
    </w:lvl>
  </w:abstractNum>
  <w:abstractNum w:abstractNumId="368">
    <w:nsid w:val="68FA8D0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69">
    <w:nsid w:val="40F2CBD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0">
    <w:nsid w:val="3BD615EB"/>
    <w:multiLevelType w:val="hybridMultilevel"/>
    <w:lvl w:ilvl="0">
      <w:lvlJc w:val="left"/>
      <w:lvlText w:val="(%1)"/>
      <w:numFmt w:val="lowerLetter"/>
      <w:start w:val="3"/>
    </w:lvl>
    <w:lvl w:ilvl="1">
      <w:lvlJc w:val="left"/>
      <w:lvlText w:val="(%2)"/>
      <w:numFmt w:val="lowerRoman"/>
      <w:start w:val="1"/>
    </w:lvl>
  </w:abstractNum>
  <w:abstractNum w:abstractNumId="371">
    <w:nsid w:val="A045AB2"/>
    <w:multiLevelType w:val="hybridMultilevel"/>
    <w:lvl w:ilvl="0">
      <w:lvlJc w:val="left"/>
      <w:lvlText w:val="(%1)"/>
      <w:numFmt w:val="lowerLetter"/>
      <w:start w:val="5"/>
    </w:lvl>
    <w:lvl w:ilvl="1">
      <w:lvlJc w:val="left"/>
      <w:lvlText w:val="(%2)"/>
      <w:numFmt w:val="lowerRoman"/>
      <w:start w:val="1"/>
    </w:lvl>
  </w:abstractNum>
  <w:abstractNum w:abstractNumId="372">
    <w:nsid w:val="1872261F"/>
    <w:multiLevelType w:val="hybridMultilevel"/>
    <w:lvl w:ilvl="0">
      <w:lvlJc w:val="left"/>
      <w:lvlText w:val="%1."/>
      <w:numFmt w:val="decimal"/>
      <w:start w:val="7"/>
    </w:lvl>
    <w:lvl w:ilvl="1">
      <w:lvlJc w:val="left"/>
      <w:lvlText w:val="(%2)"/>
      <w:numFmt w:val="lowerLetter"/>
      <w:start w:val="1"/>
    </w:lvl>
  </w:abstractNum>
  <w:abstractNum w:abstractNumId="373">
    <w:nsid w:val="3DE8306C"/>
    <w:multiLevelType w:val="hybridMultilevel"/>
    <w:lvl w:ilvl="0">
      <w:lvlJc w:val="left"/>
      <w:lvlText w:val="(%1)"/>
      <w:numFmt w:val="lowerLetter"/>
      <w:start w:val="2"/>
    </w:lvl>
  </w:abstractNum>
  <w:abstractNum w:abstractNumId="374">
    <w:nsid w:val="7631573A"/>
    <w:multiLevelType w:val="hybridMultilevel"/>
    <w:lvl w:ilvl="0">
      <w:lvlJc w:val="left"/>
      <w:lvlText w:val="%1"/>
      <w:numFmt w:val="decimal"/>
      <w:start w:val="1"/>
    </w:lvl>
    <w:lvl w:ilvl="1">
      <w:lvlJc w:val="left"/>
      <w:lvlText w:val="(%2)"/>
      <w:numFmt w:val="lowerLetter"/>
      <w:start w:val="3"/>
    </w:lvl>
  </w:abstractNum>
  <w:abstractNum w:abstractNumId="375">
    <w:nsid w:val="58DF53B"/>
    <w:multiLevelType w:val="hybridMultilevel"/>
    <w:lvl w:ilvl="0">
      <w:lvlJc w:val="left"/>
      <w:lvlText w:val="%1"/>
      <w:numFmt w:val="decimal"/>
      <w:start w:val="1"/>
    </w:lvl>
    <w:lvl w:ilvl="1">
      <w:lvlJc w:val="left"/>
      <w:lvlText w:val="(%2)"/>
      <w:numFmt w:val="lowerLetter"/>
      <w:start w:val="35"/>
    </w:lvl>
  </w:abstractNum>
  <w:abstractNum w:abstractNumId="376">
    <w:nsid w:val="ACDFAC0"/>
    <w:multiLevelType w:val="hybridMultilevel"/>
    <w:lvl w:ilvl="0">
      <w:lvlJc w:val="left"/>
      <w:lvlText w:val="%1."/>
      <w:numFmt w:val="decimal"/>
      <w:start w:val="8"/>
    </w:lvl>
    <w:lvl w:ilvl="1">
      <w:lvlJc w:val="left"/>
      <w:lvlText w:val="(%2)"/>
      <w:numFmt w:val="lowerLetter"/>
      <w:start w:val="1"/>
    </w:lvl>
  </w:abstractNum>
  <w:abstractNum w:abstractNumId="377">
    <w:nsid w:val="1F578454"/>
    <w:multiLevelType w:val="hybridMultilevel"/>
    <w:lvl w:ilvl="0">
      <w:lvlJc w:val="left"/>
      <w:lvlText w:val="%1"/>
      <w:numFmt w:val="decimal"/>
      <w:start w:val="1"/>
    </w:lvl>
    <w:lvl w:ilvl="1">
      <w:lvlJc w:val="left"/>
      <w:lvlText w:val="(%2)"/>
      <w:numFmt w:val="lowerLetter"/>
      <w:start w:val="3"/>
    </w:lvl>
  </w:abstractNum>
  <w:abstractNum w:abstractNumId="378">
    <w:nsid w:val="5B0DAD2A"/>
    <w:multiLevelType w:val="hybridMultilevel"/>
    <w:lvl w:ilvl="0">
      <w:lvlJc w:val="left"/>
      <w:lvlText w:val="%1."/>
      <w:numFmt w:val="decimal"/>
      <w:start w:val="9"/>
    </w:lvl>
    <w:lvl w:ilvl="1">
      <w:lvlJc w:val="left"/>
      <w:lvlText w:val="%2"/>
      <w:numFmt w:val="lowerLetter"/>
      <w:start w:val="1"/>
    </w:lvl>
  </w:abstractNum>
  <w:abstractNum w:abstractNumId="379">
    <w:nsid w:val="4E3D26AB"/>
    <w:multiLevelType w:val="hybridMultilevel"/>
    <w:lvl w:ilvl="0">
      <w:lvlJc w:val="left"/>
      <w:lvlText w:val="%1."/>
      <w:numFmt w:val="decimal"/>
      <w:start w:val="10"/>
    </w:lvl>
  </w:abstractNum>
  <w:abstractNum w:abstractNumId="380">
    <w:nsid w:val="BE2C8BA"/>
    <w:multiLevelType w:val="hybridMultilevel"/>
    <w:lvl w:ilvl="0">
      <w:lvlJc w:val="left"/>
      <w:lvlText w:val="%1."/>
      <w:numFmt w:val="decimal"/>
      <w:start w:val="11"/>
    </w:lvl>
  </w:abstractNum>
  <w:abstractNum w:abstractNumId="381">
    <w:nsid w:val="7B14914E"/>
    <w:multiLevelType w:val="hybridMultilevel"/>
    <w:lvl w:ilvl="0">
      <w:lvlJc w:val="left"/>
      <w:lvlText w:val="%1."/>
      <w:numFmt w:val="decimal"/>
      <w:start w:val="12"/>
    </w:lvl>
  </w:abstractNum>
  <w:abstractNum w:abstractNumId="382">
    <w:nsid w:val="6F0939F8"/>
    <w:multiLevelType w:val="hybridMultilevel"/>
    <w:lvl w:ilvl="0">
      <w:lvlJc w:val="left"/>
      <w:lvlText w:val="%1."/>
      <w:numFmt w:val="decimal"/>
      <w:start w:val="13"/>
    </w:lvl>
  </w:abstractNum>
  <w:abstractNum w:abstractNumId="383">
    <w:nsid w:val="154291F6"/>
    <w:multiLevelType w:val="hybridMultilevel"/>
    <w:lvl w:ilvl="0">
      <w:lvlJc w:val="left"/>
      <w:lvlText w:val="%1."/>
      <w:numFmt w:val="decimal"/>
      <w:start w:val="14"/>
    </w:lvl>
  </w:abstractNum>
  <w:abstractNum w:abstractNumId="384">
    <w:nsid w:val="3CEBD7C7"/>
    <w:multiLevelType w:val="hybridMultilevel"/>
    <w:lvl w:ilvl="0">
      <w:lvlJc w:val="left"/>
      <w:lvlText w:val="%1."/>
      <w:numFmt w:val="decimal"/>
      <w:start w:val="15"/>
    </w:lvl>
  </w:abstractNum>
  <w:abstractNum w:abstractNumId="385">
    <w:nsid w:val="60EE9C16"/>
    <w:multiLevelType w:val="hybridMultilevel"/>
    <w:lvl w:ilvl="0">
      <w:lvlJc w:val="left"/>
      <w:lvlText w:val="%1."/>
      <w:numFmt w:val="decimal"/>
      <w:start w:val="16"/>
    </w:lvl>
    <w:lvl w:ilvl="1">
      <w:lvlJc w:val="left"/>
      <w:lvlText w:val="(%2)"/>
      <w:numFmt w:val="lowerLetter"/>
      <w:start w:val="1"/>
    </w:lvl>
  </w:abstractNum>
  <w:abstractNum w:abstractNumId="386">
    <w:nsid w:val="6385489E"/>
    <w:multiLevelType w:val="hybridMultilevel"/>
    <w:lvl w:ilvl="0">
      <w:lvlJc w:val="left"/>
      <w:lvlText w:val="(%1)"/>
      <w:numFmt w:val="lowerLetter"/>
      <w:start w:val="3"/>
    </w:lvl>
  </w:abstractNum>
  <w:abstractNum w:abstractNumId="387">
    <w:nsid w:val="E4B973"/>
    <w:multiLevelType w:val="hybridMultilevel"/>
    <w:lvl w:ilvl="0">
      <w:lvlJc w:val="left"/>
      <w:lvlText w:val="-"/>
      <w:numFmt w:val="bullet"/>
      <w:start w:val="1"/>
    </w:lvl>
  </w:abstractNum>
  <w:abstractNum w:abstractNumId="388">
    <w:nsid w:val="4A0FFA11"/>
    <w:multiLevelType w:val="hybridMultilevel"/>
    <w:lvl w:ilvl="0">
      <w:lvlJc w:val="left"/>
      <w:lvlText w:val="(%1)"/>
      <w:numFmt w:val="lowerLetter"/>
      <w:start w:val="1"/>
    </w:lvl>
    <w:lvl w:ilvl="1">
      <w:lvlJc w:val="left"/>
      <w:lvlText w:val="(%2)"/>
      <w:numFmt w:val="lowerRoman"/>
      <w:start w:val="1"/>
    </w:lvl>
  </w:abstractNum>
  <w:abstractNum w:abstractNumId="389">
    <w:nsid w:val="5E446208"/>
    <w:multiLevelType w:val="hybridMultilevel"/>
    <w:lvl w:ilvl="0">
      <w:lvlJc w:val="left"/>
      <w:lvlText w:val="(%1)"/>
      <w:numFmt w:val="lowerLetter"/>
      <w:start w:val="3"/>
    </w:lvl>
  </w:abstractNum>
  <w:abstractNum w:abstractNumId="390">
    <w:nsid w:val="5F3272DB"/>
    <w:multiLevelType w:val="hybridMultilevel"/>
    <w:lvl w:ilvl="0">
      <w:lvlJc w:val="left"/>
      <w:lvlText w:val="(%1)"/>
      <w:numFmt w:val="lowerRoman"/>
      <w:start w:val="1"/>
    </w:lvl>
  </w:abstractNum>
  <w:abstractNum w:abstractNumId="391">
    <w:nsid w:val="7616D704"/>
    <w:multiLevelType w:val="hybridMultilevel"/>
    <w:lvl w:ilvl="0">
      <w:lvlJc w:val="left"/>
      <w:lvlText w:val="(%1)"/>
      <w:numFmt w:val="lowerLetter"/>
      <w:start w:val="1"/>
    </w:lvl>
    <w:lvl w:ilvl="1">
      <w:lvlJc w:val="left"/>
      <w:lvlText w:val="(%2)"/>
      <w:numFmt w:val="lowerRoman"/>
      <w:start w:val="1"/>
    </w:lvl>
  </w:abstractNum>
  <w:abstractNum w:abstractNumId="392">
    <w:nsid w:val="C56F860"/>
    <w:multiLevelType w:val="hybridMultilevel"/>
    <w:lvl w:ilvl="0">
      <w:lvlJc w:val="left"/>
      <w:lvlText w:val="(%1)"/>
      <w:numFmt w:val="lowerLetter"/>
      <w:start w:val="3"/>
    </w:lvl>
  </w:abstractNum>
  <w:abstractNum w:abstractNumId="393">
    <w:nsid w:val="64D17722"/>
    <w:multiLevelType w:val="hybridMultilevel"/>
    <w:lvl w:ilvl="0">
      <w:lvlJc w:val="left"/>
      <w:lvlText w:val="(%1)"/>
      <w:numFmt w:val="lowerLetter"/>
      <w:start w:val="5"/>
    </w:lvl>
  </w:abstractNum>
  <w:abstractNum w:abstractNumId="394">
    <w:nsid w:val="7924CA0A"/>
    <w:multiLevelType w:val="hybridMultilevel"/>
    <w:lvl w:ilvl="0">
      <w:lvlJc w:val="left"/>
      <w:lvlText w:val="(%1)"/>
      <w:numFmt w:val="lowerLetter"/>
      <w:start w:val="1"/>
    </w:lvl>
  </w:abstractNum>
  <w:abstractNum w:abstractNumId="395">
    <w:nsid w:val="CFD4EA7"/>
    <w:multiLevelType w:val="hybridMultilevel"/>
    <w:lvl w:ilvl="0">
      <w:lvlJc w:val="left"/>
      <w:lvlText w:val="(%1)"/>
      <w:numFmt w:val="lowerLetter"/>
      <w:start w:val="1"/>
    </w:lvl>
  </w:abstractNum>
  <w:abstractNum w:abstractNumId="396">
    <w:nsid w:val="232FCF4D"/>
    <w:multiLevelType w:val="hybridMultilevel"/>
    <w:lvl w:ilvl="0">
      <w:lvlJc w:val="left"/>
      <w:lvlText w:val="(%1)"/>
      <w:numFmt w:val="lowerLetter"/>
      <w:start w:val="1"/>
    </w:lvl>
  </w:abstractNum>
  <w:abstractNum w:abstractNumId="397">
    <w:nsid w:val="1EA21031"/>
    <w:multiLevelType w:val="hybridMultilevel"/>
    <w:lvl w:ilvl="0">
      <w:lvlJc w:val="left"/>
      <w:lvlText w:val="(%1)"/>
      <w:numFmt w:val="lowerLetter"/>
      <w:start w:val="1"/>
    </w:lvl>
  </w:abstractNum>
  <w:abstractNum w:abstractNumId="398">
    <w:nsid w:val="67A5A6B5"/>
    <w:multiLevelType w:val="hybridMultilevel"/>
    <w:lvl w:ilvl="0">
      <w:lvlJc w:val="left"/>
      <w:lvlText w:val="(%1)"/>
      <w:numFmt w:val="lowerRoman"/>
      <w:start w:val="2"/>
    </w:lvl>
  </w:abstractNum>
  <w:abstractNum w:abstractNumId="399">
    <w:nsid w:val="C2A5C5B"/>
    <w:multiLevelType w:val="hybridMultilevel"/>
    <w:lvl w:ilvl="0">
      <w:lvlJc w:val="left"/>
      <w:lvlText w:val="(%1)"/>
      <w:numFmt w:val="lowerLetter"/>
      <w:start w:val="1"/>
    </w:lvl>
    <w:lvl w:ilvl="1">
      <w:lvlJc w:val="left"/>
      <w:lvlText w:val="(%2)"/>
      <w:numFmt w:val="lowerLetter"/>
      <w:start w:val="9"/>
    </w:lvl>
  </w:abstractNum>
  <w:abstractNum w:abstractNumId="400">
    <w:nsid w:val="5F94DC03"/>
    <w:multiLevelType w:val="hybridMultilevel"/>
    <w:lvl w:ilvl="0">
      <w:lvlJc w:val="left"/>
      <w:lvlText w:val="(%1)"/>
      <w:numFmt w:val="lowerRoman"/>
      <w:start w:val="2"/>
    </w:lvl>
  </w:abstractNum>
  <w:abstractNum w:abstractNumId="401">
    <w:nsid w:val="237BBCA0"/>
    <w:multiLevelType w:val="hybridMultilevel"/>
    <w:lvl w:ilvl="0">
      <w:lvlJc w:val="left"/>
      <w:lvlText w:val="(%1)"/>
      <w:numFmt w:val="lowerRoman"/>
      <w:start w:val="4"/>
    </w:lvl>
  </w:abstractNum>
  <w:abstractNum w:abstractNumId="402">
    <w:nsid w:val="162EB70D"/>
    <w:multiLevelType w:val="hybridMultilevel"/>
    <w:lvl w:ilvl="0">
      <w:lvlJc w:val="left"/>
      <w:lvlText w:val="(%1)"/>
      <w:numFmt w:val="lowerLetter"/>
      <w:start w:val="1"/>
    </w:lvl>
  </w:abstractNum>
  <w:abstractNum w:abstractNumId="403">
    <w:nsid w:val="78070222"/>
    <w:multiLevelType w:val="hybridMultilevel"/>
    <w:lvl w:ilvl="0">
      <w:lvlJc w:val="left"/>
      <w:lvlText w:val="(%1)"/>
      <w:numFmt w:val="lowerRoman"/>
      <w:start w:val="1"/>
    </w:lvl>
  </w:abstractNum>
  <w:abstractNum w:abstractNumId="404">
    <w:nsid w:val="6163ED0D"/>
    <w:multiLevelType w:val="hybridMultilevel"/>
    <w:lvl w:ilvl="0">
      <w:lvlJc w:val="left"/>
      <w:lvlText w:val="(%1)"/>
      <w:numFmt w:val="lowerLetter"/>
      <w:start w:val="3"/>
    </w:lvl>
  </w:abstractNum>
  <w:abstractNum w:abstractNumId="405">
    <w:nsid w:val="C600E47"/>
    <w:multiLevelType w:val="hybridMultilevel"/>
    <w:lvl w:ilvl="0">
      <w:lvlJc w:val="left"/>
      <w:lvlText w:val="(%1)"/>
      <w:numFmt w:val="lowerLetter"/>
      <w:start w:val="1"/>
    </w:lvl>
  </w:abstractNum>
  <w:abstractNum w:abstractNumId="406">
    <w:nsid w:val="7D94F75D"/>
    <w:multiLevelType w:val="hybridMultilevel"/>
    <w:lvl w:ilvl="0">
      <w:lvlJc w:val="left"/>
      <w:lvlText w:val="(%1)"/>
      <w:numFmt w:val="decimal"/>
      <w:start w:val="1"/>
    </w:lvl>
  </w:abstractNum>
  <w:abstractNum w:abstractNumId="407">
    <w:nsid w:val="6C31E7CD"/>
    <w:multiLevelType w:val="hybridMultilevel"/>
    <w:lvl w:ilvl="0">
      <w:lvlJc w:val="left"/>
      <w:lvlText w:val="J.%1."/>
      <w:numFmt w:val="upp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2020-10-07T05:56:33Z</dcterms:created>
  <dcterms:modified xsi:type="dcterms:W3CDTF">2020-10-07T05:56:33Z</dcterms:modified>
</cp:coreProperties>
</file>