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26,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20"/>
          </w:cols>
          <w:pgMar w:left="240" w:top="544" w:right="27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80"/>
          </w:cols>
          <w:pgMar w:left="240" w:top="544" w:right="279" w:bottom="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60"/>
          </w:cols>
          <w:pgMar w:left="240" w:top="544" w:right="279" w:bottom="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20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20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ind w:firstLine="648"/>
        <w:spacing w:after="0" w:line="297"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third quarter of 2017,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93100733. A replay of the call will be available on the Company’s website and by telephone until November 9, 2017. To access a replay telephonically, please dial (855) 859-2056 and use the replay conference ID number 93100733.</w:t>
      </w:r>
    </w:p>
    <w:p>
      <w:pPr>
        <w:spacing w:after="0" w:line="158" w:lineRule="exact"/>
        <w:rPr>
          <w:sz w:val="24"/>
          <w:szCs w:val="24"/>
          <w:color w:val="auto"/>
        </w:rPr>
      </w:pPr>
    </w:p>
    <w:p>
      <w:pPr>
        <w:ind w:right="180" w:firstLine="648"/>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footnote (b) and the tables that accompany the press release.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spacing w:after="0"/>
        <w:tabs>
          <w:tab w:leader="none" w:pos="12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October 26, 2017</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Index</w:t>
      </w:r>
    </w:p>
    <w:p>
      <w:pPr>
        <w:sectPr>
          <w:pgSz w:w="11900" w:h="16838" w:orient="portrait"/>
          <w:cols w:equalWidth="0" w:num="1">
            <w:col w:w="11380"/>
          </w:cols>
          <w:pgMar w:left="240" w:top="544"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540" w:type="dxa"/>
            <w:vAlign w:val="bottom"/>
            <w:vMerge w:val="restart"/>
          </w:tcPr>
          <w:p>
            <w:pPr>
              <w:jc w:val="right"/>
              <w:ind w:right="467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754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0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10260" w:type="dxa"/>
            <w:vAlign w:val="bottom"/>
            <w:gridSpan w:val="2"/>
          </w:tcPr>
          <w:p>
            <w:pPr>
              <w:jc w:val="right"/>
              <w:ind w:right="7459"/>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Press Release dated October 26, 2017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Borders>
              <w:top w:val="single" w:sz="8" w:color="0000EE"/>
            </w:tcBorders>
          </w:tcPr>
          <w:p>
            <w:pPr>
              <w:spacing w:after="0"/>
              <w:rPr>
                <w:sz w:val="24"/>
                <w:szCs w:val="24"/>
                <w:color w:val="auto"/>
              </w:rPr>
            </w:pPr>
          </w:p>
        </w:tc>
        <w:tc>
          <w:tcPr>
            <w:tcW w:w="7540" w:type="dxa"/>
            <w:vAlign w:val="bottom"/>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7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66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  October 26, 2017</w:t>
            </w:r>
          </w:p>
        </w:tc>
        <w:tc>
          <w:tcPr>
            <w:tcW w:w="7660" w:type="dxa"/>
            <w:vAlign w:val="bottom"/>
            <w:gridSpan w:val="2"/>
          </w:tcPr>
          <w:p>
            <w:pPr>
              <w:ind w:left="19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20"/>
        </w:trPr>
        <w:tc>
          <w:tcPr>
            <w:tcW w:w="3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3760" w:type="dxa"/>
            <w:vAlign w:val="bottom"/>
          </w:tcPr>
          <w:p>
            <w:pPr>
              <w:spacing w:after="0"/>
              <w:rPr>
                <w:sz w:val="15"/>
                <w:szCs w:val="15"/>
                <w:color w:val="auto"/>
              </w:rPr>
            </w:pPr>
          </w:p>
        </w:tc>
        <w:tc>
          <w:tcPr>
            <w:tcW w:w="7660" w:type="dxa"/>
            <w:vAlign w:val="bottom"/>
            <w:gridSpan w:val="2"/>
          </w:tcPr>
          <w:p>
            <w:pPr>
              <w:ind w:left="1940"/>
              <w:spacing w:after="0" w:line="182"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5"/>
                <w:szCs w:val="15"/>
                <w:color w:val="auto"/>
              </w:rPr>
            </w:pPr>
          </w:p>
        </w:tc>
      </w:tr>
      <w:tr>
        <w:trPr>
          <w:trHeight w:val="216"/>
        </w:trPr>
        <w:tc>
          <w:tcPr>
            <w:tcW w:w="3760" w:type="dxa"/>
            <w:vAlign w:val="bottom"/>
          </w:tcPr>
          <w:p>
            <w:pPr>
              <w:spacing w:after="0"/>
              <w:rPr>
                <w:sz w:val="18"/>
                <w:szCs w:val="18"/>
                <w:color w:val="auto"/>
              </w:rPr>
            </w:pPr>
          </w:p>
        </w:tc>
        <w:tc>
          <w:tcPr>
            <w:tcW w:w="7660" w:type="dxa"/>
            <w:vAlign w:val="bottom"/>
            <w:gridSpan w:val="2"/>
          </w:tcPr>
          <w:p>
            <w:pPr>
              <w:ind w:left="1940"/>
              <w:spacing w:after="0"/>
              <w:rPr>
                <w:sz w:val="20"/>
                <w:szCs w:val="20"/>
                <w:color w:val="auto"/>
              </w:rPr>
            </w:pPr>
            <w:r>
              <w:rPr>
                <w:rFonts w:ascii="Arial" w:cs="Arial" w:eastAsia="Arial" w:hAnsi="Arial"/>
                <w:sz w:val="18"/>
                <w:szCs w:val="18"/>
                <w:color w:val="auto"/>
              </w:rPr>
              <w:t>Senior Vice President, Chief Legal Officer and</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7660" w:type="dxa"/>
            <w:vAlign w:val="bottom"/>
            <w:gridSpan w:val="2"/>
          </w:tcPr>
          <w:p>
            <w:pPr>
              <w:ind w:left="1940"/>
              <w:spacing w:after="0"/>
              <w:rPr>
                <w:sz w:val="20"/>
                <w:szCs w:val="20"/>
                <w:color w:val="auto"/>
              </w:rPr>
            </w:pPr>
            <w:r>
              <w:rPr>
                <w:rFonts w:ascii="Arial" w:cs="Arial" w:eastAsia="Arial" w:hAnsi="Arial"/>
                <w:sz w:val="18"/>
                <w:szCs w:val="18"/>
                <w:color w:val="auto"/>
              </w:rPr>
              <w:t>Chief Compliance Officer</w:t>
            </w:r>
          </w:p>
        </w:tc>
        <w:tc>
          <w:tcPr>
            <w:tcW w:w="4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2320" w:type="dxa"/>
            <w:vAlign w:val="bottom"/>
          </w:tcPr>
          <w:p>
            <w:pPr>
              <w:ind w:left="1900"/>
              <w:spacing w:after="0"/>
              <w:rPr>
                <w:sz w:val="20"/>
                <w:szCs w:val="20"/>
                <w:color w:val="auto"/>
              </w:rPr>
            </w:pPr>
            <w:r>
              <w:rPr>
                <w:rFonts w:ascii="Arial" w:cs="Arial" w:eastAsia="Arial" w:hAnsi="Arial"/>
                <w:sz w:val="18"/>
                <w:szCs w:val="18"/>
                <w:color w:val="auto"/>
              </w:rPr>
              <w:t>3</w:t>
            </w:r>
          </w:p>
        </w:tc>
        <w:tc>
          <w:tcPr>
            <w:tcW w:w="5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6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c>
          <w:tcPr>
            <w:tcW w:w="5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00693C"/>
        </w:rPr>
        <w:t>FOR IMMEDIATE RELEASE</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ectPr>
          <w:pgSz w:w="11900" w:h="16838" w:orient="portrait"/>
          <w:cols w:equalWidth="0" w:num="1">
            <w:col w:w="11420"/>
          </w:cols>
          <w:pgMar w:left="240" w:top="324" w:right="239" w:bottom="1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left="280"/>
        <w:spacing w:after="0" w:line="248" w:lineRule="auto"/>
        <w:rPr>
          <w:sz w:val="20"/>
          <w:szCs w:val="20"/>
          <w:color w:val="auto"/>
        </w:rPr>
      </w:pPr>
      <w:r>
        <w:rPr>
          <w:rFonts w:ascii="Arial" w:cs="Arial" w:eastAsia="Arial" w:hAnsi="Arial"/>
          <w:sz w:val="40"/>
          <w:szCs w:val="40"/>
          <w:color w:val="7AB800"/>
        </w:rPr>
        <w:t>Waste Management Announces Third Quarter Earnings</w:t>
      </w:r>
    </w:p>
    <w:p>
      <w:pPr>
        <w:spacing w:after="0" w:line="132" w:lineRule="exact"/>
        <w:rPr>
          <w:sz w:val="20"/>
          <w:szCs w:val="20"/>
          <w:color w:val="auto"/>
        </w:rPr>
      </w:pPr>
    </w:p>
    <w:p>
      <w:pPr>
        <w:jc w:val="center"/>
        <w:ind w:left="280"/>
        <w:spacing w:after="0" w:line="492" w:lineRule="auto"/>
        <w:rPr>
          <w:sz w:val="20"/>
          <w:szCs w:val="20"/>
          <w:color w:val="auto"/>
        </w:rPr>
      </w:pPr>
      <w:r>
        <w:rPr>
          <w:rFonts w:ascii="Arial" w:cs="Arial" w:eastAsia="Arial" w:hAnsi="Arial"/>
          <w:sz w:val="22"/>
          <w:szCs w:val="22"/>
          <w:b w:val="1"/>
          <w:bCs w:val="1"/>
          <w:color w:val="auto"/>
        </w:rPr>
        <w:t>Double-Digit Growth in Net Income and Net Cash Provided by Operating Activity Company Raises Full Year Earnings and Cash Flow Guidance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174" w:lineRule="exact"/>
        <w:rPr>
          <w:sz w:val="20"/>
          <w:szCs w:val="20"/>
          <w:color w:val="auto"/>
        </w:rPr>
      </w:pPr>
    </w:p>
    <w:p>
      <w:pPr>
        <w:sectPr>
          <w:pgSz w:w="11900" w:h="16838" w:orient="portrait"/>
          <w:cols w:equalWidth="0" w:num="2">
            <w:col w:w="8520" w:space="460"/>
            <w:col w:w="2440"/>
          </w:cols>
          <w:pgMar w:left="240" w:top="324" w:right="239" w:bottom="140" w:gutter="0" w:footer="0" w:header="0"/>
          <w:type w:val="continuous"/>
        </w:sectPr>
      </w:pPr>
    </w:p>
    <w:p>
      <w:pPr>
        <w:spacing w:after="0" w:line="90"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8"/>
          <w:szCs w:val="18"/>
          <w:b w:val="1"/>
          <w:bCs w:val="1"/>
          <w:color w:val="auto"/>
        </w:rPr>
        <w:t>— October 26, 2017</w:t>
      </w:r>
      <w:r>
        <w:rPr>
          <w:rFonts w:ascii="Arial" w:cs="Arial" w:eastAsia="Arial" w:hAnsi="Arial"/>
          <w:sz w:val="18"/>
          <w:szCs w:val="18"/>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57584F"/>
        </w:rPr>
        <w:t>Waste Management, Inc. (NYSE: WM) today announced financial results</w:t>
      </w:r>
      <w:r>
        <w:rPr>
          <w:rFonts w:ascii="Arial" w:cs="Arial" w:eastAsia="Arial" w:hAnsi="Arial"/>
          <w:sz w:val="16"/>
          <w:szCs w:val="16"/>
          <w:b w:val="1"/>
          <w:bCs w:val="1"/>
          <w:color w:val="auto"/>
        </w:rPr>
        <w:t xml:space="preserve"> </w:t>
      </w:r>
      <w:r>
        <w:rPr>
          <w:rFonts w:ascii="Arial" w:cs="Arial" w:eastAsia="Arial" w:hAnsi="Arial"/>
          <w:sz w:val="18"/>
          <w:szCs w:val="18"/>
          <w:color w:val="57584F"/>
        </w:rPr>
        <w:t>for its quarter ended September 30, 2017. Revenues for the third quarter of 2017 were $ 3.72 billion compared with $3.55 billion for the same 2016 period. Net income for the quarter was $ 386 million, or $0.87 per diluted share, compared with net income of $302 million, or $0.68 per diluted share, for the third quarter of 2016.</w:t>
      </w:r>
      <w:r>
        <w:rPr>
          <w:rFonts w:ascii="Arial" w:cs="Arial" w:eastAsia="Arial" w:hAnsi="Arial"/>
          <w:sz w:val="18"/>
          <w:szCs w:val="18"/>
          <w:color w:val="57584F"/>
          <w:vertAlign w:val="superscript"/>
        </w:rPr>
        <w:t>(a)</w:t>
      </w:r>
      <w:r>
        <w:rPr>
          <w:rFonts w:ascii="Arial" w:cs="Arial" w:eastAsia="Arial" w:hAnsi="Arial"/>
          <w:sz w:val="18"/>
          <w:szCs w:val="18"/>
          <w:color w:val="57584F"/>
        </w:rPr>
        <w:t xml:space="preserve"> On an as-adjusted basis, net income was $398 million, or $ 0.90 per diluted share, in the third quarter of 2017, compared with $374 million, or $0.84 per diluted share, in the third quarter of 2016.</w:t>
      </w:r>
      <w:r>
        <w:rPr>
          <w:rFonts w:ascii="Arial" w:cs="Arial" w:eastAsia="Arial" w:hAnsi="Arial"/>
          <w:sz w:val="18"/>
          <w:szCs w:val="18"/>
          <w:color w:val="57584F"/>
          <w:vertAlign w:val="superscript"/>
        </w:rPr>
        <w:t>(b)</w:t>
      </w:r>
    </w:p>
    <w:p>
      <w:pPr>
        <w:spacing w:after="0" w:line="188" w:lineRule="exact"/>
        <w:rPr>
          <w:sz w:val="20"/>
          <w:szCs w:val="20"/>
          <w:color w:val="auto"/>
        </w:rPr>
      </w:pPr>
    </w:p>
    <w:p>
      <w:pPr>
        <w:ind w:right="280"/>
        <w:spacing w:after="0"/>
        <w:rPr>
          <w:sz w:val="20"/>
          <w:szCs w:val="20"/>
          <w:color w:val="auto"/>
        </w:rPr>
      </w:pPr>
      <w:r>
        <w:rPr>
          <w:rFonts w:ascii="Arial" w:cs="Arial" w:eastAsia="Arial" w:hAnsi="Arial"/>
          <w:sz w:val="18"/>
          <w:szCs w:val="18"/>
          <w:color w:val="57584F"/>
        </w:rPr>
        <w:t>The Company’s as-adjusted third quarter 2017 results exclude pre-tax charges of $ 11 million related to the withdrawal from an underfunded multiemployer pension plan and $9 million related to an increase in environmental remediation reserves.</w:t>
      </w:r>
      <w:r>
        <w:rPr>
          <w:rFonts w:ascii="Arial" w:cs="Arial" w:eastAsia="Arial" w:hAnsi="Arial"/>
          <w:sz w:val="18"/>
          <w:szCs w:val="18"/>
          <w:color w:val="57584F"/>
          <w:vertAlign w:val="superscript"/>
        </w:rPr>
        <w:t>(b)</w:t>
      </w:r>
    </w:p>
    <w:p>
      <w:pPr>
        <w:spacing w:after="0" w:line="230" w:lineRule="exact"/>
        <w:rPr>
          <w:sz w:val="20"/>
          <w:szCs w:val="20"/>
          <w:color w:val="auto"/>
        </w:rPr>
      </w:pPr>
    </w:p>
    <w:p>
      <w:pPr>
        <w:spacing w:after="0" w:line="236" w:lineRule="auto"/>
        <w:rPr>
          <w:sz w:val="20"/>
          <w:szCs w:val="20"/>
          <w:color w:val="auto"/>
        </w:rPr>
      </w:pPr>
      <w:r>
        <w:rPr>
          <w:rFonts w:ascii="Arial" w:cs="Arial" w:eastAsia="Arial" w:hAnsi="Arial"/>
          <w:sz w:val="18"/>
          <w:szCs w:val="18"/>
          <w:color w:val="57584F"/>
        </w:rPr>
        <w:t>Jim Fish, President and Chief Executive Officer of Waste Management, commented, “An impressive year-over-year improvement in our traditional solid waste business powered a strong third quarter, continuing the positive momentum we have seen all year. Operating EBITDA grew more than 17% when compared to the third quarter of 2016, or almost 7% on an as-adjusted basis.</w:t>
      </w:r>
      <w:r>
        <w:rPr>
          <w:rFonts w:ascii="Arial" w:cs="Arial" w:eastAsia="Arial" w:hAnsi="Arial"/>
          <w:sz w:val="18"/>
          <w:szCs w:val="18"/>
          <w:color w:val="57584F"/>
          <w:vertAlign w:val="superscript"/>
        </w:rPr>
        <w:t>(b)</w:t>
      </w:r>
      <w:r>
        <w:rPr>
          <w:rFonts w:ascii="Arial" w:cs="Arial" w:eastAsia="Arial" w:hAnsi="Arial"/>
          <w:sz w:val="18"/>
          <w:szCs w:val="18"/>
          <w:color w:val="57584F"/>
        </w:rPr>
        <w:t xml:space="preserve"> This is the second consecutive quarter of record-high adjusted operating EBITDA. More importantly, that operating EBITDA performance converted into strong cash flow growth. Our net cash provided by operating activities was also the highest that we have seen in our history. The combination of our strong core price results, higher volumes, and continued cost improvement focus led to adjusted earnings per diluted share growth of more than 7%, despite an estimated negative $0.01 per diluted share impact from hurricanes Harvey and Irma.</w:t>
      </w:r>
      <w:r>
        <w:rPr>
          <w:rFonts w:ascii="Arial" w:cs="Arial" w:eastAsia="Arial" w:hAnsi="Arial"/>
          <w:sz w:val="18"/>
          <w:szCs w:val="18"/>
          <w:color w:val="57584F"/>
          <w:vertAlign w:val="superscript"/>
        </w:rPr>
        <w:t>(b)</w:t>
      </w:r>
      <w:r>
        <w:rPr>
          <w:rFonts w:ascii="Arial" w:cs="Arial" w:eastAsia="Arial" w:hAnsi="Arial"/>
          <w:sz w:val="18"/>
          <w:szCs w:val="18"/>
          <w:color w:val="57584F"/>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234" w:lineRule="auto"/>
        <w:rPr>
          <w:sz w:val="20"/>
          <w:szCs w:val="20"/>
          <w:color w:val="auto"/>
        </w:rPr>
      </w:pPr>
      <w:r>
        <w:rPr>
          <w:rFonts w:ascii="Arial" w:cs="Arial" w:eastAsia="Arial" w:hAnsi="Arial"/>
          <w:sz w:val="18"/>
          <w:szCs w:val="18"/>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eegl@wm.com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2" w:lineRule="exact"/>
        <w:rPr>
          <w:sz w:val="20"/>
          <w:szCs w:val="20"/>
          <w:color w:val="auto"/>
        </w:rPr>
      </w:pPr>
    </w:p>
    <w:p>
      <w:pPr>
        <w:ind w:right="1040"/>
        <w:spacing w:after="0"/>
        <w:rPr>
          <w:sz w:val="20"/>
          <w:szCs w:val="20"/>
          <w:color w:val="auto"/>
        </w:rPr>
      </w:pPr>
      <w:r>
        <w:rPr>
          <w:rFonts w:ascii="Arial" w:cs="Arial" w:eastAsia="Arial" w:hAnsi="Arial"/>
          <w:sz w:val="18"/>
          <w:szCs w:val="18"/>
          <w:color w:val="57584F"/>
        </w:rPr>
        <w:t xml:space="preserve">Toni Beck 713.394.5093 </w:t>
      </w:r>
      <w:r>
        <w:rPr>
          <w:rFonts w:ascii="Arial" w:cs="Arial" w:eastAsia="Arial" w:hAnsi="Arial"/>
          <w:sz w:val="18"/>
          <w:szCs w:val="18"/>
          <w:u w:val="single" w:color="auto"/>
          <w:color w:val="0000FF"/>
        </w:rPr>
        <w:t>tbeck3@wm.com</w:t>
      </w:r>
    </w:p>
    <w:p>
      <w:pPr>
        <w:spacing w:after="0" w:line="2599" w:lineRule="exact"/>
        <w:rPr>
          <w:sz w:val="20"/>
          <w:szCs w:val="20"/>
          <w:color w:val="auto"/>
        </w:rPr>
      </w:pPr>
    </w:p>
    <w:p>
      <w:pPr>
        <w:sectPr>
          <w:pgSz w:w="11900" w:h="16838" w:orient="portrait"/>
          <w:cols w:equalWidth="0" w:num="2">
            <w:col w:w="8760" w:space="220"/>
            <w:col w:w="2440"/>
          </w:cols>
          <w:pgMar w:left="240" w:top="324" w:right="239" w:bottom="140" w:gutter="0" w:footer="0" w:header="0"/>
          <w:type w:val="continuous"/>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THIRD QUARTER 2017</w:t>
      </w:r>
    </w:p>
    <w:p>
      <w:pPr>
        <w:spacing w:after="0" w:line="225" w:lineRule="exact"/>
        <w:rPr>
          <w:sz w:val="20"/>
          <w:szCs w:val="20"/>
          <w:color w:val="auto"/>
        </w:rPr>
      </w:pPr>
    </w:p>
    <w:p>
      <w:pPr>
        <w:jc w:val="both"/>
        <w:ind w:left="660" w:right="2640" w:hanging="328"/>
        <w:spacing w:after="0" w:line="238" w:lineRule="auto"/>
        <w:tabs>
          <w:tab w:leader="none" w:pos="725"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Overall revenue increased by 4.7%, or $168 million. The revenue increase was primarily driven by positive yield and volume in the Company’s collection and disposal business, which contributed $93 million to revenue growth, and higher recycling commodity prices, which contributed $60 million of revenue growth.</w:t>
      </w:r>
    </w:p>
    <w:p>
      <w:pPr>
        <w:spacing w:after="0" w:line="2" w:lineRule="exact"/>
        <w:rPr>
          <w:rFonts w:ascii="Arial" w:cs="Arial" w:eastAsia="Arial" w:hAnsi="Arial"/>
          <w:sz w:val="18"/>
          <w:szCs w:val="18"/>
          <w:color w:val="57584F"/>
        </w:rPr>
      </w:pPr>
    </w:p>
    <w:p>
      <w:pPr>
        <w:ind w:left="660" w:right="2640" w:hanging="328"/>
        <w:spacing w:after="0" w:line="242" w:lineRule="auto"/>
        <w:tabs>
          <w:tab w:leader="none" w:pos="665"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Core price, which consists of price increases net of rollbacks, plus fees other than the Company’s fuel surcharge, was 4.7%.</w:t>
      </w:r>
      <w:r>
        <w:rPr>
          <w:rFonts w:ascii="Arial" w:cs="Arial" w:eastAsia="Arial" w:hAnsi="Arial"/>
          <w:sz w:val="18"/>
          <w:szCs w:val="18"/>
          <w:color w:val="57584F"/>
          <w:vertAlign w:val="superscript"/>
        </w:rPr>
        <w:t>(c)</w:t>
      </w:r>
    </w:p>
    <w:p>
      <w:pPr>
        <w:spacing w:after="0" w:line="1" w:lineRule="exact"/>
        <w:rPr>
          <w:rFonts w:ascii="Arial" w:cs="Arial" w:eastAsia="Arial" w:hAnsi="Arial"/>
          <w:sz w:val="18"/>
          <w:szCs w:val="18"/>
          <w:color w:val="57584F"/>
        </w:rPr>
      </w:pPr>
    </w:p>
    <w:p>
      <w:pPr>
        <w:ind w:left="620" w:hanging="288"/>
        <w:spacing w:after="0"/>
        <w:tabs>
          <w:tab w:leader="none" w:pos="6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Internal revenue growth from yield for collection and disposal operations was 2.0%.</w:t>
      </w:r>
    </w:p>
    <w:p>
      <w:pPr>
        <w:spacing w:after="0" w:line="9" w:lineRule="exact"/>
        <w:rPr>
          <w:rFonts w:ascii="Arial" w:cs="Arial" w:eastAsia="Arial" w:hAnsi="Arial"/>
          <w:sz w:val="18"/>
          <w:szCs w:val="18"/>
          <w:color w:val="57584F"/>
        </w:rPr>
      </w:pPr>
    </w:p>
    <w:p>
      <w:pPr>
        <w:jc w:val="both"/>
        <w:ind w:left="660" w:right="2640" w:hanging="328"/>
        <w:spacing w:after="0" w:line="248" w:lineRule="auto"/>
        <w:tabs>
          <w:tab w:leader="none" w:pos="665"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Internal revenue growth from volume in the Company’s traditional solid waste business was 1.6% and 2.0% on a workday adjusted basis. Total Company internal revenue growth from volume was 0.7% and 1.1% on a workday adjusted basis.</w:t>
      </w:r>
    </w:p>
    <w:p>
      <w:pPr>
        <w:spacing w:after="0" w:line="200" w:lineRule="exact"/>
        <w:rPr>
          <w:rFonts w:ascii="Arial" w:cs="Arial" w:eastAsia="Arial" w:hAnsi="Arial"/>
          <w:sz w:val="18"/>
          <w:szCs w:val="18"/>
          <w:color w:val="57584F"/>
        </w:rPr>
      </w:pPr>
    </w:p>
    <w:p>
      <w:pPr>
        <w:spacing w:after="0" w:line="200" w:lineRule="exact"/>
        <w:rPr>
          <w:rFonts w:ascii="Arial" w:cs="Arial" w:eastAsia="Arial" w:hAnsi="Arial"/>
          <w:sz w:val="18"/>
          <w:szCs w:val="18"/>
          <w:color w:val="57584F"/>
        </w:rPr>
      </w:pPr>
    </w:p>
    <w:p>
      <w:pPr>
        <w:spacing w:after="0" w:line="200" w:lineRule="exact"/>
        <w:rPr>
          <w:rFonts w:ascii="Arial" w:cs="Arial" w:eastAsia="Arial" w:hAnsi="Arial"/>
          <w:sz w:val="18"/>
          <w:szCs w:val="18"/>
          <w:color w:val="57584F"/>
        </w:rPr>
      </w:pPr>
    </w:p>
    <w:p>
      <w:pPr>
        <w:spacing w:after="0" w:line="200" w:lineRule="exact"/>
        <w:rPr>
          <w:rFonts w:ascii="Arial" w:cs="Arial" w:eastAsia="Arial" w:hAnsi="Arial"/>
          <w:sz w:val="18"/>
          <w:szCs w:val="18"/>
          <w:color w:val="57584F"/>
        </w:rPr>
      </w:pPr>
    </w:p>
    <w:p>
      <w:pPr>
        <w:spacing w:after="0" w:line="200" w:lineRule="exact"/>
        <w:rPr>
          <w:rFonts w:ascii="Arial" w:cs="Arial" w:eastAsia="Arial" w:hAnsi="Arial"/>
          <w:sz w:val="18"/>
          <w:szCs w:val="18"/>
          <w:color w:val="57584F"/>
        </w:rPr>
      </w:pPr>
    </w:p>
    <w:p>
      <w:pPr>
        <w:spacing w:after="0" w:line="330" w:lineRule="exact"/>
        <w:rPr>
          <w:rFonts w:ascii="Arial" w:cs="Arial" w:eastAsia="Arial" w:hAnsi="Arial"/>
          <w:sz w:val="18"/>
          <w:szCs w:val="18"/>
          <w:color w:val="57584F"/>
        </w:rPr>
      </w:pPr>
    </w:p>
    <w:p>
      <w:pPr>
        <w:jc w:val="both"/>
        <w:ind w:left="660" w:right="2640" w:hanging="328"/>
        <w:spacing w:after="0" w:line="237" w:lineRule="auto"/>
        <w:tabs>
          <w:tab w:leader="none" w:pos="665"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As a percent of revenue, operating expenses were 61.9% in the third quarter of 2017, as compared to 62.5% in the third quarter of 2016. Adjusting for the withdrawal from a multiemployer pension plan, operating expenses as a percent of revenue were 61.7% in the third quarter of 2017.</w:t>
      </w:r>
      <w:r>
        <w:rPr>
          <w:rFonts w:ascii="Arial" w:cs="Arial" w:eastAsia="Arial" w:hAnsi="Arial"/>
          <w:sz w:val="18"/>
          <w:szCs w:val="18"/>
          <w:color w:val="57584F"/>
          <w:vertAlign w:val="superscript"/>
        </w:rPr>
        <w:t>(b)</w:t>
      </w:r>
      <w:r>
        <w:rPr>
          <w:rFonts w:ascii="Arial" w:cs="Arial" w:eastAsia="Arial" w:hAnsi="Arial"/>
          <w:sz w:val="18"/>
          <w:szCs w:val="18"/>
          <w:color w:val="57584F"/>
        </w:rPr>
        <w:t xml:space="preserve"> Operating expenses as a percentage of revenue in the Company’s traditional solid waste business improved about 125 basis points during the quarter, despite the impact of hurricane related expenses and higher fuel costs.</w:t>
      </w:r>
    </w:p>
    <w:p>
      <w:pPr>
        <w:spacing w:after="0" w:line="2" w:lineRule="exact"/>
        <w:rPr>
          <w:rFonts w:ascii="Arial" w:cs="Arial" w:eastAsia="Arial" w:hAnsi="Arial"/>
          <w:sz w:val="18"/>
          <w:szCs w:val="18"/>
          <w:color w:val="57584F"/>
        </w:rPr>
      </w:pPr>
    </w:p>
    <w:p>
      <w:pPr>
        <w:ind w:left="660" w:right="2680" w:hanging="328"/>
        <w:spacing w:after="0" w:line="242" w:lineRule="auto"/>
        <w:tabs>
          <w:tab w:leader="none" w:pos="678"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As a percent of revenue, SG&amp;A expenses were 9.6%, compared to 9.3% in the third quarter of 2016. The increase is largely attributable to a prior year favorable insurance recovery.</w:t>
      </w:r>
    </w:p>
    <w:p>
      <w:pPr>
        <w:spacing w:after="0" w:line="1" w:lineRule="exact"/>
        <w:rPr>
          <w:rFonts w:ascii="Arial" w:cs="Arial" w:eastAsia="Arial" w:hAnsi="Arial"/>
          <w:sz w:val="18"/>
          <w:szCs w:val="18"/>
          <w:color w:val="57584F"/>
        </w:rPr>
      </w:pPr>
    </w:p>
    <w:p>
      <w:pPr>
        <w:jc w:val="both"/>
        <w:ind w:left="660" w:right="2640" w:hanging="328"/>
        <w:spacing w:after="0"/>
        <w:tabs>
          <w:tab w:leader="none" w:pos="921"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Net cash provided by operating activities was $856 million, compared to $758 million in the third quarter of 2016, an increase of 12.9%. The increase was driven by the Company’s strong operating income growth and working capital improvements.</w:t>
      </w:r>
    </w:p>
    <w:p>
      <w:pPr>
        <w:ind w:left="620" w:hanging="288"/>
        <w:spacing w:after="0"/>
        <w:tabs>
          <w:tab w:leader="none" w:pos="6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Capital expenditures were $350 million, compared to $333 million in the third quarter of 2016.</w:t>
      </w:r>
    </w:p>
    <w:p>
      <w:pPr>
        <w:spacing w:after="0" w:line="9" w:lineRule="exact"/>
        <w:rPr>
          <w:rFonts w:ascii="Arial" w:cs="Arial" w:eastAsia="Arial" w:hAnsi="Arial"/>
          <w:sz w:val="18"/>
          <w:szCs w:val="18"/>
          <w:color w:val="57584F"/>
        </w:rPr>
      </w:pPr>
    </w:p>
    <w:p>
      <w:pPr>
        <w:ind w:left="660" w:right="2640" w:hanging="328"/>
        <w:spacing w:after="0" w:line="242" w:lineRule="auto"/>
        <w:tabs>
          <w:tab w:leader="none" w:pos="678"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Free cash flow was $512 million, compared to $433 million in the third quarter of 2016, an increase of 18.2%.</w:t>
      </w:r>
      <w:r>
        <w:rPr>
          <w:rFonts w:ascii="Arial" w:cs="Arial" w:eastAsia="Arial" w:hAnsi="Arial"/>
          <w:sz w:val="18"/>
          <w:szCs w:val="18"/>
          <w:color w:val="57584F"/>
          <w:vertAlign w:val="superscript"/>
        </w:rPr>
        <w:t>(b)</w:t>
      </w:r>
    </w:p>
    <w:p>
      <w:pPr>
        <w:spacing w:after="0" w:line="1" w:lineRule="exact"/>
        <w:rPr>
          <w:rFonts w:ascii="Arial" w:cs="Arial" w:eastAsia="Arial" w:hAnsi="Arial"/>
          <w:sz w:val="18"/>
          <w:szCs w:val="18"/>
          <w:color w:val="57584F"/>
        </w:rPr>
      </w:pPr>
    </w:p>
    <w:p>
      <w:pPr>
        <w:ind w:left="660" w:right="2640" w:hanging="328"/>
        <w:spacing w:after="0" w:line="242" w:lineRule="auto"/>
        <w:tabs>
          <w:tab w:leader="none" w:pos="1043"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The Company returned $685 million to shareholders during the quarter, paying $185 million in dividends and repurchasing $500 million of its common stock.</w:t>
      </w:r>
    </w:p>
    <w:p>
      <w:pPr>
        <w:spacing w:after="0" w:line="1" w:lineRule="exact"/>
        <w:rPr>
          <w:rFonts w:ascii="Arial" w:cs="Arial" w:eastAsia="Arial" w:hAnsi="Arial"/>
          <w:sz w:val="18"/>
          <w:szCs w:val="18"/>
          <w:color w:val="57584F"/>
        </w:rPr>
      </w:pPr>
    </w:p>
    <w:p>
      <w:pPr>
        <w:ind w:left="620" w:hanging="288"/>
        <w:spacing w:after="0"/>
        <w:tabs>
          <w:tab w:leader="none" w:pos="62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The effective tax rate was approximately 35.7%, or 35.8% on an as-adjusted basis.</w:t>
      </w:r>
      <w:r>
        <w:rPr>
          <w:rFonts w:ascii="Arial" w:cs="Arial" w:eastAsia="Arial" w:hAnsi="Arial"/>
          <w:sz w:val="18"/>
          <w:szCs w:val="18"/>
          <w:color w:val="57584F"/>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-2619375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4" w:right="239" w:bottom="140" w:gutter="0" w:footer="0" w:header="0"/>
          <w:type w:val="continuous"/>
        </w:sectPr>
      </w:pPr>
    </w:p>
    <w:bookmarkStart w:id="3" w:name="page4"/>
    <w:bookmarkEnd w:id="3"/>
    <w:p>
      <w:pPr>
        <w:spacing w:after="0" w:line="8" w:lineRule="exact"/>
        <w:rPr>
          <w:sz w:val="20"/>
          <w:szCs w:val="20"/>
          <w:color w:val="auto"/>
        </w:rPr>
      </w:pPr>
    </w:p>
    <w:p>
      <w:pPr>
        <w:ind w:right="1639"/>
        <w:spacing w:after="0" w:line="237" w:lineRule="auto"/>
        <w:rPr>
          <w:sz w:val="20"/>
          <w:szCs w:val="20"/>
          <w:color w:val="auto"/>
        </w:rPr>
      </w:pPr>
      <w:r>
        <w:rPr>
          <w:rFonts w:ascii="Arial" w:cs="Arial" w:eastAsia="Arial" w:hAnsi="Arial"/>
          <w:sz w:val="18"/>
          <w:szCs w:val="18"/>
          <w:color w:val="57584F"/>
        </w:rPr>
        <w:t xml:space="preserve">Fish concluded, “Based on our results through the first nine months of the year, we are raising our full-year 2017 guidance of adjusted earnings per diluted share to between $3.19 and $3.21 and free cash flow to between $1.7 and $1.75 billion, despite an anticipated negative $0.03 per diluted share impact from our recycling operations in the fourth quarter. </w:t>
      </w:r>
      <w:r>
        <w:rPr>
          <w:rFonts w:ascii="Arial" w:cs="Arial" w:eastAsia="Arial" w:hAnsi="Arial"/>
          <w:sz w:val="18"/>
          <w:szCs w:val="18"/>
          <w:color w:val="57584F"/>
          <w:vertAlign w:val="superscript"/>
        </w:rPr>
        <w:t>(b)</w:t>
      </w:r>
      <w:r>
        <w:rPr>
          <w:rFonts w:ascii="Arial" w:cs="Arial" w:eastAsia="Arial" w:hAnsi="Arial"/>
          <w:sz w:val="18"/>
          <w:szCs w:val="18"/>
          <w:color w:val="57584F"/>
        </w:rPr>
        <w:t xml:space="preserve"> The strength of our business is evident in the growth of our operating EBITDA and our cash conversion rate, and we expect our strong performance to continue into the fourth quarter and 2018.”</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660" w:right="1759" w:hanging="328"/>
        <w:spacing w:after="0" w:line="230" w:lineRule="auto"/>
        <w:tabs>
          <w:tab w:leader="none" w:pos="647" w:val="left"/>
        </w:tabs>
        <w:numPr>
          <w:ilvl w:val="0"/>
          <w:numId w:val="2"/>
        </w:numPr>
        <w:rPr>
          <w:rFonts w:ascii="Arial" w:cs="Arial" w:eastAsia="Arial" w:hAnsi="Arial"/>
          <w:sz w:val="13"/>
          <w:szCs w:val="13"/>
          <w:color w:val="57584F"/>
        </w:rPr>
      </w:pPr>
      <w:r>
        <w:rPr>
          <w:rFonts w:ascii="Arial" w:cs="Arial" w:eastAsia="Arial" w:hAnsi="Arial"/>
          <w:sz w:val="13"/>
          <w:szCs w:val="13"/>
          <w:color w:val="57584F"/>
        </w:rPr>
        <w:t>For purposes of this press release, all references to “Net income” refer to the financial statement line items “Net income attributable to Waste Management, Inc.”.</w:t>
      </w:r>
    </w:p>
    <w:p>
      <w:pPr>
        <w:spacing w:after="0" w:line="64" w:lineRule="exact"/>
        <w:rPr>
          <w:rFonts w:ascii="Arial" w:cs="Arial" w:eastAsia="Arial" w:hAnsi="Arial"/>
          <w:sz w:val="13"/>
          <w:szCs w:val="13"/>
          <w:color w:val="57584F"/>
        </w:rPr>
      </w:pPr>
    </w:p>
    <w:p>
      <w:pPr>
        <w:ind w:left="660" w:right="1439" w:hanging="328"/>
        <w:spacing w:after="0" w:line="220" w:lineRule="auto"/>
        <w:tabs>
          <w:tab w:leader="none" w:pos="647" w:val="left"/>
        </w:tabs>
        <w:numPr>
          <w:ilvl w:val="0"/>
          <w:numId w:val="2"/>
        </w:numPr>
        <w:rPr>
          <w:rFonts w:ascii="Arial" w:cs="Arial" w:eastAsia="Arial" w:hAnsi="Arial"/>
          <w:sz w:val="13"/>
          <w:szCs w:val="13"/>
          <w:color w:val="57584F"/>
        </w:rPr>
      </w:pPr>
      <w:r>
        <w:rPr>
          <w:rFonts w:ascii="Arial" w:cs="Arial" w:eastAsia="Arial" w:hAnsi="Arial"/>
          <w:sz w:val="13"/>
          <w:szCs w:val="13"/>
          <w:color w:val="57584F"/>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net income, earnings per diluted share, operating expenses as a percentage of revenue, effective tax rate, and operating EBITDA have been presented in certain instances excluding items identified in the reconciliations provided. The Company defines operating EBITDA as income from operations before depreciation and amortization; this measure may not be comparable to similarly titled measures reported by other companies.</w:t>
      </w:r>
    </w:p>
    <w:p>
      <w:pPr>
        <w:spacing w:after="0" w:line="159" w:lineRule="exact"/>
        <w:rPr>
          <w:rFonts w:ascii="Arial" w:cs="Arial" w:eastAsia="Arial" w:hAnsi="Arial"/>
          <w:sz w:val="13"/>
          <w:szCs w:val="13"/>
          <w:color w:val="57584F"/>
        </w:rPr>
      </w:pPr>
    </w:p>
    <w:p>
      <w:pPr>
        <w:ind w:left="660" w:right="1439"/>
        <w:spacing w:after="0" w:line="220" w:lineRule="auto"/>
        <w:rPr>
          <w:rFonts w:ascii="Arial" w:cs="Arial" w:eastAsia="Arial" w:hAnsi="Arial"/>
          <w:sz w:val="13"/>
          <w:szCs w:val="13"/>
          <w:color w:val="57584F"/>
        </w:rPr>
      </w:pPr>
      <w:r>
        <w:rPr>
          <w:rFonts w:ascii="Arial" w:cs="Arial" w:eastAsia="Arial" w:hAnsi="Arial"/>
          <w:sz w:val="13"/>
          <w:szCs w:val="13"/>
          <w:color w:val="57584F"/>
        </w:rPr>
        <w:t>The Company’s projected full-year 2017 earnings per diluted share is not based on GAAP net earnings per diluted share and are anticipated to be adjusted to exclude the effects of events or circumstances in 2017 that are not representative or indicative of the Company’s results of operations, including the items excluded from our as-adjusted first and third quarter results.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161" w:lineRule="exact"/>
        <w:rPr>
          <w:rFonts w:ascii="Arial" w:cs="Arial" w:eastAsia="Arial" w:hAnsi="Arial"/>
          <w:sz w:val="13"/>
          <w:szCs w:val="13"/>
          <w:color w:val="57584F"/>
        </w:rPr>
      </w:pPr>
    </w:p>
    <w:p>
      <w:pPr>
        <w:jc w:val="both"/>
        <w:ind w:left="660" w:right="1439"/>
        <w:spacing w:after="0" w:line="223" w:lineRule="auto"/>
        <w:rPr>
          <w:rFonts w:ascii="Arial" w:cs="Arial" w:eastAsia="Arial" w:hAnsi="Arial"/>
          <w:sz w:val="13"/>
          <w:szCs w:val="13"/>
          <w:color w:val="57584F"/>
        </w:rPr>
      </w:pPr>
      <w:r>
        <w:rPr>
          <w:rFonts w:ascii="Arial" w:cs="Arial" w:eastAsia="Arial" w:hAnsi="Arial"/>
          <w:sz w:val="13"/>
          <w:szCs w:val="13"/>
          <w:color w:val="57584F"/>
        </w:rPr>
        <w:t>The Company also discusses free cash flow and provides a projection of free cash flow. Free cash flow is a non-GAAP measure. 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w:t>
      </w:r>
    </w:p>
    <w:p>
      <w:pPr>
        <w:spacing w:after="0" w:line="200" w:lineRule="exact"/>
        <w:rPr>
          <w:rFonts w:ascii="Arial" w:cs="Arial" w:eastAsia="Arial" w:hAnsi="Arial"/>
          <w:sz w:val="13"/>
          <w:szCs w:val="13"/>
          <w:color w:val="57584F"/>
        </w:rPr>
      </w:pPr>
    </w:p>
    <w:p>
      <w:pPr>
        <w:spacing w:after="0" w:line="200" w:lineRule="exact"/>
        <w:rPr>
          <w:rFonts w:ascii="Arial" w:cs="Arial" w:eastAsia="Arial" w:hAnsi="Arial"/>
          <w:sz w:val="13"/>
          <w:szCs w:val="13"/>
          <w:color w:val="57584F"/>
        </w:rPr>
      </w:pPr>
    </w:p>
    <w:p>
      <w:pPr>
        <w:spacing w:after="0" w:line="200" w:lineRule="exact"/>
        <w:rPr>
          <w:rFonts w:ascii="Arial" w:cs="Arial" w:eastAsia="Arial" w:hAnsi="Arial"/>
          <w:sz w:val="13"/>
          <w:szCs w:val="13"/>
          <w:color w:val="57584F"/>
        </w:rPr>
      </w:pPr>
    </w:p>
    <w:p>
      <w:pPr>
        <w:spacing w:after="0" w:line="316" w:lineRule="exact"/>
        <w:rPr>
          <w:rFonts w:ascii="Arial" w:cs="Arial" w:eastAsia="Arial" w:hAnsi="Arial"/>
          <w:sz w:val="13"/>
          <w:szCs w:val="13"/>
          <w:color w:val="57584F"/>
        </w:rPr>
      </w:pPr>
    </w:p>
    <w:p>
      <w:pPr>
        <w:jc w:val="both"/>
        <w:ind w:left="660" w:right="1539"/>
        <w:spacing w:after="0"/>
        <w:rPr>
          <w:rFonts w:ascii="Arial" w:cs="Arial" w:eastAsia="Arial" w:hAnsi="Arial"/>
          <w:sz w:val="13"/>
          <w:szCs w:val="13"/>
          <w:color w:val="57584F"/>
        </w:rPr>
      </w:pPr>
      <w:r>
        <w:rPr>
          <w:rFonts w:ascii="Arial" w:cs="Arial" w:eastAsia="Arial" w:hAnsi="Arial"/>
          <w:sz w:val="12"/>
          <w:szCs w:val="12"/>
          <w:color w:val="57584F"/>
        </w:rPr>
        <w:t>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 titled measures reported by other companies.</w:t>
      </w:r>
    </w:p>
    <w:p>
      <w:pPr>
        <w:spacing w:after="0" w:line="120" w:lineRule="exact"/>
        <w:rPr>
          <w:rFonts w:ascii="Arial" w:cs="Arial" w:eastAsia="Arial" w:hAnsi="Arial"/>
          <w:sz w:val="13"/>
          <w:szCs w:val="13"/>
          <w:color w:val="57584F"/>
        </w:rPr>
      </w:pPr>
    </w:p>
    <w:p>
      <w:pPr>
        <w:ind w:left="660" w:right="1519"/>
        <w:spacing w:after="0" w:line="223" w:lineRule="auto"/>
        <w:rPr>
          <w:rFonts w:ascii="Arial" w:cs="Arial" w:eastAsia="Arial" w:hAnsi="Arial"/>
          <w:sz w:val="13"/>
          <w:szCs w:val="13"/>
          <w:color w:val="57584F"/>
        </w:rPr>
      </w:pPr>
      <w:r>
        <w:rPr>
          <w:rFonts w:ascii="Arial" w:cs="Arial" w:eastAsia="Arial" w:hAnsi="Arial"/>
          <w:sz w:val="13"/>
          <w:szCs w:val="13"/>
          <w:color w:val="57584F"/>
        </w:rPr>
        <w:t>The quantitative reconciliations of non-GAAP measures used herein to the most comparable GAAP measures are included in the accompanying schedules, with the exception of projected earnings per diluted share. Non-GAAP measures should not be considered a substitute for financial measures presented in accordance with GAAP, and investors are urged to take into account GAAP measures as well as non-GAAP measures in evaluating the Company.</w:t>
      </w:r>
    </w:p>
    <w:p>
      <w:pPr>
        <w:spacing w:after="0" w:line="173" w:lineRule="exact"/>
        <w:rPr>
          <w:rFonts w:ascii="Arial" w:cs="Arial" w:eastAsia="Arial" w:hAnsi="Arial"/>
          <w:sz w:val="13"/>
          <w:szCs w:val="13"/>
          <w:color w:val="57584F"/>
        </w:rPr>
      </w:pPr>
    </w:p>
    <w:p>
      <w:pPr>
        <w:ind w:left="660" w:right="1579" w:hanging="328"/>
        <w:spacing w:after="0" w:line="223" w:lineRule="auto"/>
        <w:tabs>
          <w:tab w:leader="none" w:pos="640" w:val="left"/>
        </w:tabs>
        <w:numPr>
          <w:ilvl w:val="0"/>
          <w:numId w:val="2"/>
        </w:numPr>
        <w:rPr>
          <w:rFonts w:ascii="Arial" w:cs="Arial" w:eastAsia="Arial" w:hAnsi="Arial"/>
          <w:sz w:val="13"/>
          <w:szCs w:val="13"/>
          <w:color w:val="57584F"/>
        </w:rPr>
      </w:pPr>
      <w:r>
        <w:rPr>
          <w:rFonts w:ascii="Arial" w:cs="Arial" w:eastAsia="Arial" w:hAnsi="Arial"/>
          <w:sz w:val="13"/>
          <w:szCs w:val="13"/>
          <w:color w:val="57584F"/>
        </w:rPr>
        <w:t>Core price is a performance metric used by management to evaluate the effectiveness of the Company’s pricing strategies; it is not derived from the Company’s financial statements and may not be comparable to measures presented by other companies. Core price is based on certain historical assumptions, which differs from actual results, to allow for comparability between reporting periods and to reveal trends in results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-1654175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both"/>
        <w:ind w:right="2059"/>
        <w:spacing w:after="0"/>
        <w:rPr>
          <w:sz w:val="20"/>
          <w:szCs w:val="20"/>
          <w:color w:val="auto"/>
        </w:rPr>
      </w:pPr>
      <w:r>
        <w:rPr>
          <w:rFonts w:ascii="Arial" w:cs="Arial" w:eastAsia="Arial" w:hAnsi="Arial"/>
          <w:sz w:val="18"/>
          <w:szCs w:val="18"/>
          <w:color w:val="57584F"/>
        </w:rPr>
        <w:t>The Company will host a conference call at 10:00 AM (Eastern) today to discuss the third quarter 2017 results. Information contained within this press release will be referenced and should be considered in conjunction with the call.</w:t>
      </w:r>
    </w:p>
    <w:p>
      <w:pPr>
        <w:spacing w:after="0" w:line="189" w:lineRule="exact"/>
        <w:rPr>
          <w:sz w:val="20"/>
          <w:szCs w:val="20"/>
          <w:color w:val="auto"/>
        </w:rPr>
      </w:pPr>
    </w:p>
    <w:p>
      <w:pPr>
        <w:ind w:right="1459"/>
        <w:spacing w:after="0" w:line="238" w:lineRule="auto"/>
        <w:rPr>
          <w:sz w:val="20"/>
          <w:szCs w:val="20"/>
          <w:color w:val="auto"/>
        </w:rPr>
      </w:pPr>
      <w:r>
        <w:rPr>
          <w:rFonts w:ascii="Arial" w:cs="Arial" w:eastAsia="Arial" w:hAnsi="Arial"/>
          <w:sz w:val="18"/>
          <w:szCs w:val="18"/>
          <w:color w:val="57584F"/>
        </w:rPr>
        <w:t xml:space="preserve">The conference call will be webcast live from the Investor Relations section of Waste Management’s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To access the conference call by telephone, please dial (877) 710-6139 approximately 10</w:t>
      </w:r>
      <w:r>
        <w:rPr>
          <w:rFonts w:ascii="Arial" w:cs="Arial" w:eastAsia="Arial" w:hAnsi="Arial"/>
          <w:sz w:val="18"/>
          <w:szCs w:val="18"/>
          <w:color w:val="0000FF"/>
        </w:rPr>
        <w:t xml:space="preserve"> </w:t>
      </w:r>
      <w:r>
        <w:rPr>
          <w:rFonts w:ascii="Arial" w:cs="Arial" w:eastAsia="Arial" w:hAnsi="Arial"/>
          <w:sz w:val="18"/>
          <w:szCs w:val="18"/>
          <w:color w:val="57584F"/>
        </w:rPr>
        <w:t>minutes prior to the scheduled start of the call. If you are calling from outside of the United States or Canada, please dial (706) 643-7398. Please utilize conference ID number 93100733 when prompted by the conference call operator.</w:t>
      </w:r>
    </w:p>
    <w:p>
      <w:pPr>
        <w:spacing w:after="0" w:line="189" w:lineRule="exact"/>
        <w:rPr>
          <w:sz w:val="20"/>
          <w:szCs w:val="20"/>
          <w:color w:val="auto"/>
        </w:rPr>
      </w:pPr>
    </w:p>
    <w:p>
      <w:pPr>
        <w:ind w:right="1639"/>
        <w:spacing w:after="0" w:line="257" w:lineRule="auto"/>
        <w:rPr>
          <w:sz w:val="20"/>
          <w:szCs w:val="20"/>
          <w:color w:val="auto"/>
        </w:rPr>
      </w:pPr>
      <w:r>
        <w:rPr>
          <w:rFonts w:ascii="Arial" w:cs="Arial" w:eastAsia="Arial" w:hAnsi="Arial"/>
          <w:sz w:val="17"/>
          <w:szCs w:val="17"/>
          <w:color w:val="57584F"/>
        </w:rPr>
        <w:t xml:space="preserve">A replay of the conference call will be available on the Company’s website </w:t>
      </w:r>
      <w:r>
        <w:rPr>
          <w:rFonts w:ascii="Arial" w:cs="Arial" w:eastAsia="Arial" w:hAnsi="Arial"/>
          <w:sz w:val="17"/>
          <w:szCs w:val="17"/>
          <w:u w:val="single" w:color="auto"/>
          <w:color w:val="0000FF"/>
        </w:rPr>
        <w:t>www.wm.com</w:t>
      </w:r>
      <w:r>
        <w:rPr>
          <w:rFonts w:ascii="Arial" w:cs="Arial" w:eastAsia="Arial" w:hAnsi="Arial"/>
          <w:sz w:val="17"/>
          <w:szCs w:val="17"/>
          <w:color w:val="57584F"/>
        </w:rPr>
        <w:t xml:space="preserve"> and by telephone from approximately 1:00 PM (Eastern) Thursday, October 26, 2017 through 5:00 PM (Eastern) on Thursday, November 9, 2017. To access the replay telephonically, please dial (855) 859-2056, or from outside of the United States or Canada dial (404) 537-3406, and use the replay conference ID number 93100733.</w:t>
      </w:r>
    </w:p>
    <w:p>
      <w:pPr>
        <w:spacing w:after="0" w:line="158" w:lineRule="exact"/>
        <w:rPr>
          <w:sz w:val="20"/>
          <w:szCs w:val="20"/>
          <w:color w:val="auto"/>
        </w:rPr>
      </w:pPr>
    </w:p>
    <w:p>
      <w:pPr>
        <w:ind w:right="1459"/>
        <w:spacing w:after="0" w:line="220" w:lineRule="auto"/>
        <w:rPr>
          <w:sz w:val="20"/>
          <w:szCs w:val="20"/>
          <w:color w:val="auto"/>
        </w:rPr>
      </w:pPr>
      <w:r>
        <w:rPr>
          <w:rFonts w:ascii="Arial" w:cs="Arial" w:eastAsia="Arial" w:hAnsi="Arial"/>
          <w:sz w:val="13"/>
          <w:szCs w:val="13"/>
          <w:i w:val="1"/>
          <w:iCs w:val="1"/>
          <w:color w:val="57584F"/>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2017 earnings per diluted share; 2017 free cash flow; and all statements regarding future business performance and growth.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exposure to litigation and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2" w:lineRule="exact"/>
        <w:rPr>
          <w:sz w:val="20"/>
          <w:szCs w:val="20"/>
          <w:color w:val="auto"/>
        </w:rPr>
      </w:pPr>
    </w:p>
    <w:p>
      <w:pPr>
        <w:jc w:val="both"/>
        <w:ind w:right="1439"/>
        <w:spacing w:after="0" w:line="234" w:lineRule="auto"/>
        <w:rPr>
          <w:sz w:val="20"/>
          <w:szCs w:val="20"/>
          <w:color w:val="auto"/>
        </w:rPr>
      </w:pPr>
      <w:r>
        <w:rPr>
          <w:rFonts w:ascii="Arial" w:cs="Arial" w:eastAsia="Arial" w:hAnsi="Arial"/>
          <w:sz w:val="18"/>
          <w:szCs w:val="18"/>
          <w:color w:val="595959"/>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595959"/>
        </w:rPr>
        <w:t>www.wm.com</w:t>
      </w:r>
      <w:r>
        <w:rPr>
          <w:rFonts w:ascii="Arial" w:cs="Arial" w:eastAsia="Arial" w:hAnsi="Arial"/>
          <w:sz w:val="18"/>
          <w:szCs w:val="18"/>
          <w:color w:val="595959"/>
        </w:rPr>
        <w:t xml:space="preserve"> or </w:t>
      </w:r>
      <w:r>
        <w:rPr>
          <w:rFonts w:ascii="Arial" w:cs="Arial" w:eastAsia="Arial" w:hAnsi="Arial"/>
          <w:sz w:val="18"/>
          <w:szCs w:val="18"/>
          <w:u w:val="single" w:color="auto"/>
          <w:color w:val="0000FF"/>
        </w:rPr>
        <w:t>www.thinkgreen.com</w:t>
      </w:r>
      <w:r>
        <w:rPr>
          <w:rFonts w:ascii="Arial" w:cs="Arial" w:eastAsia="Arial" w:hAnsi="Arial"/>
          <w:sz w:val="18"/>
          <w:szCs w:val="18"/>
          <w:color w:val="595959"/>
        </w:rPr>
        <w:t>.</w:t>
      </w:r>
    </w:p>
    <w:p>
      <w:pPr>
        <w:spacing w:after="0" w:line="5" w:lineRule="exact"/>
        <w:rPr>
          <w:sz w:val="20"/>
          <w:szCs w:val="20"/>
          <w:color w:val="auto"/>
        </w:rPr>
      </w:pPr>
    </w:p>
    <w:p>
      <w:pPr>
        <w:ind w:left="4240"/>
        <w:spacing w:after="0"/>
        <w:rPr>
          <w:sz w:val="20"/>
          <w:szCs w:val="20"/>
          <w:color w:val="auto"/>
        </w:rPr>
      </w:pPr>
      <w:r>
        <w:rPr>
          <w:rFonts w:ascii="Arial" w:cs="Arial" w:eastAsia="Arial" w:hAnsi="Arial"/>
          <w:sz w:val="18"/>
          <w:szCs w:val="18"/>
          <w:color w:val="5758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46" w:orient="portrait"/>
          <w:cols w:equalWidth="0" w:num="1">
            <w:col w:w="10219"/>
          </w:cols>
          <w:pgMar w:left="240" w:top="1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200"/>
        <w:spacing w:after="0"/>
        <w:rPr>
          <w:sz w:val="20"/>
          <w:szCs w:val="20"/>
          <w:color w:val="auto"/>
        </w:rPr>
      </w:pPr>
      <w:r>
        <w:rPr>
          <w:rFonts w:ascii="Arial" w:cs="Arial" w:eastAsia="Arial" w:hAnsi="Arial"/>
          <w:sz w:val="23"/>
          <w:szCs w:val="23"/>
          <w:b w:val="1"/>
          <w:bCs w:val="1"/>
          <w:color w:val="auto"/>
        </w:rPr>
        <w:t>Waste Management, Inc.</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Condensed Consolidated Statements of Operations</w:t>
      </w:r>
    </w:p>
    <w:p>
      <w:pPr>
        <w:sectPr>
          <w:pgSz w:w="11900" w:h="16846" w:orient="portrait"/>
          <w:cols w:equalWidth="0" w:num="1">
            <w:col w:w="10219"/>
          </w:cols>
          <w:pgMar w:left="240" w:top="140" w:right="1440" w:bottom="0" w:gutter="0" w:footer="0" w:header="0"/>
          <w:type w:val="continuous"/>
        </w:sectPr>
      </w:pPr>
    </w:p>
    <w:bookmarkStart w:id="4" w:name="page5"/>
    <w:bookmarkEnd w:id="4"/>
    <w:p>
      <w:pPr>
        <w:jc w:val="center"/>
        <w:ind w:right="40"/>
        <w:spacing w:after="0"/>
        <w:rPr>
          <w:sz w:val="20"/>
          <w:szCs w:val="20"/>
          <w:color w:val="auto"/>
        </w:rPr>
      </w:pPr>
      <w:r>
        <w:rPr>
          <w:rFonts w:ascii="Arial" w:cs="Arial" w:eastAsia="Arial" w:hAnsi="Arial"/>
          <w:sz w:val="23"/>
          <w:szCs w:val="23"/>
          <w:b w:val="1"/>
          <w:bCs w:val="1"/>
          <w:color w:val="auto"/>
        </w:rPr>
        <w:t>(In Millions, Except Per Share Amounts)</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4"/>
              </w:rPr>
              <w:t>Quarters Ended September 30,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5440" w:type="dxa"/>
            <w:vAlign w:val="bottom"/>
          </w:tcPr>
          <w:p>
            <w:pPr>
              <w:spacing w:after="0"/>
              <w:rPr>
                <w:sz w:val="20"/>
                <w:szCs w:val="20"/>
                <w:color w:val="auto"/>
              </w:rPr>
            </w:pPr>
            <w:r>
              <w:rPr>
                <w:rFonts w:ascii="Arial" w:cs="Arial" w:eastAsia="Arial" w:hAnsi="Arial"/>
                <w:sz w:val="18"/>
                <w:szCs w:val="18"/>
                <w:color w:val="auto"/>
              </w:rPr>
              <w:t>Operating revenues</w:t>
            </w:r>
          </w:p>
        </w:tc>
        <w:tc>
          <w:tcPr>
            <w:tcW w:w="2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3,716</w:t>
            </w:r>
          </w:p>
        </w:tc>
        <w:tc>
          <w:tcPr>
            <w:tcW w:w="22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3,548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440" w:type="dxa"/>
            <w:vAlign w:val="bottom"/>
          </w:tcPr>
          <w:p>
            <w:pPr>
              <w:spacing w:after="0"/>
              <w:rPr>
                <w:sz w:val="20"/>
                <w:szCs w:val="20"/>
                <w:color w:val="auto"/>
              </w:rPr>
            </w:pPr>
            <w:r>
              <w:rPr>
                <w:rFonts w:ascii="Arial" w:cs="Arial" w:eastAsia="Arial" w:hAnsi="Arial"/>
                <w:sz w:val="18"/>
                <w:szCs w:val="18"/>
                <w:color w:val="auto"/>
              </w:rPr>
              <w:t>Costs and expenses:</w:t>
            </w: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Operating</w:t>
            </w: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w w:val="92"/>
              </w:rPr>
              <w:t>Expense from divestitures, asset impairments and unusual items, net</w:t>
            </w:r>
          </w:p>
        </w:tc>
        <w:tc>
          <w:tcPr>
            <w:tcW w:w="2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2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3,015</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440" w:type="dxa"/>
            <w:vAlign w:val="bottom"/>
          </w:tcPr>
          <w:p>
            <w:pPr>
              <w:spacing w:after="0"/>
              <w:rPr>
                <w:sz w:val="20"/>
                <w:szCs w:val="20"/>
                <w:color w:val="auto"/>
              </w:rPr>
            </w:pPr>
            <w:r>
              <w:rPr>
                <w:rFonts w:ascii="Arial" w:cs="Arial" w:eastAsia="Arial" w:hAnsi="Arial"/>
                <w:sz w:val="18"/>
                <w:szCs w:val="18"/>
                <w:color w:val="auto"/>
              </w:rPr>
              <w:t>Other income (expense):</w:t>
            </w: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Equity in net losses of unconsolidated entities</w:t>
            </w: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Income tax expense</w:t>
            </w:r>
          </w:p>
        </w:tc>
        <w:tc>
          <w:tcPr>
            <w:tcW w:w="2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line="195" w:lineRule="exact"/>
              <w:rPr>
                <w:sz w:val="20"/>
                <w:szCs w:val="20"/>
                <w:color w:val="auto"/>
              </w:rPr>
            </w:pPr>
            <w:r>
              <w:rPr>
                <w:rFonts w:ascii="Arial" w:cs="Arial" w:eastAsia="Arial" w:hAnsi="Arial"/>
                <w:sz w:val="18"/>
                <w:szCs w:val="18"/>
                <w:color w:val="auto"/>
              </w:rPr>
              <w:t>Consolidated net income</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388</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304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Less: Net income attributable to noncontrolling interests</w:t>
            </w:r>
          </w:p>
        </w:tc>
        <w:tc>
          <w:tcPr>
            <w:tcW w:w="2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660" w:type="dxa"/>
            <w:vAlign w:val="bottom"/>
          </w:tcPr>
          <w:p>
            <w:pPr>
              <w:spacing w:after="0"/>
              <w:rPr>
                <w:sz w:val="18"/>
                <w:szCs w:val="18"/>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660" w:type="dxa"/>
            <w:vAlign w:val="bottom"/>
          </w:tcPr>
          <w:p>
            <w:pPr>
              <w:spacing w:after="0"/>
              <w:rPr>
                <w:sz w:val="24"/>
                <w:szCs w:val="24"/>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0.87</w:t>
            </w:r>
          </w:p>
        </w:tc>
        <w:tc>
          <w:tcPr>
            <w:tcW w:w="22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40" w:type="dxa"/>
            <w:vAlign w:val="bottom"/>
          </w:tcPr>
          <w:p>
            <w:pPr>
              <w:spacing w:after="0"/>
              <w:rPr>
                <w:sz w:val="20"/>
                <w:szCs w:val="20"/>
                <w:color w:val="auto"/>
              </w:rPr>
            </w:pPr>
            <w:r>
              <w:rPr>
                <w:rFonts w:ascii="Arial" w:cs="Arial" w:eastAsia="Arial" w:hAnsi="Arial"/>
                <w:sz w:val="18"/>
                <w:szCs w:val="18"/>
                <w:color w:val="auto"/>
              </w:rPr>
              <w:t>Basic common shares outstanding</w:t>
            </w:r>
          </w:p>
        </w:tc>
        <w:tc>
          <w:tcPr>
            <w:tcW w:w="2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437.8</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40" w:type="dxa"/>
            <w:vAlign w:val="bottom"/>
          </w:tcPr>
          <w:p>
            <w:pPr>
              <w:spacing w:after="0"/>
              <w:rPr>
                <w:sz w:val="20"/>
                <w:szCs w:val="20"/>
                <w:color w:val="auto"/>
              </w:rPr>
            </w:pPr>
            <w:r>
              <w:rPr>
                <w:rFonts w:ascii="Arial" w:cs="Arial" w:eastAsia="Arial" w:hAnsi="Arial"/>
                <w:sz w:val="18"/>
                <w:szCs w:val="18"/>
                <w:color w:val="auto"/>
              </w:rPr>
              <w:t>Diluted common shares outstanding</w:t>
            </w:r>
          </w:p>
        </w:tc>
        <w:tc>
          <w:tcPr>
            <w:tcW w:w="2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440.8</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4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2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0.425</w:t>
            </w:r>
          </w:p>
        </w:tc>
        <w:tc>
          <w:tcPr>
            <w:tcW w:w="220" w:type="dxa"/>
            <w:vAlign w:val="bottom"/>
          </w:tcPr>
          <w:p>
            <w:pPr>
              <w:spacing w:after="0"/>
              <w:rPr>
                <w:sz w:val="24"/>
                <w:szCs w:val="24"/>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660" w:type="dxa"/>
            <w:vAlign w:val="bottom"/>
            <w:vMerge w:val="restart"/>
          </w:tcPr>
          <w:p>
            <w:pPr>
              <w:jc w:val="right"/>
              <w:ind w:right="2190"/>
              <w:spacing w:after="0"/>
              <w:rPr>
                <w:sz w:val="20"/>
                <w:szCs w:val="20"/>
                <w:color w:val="auto"/>
              </w:rPr>
            </w:pPr>
            <w:r>
              <w:rPr>
                <w:rFonts w:ascii="Arial" w:cs="Arial" w:eastAsia="Arial" w:hAnsi="Arial"/>
                <w:sz w:val="18"/>
                <w:szCs w:val="18"/>
                <w:b w:val="1"/>
                <w:bCs w:val="1"/>
                <w:color w:val="auto"/>
              </w:rPr>
              <w:t>(1)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4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Waste Management, Inc.</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Earnings Per Share</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(In Millions, Except Per Share Amounts)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330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Quarters Ended September 30,</w:t>
            </w:r>
          </w:p>
        </w:tc>
      </w:tr>
      <w:tr>
        <w:trPr>
          <w:trHeight w:val="210"/>
        </w:trPr>
        <w:tc>
          <w:tcPr>
            <w:tcW w:w="80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480"/>
        </w:trPr>
        <w:tc>
          <w:tcPr>
            <w:tcW w:w="8020" w:type="dxa"/>
            <w:vAlign w:val="bottom"/>
          </w:tcPr>
          <w:p>
            <w:pPr>
              <w:spacing w:after="0"/>
              <w:rPr>
                <w:sz w:val="20"/>
                <w:szCs w:val="20"/>
                <w:color w:val="auto"/>
              </w:rPr>
            </w:pPr>
            <w:r>
              <w:rPr>
                <w:rFonts w:ascii="Arial" w:cs="Arial" w:eastAsia="Arial" w:hAnsi="Arial"/>
                <w:sz w:val="18"/>
                <w:szCs w:val="18"/>
                <w:b w:val="1"/>
                <w:bCs w:val="1"/>
                <w:color w:val="auto"/>
              </w:rPr>
              <w:t>EPS Calculation:</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86"/>
        </w:trPr>
        <w:tc>
          <w:tcPr>
            <w:tcW w:w="802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560" w:type="dxa"/>
            <w:vAlign w:val="bottom"/>
          </w:tcPr>
          <w:p>
            <w:pPr>
              <w:spacing w:after="0"/>
              <w:rPr>
                <w:sz w:val="24"/>
                <w:szCs w:val="24"/>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8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31"/>
        </w:trPr>
        <w:tc>
          <w:tcPr>
            <w:tcW w:w="8020" w:type="dxa"/>
            <w:vAlign w:val="bottom"/>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434.2</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442.0</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Effect of using weighted average common shares outstanding</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195"/>
        </w:trPr>
        <w:tc>
          <w:tcPr>
            <w:tcW w:w="8020" w:type="dxa"/>
            <w:vAlign w:val="bottom"/>
          </w:tcPr>
          <w:p>
            <w:pPr>
              <w:spacing w:after="0" w:line="195" w:lineRule="exact"/>
              <w:rPr>
                <w:sz w:val="20"/>
                <w:szCs w:val="20"/>
                <w:color w:val="auto"/>
              </w:rPr>
            </w:pPr>
            <w:r>
              <w:rPr>
                <w:rFonts w:ascii="Arial" w:cs="Arial" w:eastAsia="Arial" w:hAnsi="Arial"/>
                <w:sz w:val="18"/>
                <w:szCs w:val="18"/>
                <w:color w:val="auto"/>
              </w:rPr>
              <w:t>Weighted average basic common shares outstanding</w:t>
            </w:r>
          </w:p>
        </w:tc>
        <w:tc>
          <w:tcPr>
            <w:tcW w:w="860" w:type="dxa"/>
            <w:vAlign w:val="bottom"/>
          </w:tcPr>
          <w:p>
            <w:pPr>
              <w:spacing w:after="0"/>
              <w:rPr>
                <w:sz w:val="16"/>
                <w:szCs w:val="16"/>
                <w:color w:val="auto"/>
              </w:rPr>
            </w:pP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w w:val="88"/>
              </w:rPr>
              <w:t>437.8</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442.9</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8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Weighted average diluted common shares outstanding</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440.8</w:t>
            </w:r>
          </w:p>
        </w:tc>
        <w:tc>
          <w:tcPr>
            <w:tcW w:w="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445.7</w:t>
            </w:r>
          </w:p>
        </w:tc>
      </w:tr>
      <w:tr>
        <w:trPr>
          <w:trHeight w:val="20"/>
        </w:trPr>
        <w:tc>
          <w:tcPr>
            <w:tcW w:w="8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45"/>
        </w:trPr>
        <w:tc>
          <w:tcPr>
            <w:tcW w:w="80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560" w:type="dxa"/>
            <w:vAlign w:val="bottom"/>
          </w:tcPr>
          <w:p>
            <w:pPr>
              <w:spacing w:after="0"/>
              <w:rPr>
                <w:sz w:val="24"/>
                <w:szCs w:val="24"/>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r>
      <w:tr>
        <w:trPr>
          <w:trHeight w:val="20"/>
        </w:trPr>
        <w:tc>
          <w:tcPr>
            <w:tcW w:w="8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60"/>
          </w:cols>
          <w:pgMar w:left="240" w:top="108" w:right="199" w:bottom="0" w:gutter="0" w:footer="0" w:header="0"/>
        </w:sectPr>
      </w:pPr>
    </w:p>
    <w:bookmarkStart w:id="5" w:name="page6"/>
    <w:bookmarkEnd w:id="5"/>
    <w:p>
      <w:pPr>
        <w:spacing w:after="0"/>
        <w:tabs>
          <w:tab w:leader="none" w:pos="8080" w:val="left"/>
          <w:tab w:leader="none" w:pos="8960" w:val="left"/>
          <w:tab w:leader="none" w:pos="10000" w:val="left"/>
          <w:tab w:leader="none" w:pos="10900" w:val="left"/>
        </w:tabs>
        <w:rPr>
          <w:sz w:val="20"/>
          <w:szCs w:val="20"/>
          <w:color w:val="auto"/>
        </w:rPr>
      </w:pPr>
      <w:r>
        <w:rPr>
          <w:rFonts w:ascii="Arial" w:cs="Arial" w:eastAsia="Arial" w:hAnsi="Arial"/>
          <w:sz w:val="18"/>
          <w:szCs w:val="18"/>
          <w:color w:val="auto"/>
        </w:rPr>
        <w:t>Diluted earnings per common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0.87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14605</wp:posOffset>
            </wp:positionV>
            <wp:extent cx="209232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92325" cy="26035"/>
                    </a:xfrm>
                    <a:prstGeom prst="rect">
                      <a:avLst/>
                    </a:prstGeom>
                    <a:noFill/>
                  </pic:spPr>
                </pic:pic>
              </a:graphicData>
            </a:graphic>
          </wp:anchor>
        </w:drawing>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Waste Management, Inc.</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Condensed Consolidated Statements of Operations</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(In Millions, Except Per Share Amounts)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1"/>
              </w:rPr>
              <w:t>Nine Months Ended September 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5440" w:type="dxa"/>
            <w:vAlign w:val="bottom"/>
          </w:tcPr>
          <w:p>
            <w:pPr>
              <w:spacing w:after="0"/>
              <w:rPr>
                <w:sz w:val="20"/>
                <w:szCs w:val="20"/>
                <w:color w:val="auto"/>
              </w:rPr>
            </w:pPr>
            <w:r>
              <w:rPr>
                <w:rFonts w:ascii="Arial" w:cs="Arial" w:eastAsia="Arial" w:hAnsi="Arial"/>
                <w:sz w:val="18"/>
                <w:szCs w:val="18"/>
                <w:color w:val="auto"/>
              </w:rPr>
              <w:t>Operating revenues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10,833</w:t>
            </w:r>
          </w:p>
        </w:tc>
        <w:tc>
          <w:tcPr>
            <w:tcW w:w="220" w:type="dxa"/>
            <w:vAlign w:val="bottom"/>
          </w:tcPr>
          <w:p>
            <w:pPr>
              <w:spacing w:after="0"/>
              <w:rPr>
                <w:sz w:val="24"/>
                <w:szCs w:val="24"/>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10,149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440" w:type="dxa"/>
            <w:vAlign w:val="bottom"/>
          </w:tcPr>
          <w:p>
            <w:pPr>
              <w:spacing w:after="0"/>
              <w:rPr>
                <w:sz w:val="20"/>
                <w:szCs w:val="20"/>
                <w:color w:val="auto"/>
              </w:rPr>
            </w:pPr>
            <w:r>
              <w:rPr>
                <w:rFonts w:ascii="Arial" w:cs="Arial" w:eastAsia="Arial" w:hAnsi="Arial"/>
                <w:sz w:val="18"/>
                <w:szCs w:val="18"/>
                <w:color w:val="auto"/>
              </w:rPr>
              <w:t>Costs and expenses:</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Operating</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6,758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w w:val="92"/>
              </w:rPr>
              <w:t>Expense from divestitures, asset impairments and unusual items, net</w:t>
            </w:r>
          </w:p>
        </w:tc>
        <w:tc>
          <w:tcPr>
            <w:tcW w:w="2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8,901</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1,932</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440" w:type="dxa"/>
            <w:vAlign w:val="bottom"/>
          </w:tcPr>
          <w:p>
            <w:pPr>
              <w:spacing w:after="0"/>
              <w:rPr>
                <w:sz w:val="20"/>
                <w:szCs w:val="20"/>
                <w:color w:val="auto"/>
              </w:rPr>
            </w:pPr>
            <w:r>
              <w:rPr>
                <w:rFonts w:ascii="Arial" w:cs="Arial" w:eastAsia="Arial" w:hAnsi="Arial"/>
                <w:sz w:val="18"/>
                <w:szCs w:val="18"/>
                <w:color w:val="auto"/>
              </w:rPr>
              <w:t>Other income (expense):</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Equity in net losses of unconsolidated entities</w:t>
            </w: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5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1,607</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Income tax expense</w:t>
            </w:r>
          </w:p>
        </w:tc>
        <w:tc>
          <w:tcPr>
            <w:tcW w:w="2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line="195" w:lineRule="exact"/>
              <w:rPr>
                <w:sz w:val="20"/>
                <w:szCs w:val="20"/>
                <w:color w:val="auto"/>
              </w:rPr>
            </w:pPr>
            <w:r>
              <w:rPr>
                <w:rFonts w:ascii="Arial" w:cs="Arial" w:eastAsia="Arial" w:hAnsi="Arial"/>
                <w:sz w:val="18"/>
                <w:szCs w:val="18"/>
                <w:color w:val="auto"/>
              </w:rPr>
              <w:t>Consolidated net income</w:t>
            </w: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1,046</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846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Less: Net loss attributable to noncontrolling interests</w:t>
            </w:r>
          </w:p>
        </w:tc>
        <w:tc>
          <w:tcPr>
            <w:tcW w:w="2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58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1,046</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4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58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4"/>
                <w:szCs w:val="24"/>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4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4"/>
                <w:szCs w:val="24"/>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440" w:type="dxa"/>
            <w:vAlign w:val="bottom"/>
          </w:tcPr>
          <w:p>
            <w:pPr>
              <w:spacing w:after="0"/>
              <w:rPr>
                <w:sz w:val="20"/>
                <w:szCs w:val="20"/>
                <w:color w:val="auto"/>
              </w:rPr>
            </w:pPr>
            <w:r>
              <w:rPr>
                <w:rFonts w:ascii="Arial" w:cs="Arial" w:eastAsia="Arial" w:hAnsi="Arial"/>
                <w:sz w:val="18"/>
                <w:szCs w:val="18"/>
                <w:color w:val="auto"/>
              </w:rPr>
              <w:t>Basic common shares outstanding</w:t>
            </w:r>
          </w:p>
        </w:tc>
        <w:tc>
          <w:tcPr>
            <w:tcW w:w="2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440.3</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444.3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440" w:type="dxa"/>
            <w:vAlign w:val="bottom"/>
          </w:tcPr>
          <w:p>
            <w:pPr>
              <w:spacing w:after="0"/>
              <w:rPr>
                <w:sz w:val="20"/>
                <w:szCs w:val="20"/>
                <w:color w:val="auto"/>
              </w:rPr>
            </w:pPr>
            <w:r>
              <w:rPr>
                <w:rFonts w:ascii="Arial" w:cs="Arial" w:eastAsia="Arial" w:hAnsi="Arial"/>
                <w:sz w:val="18"/>
                <w:szCs w:val="18"/>
                <w:color w:val="auto"/>
              </w:rPr>
              <w:t>Diluted common shares outstanding</w:t>
            </w:r>
          </w:p>
        </w:tc>
        <w:tc>
          <w:tcPr>
            <w:tcW w:w="2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443.3</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447.1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44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220" w:type="dxa"/>
            <w:vAlign w:val="bottom"/>
          </w:tcPr>
          <w:p>
            <w:pPr>
              <w:spacing w:after="0"/>
              <w:rPr>
                <w:sz w:val="24"/>
                <w:szCs w:val="24"/>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580" w:type="dxa"/>
            <w:vAlign w:val="bottom"/>
            <w:vMerge w:val="restart"/>
          </w:tcPr>
          <w:p>
            <w:pPr>
              <w:jc w:val="right"/>
              <w:ind w:right="2110"/>
              <w:spacing w:after="0"/>
              <w:rPr>
                <w:sz w:val="20"/>
                <w:szCs w:val="20"/>
                <w:color w:val="auto"/>
              </w:rPr>
            </w:pPr>
            <w:r>
              <w:rPr>
                <w:rFonts w:ascii="Arial" w:cs="Arial" w:eastAsia="Arial" w:hAnsi="Arial"/>
                <w:sz w:val="18"/>
                <w:szCs w:val="18"/>
                <w:b w:val="1"/>
                <w:bCs w:val="1"/>
                <w:color w:val="auto"/>
              </w:rPr>
              <w:t>(3)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4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Waste Management, Inc.</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Earnings Per Share</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(In Millions, Except Per Share Amounts)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23"/>
          <w:szCs w:val="23"/>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10"/>
        </w:trPr>
        <w:tc>
          <w:tcPr>
            <w:tcW w:w="8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480"/>
        </w:trPr>
        <w:tc>
          <w:tcPr>
            <w:tcW w:w="8000" w:type="dxa"/>
            <w:vAlign w:val="bottom"/>
          </w:tcPr>
          <w:p>
            <w:pPr>
              <w:spacing w:after="0"/>
              <w:rPr>
                <w:sz w:val="20"/>
                <w:szCs w:val="20"/>
                <w:color w:val="auto"/>
              </w:rPr>
            </w:pPr>
            <w:r>
              <w:rPr>
                <w:rFonts w:ascii="Arial" w:cs="Arial" w:eastAsia="Arial" w:hAnsi="Arial"/>
                <w:sz w:val="18"/>
                <w:szCs w:val="18"/>
                <w:b w:val="1"/>
                <w:bCs w:val="1"/>
                <w:color w:val="auto"/>
              </w:rPr>
              <w:t>EPS Calculation:</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86"/>
        </w:trPr>
        <w:tc>
          <w:tcPr>
            <w:tcW w:w="800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560" w:type="dxa"/>
            <w:vAlign w:val="bottom"/>
          </w:tcPr>
          <w:p>
            <w:pPr>
              <w:spacing w:after="0"/>
              <w:rPr>
                <w:sz w:val="24"/>
                <w:szCs w:val="24"/>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60"/>
          </w:cols>
          <w:pgMar w:left="240" w:top="125" w:right="199" w:bottom="36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Effect of using weighted average common shares outstanding</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000" w:type="dxa"/>
            <w:vAlign w:val="bottom"/>
          </w:tcPr>
          <w:p>
            <w:pPr>
              <w:spacing w:after="0" w:line="195" w:lineRule="exact"/>
              <w:rPr>
                <w:sz w:val="20"/>
                <w:szCs w:val="20"/>
                <w:color w:val="auto"/>
              </w:rPr>
            </w:pPr>
            <w:r>
              <w:rPr>
                <w:rFonts w:ascii="Arial" w:cs="Arial" w:eastAsia="Arial" w:hAnsi="Arial"/>
                <w:sz w:val="18"/>
                <w:szCs w:val="18"/>
                <w:color w:val="auto"/>
              </w:rPr>
              <w:t>Weighted average basic common shares outstanding</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440.3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444.3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Weighted average diluted common shares outstanding</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80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80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600"/>
              <w:spacing w:after="0"/>
              <w:rPr>
                <w:sz w:val="20"/>
                <w:szCs w:val="20"/>
                <w:color w:val="auto"/>
              </w:rPr>
            </w:pPr>
            <w:r>
              <w:rPr>
                <w:rFonts w:ascii="Arial" w:cs="Arial" w:eastAsia="Arial" w:hAnsi="Arial"/>
                <w:sz w:val="18"/>
                <w:szCs w:val="18"/>
                <w:b w:val="1"/>
                <w:bCs w:val="1"/>
                <w:color w:val="auto"/>
              </w:rPr>
              <w:t>(4)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0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802"/>
        </w:trPr>
        <w:tc>
          <w:tcPr>
            <w:tcW w:w="8000" w:type="dxa"/>
            <w:vAlign w:val="bottom"/>
          </w:tcPr>
          <w:p>
            <w:pPr>
              <w:jc w:val="center"/>
              <w:ind w:left="3387"/>
              <w:spacing w:after="0"/>
              <w:rPr>
                <w:sz w:val="20"/>
                <w:szCs w:val="20"/>
                <w:color w:val="auto"/>
              </w:rPr>
            </w:pPr>
            <w:r>
              <w:rPr>
                <w:rFonts w:ascii="Arial" w:cs="Arial" w:eastAsia="Arial" w:hAnsi="Arial"/>
                <w:sz w:val="23"/>
                <w:szCs w:val="23"/>
                <w:b w:val="1"/>
                <w:bCs w:val="1"/>
                <w:color w:val="auto"/>
                <w:w w:val="92"/>
              </w:rPr>
              <w:t>Waste Management, Inc.</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0" w:type="dxa"/>
            <w:vAlign w:val="bottom"/>
          </w:tcPr>
          <w:p>
            <w:pPr>
              <w:jc w:val="center"/>
              <w:ind w:left="3407"/>
              <w:spacing w:after="0"/>
              <w:rPr>
                <w:sz w:val="20"/>
                <w:szCs w:val="20"/>
                <w:color w:val="auto"/>
              </w:rPr>
            </w:pPr>
            <w:r>
              <w:rPr>
                <w:rFonts w:ascii="Arial" w:cs="Arial" w:eastAsia="Arial" w:hAnsi="Arial"/>
                <w:sz w:val="23"/>
                <w:szCs w:val="23"/>
                <w:b w:val="1"/>
                <w:bCs w:val="1"/>
                <w:color w:val="auto"/>
                <w:w w:val="88"/>
              </w:rPr>
              <w:t>Condensed Consolidated Balance Sheets</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8000" w:type="dxa"/>
            <w:vAlign w:val="bottom"/>
          </w:tcPr>
          <w:p>
            <w:pPr>
              <w:jc w:val="center"/>
              <w:ind w:left="3407"/>
              <w:spacing w:after="0"/>
              <w:rPr>
                <w:sz w:val="20"/>
                <w:szCs w:val="20"/>
                <w:color w:val="auto"/>
              </w:rPr>
            </w:pPr>
            <w:r>
              <w:rPr>
                <w:rFonts w:ascii="Arial" w:cs="Arial" w:eastAsia="Arial" w:hAnsi="Arial"/>
                <w:sz w:val="23"/>
                <w:szCs w:val="23"/>
                <w:b w:val="1"/>
                <w:bCs w:val="1"/>
                <w:color w:val="auto"/>
                <w:w w:val="98"/>
              </w:rPr>
              <w:t>(In Millions)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2,002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5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11,136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10,950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6,267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20,949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Accounts payable, accrued liabilities, and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40"/>
              <w:spacing w:after="0"/>
              <w:rPr>
                <w:sz w:val="20"/>
                <w:szCs w:val="20"/>
                <w:color w:val="auto"/>
              </w:rPr>
            </w:pPr>
            <w:r>
              <w:rPr>
                <w:rFonts w:ascii="Arial" w:cs="Arial" w:eastAsia="Arial" w:hAnsi="Arial"/>
                <w:sz w:val="18"/>
                <w:szCs w:val="18"/>
                <w:color w:val="auto"/>
              </w:rPr>
              <w:t>deferred revenues</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2,409</w:t>
            </w:r>
          </w:p>
        </w:tc>
        <w:tc>
          <w:tcPr>
            <w:tcW w:w="6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3,259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80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8,495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8,893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3,895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15,649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000" w:type="dxa"/>
            <w:vAlign w:val="bottom"/>
          </w:tcPr>
          <w:p>
            <w:pPr>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Waste Management, Inc. stockholders’ equity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5,278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540"/>
              <w:spacing w:after="0"/>
              <w:rPr>
                <w:sz w:val="20"/>
                <w:szCs w:val="20"/>
                <w:color w:val="auto"/>
              </w:rPr>
            </w:pPr>
            <w:r>
              <w:rPr>
                <w:rFonts w:ascii="Arial" w:cs="Arial" w:eastAsia="Arial" w:hAnsi="Arial"/>
                <w:sz w:val="18"/>
                <w:szCs w:val="18"/>
                <w:color w:val="auto"/>
              </w:rPr>
              <w:t>Total equity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540"/>
              <w:spacing w:after="0"/>
              <w:rPr>
                <w:sz w:val="20"/>
                <w:szCs w:val="20"/>
                <w:color w:val="auto"/>
              </w:rPr>
            </w:pPr>
            <w:r>
              <w:rPr>
                <w:rFonts w:ascii="Arial" w:cs="Arial" w:eastAsia="Arial" w:hAnsi="Arial"/>
                <w:sz w:val="18"/>
                <w:szCs w:val="18"/>
                <w:color w:val="auto"/>
              </w:rPr>
              <w:t>Total liabilities and equity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20,949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60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0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8000" w:type="dxa"/>
            <w:vAlign w:val="bottom"/>
          </w:tcPr>
          <w:p>
            <w:pPr>
              <w:ind w:left="3680"/>
              <w:spacing w:after="0"/>
              <w:rPr>
                <w:sz w:val="20"/>
                <w:szCs w:val="20"/>
                <w:color w:val="auto"/>
              </w:rPr>
            </w:pPr>
            <w:r>
              <w:rPr>
                <w:rFonts w:ascii="Arial" w:cs="Arial" w:eastAsia="Arial" w:hAnsi="Arial"/>
                <w:sz w:val="22"/>
                <w:szCs w:val="22"/>
                <w:b w:val="1"/>
                <w:bCs w:val="1"/>
                <w:color w:val="auto"/>
              </w:rPr>
              <w:t>Waste Management, Inc.</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700"/>
              <w:spacing w:after="0" w:line="243" w:lineRule="exact"/>
              <w:rPr>
                <w:sz w:val="20"/>
                <w:szCs w:val="20"/>
                <w:color w:val="auto"/>
              </w:rPr>
            </w:pPr>
            <w:r>
              <w:rPr>
                <w:rFonts w:ascii="Arial" w:cs="Arial" w:eastAsia="Arial" w:hAnsi="Arial"/>
                <w:sz w:val="22"/>
                <w:szCs w:val="22"/>
                <w:b w:val="1"/>
                <w:bCs w:val="1"/>
                <w:color w:val="auto"/>
                <w:w w:val="96"/>
              </w:rPr>
              <w:t>Condensed Consolidated Statements of Cash Flows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140"/>
              <w:spacing w:after="0" w:line="243" w:lineRule="exact"/>
              <w:rPr>
                <w:sz w:val="20"/>
                <w:szCs w:val="20"/>
                <w:color w:val="auto"/>
              </w:rPr>
            </w:pPr>
            <w:r>
              <w:rPr>
                <w:rFonts w:ascii="Arial" w:cs="Arial" w:eastAsia="Arial" w:hAnsi="Arial"/>
                <w:sz w:val="22"/>
                <w:szCs w:val="22"/>
                <w:b w:val="1"/>
                <w:bCs w:val="1"/>
                <w:color w:val="auto"/>
              </w:rPr>
              <w:t>(In Millions)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8000" w:type="dxa"/>
            <w:vAlign w:val="bottom"/>
          </w:tcPr>
          <w:p>
            <w:pPr>
              <w:ind w:left="4160"/>
              <w:spacing w:after="0"/>
              <w:rPr>
                <w:sz w:val="20"/>
                <w:szCs w:val="20"/>
                <w:color w:val="auto"/>
              </w:rPr>
            </w:pPr>
            <w:r>
              <w:rPr>
                <w:rFonts w:ascii="Arial" w:cs="Arial" w:eastAsia="Arial" w:hAnsi="Arial"/>
                <w:sz w:val="22"/>
                <w:szCs w:val="22"/>
                <w:b w:val="1"/>
                <w:bCs w:val="1"/>
                <w:color w:val="auto"/>
              </w:rPr>
              <w:t>(Unaudited)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ind w:left="60"/>
              <w:spacing w:after="0"/>
              <w:rPr>
                <w:sz w:val="20"/>
                <w:szCs w:val="20"/>
                <w:color w:val="auto"/>
              </w:rPr>
            </w:pPr>
            <w:r>
              <w:rPr>
                <w:rFonts w:ascii="Arial" w:cs="Arial" w:eastAsia="Arial" w:hAnsi="Arial"/>
                <w:sz w:val="18"/>
                <w:szCs w:val="18"/>
                <w:b w:val="1"/>
                <w:bCs w:val="1"/>
                <w:color w:val="auto"/>
                <w:w w:val="99"/>
              </w:rPr>
              <w:t>Nine Months Ended September 30,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0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60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00"/>
              <w:spacing w:after="0"/>
              <w:rPr>
                <w:sz w:val="20"/>
                <w:szCs w:val="20"/>
                <w:color w:val="auto"/>
              </w:rPr>
            </w:pPr>
            <w:r>
              <w:rPr>
                <w:rFonts w:ascii="Arial" w:cs="Arial" w:eastAsia="Arial" w:hAnsi="Arial"/>
                <w:sz w:val="18"/>
                <w:szCs w:val="18"/>
                <w:color w:val="auto"/>
              </w:rPr>
              <w:t>Adjustments to reconcile consolidated net income to net cash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380"/>
              <w:spacing w:after="0"/>
              <w:rPr>
                <w:sz w:val="20"/>
                <w:szCs w:val="20"/>
                <w:color w:val="auto"/>
              </w:rPr>
            </w:pPr>
            <w:r>
              <w:rPr>
                <w:rFonts w:ascii="Arial" w:cs="Arial" w:eastAsia="Arial" w:hAnsi="Arial"/>
                <w:sz w:val="18"/>
                <w:szCs w:val="18"/>
                <w:color w:val="auto"/>
              </w:rPr>
              <w:t>provided by operating activities: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-8422640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-8422640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-2119630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-2119630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7" w:name="page8"/>
    <w:bookmarkEnd w:id="7"/>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988</w:t>
            </w:r>
          </w:p>
        </w:tc>
      </w:tr>
      <w:tr>
        <w:trPr>
          <w:trHeight w:val="216"/>
        </w:trPr>
        <w:tc>
          <w:tcPr>
            <w:tcW w:w="8080" w:type="dxa"/>
            <w:vAlign w:val="bottom"/>
          </w:tcPr>
          <w:p>
            <w:pPr>
              <w:ind w:left="56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309</w:t>
            </w:r>
          </w:p>
        </w:tc>
      </w:tr>
      <w:tr>
        <w:trPr>
          <w:trHeight w:val="216"/>
        </w:trPr>
        <w:tc>
          <w:tcPr>
            <w:tcW w:w="808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 net of effects of</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080" w:type="dxa"/>
            <w:vAlign w:val="bottom"/>
          </w:tcPr>
          <w:p>
            <w:pPr>
              <w:ind w:left="740"/>
              <w:spacing w:after="0"/>
              <w:rPr>
                <w:sz w:val="20"/>
                <w:szCs w:val="20"/>
                <w:color w:val="auto"/>
              </w:rPr>
            </w:pPr>
            <w:r>
              <w:rPr>
                <w:rFonts w:ascii="Arial" w:cs="Arial" w:eastAsia="Arial" w:hAnsi="Arial"/>
                <w:sz w:val="18"/>
                <w:szCs w:val="18"/>
                <w:color w:val="auto"/>
              </w:rPr>
              <w:t>acquisitions and divestitures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2,390</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2,252</w:t>
            </w:r>
          </w:p>
        </w:tc>
      </w:tr>
      <w:tr>
        <w:trPr>
          <w:trHeight w:val="411"/>
        </w:trPr>
        <w:tc>
          <w:tcPr>
            <w:tcW w:w="80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Proceeds from divestitures of businesses</w:t>
            </w: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8080" w:type="dxa"/>
            <w:vAlign w:val="bottom"/>
          </w:tcPr>
          <w:p>
            <w:pPr>
              <w:ind w:left="380"/>
              <w:spacing w:after="0"/>
              <w:rPr>
                <w:sz w:val="20"/>
                <w:szCs w:val="20"/>
                <w:color w:val="auto"/>
              </w:rPr>
            </w:pPr>
            <w:r>
              <w:rPr>
                <w:rFonts w:ascii="Arial" w:cs="Arial" w:eastAsia="Arial" w:hAnsi="Arial"/>
                <w:sz w:val="18"/>
                <w:szCs w:val="18"/>
                <w:color w:val="auto"/>
              </w:rPr>
              <w:t>and other assets (net of cash divested)</w:t>
            </w: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30"/>
        </w:trPr>
        <w:tc>
          <w:tcPr>
            <w:tcW w:w="80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r>
      <w:tr>
        <w:trPr>
          <w:trHeight w:val="411"/>
        </w:trPr>
        <w:tc>
          <w:tcPr>
            <w:tcW w:w="8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2,536</w:t>
            </w: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(2,210)</w:t>
            </w: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Net commercial paper borrowings</w:t>
            </w: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Common stock repurchase program</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w:t>
            </w:r>
          </w:p>
        </w:tc>
      </w:tr>
      <w:tr>
        <w:trPr>
          <w:trHeight w:val="216"/>
        </w:trPr>
        <w:tc>
          <w:tcPr>
            <w:tcW w:w="8080" w:type="dxa"/>
            <w:vAlign w:val="bottom"/>
          </w:tcPr>
          <w:p>
            <w:pPr>
              <w:ind w:left="20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0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426"/>
        </w:trPr>
        <w:tc>
          <w:tcPr>
            <w:tcW w:w="80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411"/>
        </w:trPr>
        <w:tc>
          <w:tcPr>
            <w:tcW w:w="80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52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r>
      <w:tr>
        <w:trPr>
          <w:trHeight w:val="210"/>
        </w:trPr>
        <w:tc>
          <w:tcPr>
            <w:tcW w:w="80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0"/>
        </w:trPr>
        <w:tc>
          <w:tcPr>
            <w:tcW w:w="80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 year information has been revised to reflect the adoption of ASU 2016-09 and conform to our current year presentation.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Data Sheet</w:t>
      </w:r>
    </w:p>
    <w:p>
      <w:pPr>
        <w:jc w:val="center"/>
        <w:spacing w:after="0" w:line="230" w:lineRule="auto"/>
        <w:rPr>
          <w:sz w:val="20"/>
          <w:szCs w:val="20"/>
          <w:color w:val="auto"/>
        </w:rPr>
      </w:pPr>
      <w:r>
        <w:rPr>
          <w:rFonts w:ascii="Arial" w:cs="Arial" w:eastAsia="Arial" w:hAnsi="Arial"/>
          <w:sz w:val="22"/>
          <w:szCs w:val="22"/>
          <w:b w:val="1"/>
          <w:bCs w:val="1"/>
          <w:color w:val="auto"/>
        </w:rPr>
        <w:t>(Dollar Amounts in Millions)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Quarters Ended</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16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1040" w:type="dxa"/>
            <w:vAlign w:val="bottom"/>
          </w:tcPr>
          <w:p>
            <w:pPr>
              <w:jc w:val="right"/>
              <w:ind w:right="88"/>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71"/>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w w:val="89"/>
              </w:rPr>
              <w:t>Operating Revenues by Lines of Business</w:t>
            </w:r>
          </w:p>
        </w:tc>
        <w:tc>
          <w:tcPr>
            <w:tcW w:w="204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20"/>
        </w:trPr>
        <w:tc>
          <w:tcPr>
            <w:tcW w:w="2540" w:type="dxa"/>
            <w:vAlign w:val="bottom"/>
            <w:tcBorders>
              <w:bottom w:val="single" w:sz="8" w:color="auto"/>
            </w:tcBorders>
            <w:vMerge w:val="continue"/>
          </w:tcPr>
          <w:p>
            <w:pPr>
              <w:spacing w:after="0"/>
              <w:rPr>
                <w:sz w:val="10"/>
                <w:szCs w:val="10"/>
                <w:color w:val="auto"/>
              </w:rPr>
            </w:pPr>
          </w:p>
        </w:tc>
        <w:tc>
          <w:tcPr>
            <w:tcW w:w="20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2"/>
        </w:trPr>
        <w:tc>
          <w:tcPr>
            <w:tcW w:w="4580" w:type="dxa"/>
            <w:vAlign w:val="bottom"/>
            <w:gridSpan w:val="2"/>
          </w:tcPr>
          <w:p>
            <w:pPr>
              <w:ind w:left="540"/>
              <w:spacing w:after="0"/>
              <w:rPr>
                <w:sz w:val="20"/>
                <w:szCs w:val="20"/>
                <w:color w:val="auto"/>
              </w:rPr>
            </w:pPr>
            <w:r>
              <w:rPr>
                <w:rFonts w:ascii="Arial" w:cs="Arial" w:eastAsia="Arial" w:hAnsi="Arial"/>
                <w:sz w:val="14"/>
                <w:szCs w:val="14"/>
                <w:color w:val="auto"/>
              </w:rPr>
              <w:t>Collection</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5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Commercial</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936</w:t>
            </w:r>
          </w:p>
        </w:tc>
        <w:tc>
          <w:tcPr>
            <w:tcW w:w="680" w:type="dxa"/>
            <w:vAlign w:val="bottom"/>
          </w:tcPr>
          <w:p>
            <w:pPr>
              <w:spacing w:after="0"/>
              <w:rPr>
                <w:sz w:val="12"/>
                <w:szCs w:val="12"/>
                <w:color w:val="auto"/>
              </w:rPr>
            </w:pPr>
          </w:p>
        </w:tc>
        <w:tc>
          <w:tcPr>
            <w:tcW w:w="2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917</w:t>
            </w:r>
          </w:p>
        </w:tc>
        <w:tc>
          <w:tcPr>
            <w:tcW w:w="7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881</w:t>
            </w:r>
          </w:p>
        </w:tc>
        <w:tc>
          <w:tcPr>
            <w:tcW w:w="0" w:type="dxa"/>
            <w:vAlign w:val="bottom"/>
          </w:tcPr>
          <w:p>
            <w:pPr>
              <w:spacing w:after="0"/>
              <w:rPr>
                <w:sz w:val="1"/>
                <w:szCs w:val="1"/>
                <w:color w:val="auto"/>
              </w:rPr>
            </w:pPr>
          </w:p>
        </w:tc>
      </w:tr>
      <w:tr>
        <w:trPr>
          <w:trHeight w:val="149"/>
        </w:trPr>
        <w:tc>
          <w:tcPr>
            <w:tcW w:w="45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Residential</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632</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45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Industrial</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673</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654</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61"/>
        </w:trPr>
        <w:tc>
          <w:tcPr>
            <w:tcW w:w="45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w:t>
            </w:r>
          </w:p>
        </w:tc>
        <w:tc>
          <w:tcPr>
            <w:tcW w:w="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123</w:t>
            </w:r>
          </w:p>
        </w:tc>
        <w:tc>
          <w:tcPr>
            <w:tcW w:w="7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30"/>
        </w:trPr>
        <w:tc>
          <w:tcPr>
            <w:tcW w:w="4580" w:type="dxa"/>
            <w:vAlign w:val="bottom"/>
            <w:gridSpan w:val="2"/>
          </w:tcPr>
          <w:p>
            <w:pPr>
              <w:ind w:left="540"/>
              <w:spacing w:after="0" w:line="130" w:lineRule="exact"/>
              <w:rPr>
                <w:sz w:val="20"/>
                <w:szCs w:val="20"/>
                <w:color w:val="auto"/>
              </w:rPr>
            </w:pPr>
            <w:r>
              <w:rPr>
                <w:rFonts w:ascii="Arial" w:cs="Arial" w:eastAsia="Arial" w:hAnsi="Arial"/>
                <w:sz w:val="14"/>
                <w:szCs w:val="14"/>
                <w:color w:val="auto"/>
              </w:rPr>
              <w:t>Total Collection</w:t>
            </w:r>
          </w:p>
        </w:tc>
        <w:tc>
          <w:tcPr>
            <w:tcW w:w="140" w:type="dxa"/>
            <w:vAlign w:val="bottom"/>
          </w:tcPr>
          <w:p>
            <w:pPr>
              <w:spacing w:after="0"/>
              <w:rPr>
                <w:sz w:val="11"/>
                <w:szCs w:val="11"/>
                <w:color w:val="auto"/>
              </w:rPr>
            </w:pPr>
          </w:p>
        </w:tc>
        <w:tc>
          <w:tcPr>
            <w:tcW w:w="1020" w:type="dxa"/>
            <w:vAlign w:val="bottom"/>
          </w:tcPr>
          <w:p>
            <w:pPr>
              <w:jc w:val="right"/>
              <w:spacing w:after="0" w:line="130" w:lineRule="exact"/>
              <w:rPr>
                <w:sz w:val="20"/>
                <w:szCs w:val="20"/>
                <w:color w:val="auto"/>
              </w:rPr>
            </w:pPr>
            <w:r>
              <w:rPr>
                <w:rFonts w:ascii="Arial" w:cs="Arial" w:eastAsia="Arial" w:hAnsi="Arial"/>
                <w:sz w:val="14"/>
                <w:szCs w:val="14"/>
                <w:color w:val="auto"/>
              </w:rPr>
              <w:t>2,351</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ind w:right="8"/>
              <w:spacing w:after="0" w:line="130" w:lineRule="exact"/>
              <w:rPr>
                <w:sz w:val="20"/>
                <w:szCs w:val="20"/>
                <w:color w:val="auto"/>
              </w:rPr>
            </w:pPr>
            <w:r>
              <w:rPr>
                <w:rFonts w:ascii="Arial" w:cs="Arial" w:eastAsia="Arial" w:hAnsi="Arial"/>
                <w:sz w:val="14"/>
                <w:szCs w:val="14"/>
                <w:color w:val="auto"/>
              </w:rPr>
              <w:t>2,326</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149"/>
        </w:trPr>
        <w:tc>
          <w:tcPr>
            <w:tcW w:w="4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Landfill</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864</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831</w:t>
            </w:r>
          </w:p>
        </w:tc>
        <w:tc>
          <w:tcPr>
            <w:tcW w:w="0" w:type="dxa"/>
            <w:vAlign w:val="bottom"/>
          </w:tcPr>
          <w:p>
            <w:pPr>
              <w:spacing w:after="0"/>
              <w:rPr>
                <w:sz w:val="1"/>
                <w:szCs w:val="1"/>
                <w:color w:val="auto"/>
              </w:rPr>
            </w:pPr>
          </w:p>
        </w:tc>
      </w:tr>
      <w:tr>
        <w:trPr>
          <w:trHeight w:val="149"/>
        </w:trPr>
        <w:tc>
          <w:tcPr>
            <w:tcW w:w="4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Transfer</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414</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49"/>
        </w:trPr>
        <w:tc>
          <w:tcPr>
            <w:tcW w:w="45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Recycling</w:t>
            </w: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375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45"/>
        </w:trPr>
        <w:tc>
          <w:tcPr>
            <w:tcW w:w="4580" w:type="dxa"/>
            <w:vAlign w:val="bottom"/>
            <w:gridSpan w:val="2"/>
          </w:tcPr>
          <w:p>
            <w:pPr>
              <w:ind w:left="540"/>
              <w:spacing w:after="0" w:line="145"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1020" w:type="dxa"/>
            <w:vAlign w:val="bottom"/>
          </w:tcPr>
          <w:p>
            <w:pPr>
              <w:jc w:val="right"/>
              <w:spacing w:after="0" w:line="145" w:lineRule="exact"/>
              <w:rPr>
                <w:sz w:val="20"/>
                <w:szCs w:val="20"/>
                <w:color w:val="auto"/>
              </w:rPr>
            </w:pPr>
            <w:r>
              <w:rPr>
                <w:rFonts w:ascii="Arial" w:cs="Arial" w:eastAsia="Arial" w:hAnsi="Arial"/>
                <w:sz w:val="14"/>
                <w:szCs w:val="14"/>
                <w:color w:val="auto"/>
              </w:rPr>
              <w:t>443</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8"/>
              <w:spacing w:after="0" w:line="145" w:lineRule="exact"/>
              <w:rPr>
                <w:sz w:val="20"/>
                <w:szCs w:val="20"/>
                <w:color w:val="auto"/>
              </w:rPr>
            </w:pPr>
            <w:r>
              <w:rPr>
                <w:rFonts w:ascii="Arial" w:cs="Arial" w:eastAsia="Arial" w:hAnsi="Arial"/>
                <w:sz w:val="14"/>
                <w:szCs w:val="14"/>
                <w:color w:val="auto"/>
              </w:rPr>
              <w:t>437</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65"/>
        </w:trPr>
        <w:tc>
          <w:tcPr>
            <w:tcW w:w="4580" w:type="dxa"/>
            <w:vAlign w:val="bottom"/>
            <w:gridSpan w:val="2"/>
          </w:tcPr>
          <w:p>
            <w:pPr>
              <w:ind w:left="540"/>
              <w:spacing w:after="0" w:line="153" w:lineRule="exact"/>
              <w:rPr>
                <w:sz w:val="20"/>
                <w:szCs w:val="20"/>
                <w:color w:val="auto"/>
              </w:rPr>
            </w:pPr>
            <w:r>
              <w:rPr>
                <w:rFonts w:ascii="Arial" w:cs="Arial" w:eastAsia="Arial" w:hAnsi="Arial"/>
                <w:sz w:val="14"/>
                <w:szCs w:val="14"/>
                <w:color w:val="auto"/>
              </w:rPr>
              <w:t xml:space="preserve">Intercompany </w:t>
            </w:r>
            <w:r>
              <w:rPr>
                <w:rFonts w:ascii="Arial" w:cs="Arial" w:eastAsia="Arial" w:hAnsi="Arial"/>
                <w:sz w:val="14"/>
                <w:szCs w:val="14"/>
                <w:b w:val="1"/>
                <w:bCs w:val="1"/>
                <w:color w:val="auto"/>
              </w:rPr>
              <w:t>(a)</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(749)</w:t>
            </w:r>
          </w:p>
        </w:tc>
        <w:tc>
          <w:tcPr>
            <w:tcW w:w="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(739)</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49"/>
        </w:trPr>
        <w:tc>
          <w:tcPr>
            <w:tcW w:w="458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Operating revenues</w:t>
            </w:r>
          </w:p>
        </w:tc>
        <w:tc>
          <w:tcPr>
            <w:tcW w:w="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3,716</w:t>
            </w:r>
          </w:p>
        </w:tc>
        <w:tc>
          <w:tcPr>
            <w:tcW w:w="680" w:type="dxa"/>
            <w:vAlign w:val="bottom"/>
          </w:tcPr>
          <w:p>
            <w:pPr>
              <w:spacing w:after="0"/>
              <w:rPr>
                <w:sz w:val="12"/>
                <w:szCs w:val="12"/>
                <w:color w:val="auto"/>
              </w:rPr>
            </w:pPr>
          </w:p>
        </w:tc>
        <w:tc>
          <w:tcPr>
            <w:tcW w:w="2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3,677</w:t>
            </w:r>
          </w:p>
        </w:tc>
        <w:tc>
          <w:tcPr>
            <w:tcW w:w="76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3,548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Quarters Ended</w:t>
            </w:r>
          </w:p>
        </w:tc>
        <w:tc>
          <w:tcPr>
            <w:tcW w:w="9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September 30, 2017</w:t>
            </w:r>
          </w:p>
        </w:tc>
        <w:tc>
          <w:tcPr>
            <w:tcW w:w="88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4"/>
          </w:tcPr>
          <w:p>
            <w:pPr>
              <w:jc w:val="right"/>
              <w:ind w:right="888"/>
              <w:spacing w:after="0" w:line="142" w:lineRule="exact"/>
              <w:rPr>
                <w:sz w:val="20"/>
                <w:szCs w:val="20"/>
                <w:color w:val="auto"/>
              </w:rPr>
            </w:pPr>
            <w:r>
              <w:rPr>
                <w:rFonts w:ascii="Arial" w:cs="Arial" w:eastAsia="Arial" w:hAnsi="Arial"/>
                <w:sz w:val="14"/>
                <w:szCs w:val="14"/>
                <w:b w:val="1"/>
                <w:bCs w:val="1"/>
                <w:color w:val="auto"/>
              </w:rPr>
              <w:t>September 30, 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Analysis of Change in Year Over Year Revenues</w:t>
            </w:r>
          </w:p>
        </w:tc>
        <w:tc>
          <w:tcPr>
            <w:tcW w:w="8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vMerge w:val="restart"/>
          </w:tcPr>
          <w:p>
            <w:pPr>
              <w:jc w:val="center"/>
              <w:ind w:right="1020"/>
              <w:spacing w:after="0"/>
              <w:rPr>
                <w:sz w:val="20"/>
                <w:szCs w:val="20"/>
                <w:color w:val="auto"/>
              </w:rPr>
            </w:pPr>
            <w:r>
              <w:rPr>
                <w:rFonts w:ascii="Arial" w:cs="Arial" w:eastAsia="Arial" w:hAnsi="Arial"/>
                <w:sz w:val="14"/>
                <w:szCs w:val="14"/>
                <w:color w:val="auto"/>
                <w:w w:val="96"/>
              </w:rPr>
              <w:t>As a % of</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6"/>
              </w:rPr>
              <w:t>As a % of</w:t>
            </w:r>
          </w:p>
        </w:tc>
        <w:tc>
          <w:tcPr>
            <w:tcW w:w="0" w:type="dxa"/>
            <w:vAlign w:val="bottom"/>
          </w:tcPr>
          <w:p>
            <w:pPr>
              <w:spacing w:after="0"/>
              <w:rPr>
                <w:sz w:val="1"/>
                <w:szCs w:val="1"/>
                <w:color w:val="auto"/>
              </w:rPr>
            </w:pPr>
          </w:p>
        </w:tc>
      </w:tr>
      <w:tr>
        <w:trPr>
          <w:trHeight w:val="101"/>
        </w:trPr>
        <w:tc>
          <w:tcPr>
            <w:tcW w:w="458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auto"/>
            </w:tcBorders>
            <w:gridSpan w:val="2"/>
            <w:vMerge w:val="restart"/>
          </w:tcPr>
          <w:p>
            <w:pPr>
              <w:ind w:left="540"/>
              <w:spacing w:after="0"/>
              <w:rPr>
                <w:sz w:val="20"/>
                <w:szCs w:val="20"/>
                <w:color w:val="auto"/>
              </w:rPr>
            </w:pPr>
            <w:r>
              <w:rPr>
                <w:rFonts w:ascii="Arial" w:cs="Arial" w:eastAsia="Arial" w:hAnsi="Arial"/>
                <w:sz w:val="14"/>
                <w:szCs w:val="14"/>
                <w:color w:val="auto"/>
              </w:rPr>
              <w:t xml:space="preserve">Average yield </w:t>
            </w:r>
            <w:r>
              <w:rPr>
                <w:rFonts w:ascii="Arial" w:cs="Arial" w:eastAsia="Arial" w:hAnsi="Arial"/>
                <w:sz w:val="14"/>
                <w:szCs w:val="14"/>
                <w:b w:val="1"/>
                <w:bCs w:val="1"/>
                <w:color w:val="auto"/>
              </w:rPr>
              <w:t>(i)</w:t>
            </w:r>
          </w:p>
        </w:tc>
        <w:tc>
          <w:tcPr>
            <w:tcW w:w="1620" w:type="dxa"/>
            <w:vAlign w:val="bottom"/>
            <w:vMerge w:val="restart"/>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Amount</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00" w:type="dxa"/>
            <w:vAlign w:val="bottom"/>
            <w:gridSpan w:val="3"/>
          </w:tcPr>
          <w:p>
            <w:pPr>
              <w:jc w:val="center"/>
              <w:ind w:right="760"/>
              <w:spacing w:after="0" w:line="142" w:lineRule="exact"/>
              <w:rPr>
                <w:sz w:val="20"/>
                <w:szCs w:val="20"/>
                <w:color w:val="auto"/>
              </w:rPr>
            </w:pPr>
            <w:r>
              <w:rPr>
                <w:rFonts w:ascii="Arial" w:cs="Arial" w:eastAsia="Arial" w:hAnsi="Arial"/>
                <w:sz w:val="14"/>
                <w:szCs w:val="14"/>
                <w:color w:val="auto"/>
                <w:w w:val="94"/>
              </w:rPr>
              <w:t>Total Company</w:t>
            </w:r>
          </w:p>
        </w:tc>
        <w:tc>
          <w:tcPr>
            <w:tcW w:w="280" w:type="dxa"/>
            <w:vAlign w:val="bottom"/>
          </w:tcPr>
          <w:p>
            <w:pPr>
              <w:spacing w:after="0"/>
              <w:rPr>
                <w:sz w:val="12"/>
                <w:szCs w:val="12"/>
                <w:color w:val="auto"/>
              </w:rPr>
            </w:pPr>
          </w:p>
        </w:tc>
        <w:tc>
          <w:tcPr>
            <w:tcW w:w="1600" w:type="dxa"/>
            <w:vAlign w:val="bottom"/>
            <w:gridSpan w:val="2"/>
          </w:tcPr>
          <w:p>
            <w:pPr>
              <w:jc w:val="center"/>
              <w:ind w:right="960"/>
              <w:spacing w:after="0" w:line="142" w:lineRule="exact"/>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2"/>
                <w:szCs w:val="12"/>
                <w:color w:val="auto"/>
              </w:rPr>
            </w:pPr>
          </w:p>
        </w:tc>
        <w:tc>
          <w:tcPr>
            <w:tcW w:w="1100" w:type="dxa"/>
            <w:vAlign w:val="bottom"/>
            <w:gridSpan w:val="2"/>
          </w:tcPr>
          <w:p>
            <w:pPr>
              <w:jc w:val="center"/>
              <w:ind w:right="160"/>
              <w:spacing w:after="0" w:line="142" w:lineRule="exact"/>
              <w:rPr>
                <w:sz w:val="20"/>
                <w:szCs w:val="20"/>
                <w:color w:val="auto"/>
              </w:rPr>
            </w:pPr>
            <w:r>
              <w:rPr>
                <w:rFonts w:ascii="Arial" w:cs="Arial" w:eastAsia="Arial" w:hAnsi="Arial"/>
                <w:sz w:val="14"/>
                <w:szCs w:val="14"/>
                <w:color w:val="auto"/>
                <w:w w:val="94"/>
              </w:rPr>
              <w:t>Total Company</w:t>
            </w:r>
          </w:p>
        </w:tc>
        <w:tc>
          <w:tcPr>
            <w:tcW w:w="0" w:type="dxa"/>
            <w:vAlign w:val="bottom"/>
          </w:tcPr>
          <w:p>
            <w:pPr>
              <w:spacing w:after="0"/>
              <w:rPr>
                <w:sz w:val="1"/>
                <w:szCs w:val="1"/>
                <w:color w:val="auto"/>
              </w:rPr>
            </w:pPr>
          </w:p>
        </w:tc>
      </w:tr>
      <w:tr>
        <w:trPr>
          <w:trHeight w:val="123"/>
        </w:trPr>
        <w:tc>
          <w:tcPr>
            <w:tcW w:w="2960" w:type="dxa"/>
            <w:vAlign w:val="bottom"/>
            <w:tcBorders>
              <w:top w:val="single" w:sz="8" w:color="auto"/>
            </w:tcBorders>
            <w:gridSpan w:val="2"/>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860" w:type="dxa"/>
            <w:vAlign w:val="bottom"/>
            <w:tcBorders>
              <w:top w:val="single" w:sz="8" w:color="auto"/>
            </w:tcBorders>
          </w:tcPr>
          <w:p>
            <w:pPr>
              <w:jc w:val="right"/>
              <w:ind w:right="628"/>
              <w:spacing w:after="0" w:line="123"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133</w:t>
            </w:r>
          </w:p>
        </w:tc>
        <w:tc>
          <w:tcPr>
            <w:tcW w:w="6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3.8%</w:t>
            </w:r>
          </w:p>
        </w:tc>
        <w:tc>
          <w:tcPr>
            <w:tcW w:w="760" w:type="dxa"/>
            <w:vAlign w:val="bottom"/>
          </w:tcPr>
          <w:p>
            <w:pPr>
              <w:spacing w:after="0"/>
              <w:rPr>
                <w:sz w:val="10"/>
                <w:szCs w:val="10"/>
                <w:color w:val="auto"/>
              </w:rPr>
            </w:pPr>
          </w:p>
        </w:tc>
        <w:tc>
          <w:tcPr>
            <w:tcW w:w="280" w:type="dxa"/>
            <w:vAlign w:val="bottom"/>
            <w:tcBorders>
              <w:top w:val="single" w:sz="8" w:color="auto"/>
            </w:tcBorders>
          </w:tcPr>
          <w:p>
            <w:pPr>
              <w:jc w:val="right"/>
              <w:ind w:right="68"/>
              <w:spacing w:after="0" w:line="123"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74</w:t>
            </w:r>
          </w:p>
        </w:tc>
        <w:tc>
          <w:tcPr>
            <w:tcW w:w="6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5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Volume</w:t>
            </w:r>
          </w:p>
        </w:tc>
        <w:tc>
          <w:tcPr>
            <w:tcW w:w="860" w:type="dxa"/>
            <w:vAlign w:val="bottom"/>
          </w:tcPr>
          <w:p>
            <w:pPr>
              <w:spacing w:after="0"/>
              <w:rPr>
                <w:sz w:val="13"/>
                <w:szCs w:val="13"/>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0.7%</w:t>
            </w:r>
          </w:p>
        </w:tc>
        <w:tc>
          <w:tcPr>
            <w:tcW w:w="280" w:type="dxa"/>
            <w:vAlign w:val="bottom"/>
          </w:tcPr>
          <w:p>
            <w:pPr>
              <w:spacing w:after="0"/>
              <w:rPr>
                <w:sz w:val="13"/>
                <w:szCs w:val="13"/>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4580" w:type="dxa"/>
            <w:vAlign w:val="bottom"/>
            <w:gridSpan w:val="3"/>
          </w:tcPr>
          <w:p>
            <w:pPr>
              <w:ind w:left="540"/>
              <w:spacing w:after="0" w:line="130" w:lineRule="exact"/>
              <w:rPr>
                <w:sz w:val="20"/>
                <w:szCs w:val="20"/>
                <w:color w:val="auto"/>
              </w:rPr>
            </w:pPr>
            <w:r>
              <w:rPr>
                <w:rFonts w:ascii="Arial" w:cs="Arial" w:eastAsia="Arial" w:hAnsi="Arial"/>
                <w:sz w:val="14"/>
                <w:szCs w:val="14"/>
                <w:color w:val="auto"/>
              </w:rPr>
              <w:t>Internal revenue growth</w:t>
            </w:r>
          </w:p>
        </w:tc>
        <w:tc>
          <w:tcPr>
            <w:tcW w:w="8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157</w:t>
            </w:r>
          </w:p>
        </w:tc>
        <w:tc>
          <w:tcPr>
            <w:tcW w:w="6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4.5%</w:t>
            </w:r>
          </w:p>
        </w:tc>
        <w:tc>
          <w:tcPr>
            <w:tcW w:w="7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127</w:t>
            </w:r>
          </w:p>
        </w:tc>
        <w:tc>
          <w:tcPr>
            <w:tcW w:w="6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20"/>
              <w:spacing w:after="0" w:line="130"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45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Acquisition</w:t>
            </w:r>
          </w:p>
        </w:tc>
        <w:tc>
          <w:tcPr>
            <w:tcW w:w="8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0.3%</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458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Divestitures</w:t>
            </w:r>
          </w:p>
        </w:tc>
        <w:tc>
          <w:tcPr>
            <w:tcW w:w="860" w:type="dxa"/>
            <w:vAlign w:val="bottom"/>
          </w:tcPr>
          <w:p>
            <w:pPr>
              <w:spacing w:after="0"/>
              <w:rPr>
                <w:sz w:val="12"/>
                <w:szCs w:val="12"/>
                <w:color w:val="auto"/>
              </w:rPr>
            </w:pPr>
          </w:p>
        </w:tc>
        <w:tc>
          <w:tcPr>
            <w:tcW w:w="9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(9)</w:t>
            </w:r>
          </w:p>
        </w:tc>
        <w:tc>
          <w:tcPr>
            <w:tcW w:w="260" w:type="dxa"/>
            <w:vAlign w:val="bottom"/>
          </w:tcPr>
          <w:p>
            <w:pPr>
              <w:spacing w:after="0"/>
              <w:rPr>
                <w:sz w:val="12"/>
                <w:szCs w:val="12"/>
                <w:color w:val="auto"/>
              </w:rPr>
            </w:pPr>
          </w:p>
        </w:tc>
        <w:tc>
          <w:tcPr>
            <w:tcW w:w="16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-0.3%</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4580" w:type="dxa"/>
            <w:vAlign w:val="bottom"/>
            <w:gridSpan w:val="3"/>
          </w:tcPr>
          <w:p>
            <w:pPr>
              <w:ind w:left="540"/>
              <w:spacing w:after="0"/>
              <w:rPr>
                <w:sz w:val="20"/>
                <w:szCs w:val="20"/>
                <w:color w:val="auto"/>
              </w:rPr>
            </w:pPr>
            <w:r>
              <w:rPr>
                <w:rFonts w:ascii="Arial" w:cs="Arial" w:eastAsia="Arial" w:hAnsi="Arial"/>
                <w:sz w:val="14"/>
                <w:szCs w:val="14"/>
                <w:color w:val="auto"/>
              </w:rPr>
              <w:t>Foreign currency translation</w:t>
            </w:r>
          </w:p>
        </w:tc>
        <w:tc>
          <w:tcPr>
            <w:tcW w:w="8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color w:val="auto"/>
              </w:rPr>
              <w:t>0.2%</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628"/>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w:t>
            </w:r>
          </w:p>
        </w:tc>
        <w:tc>
          <w:tcPr>
            <w:tcW w:w="6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w:t>
            </w:r>
          </w:p>
        </w:tc>
        <w:tc>
          <w:tcPr>
            <w:tcW w:w="7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w:t>
            </w:r>
          </w:p>
        </w:tc>
        <w:tc>
          <w:tcPr>
            <w:tcW w:w="6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9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gridSpan w:val="2"/>
          </w:tcPr>
          <w:p>
            <w:pPr>
              <w:jc w:val="center"/>
              <w:ind w:right="1020"/>
              <w:spacing w:after="0"/>
              <w:rPr>
                <w:sz w:val="20"/>
                <w:szCs w:val="20"/>
                <w:color w:val="auto"/>
              </w:rPr>
            </w:pPr>
            <w:r>
              <w:rPr>
                <w:rFonts w:ascii="Arial" w:cs="Arial" w:eastAsia="Arial" w:hAnsi="Arial"/>
                <w:sz w:val="14"/>
                <w:szCs w:val="14"/>
                <w:color w:val="auto"/>
                <w:w w:val="96"/>
              </w:rPr>
              <w:t>As a % of</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As a % of</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center"/>
              <w:ind w:right="1000"/>
              <w:spacing w:after="0" w:line="149" w:lineRule="exact"/>
              <w:rPr>
                <w:sz w:val="20"/>
                <w:szCs w:val="20"/>
                <w:color w:val="auto"/>
              </w:rPr>
            </w:pPr>
            <w:r>
              <w:rPr>
                <w:rFonts w:ascii="Arial" w:cs="Arial" w:eastAsia="Arial" w:hAnsi="Arial"/>
                <w:sz w:val="14"/>
                <w:szCs w:val="14"/>
                <w:color w:val="auto"/>
                <w:w w:val="91"/>
              </w:rPr>
              <w:t>Related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45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 xml:space="preserve">(i) </w:t>
            </w:r>
            <w:r>
              <w:rPr>
                <w:rFonts w:ascii="Arial" w:cs="Arial" w:eastAsia="Arial" w:hAnsi="Arial"/>
                <w:sz w:val="14"/>
                <w:szCs w:val="14"/>
                <w:color w:val="auto"/>
              </w:rPr>
              <w:t>Average yield</w:t>
            </w:r>
          </w:p>
        </w:tc>
        <w:tc>
          <w:tcPr>
            <w:tcW w:w="860" w:type="dxa"/>
            <w:vAlign w:val="bottom"/>
          </w:tcPr>
          <w:p>
            <w:pPr>
              <w:jc w:val="right"/>
              <w:spacing w:after="0"/>
              <w:rPr>
                <w:sz w:val="20"/>
                <w:szCs w:val="20"/>
                <w:color w:val="auto"/>
              </w:rPr>
            </w:pPr>
            <w:r>
              <w:rPr>
                <w:rFonts w:ascii="Arial" w:cs="Arial" w:eastAsia="Arial" w:hAnsi="Arial"/>
                <w:sz w:val="14"/>
                <w:szCs w:val="14"/>
                <w:color w:val="auto"/>
              </w:rPr>
              <w:t>Amount</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1020"/>
              <w:spacing w:after="0"/>
              <w:rPr>
                <w:sz w:val="20"/>
                <w:szCs w:val="20"/>
                <w:color w:val="auto"/>
              </w:rPr>
            </w:pPr>
            <w:r>
              <w:rPr>
                <w:rFonts w:ascii="Arial" w:cs="Arial" w:eastAsia="Arial" w:hAnsi="Arial"/>
                <w:sz w:val="14"/>
                <w:szCs w:val="14"/>
                <w:color w:val="auto"/>
                <w:w w:val="87"/>
              </w:rPr>
              <w:t>Business</w:t>
            </w:r>
          </w:p>
        </w:tc>
        <w:tc>
          <w:tcPr>
            <w:tcW w:w="280" w:type="dxa"/>
            <w:vAlign w:val="bottom"/>
          </w:tcPr>
          <w:p>
            <w:pPr>
              <w:spacing w:after="0"/>
              <w:rPr>
                <w:sz w:val="14"/>
                <w:szCs w:val="14"/>
                <w:color w:val="auto"/>
              </w:rPr>
            </w:pPr>
          </w:p>
        </w:tc>
        <w:tc>
          <w:tcPr>
            <w:tcW w:w="1600" w:type="dxa"/>
            <w:vAlign w:val="bottom"/>
            <w:gridSpan w:val="2"/>
          </w:tcPr>
          <w:p>
            <w:pPr>
              <w:jc w:val="center"/>
              <w:ind w:right="96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Business</w:t>
            </w:r>
          </w:p>
        </w:tc>
        <w:tc>
          <w:tcPr>
            <w:tcW w:w="0" w:type="dxa"/>
            <w:vAlign w:val="bottom"/>
          </w:tcPr>
          <w:p>
            <w:pPr>
              <w:spacing w:after="0"/>
              <w:rPr>
                <w:sz w:val="1"/>
                <w:szCs w:val="1"/>
                <w:color w:val="auto"/>
              </w:rPr>
            </w:pPr>
          </w:p>
        </w:tc>
      </w:tr>
      <w:tr>
        <w:trPr>
          <w:trHeight w:val="110"/>
        </w:trPr>
        <w:tc>
          <w:tcPr>
            <w:tcW w:w="4580" w:type="dxa"/>
            <w:vAlign w:val="bottom"/>
            <w:gridSpan w:val="3"/>
            <w:vMerge w:val="continue"/>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580" w:type="dxa"/>
            <w:vAlign w:val="bottom"/>
            <w:gridSpan w:val="3"/>
          </w:tcPr>
          <w:p>
            <w:pPr>
              <w:ind w:left="720"/>
              <w:spacing w:after="0" w:line="149" w:lineRule="exact"/>
              <w:rPr>
                <w:sz w:val="20"/>
                <w:szCs w:val="20"/>
                <w:color w:val="auto"/>
              </w:rPr>
            </w:pPr>
            <w:r>
              <w:rPr>
                <w:rFonts w:ascii="Arial" w:cs="Arial" w:eastAsia="Arial" w:hAnsi="Arial"/>
                <w:sz w:val="14"/>
                <w:szCs w:val="14"/>
                <w:color w:val="auto"/>
              </w:rPr>
              <w:t>Collection and disposal</w:t>
            </w:r>
          </w:p>
        </w:tc>
        <w:tc>
          <w:tcPr>
            <w:tcW w:w="86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2.0%</w:t>
            </w:r>
          </w:p>
        </w:tc>
        <w:tc>
          <w:tcPr>
            <w:tcW w:w="2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4580" w:type="dxa"/>
            <w:vAlign w:val="bottom"/>
            <w:gridSpan w:val="3"/>
          </w:tcPr>
          <w:p>
            <w:pPr>
              <w:ind w:left="720"/>
              <w:spacing w:after="0" w:line="149" w:lineRule="exact"/>
              <w:rPr>
                <w:sz w:val="20"/>
                <w:szCs w:val="20"/>
                <w:color w:val="auto"/>
              </w:rPr>
            </w:pPr>
            <w:r>
              <w:rPr>
                <w:rFonts w:ascii="Arial" w:cs="Arial" w:eastAsia="Arial" w:hAnsi="Arial"/>
                <w:sz w:val="14"/>
                <w:szCs w:val="14"/>
                <w:color w:val="auto"/>
              </w:rPr>
              <w:t>Recycling commodities</w:t>
            </w:r>
          </w:p>
        </w:tc>
        <w:tc>
          <w:tcPr>
            <w:tcW w:w="8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18.9%</w:t>
            </w: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7"/>
        </w:trPr>
        <w:tc>
          <w:tcPr>
            <w:tcW w:w="4580" w:type="dxa"/>
            <w:vAlign w:val="bottom"/>
            <w:gridSpan w:val="3"/>
          </w:tcPr>
          <w:p>
            <w:pPr>
              <w:ind w:left="720"/>
              <w:spacing w:after="0"/>
              <w:rPr>
                <w:sz w:val="20"/>
                <w:szCs w:val="20"/>
                <w:color w:val="auto"/>
              </w:rPr>
            </w:pPr>
            <w:r>
              <w:rPr>
                <w:rFonts w:ascii="Arial" w:cs="Arial" w:eastAsia="Arial" w:hAnsi="Arial"/>
                <w:sz w:val="14"/>
                <w:szCs w:val="14"/>
                <w:color w:val="auto"/>
              </w:rPr>
              <w:t>Fuel surcharges and mandated fees</w:t>
            </w:r>
          </w:p>
        </w:tc>
        <w:tc>
          <w:tcPr>
            <w:tcW w:w="8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12</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color w:val="auto"/>
              </w:rPr>
              <w:t>10.0%</w:t>
            </w:r>
          </w:p>
        </w:tc>
        <w:tc>
          <w:tcPr>
            <w:tcW w:w="280" w:type="dxa"/>
            <w:vAlign w:val="bottom"/>
          </w:tcPr>
          <w:p>
            <w:pPr>
              <w:spacing w:after="0"/>
              <w:rPr>
                <w:sz w:val="14"/>
                <w:szCs w:val="14"/>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2"/>
        </w:trPr>
        <w:tc>
          <w:tcPr>
            <w:tcW w:w="4580" w:type="dxa"/>
            <w:vAlign w:val="bottom"/>
            <w:gridSpan w:val="3"/>
          </w:tcPr>
          <w:p>
            <w:pPr>
              <w:ind w:left="520"/>
              <w:spacing w:after="0" w:line="142" w:lineRule="exact"/>
              <w:rPr>
                <w:sz w:val="20"/>
                <w:szCs w:val="20"/>
                <w:color w:val="auto"/>
              </w:rPr>
            </w:pPr>
            <w:r>
              <w:rPr>
                <w:rFonts w:ascii="Arial" w:cs="Arial" w:eastAsia="Arial" w:hAnsi="Arial"/>
                <w:sz w:val="14"/>
                <w:szCs w:val="14"/>
                <w:color w:val="auto"/>
              </w:rPr>
              <w:t>Total</w:t>
            </w:r>
          </w:p>
        </w:tc>
        <w:tc>
          <w:tcPr>
            <w:tcW w:w="860" w:type="dxa"/>
            <w:vAlign w:val="bottom"/>
            <w:tcBorders>
              <w:top w:val="single" w:sz="8" w:color="auto"/>
              <w:bottom w:val="single" w:sz="8" w:color="auto"/>
            </w:tcBorders>
          </w:tcPr>
          <w:p>
            <w:pPr>
              <w:jc w:val="right"/>
              <w:ind w:right="628"/>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w:t>
            </w:r>
          </w:p>
        </w:tc>
        <w:tc>
          <w:tcPr>
            <w:tcW w:w="6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w:t>
            </w:r>
          </w:p>
        </w:tc>
        <w:tc>
          <w:tcPr>
            <w:tcW w:w="7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w:t>
            </w: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80" w:type="dxa"/>
            <w:vAlign w:val="bottom"/>
            <w:tcBorders>
              <w:bottom w:val="single" w:sz="8" w:color="auto"/>
            </w:tcBorders>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74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92"/>
              </w:rPr>
              <w:t>Quarters Ended September 30,</w:t>
            </w:r>
          </w:p>
        </w:tc>
        <w:tc>
          <w:tcPr>
            <w:tcW w:w="280" w:type="dxa"/>
            <w:vAlign w:val="bottom"/>
          </w:tcPr>
          <w:p>
            <w:pPr>
              <w:spacing w:after="0"/>
              <w:rPr>
                <w:sz w:val="24"/>
                <w:szCs w:val="24"/>
                <w:color w:val="auto"/>
              </w:rPr>
            </w:pPr>
          </w:p>
        </w:tc>
        <w:tc>
          <w:tcPr>
            <w:tcW w:w="28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92"/>
              </w:rPr>
              <w:t>Free Cash Flow Analysis (b) (c)</w:t>
            </w:r>
          </w:p>
        </w:tc>
        <w:tc>
          <w:tcPr>
            <w:tcW w:w="2640" w:type="dxa"/>
            <w:vAlign w:val="bottom"/>
            <w:gridSpan w:val="2"/>
            <w:vMerge w:val="restart"/>
          </w:tcPr>
          <w:p>
            <w:pPr>
              <w:spacing w:after="0"/>
              <w:rPr>
                <w:sz w:val="12"/>
                <w:szCs w:val="12"/>
                <w:color w:val="auto"/>
              </w:rPr>
            </w:pPr>
          </w:p>
        </w:tc>
        <w:tc>
          <w:tcPr>
            <w:tcW w:w="8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ind w:right="188"/>
              <w:spacing w:after="0" w:line="142" w:lineRule="exact"/>
              <w:rPr>
                <w:sz w:val="20"/>
                <w:szCs w:val="20"/>
                <w:color w:val="auto"/>
              </w:rPr>
            </w:pPr>
            <w:r>
              <w:rPr>
                <w:rFonts w:ascii="Arial" w:cs="Arial" w:eastAsia="Arial" w:hAnsi="Arial"/>
                <w:sz w:val="14"/>
                <w:szCs w:val="14"/>
                <w:b w:val="1"/>
                <w:bCs w:val="1"/>
                <w:color w:val="auto"/>
                <w:w w:val="96"/>
              </w:rPr>
              <w:t>2016</w:t>
            </w:r>
          </w:p>
        </w:tc>
        <w:tc>
          <w:tcPr>
            <w:tcW w:w="7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208"/>
              <w:spacing w:after="0" w:line="142" w:lineRule="exact"/>
              <w:rPr>
                <w:sz w:val="20"/>
                <w:szCs w:val="20"/>
                <w:color w:val="auto"/>
              </w:rPr>
            </w:pPr>
            <w:r>
              <w:rPr>
                <w:rFonts w:ascii="Arial" w:cs="Arial" w:eastAsia="Arial" w:hAnsi="Arial"/>
                <w:sz w:val="14"/>
                <w:szCs w:val="14"/>
                <w:b w:val="1"/>
                <w:bCs w:val="1"/>
                <w:color w:val="auto"/>
                <w:w w:val="89"/>
              </w:rPr>
              <w:t>2017</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940" w:type="dxa"/>
            <w:vAlign w:val="bottom"/>
            <w:tcBorders>
              <w:bottom w:val="single" w:sz="8" w:color="auto"/>
            </w:tcBorders>
            <w:vMerge w:val="continue"/>
          </w:tcPr>
          <w:p>
            <w:pPr>
              <w:spacing w:after="0"/>
              <w:rPr>
                <w:sz w:val="10"/>
                <w:szCs w:val="10"/>
                <w:color w:val="auto"/>
              </w:rPr>
            </w:pPr>
          </w:p>
        </w:tc>
        <w:tc>
          <w:tcPr>
            <w:tcW w:w="26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4580" w:type="dxa"/>
            <w:vAlign w:val="bottom"/>
            <w:gridSpan w:val="3"/>
          </w:tcPr>
          <w:p>
            <w:pPr>
              <w:spacing w:after="0"/>
              <w:rPr>
                <w:sz w:val="20"/>
                <w:szCs w:val="20"/>
                <w:color w:val="auto"/>
              </w:rPr>
            </w:pPr>
            <w:r>
              <w:rPr>
                <w:rFonts w:ascii="Arial" w:cs="Arial" w:eastAsia="Arial" w:hAnsi="Arial"/>
                <w:sz w:val="14"/>
                <w:szCs w:val="14"/>
                <w:color w:val="auto"/>
              </w:rPr>
              <w:t>Net cash provided by operating activities</w:t>
            </w:r>
          </w:p>
        </w:tc>
        <w:tc>
          <w:tcPr>
            <w:tcW w:w="8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856</w:t>
            </w:r>
          </w:p>
        </w:tc>
        <w:tc>
          <w:tcPr>
            <w:tcW w:w="680" w:type="dxa"/>
            <w:vAlign w:val="bottom"/>
          </w:tcPr>
          <w:p>
            <w:pPr>
              <w:spacing w:after="0"/>
              <w:rPr>
                <w:sz w:val="24"/>
                <w:szCs w:val="24"/>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758</w:t>
            </w:r>
          </w:p>
        </w:tc>
        <w:tc>
          <w:tcPr>
            <w:tcW w:w="760" w:type="dxa"/>
            <w:vAlign w:val="bottom"/>
          </w:tcPr>
          <w:p>
            <w:pPr>
              <w:spacing w:after="0"/>
              <w:rPr>
                <w:sz w:val="24"/>
                <w:szCs w:val="24"/>
                <w:color w:val="auto"/>
              </w:rPr>
            </w:pP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2,390</w:t>
            </w:r>
          </w:p>
        </w:tc>
        <w:tc>
          <w:tcPr>
            <w:tcW w:w="6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12" w:orient="portrait"/>
          <w:cols w:equalWidth="0" w:num="1">
            <w:col w:w="11420"/>
          </w:cols>
          <w:pgMar w:left="240" w:top="125"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Arial" w:cs="Arial" w:eastAsia="Arial" w:hAnsi="Arial"/>
                <w:sz w:val="14"/>
                <w:szCs w:val="14"/>
                <w:color w:val="auto"/>
              </w:rPr>
              <w:t>Capital expenditures</w:t>
            </w:r>
          </w:p>
        </w:tc>
        <w:tc>
          <w:tcPr>
            <w:tcW w:w="50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color w:val="auto"/>
              </w:rPr>
              <w:t>(350)</w:t>
            </w:r>
          </w:p>
        </w:tc>
        <w:tc>
          <w:tcPr>
            <w:tcW w:w="480" w:type="dxa"/>
            <w:vAlign w:val="bottom"/>
          </w:tcPr>
          <w:p>
            <w:pPr>
              <w:spacing w:after="0"/>
              <w:rPr>
                <w:sz w:val="14"/>
                <w:szCs w:val="14"/>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4"/>
                <w:szCs w:val="14"/>
                <w:color w:val="auto"/>
              </w:rPr>
              <w:t>(333)</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(981)</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(962)</w:t>
            </w: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Proceeds from divestitures of businesses</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7"/>
        </w:trPr>
        <w:tc>
          <w:tcPr>
            <w:tcW w:w="4580" w:type="dxa"/>
            <w:vAlign w:val="bottom"/>
          </w:tcPr>
          <w:p>
            <w:pPr>
              <w:ind w:left="180"/>
              <w:spacing w:after="0"/>
              <w:rPr>
                <w:sz w:val="20"/>
                <w:szCs w:val="20"/>
                <w:color w:val="auto"/>
              </w:rPr>
            </w:pPr>
            <w:r>
              <w:rPr>
                <w:rFonts w:ascii="Arial" w:cs="Arial" w:eastAsia="Arial" w:hAnsi="Arial"/>
                <w:sz w:val="14"/>
                <w:szCs w:val="14"/>
                <w:color w:val="auto"/>
              </w:rPr>
              <w:t>and other assets (net of cash divested)</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6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7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6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r>
      <w:tr>
        <w:trPr>
          <w:trHeight w:val="142"/>
        </w:trPr>
        <w:tc>
          <w:tcPr>
            <w:tcW w:w="4580" w:type="dxa"/>
            <w:vAlign w:val="bottom"/>
          </w:tcPr>
          <w:p>
            <w:pPr>
              <w:spacing w:after="0" w:line="142" w:lineRule="exact"/>
              <w:rPr>
                <w:sz w:val="20"/>
                <w:szCs w:val="20"/>
                <w:color w:val="auto"/>
              </w:rPr>
            </w:pPr>
            <w:r>
              <w:rPr>
                <w:rFonts w:ascii="Arial" w:cs="Arial" w:eastAsia="Arial" w:hAnsi="Arial"/>
                <w:sz w:val="14"/>
                <w:szCs w:val="14"/>
                <w:color w:val="auto"/>
              </w:rPr>
              <w:t>Free cash flow</w:t>
            </w:r>
          </w:p>
        </w:tc>
        <w:tc>
          <w:tcPr>
            <w:tcW w:w="50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512</w:t>
            </w:r>
          </w:p>
        </w:tc>
        <w:tc>
          <w:tcPr>
            <w:tcW w:w="680" w:type="dxa"/>
            <w:vAlign w:val="bottom"/>
          </w:tcPr>
          <w:p>
            <w:pPr>
              <w:spacing w:after="0"/>
              <w:rPr>
                <w:sz w:val="12"/>
                <w:szCs w:val="12"/>
                <w:color w:val="auto"/>
              </w:rPr>
            </w:pPr>
          </w:p>
        </w:tc>
        <w:tc>
          <w:tcPr>
            <w:tcW w:w="4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433</w:t>
            </w:r>
          </w:p>
        </w:tc>
        <w:tc>
          <w:tcPr>
            <w:tcW w:w="760" w:type="dxa"/>
            <w:vAlign w:val="bottom"/>
          </w:tcPr>
          <w:p>
            <w:pPr>
              <w:spacing w:after="0"/>
              <w:rPr>
                <w:sz w:val="12"/>
                <w:szCs w:val="12"/>
                <w:color w:val="auto"/>
              </w:rPr>
            </w:pPr>
          </w:p>
        </w:tc>
        <w:tc>
          <w:tcPr>
            <w:tcW w:w="5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1,428</w:t>
            </w:r>
          </w:p>
        </w:tc>
        <w:tc>
          <w:tcPr>
            <w:tcW w:w="680" w:type="dxa"/>
            <w:vAlign w:val="bottom"/>
          </w:tcPr>
          <w:p>
            <w:pPr>
              <w:spacing w:after="0"/>
              <w:rPr>
                <w:sz w:val="12"/>
                <w:szCs w:val="12"/>
                <w:color w:val="auto"/>
              </w:rPr>
            </w:pPr>
          </w:p>
        </w:tc>
        <w:tc>
          <w:tcPr>
            <w:tcW w:w="5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1,322</w:t>
            </w:r>
          </w:p>
        </w:tc>
      </w:tr>
      <w:tr>
        <w:trPr>
          <w:trHeight w:val="20"/>
        </w:trPr>
        <w:tc>
          <w:tcPr>
            <w:tcW w:w="4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Intercompany revenues between lines of business are eliminated within the Condensed Consolidated Financial Statements included herein.</w:t>
      </w:r>
    </w:p>
    <w:p>
      <w:pPr>
        <w:spacing w:after="0" w:line="136" w:lineRule="exact"/>
        <w:rPr>
          <w:rFonts w:ascii="Arial" w:cs="Arial" w:eastAsia="Arial" w:hAnsi="Arial"/>
          <w:sz w:val="14"/>
          <w:szCs w:val="14"/>
          <w:color w:val="auto"/>
        </w:rPr>
      </w:pPr>
    </w:p>
    <w:p>
      <w:pPr>
        <w:jc w:val="both"/>
        <w:ind w:left="300" w:right="80" w:hanging="292"/>
        <w:spacing w:after="0" w:line="335" w:lineRule="auto"/>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60" w:lineRule="exact"/>
        <w:rPr>
          <w:rFonts w:ascii="Arial" w:cs="Arial" w:eastAsia="Arial" w:hAnsi="Arial"/>
          <w:sz w:val="12"/>
          <w:szCs w:val="12"/>
          <w:color w:val="auto"/>
        </w:rPr>
      </w:pPr>
    </w:p>
    <w:p>
      <w:pPr>
        <w:ind w:left="300" w:hanging="292"/>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Prior year information has been revised to reflect the adoption of ASU 2016-09 and conform to our current year presentation.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Data Sheet</w:t>
      </w:r>
    </w:p>
    <w:p>
      <w:pPr>
        <w:jc w:val="center"/>
        <w:spacing w:after="0" w:line="230" w:lineRule="auto"/>
        <w:rPr>
          <w:sz w:val="20"/>
          <w:szCs w:val="20"/>
          <w:color w:val="auto"/>
        </w:rPr>
      </w:pPr>
      <w:r>
        <w:rPr>
          <w:rFonts w:ascii="Arial" w:cs="Arial" w:eastAsia="Arial" w:hAnsi="Arial"/>
          <w:sz w:val="22"/>
          <w:szCs w:val="22"/>
          <w:b w:val="1"/>
          <w:bCs w:val="1"/>
          <w:color w:val="auto"/>
        </w:rPr>
        <w:t>(Dollar Amounts in Millions)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6"/>
                <w:szCs w:val="16"/>
                <w:b w:val="1"/>
                <w:bCs w:val="1"/>
                <w:color w:val="auto"/>
                <w:w w:val="94"/>
              </w:rPr>
              <w:t>Quarters Ended</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6"/>
                <w:szCs w:val="16"/>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6"/>
                <w:szCs w:val="16"/>
                <w:b w:val="1"/>
                <w:bCs w:val="1"/>
                <w:color w:val="auto"/>
                <w:w w:val="99"/>
              </w:rPr>
              <w:t>June 30,</w:t>
            </w:r>
          </w:p>
        </w:tc>
        <w:tc>
          <w:tcPr>
            <w:tcW w:w="1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40" w:type="dxa"/>
            <w:vAlign w:val="bottom"/>
            <w:gridSpan w:val="7"/>
            <w:vMerge w:val="restart"/>
          </w:tcPr>
          <w:p>
            <w:pPr>
              <w:spacing w:after="0"/>
              <w:rPr>
                <w:sz w:val="20"/>
                <w:szCs w:val="20"/>
                <w:color w:val="auto"/>
              </w:rPr>
            </w:pPr>
            <w:r>
              <w:rPr>
                <w:rFonts w:ascii="Arial" w:cs="Arial" w:eastAsia="Arial" w:hAnsi="Arial"/>
                <w:sz w:val="16"/>
                <w:szCs w:val="16"/>
                <w:b w:val="1"/>
                <w:bCs w:val="1"/>
                <w:color w:val="auto"/>
              </w:rPr>
              <w:t>Balance Sheet Data</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5340" w:type="dxa"/>
            <w:vAlign w:val="bottom"/>
            <w:gridSpan w:val="7"/>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340" w:type="dxa"/>
            <w:vAlign w:val="bottom"/>
            <w:gridSpan w:val="7"/>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540" w:type="dxa"/>
            <w:vAlign w:val="bottom"/>
          </w:tcPr>
          <w:p>
            <w:pPr>
              <w:spacing w:after="0"/>
              <w:rPr>
                <w:sz w:val="24"/>
                <w:szCs w:val="24"/>
                <w:color w:val="auto"/>
              </w:rPr>
            </w:pP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540" w:type="dxa"/>
            <w:vAlign w:val="bottom"/>
          </w:tcPr>
          <w:p>
            <w:pPr>
              <w:spacing w:after="0"/>
              <w:rPr>
                <w:sz w:val="24"/>
                <w:szCs w:val="24"/>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40" w:type="dxa"/>
            <w:vAlign w:val="bottom"/>
            <w:gridSpan w:val="7"/>
            <w:vMerge w:val="restart"/>
          </w:tcPr>
          <w:p>
            <w:pPr>
              <w:spacing w:after="0"/>
              <w:rPr>
                <w:sz w:val="20"/>
                <w:szCs w:val="20"/>
                <w:color w:val="auto"/>
              </w:rPr>
            </w:pPr>
            <w:r>
              <w:rPr>
                <w:rFonts w:ascii="Arial" w:cs="Arial" w:eastAsia="Arial" w:hAnsi="Arial"/>
                <w:sz w:val="16"/>
                <w:szCs w:val="16"/>
                <w:color w:val="auto"/>
              </w:rPr>
              <w:t>Debt-to-total capital ratio:</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534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60" w:type="dxa"/>
            <w:vAlign w:val="bottom"/>
            <w:gridSpan w:val="6"/>
          </w:tcPr>
          <w:p>
            <w:pPr>
              <w:ind w:left="20"/>
              <w:spacing w:after="0"/>
              <w:rPr>
                <w:sz w:val="20"/>
                <w:szCs w:val="20"/>
                <w:color w:val="auto"/>
              </w:rPr>
            </w:pPr>
            <w:r>
              <w:rPr>
                <w:rFonts w:ascii="Arial" w:cs="Arial" w:eastAsia="Arial" w:hAnsi="Arial"/>
                <w:sz w:val="16"/>
                <w:szCs w:val="16"/>
                <w:color w:val="auto"/>
              </w:rPr>
              <w:t>Long-term indebtedness, including current portion</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9,345</w:t>
            </w:r>
          </w:p>
        </w:tc>
        <w:tc>
          <w:tcPr>
            <w:tcW w:w="540" w:type="dxa"/>
            <w:vAlign w:val="bottom"/>
          </w:tcPr>
          <w:p>
            <w:pPr>
              <w:spacing w:after="0"/>
              <w:rPr>
                <w:sz w:val="17"/>
                <w:szCs w:val="17"/>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9,057</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160" w:type="dxa"/>
            <w:vAlign w:val="bottom"/>
            <w:gridSpan w:val="6"/>
          </w:tcPr>
          <w:p>
            <w:pPr>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w:t>
            </w:r>
          </w:p>
        </w:tc>
        <w:tc>
          <w:tcPr>
            <w:tcW w:w="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5,507</w:t>
            </w:r>
          </w:p>
        </w:tc>
        <w:tc>
          <w:tcPr>
            <w:tcW w:w="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160" w:type="dxa"/>
            <w:vAlign w:val="bottom"/>
            <w:gridSpan w:val="6"/>
          </w:tcPr>
          <w:p>
            <w:pPr>
              <w:ind w:left="180"/>
              <w:spacing w:after="0"/>
              <w:rPr>
                <w:sz w:val="20"/>
                <w:szCs w:val="20"/>
                <w:color w:val="auto"/>
              </w:rPr>
            </w:pPr>
            <w:r>
              <w:rPr>
                <w:rFonts w:ascii="Arial" w:cs="Arial" w:eastAsia="Arial" w:hAnsi="Arial"/>
                <w:sz w:val="16"/>
                <w:szCs w:val="16"/>
                <w:color w:val="auto"/>
              </w:rPr>
              <w:t>Total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14,645</w:t>
            </w:r>
          </w:p>
        </w:tc>
        <w:tc>
          <w:tcPr>
            <w:tcW w:w="540" w:type="dxa"/>
            <w:vAlign w:val="bottom"/>
          </w:tcPr>
          <w:p>
            <w:pPr>
              <w:spacing w:after="0"/>
              <w:rPr>
                <w:sz w:val="17"/>
                <w:szCs w:val="17"/>
                <w:color w:val="auto"/>
              </w:rPr>
            </w:pP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14,564</w:t>
            </w:r>
          </w:p>
        </w:tc>
        <w:tc>
          <w:tcPr>
            <w:tcW w:w="540" w:type="dxa"/>
            <w:vAlign w:val="bottom"/>
          </w:tcPr>
          <w:p>
            <w:pPr>
              <w:spacing w:after="0"/>
              <w:rPr>
                <w:sz w:val="17"/>
                <w:szCs w:val="17"/>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80" w:type="dxa"/>
            <w:vAlign w:val="bottom"/>
          </w:tcPr>
          <w:p>
            <w:pPr>
              <w:spacing w:after="0"/>
              <w:rPr>
                <w:sz w:val="24"/>
                <w:szCs w:val="24"/>
                <w:color w:val="auto"/>
              </w:rPr>
            </w:pPr>
          </w:p>
        </w:tc>
        <w:tc>
          <w:tcPr>
            <w:tcW w:w="5160" w:type="dxa"/>
            <w:vAlign w:val="bottom"/>
            <w:gridSpan w:val="6"/>
          </w:tcPr>
          <w:p>
            <w:pPr>
              <w:spacing w:after="0"/>
              <w:rPr>
                <w:sz w:val="20"/>
                <w:szCs w:val="20"/>
                <w:color w:val="auto"/>
              </w:rPr>
            </w:pPr>
            <w:r>
              <w:rPr>
                <w:rFonts w:ascii="Arial" w:cs="Arial" w:eastAsia="Arial" w:hAnsi="Arial"/>
                <w:sz w:val="16"/>
                <w:szCs w:val="16"/>
                <w:color w:val="auto"/>
              </w:rPr>
              <w:t>Debt-to-total capital</w:t>
            </w:r>
          </w:p>
        </w:tc>
        <w:tc>
          <w:tcPr>
            <w:tcW w:w="160" w:type="dxa"/>
            <w:vAlign w:val="bottom"/>
          </w:tcPr>
          <w:p>
            <w:pPr>
              <w:spacing w:after="0"/>
              <w:rPr>
                <w:sz w:val="24"/>
                <w:szCs w:val="2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6"/>
                <w:szCs w:val="16"/>
                <w:color w:val="auto"/>
              </w:rPr>
              <w:t>63.8%</w:t>
            </w:r>
          </w:p>
        </w:tc>
        <w:tc>
          <w:tcPr>
            <w:tcW w:w="260" w:type="dxa"/>
            <w:vAlign w:val="bottom"/>
          </w:tcPr>
          <w:p>
            <w:pPr>
              <w:spacing w:after="0"/>
              <w:rPr>
                <w:sz w:val="24"/>
                <w:szCs w:val="24"/>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6"/>
                <w:szCs w:val="16"/>
                <w:color w:val="auto"/>
              </w:rPr>
              <w:t>62.2%</w:t>
            </w:r>
          </w:p>
        </w:tc>
        <w:tc>
          <w:tcPr>
            <w:tcW w:w="3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340" w:type="dxa"/>
            <w:vAlign w:val="bottom"/>
            <w:gridSpan w:val="7"/>
          </w:tcPr>
          <w:p>
            <w:pPr>
              <w:spacing w:after="0"/>
              <w:rPr>
                <w:sz w:val="20"/>
                <w:szCs w:val="20"/>
                <w:color w:val="auto"/>
              </w:rPr>
            </w:pPr>
            <w:r>
              <w:rPr>
                <w:rFonts w:ascii="Arial" w:cs="Arial" w:eastAsia="Arial" w:hAnsi="Arial"/>
                <w:sz w:val="16"/>
                <w:szCs w:val="16"/>
                <w:color w:val="auto"/>
              </w:rPr>
              <w:t>Capitalized interest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24"/>
                <w:szCs w:val="24"/>
                <w:color w:val="auto"/>
              </w:rPr>
            </w:pP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40" w:type="dxa"/>
            <w:vAlign w:val="bottom"/>
          </w:tcPr>
          <w:p>
            <w:pPr>
              <w:spacing w:after="0"/>
              <w:rPr>
                <w:sz w:val="24"/>
                <w:szCs w:val="24"/>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5"/>
            <w:vMerge w:val="restart"/>
          </w:tcPr>
          <w:p>
            <w:pPr>
              <w:spacing w:after="0"/>
              <w:rPr>
                <w:sz w:val="20"/>
                <w:szCs w:val="20"/>
                <w:color w:val="auto"/>
              </w:rPr>
            </w:pPr>
            <w:r>
              <w:rPr>
                <w:rFonts w:ascii="Arial" w:cs="Arial" w:eastAsia="Arial" w:hAnsi="Arial"/>
                <w:sz w:val="16"/>
                <w:szCs w:val="16"/>
                <w:b w:val="1"/>
                <w:bCs w:val="1"/>
                <w:color w:val="auto"/>
                <w:w w:val="94"/>
              </w:rPr>
              <w:t>Acquisition Summary (a)</w:t>
            </w:r>
          </w:p>
        </w:tc>
        <w:tc>
          <w:tcPr>
            <w:tcW w:w="354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1800" w:type="dxa"/>
            <w:vAlign w:val="bottom"/>
            <w:tcBorders>
              <w:bottom w:val="single" w:sz="8" w:color="auto"/>
            </w:tcBorders>
            <w:gridSpan w:val="5"/>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80" w:type="dxa"/>
            <w:vAlign w:val="bottom"/>
          </w:tcPr>
          <w:p>
            <w:pPr>
              <w:spacing w:after="0"/>
              <w:rPr>
                <w:sz w:val="24"/>
                <w:szCs w:val="24"/>
                <w:color w:val="auto"/>
              </w:rPr>
            </w:pPr>
          </w:p>
        </w:tc>
        <w:tc>
          <w:tcPr>
            <w:tcW w:w="5160" w:type="dxa"/>
            <w:vAlign w:val="bottom"/>
            <w:gridSpan w:val="6"/>
          </w:tcPr>
          <w:p>
            <w:pPr>
              <w:ind w:left="20"/>
              <w:spacing w:after="0"/>
              <w:rPr>
                <w:sz w:val="20"/>
                <w:szCs w:val="20"/>
                <w:color w:val="auto"/>
              </w:rPr>
            </w:pPr>
            <w:r>
              <w:rPr>
                <w:rFonts w:ascii="Arial" w:cs="Arial" w:eastAsia="Arial" w:hAnsi="Arial"/>
                <w:sz w:val="16"/>
                <w:szCs w:val="16"/>
                <w:color w:val="auto"/>
              </w:rPr>
              <w:t>Gross annualized revenue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540" w:type="dxa"/>
            <w:vAlign w:val="bottom"/>
          </w:tcPr>
          <w:p>
            <w:pPr>
              <w:spacing w:after="0"/>
              <w:rPr>
                <w:sz w:val="24"/>
                <w:szCs w:val="24"/>
                <w:color w:val="auto"/>
              </w:rPr>
            </w:pP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540" w:type="dxa"/>
            <w:vAlign w:val="bottom"/>
          </w:tcPr>
          <w:p>
            <w:pPr>
              <w:spacing w:after="0"/>
              <w:rPr>
                <w:sz w:val="24"/>
                <w:szCs w:val="24"/>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80" w:type="dxa"/>
            <w:vAlign w:val="bottom"/>
          </w:tcPr>
          <w:p>
            <w:pPr>
              <w:spacing w:after="0"/>
              <w:rPr>
                <w:sz w:val="24"/>
                <w:szCs w:val="24"/>
                <w:color w:val="auto"/>
              </w:rPr>
            </w:pPr>
          </w:p>
        </w:tc>
        <w:tc>
          <w:tcPr>
            <w:tcW w:w="5160" w:type="dxa"/>
            <w:vAlign w:val="bottom"/>
            <w:gridSpan w:val="6"/>
          </w:tcPr>
          <w:p>
            <w:pPr>
              <w:ind w:left="20"/>
              <w:spacing w:after="0"/>
              <w:rPr>
                <w:sz w:val="20"/>
                <w:szCs w:val="20"/>
                <w:color w:val="auto"/>
              </w:rPr>
            </w:pPr>
            <w:r>
              <w:rPr>
                <w:rFonts w:ascii="Arial" w:cs="Arial" w:eastAsia="Arial" w:hAnsi="Arial"/>
                <w:sz w:val="16"/>
                <w:szCs w:val="16"/>
                <w:color w:val="auto"/>
              </w:rPr>
              <w:t>Total consideration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540" w:type="dxa"/>
            <w:vAlign w:val="bottom"/>
          </w:tcPr>
          <w:p>
            <w:pPr>
              <w:spacing w:after="0"/>
              <w:rPr>
                <w:sz w:val="24"/>
                <w:szCs w:val="24"/>
                <w:color w:val="auto"/>
              </w:rPr>
            </w:pP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540" w:type="dxa"/>
            <w:vAlign w:val="bottom"/>
          </w:tcPr>
          <w:p>
            <w:pPr>
              <w:spacing w:after="0"/>
              <w:rPr>
                <w:sz w:val="24"/>
                <w:szCs w:val="24"/>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180" w:type="dxa"/>
            <w:vAlign w:val="bottom"/>
          </w:tcPr>
          <w:p>
            <w:pPr>
              <w:spacing w:after="0"/>
              <w:rPr>
                <w:sz w:val="24"/>
                <w:szCs w:val="24"/>
                <w:color w:val="auto"/>
              </w:rPr>
            </w:pPr>
          </w:p>
        </w:tc>
        <w:tc>
          <w:tcPr>
            <w:tcW w:w="5160" w:type="dxa"/>
            <w:vAlign w:val="bottom"/>
            <w:gridSpan w:val="6"/>
          </w:tcPr>
          <w:p>
            <w:pPr>
              <w:ind w:left="20"/>
              <w:spacing w:after="0"/>
              <w:rPr>
                <w:sz w:val="20"/>
                <w:szCs w:val="20"/>
                <w:color w:val="auto"/>
              </w:rPr>
            </w:pPr>
            <w:r>
              <w:rPr>
                <w:rFonts w:ascii="Arial" w:cs="Arial" w:eastAsia="Arial" w:hAnsi="Arial"/>
                <w:sz w:val="16"/>
                <w:szCs w:val="16"/>
                <w:color w:val="auto"/>
              </w:rPr>
              <w:t>Cash paid for acquisitions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540" w:type="dxa"/>
            <w:vAlign w:val="bottom"/>
          </w:tcPr>
          <w:p>
            <w:pPr>
              <w:spacing w:after="0"/>
              <w:rPr>
                <w:sz w:val="24"/>
                <w:szCs w:val="24"/>
                <w:color w:val="auto"/>
              </w:rPr>
            </w:pP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540" w:type="dxa"/>
            <w:vAlign w:val="bottom"/>
          </w:tcPr>
          <w:p>
            <w:pPr>
              <w:spacing w:after="0"/>
              <w:rPr>
                <w:sz w:val="24"/>
                <w:szCs w:val="24"/>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80" w:type="dxa"/>
            <w:vAlign w:val="bottom"/>
            <w:gridSpan w:val="4"/>
            <w:vMerge w:val="restart"/>
          </w:tcPr>
          <w:p>
            <w:pPr>
              <w:spacing w:after="0"/>
              <w:rPr>
                <w:sz w:val="20"/>
                <w:szCs w:val="20"/>
                <w:color w:val="auto"/>
              </w:rPr>
            </w:pPr>
            <w:r>
              <w:rPr>
                <w:rFonts w:ascii="Arial" w:cs="Arial" w:eastAsia="Arial" w:hAnsi="Arial"/>
                <w:sz w:val="16"/>
                <w:szCs w:val="16"/>
                <w:b w:val="1"/>
                <w:bCs w:val="1"/>
                <w:color w:val="auto"/>
                <w:w w:val="94"/>
              </w:rPr>
              <w:t>Other Operational Data</w:t>
            </w:r>
          </w:p>
        </w:tc>
        <w:tc>
          <w:tcPr>
            <w:tcW w:w="3660" w:type="dxa"/>
            <w:vAlign w:val="bottom"/>
            <w:gridSpan w:val="3"/>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1680" w:type="dxa"/>
            <w:vAlign w:val="bottom"/>
            <w:tcBorders>
              <w:bottom w:val="single" w:sz="8" w:color="auto"/>
            </w:tcBorders>
            <w:gridSpan w:val="4"/>
            <w:vMerge w:val="continue"/>
          </w:tcPr>
          <w:p>
            <w:pPr>
              <w:spacing w:after="0"/>
              <w:rPr>
                <w:sz w:val="24"/>
                <w:szCs w:val="24"/>
                <w:color w:val="auto"/>
              </w:rPr>
            </w:pPr>
          </w:p>
        </w:tc>
        <w:tc>
          <w:tcPr>
            <w:tcW w:w="36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340" w:type="dxa"/>
            <w:vAlign w:val="bottom"/>
            <w:gridSpan w:val="7"/>
          </w:tcPr>
          <w:p>
            <w:pPr>
              <w:spacing w:after="0"/>
              <w:rPr>
                <w:sz w:val="20"/>
                <w:szCs w:val="20"/>
                <w:color w:val="auto"/>
              </w:rPr>
            </w:pPr>
            <w:r>
              <w:rPr>
                <w:rFonts w:ascii="Arial" w:cs="Arial" w:eastAsia="Arial" w:hAnsi="Arial"/>
                <w:sz w:val="16"/>
                <w:szCs w:val="16"/>
                <w:color w:val="auto"/>
              </w:rPr>
              <w:t>Internalization of waste, based on disposal costs</w:t>
            </w:r>
          </w:p>
        </w:tc>
        <w:tc>
          <w:tcPr>
            <w:tcW w:w="160" w:type="dxa"/>
            <w:vAlign w:val="bottom"/>
          </w:tcPr>
          <w:p>
            <w:pPr>
              <w:spacing w:after="0"/>
              <w:rPr>
                <w:sz w:val="24"/>
                <w:szCs w:val="2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6"/>
                <w:szCs w:val="16"/>
                <w:color w:val="auto"/>
              </w:rPr>
              <w:t>65.6%</w:t>
            </w:r>
          </w:p>
        </w:tc>
        <w:tc>
          <w:tcPr>
            <w:tcW w:w="260" w:type="dxa"/>
            <w:vAlign w:val="bottom"/>
          </w:tcPr>
          <w:p>
            <w:pPr>
              <w:spacing w:after="0"/>
              <w:rPr>
                <w:sz w:val="24"/>
                <w:szCs w:val="24"/>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6"/>
                <w:szCs w:val="16"/>
                <w:color w:val="auto"/>
              </w:rPr>
              <w:t>66.3%</w:t>
            </w:r>
          </w:p>
        </w:tc>
        <w:tc>
          <w:tcPr>
            <w:tcW w:w="3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40" w:type="dxa"/>
            <w:vAlign w:val="bottom"/>
            <w:gridSpan w:val="7"/>
          </w:tcPr>
          <w:p>
            <w:pPr>
              <w:spacing w:after="0"/>
              <w:rPr>
                <w:sz w:val="20"/>
                <w:szCs w:val="20"/>
                <w:color w:val="auto"/>
              </w:rPr>
            </w:pPr>
            <w:r>
              <w:rPr>
                <w:rFonts w:ascii="Arial" w:cs="Arial" w:eastAsia="Arial" w:hAnsi="Arial"/>
                <w:sz w:val="16"/>
                <w:szCs w:val="16"/>
                <w:color w:val="auto"/>
              </w:rPr>
              <w:t>Total landfill disposal volumes (tons in millions)</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40" w:type="dxa"/>
            <w:vAlign w:val="bottom"/>
            <w:gridSpan w:val="7"/>
          </w:tcPr>
          <w:p>
            <w:pPr>
              <w:spacing w:after="0"/>
              <w:rPr>
                <w:sz w:val="20"/>
                <w:szCs w:val="20"/>
                <w:color w:val="auto"/>
              </w:rPr>
            </w:pPr>
            <w:r>
              <w:rPr>
                <w:rFonts w:ascii="Arial" w:cs="Arial" w:eastAsia="Arial" w:hAnsi="Arial"/>
                <w:sz w:val="16"/>
                <w:szCs w:val="16"/>
                <w:color w:val="auto"/>
              </w:rPr>
              <w:t>Active landfills</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340" w:type="dxa"/>
            <w:vAlign w:val="bottom"/>
            <w:gridSpan w:val="7"/>
          </w:tcPr>
          <w:p>
            <w:pPr>
              <w:spacing w:after="0"/>
              <w:rPr>
                <w:sz w:val="20"/>
                <w:szCs w:val="20"/>
                <w:color w:val="auto"/>
              </w:rPr>
            </w:pPr>
            <w:r>
              <w:rPr>
                <w:rFonts w:ascii="Arial" w:cs="Arial" w:eastAsia="Arial" w:hAnsi="Arial"/>
                <w:sz w:val="16"/>
                <w:szCs w:val="16"/>
                <w:color w:val="auto"/>
              </w:rPr>
              <w:t>Sites accepting waste at the end of each period presented</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40" w:type="dxa"/>
            <w:vAlign w:val="bottom"/>
            <w:gridSpan w:val="7"/>
            <w:vMerge w:val="restart"/>
          </w:tcPr>
          <w:p>
            <w:pPr>
              <w:spacing w:after="0"/>
              <w:rPr>
                <w:sz w:val="20"/>
                <w:szCs w:val="20"/>
                <w:color w:val="auto"/>
              </w:rPr>
            </w:pPr>
            <w:r>
              <w:rPr>
                <w:rFonts w:ascii="Arial" w:cs="Arial" w:eastAsia="Arial" w:hAnsi="Arial"/>
                <w:sz w:val="16"/>
                <w:szCs w:val="16"/>
                <w:b w:val="1"/>
                <w:bCs w:val="1"/>
                <w:color w:val="auto"/>
              </w:rPr>
              <w:t>Amortization, Accretion and Other Expenses for Landfills Included in</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34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w w:val="92"/>
              </w:rPr>
              <w:t>Operating Groups:</w:t>
            </w:r>
          </w:p>
        </w:tc>
        <w:tc>
          <w:tcPr>
            <w:tcW w:w="3340" w:type="dxa"/>
            <w:vAlign w:val="bottom"/>
            <w:tcBorders>
              <w:top w:val="single" w:sz="8" w:color="auto"/>
            </w:tcBorders>
            <w:gridSpan w:val="3"/>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40" w:type="dxa"/>
            <w:vAlign w:val="bottom"/>
            <w:gridSpan w:val="7"/>
          </w:tcPr>
          <w:p>
            <w:pPr>
              <w:spacing w:after="0"/>
              <w:rPr>
                <w:sz w:val="20"/>
                <w:szCs w:val="20"/>
                <w:color w:val="auto"/>
              </w:rPr>
            </w:pPr>
            <w:r>
              <w:rPr>
                <w:rFonts w:ascii="Arial" w:cs="Arial" w:eastAsia="Arial" w:hAnsi="Arial"/>
                <w:sz w:val="16"/>
                <w:szCs w:val="16"/>
                <w:color w:val="auto"/>
              </w:rPr>
              <w:t>Landfill amortization expense -</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160" w:type="dxa"/>
            <w:vAlign w:val="bottom"/>
            <w:gridSpan w:val="6"/>
          </w:tcPr>
          <w:p>
            <w:pPr>
              <w:spacing w:after="0"/>
              <w:rPr>
                <w:sz w:val="20"/>
                <w:szCs w:val="20"/>
                <w:color w:val="auto"/>
              </w:rPr>
            </w:pPr>
            <w:r>
              <w:rPr>
                <w:rFonts w:ascii="Arial" w:cs="Arial" w:eastAsia="Arial" w:hAnsi="Arial"/>
                <w:sz w:val="16"/>
                <w:szCs w:val="16"/>
                <w:color w:val="auto"/>
              </w:rPr>
              <w:t>Cost basis of landfill assets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104.7</w:t>
            </w:r>
          </w:p>
        </w:tc>
        <w:tc>
          <w:tcPr>
            <w:tcW w:w="540" w:type="dxa"/>
            <w:vAlign w:val="bottom"/>
          </w:tcPr>
          <w:p>
            <w:pPr>
              <w:spacing w:after="0"/>
              <w:rPr>
                <w:sz w:val="17"/>
                <w:szCs w:val="17"/>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104.4</w:t>
            </w:r>
          </w:p>
        </w:tc>
        <w:tc>
          <w:tcPr>
            <w:tcW w:w="540" w:type="dxa"/>
            <w:vAlign w:val="bottom"/>
          </w:tcPr>
          <w:p>
            <w:pPr>
              <w:spacing w:after="0"/>
              <w:rPr>
                <w:sz w:val="17"/>
                <w:szCs w:val="17"/>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5160" w:type="dxa"/>
            <w:vAlign w:val="bottom"/>
            <w:gridSpan w:val="6"/>
          </w:tcPr>
          <w:p>
            <w:pPr>
              <w:spacing w:after="0"/>
              <w:rPr>
                <w:sz w:val="20"/>
                <w:szCs w:val="20"/>
                <w:color w:val="auto"/>
              </w:rPr>
            </w:pPr>
            <w:r>
              <w:rPr>
                <w:rFonts w:ascii="Arial" w:cs="Arial" w:eastAsia="Arial" w:hAnsi="Arial"/>
                <w:sz w:val="16"/>
                <w:szCs w:val="16"/>
                <w:color w:val="auto"/>
              </w:rPr>
              <w:t>Asset retirement costs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5160" w:type="dxa"/>
            <w:vAlign w:val="bottom"/>
            <w:gridSpan w:val="6"/>
          </w:tcPr>
          <w:p>
            <w:pPr>
              <w:ind w:left="180"/>
              <w:spacing w:after="0"/>
              <w:rPr>
                <w:sz w:val="20"/>
                <w:szCs w:val="20"/>
                <w:color w:val="auto"/>
              </w:rPr>
            </w:pPr>
            <w:r>
              <w:rPr>
                <w:rFonts w:ascii="Arial" w:cs="Arial" w:eastAsia="Arial" w:hAnsi="Arial"/>
                <w:sz w:val="16"/>
                <w:szCs w:val="16"/>
                <w:color w:val="auto"/>
              </w:rPr>
              <w:t>Total landfill amortization expense (b) (c)</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128.1</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137.2</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40" w:type="dxa"/>
            <w:vAlign w:val="bottom"/>
            <w:gridSpan w:val="7"/>
          </w:tcPr>
          <w:p>
            <w:pPr>
              <w:spacing w:after="0"/>
              <w:rPr>
                <w:sz w:val="20"/>
                <w:szCs w:val="20"/>
                <w:color w:val="auto"/>
              </w:rPr>
            </w:pPr>
            <w:r>
              <w:rPr>
                <w:rFonts w:ascii="Arial" w:cs="Arial" w:eastAsia="Arial" w:hAnsi="Arial"/>
                <w:sz w:val="16"/>
                <w:szCs w:val="16"/>
                <w:color w:val="auto"/>
              </w:rPr>
              <w:t>Accretion and other related expense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5160" w:type="dxa"/>
            <w:vAlign w:val="bottom"/>
            <w:gridSpan w:val="6"/>
          </w:tcPr>
          <w:p>
            <w:pPr>
              <w:spacing w:after="0"/>
              <w:rPr>
                <w:sz w:val="20"/>
                <w:szCs w:val="20"/>
                <w:color w:val="auto"/>
              </w:rPr>
            </w:pPr>
            <w:r>
              <w:rPr>
                <w:rFonts w:ascii="Arial" w:cs="Arial" w:eastAsia="Arial" w:hAnsi="Arial"/>
                <w:sz w:val="16"/>
                <w:szCs w:val="16"/>
                <w:color w:val="auto"/>
              </w:rPr>
              <w:t>Landfill amortization, accretion and other related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w:t>
            </w:r>
          </w:p>
        </w:tc>
        <w:tc>
          <w:tcPr>
            <w:tcW w:w="540" w:type="dxa"/>
            <w:vAlign w:val="bottom"/>
          </w:tcPr>
          <w:p>
            <w:pPr>
              <w:spacing w:after="0"/>
              <w:rPr>
                <w:sz w:val="17"/>
                <w:szCs w:val="17"/>
                <w:color w:val="auto"/>
              </w:rPr>
            </w:pP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w:t>
            </w:r>
          </w:p>
        </w:tc>
        <w:tc>
          <w:tcPr>
            <w:tcW w:w="540" w:type="dxa"/>
            <w:vAlign w:val="bottom"/>
          </w:tcPr>
          <w:p>
            <w:pPr>
              <w:spacing w:after="0"/>
              <w:rPr>
                <w:sz w:val="17"/>
                <w:szCs w:val="17"/>
                <w:color w:val="auto"/>
              </w:rPr>
            </w:pP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0" w:right="420" w:hanging="392"/>
        <w:spacing w:after="0" w:line="293"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58" w:lineRule="exact"/>
        <w:rPr>
          <w:rFonts w:ascii="Arial" w:cs="Arial" w:eastAsia="Arial" w:hAnsi="Arial"/>
          <w:sz w:val="16"/>
          <w:szCs w:val="16"/>
          <w:color w:val="auto"/>
        </w:rPr>
      </w:pPr>
    </w:p>
    <w:p>
      <w:pPr>
        <w:ind w:left="400" w:right="520" w:hanging="392"/>
        <w:spacing w:after="0" w:line="293"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quarter ended September 30, 2017 as compared to the quarter ended June 30, 2017 reflects a decrease in amortization expense of approximately $9.1 million, primarily due to changes in landfill estimates identified in both quarters.</w:t>
      </w:r>
    </w:p>
    <w:p>
      <w:pPr>
        <w:spacing w:after="0" w:line="158" w:lineRule="exact"/>
        <w:rPr>
          <w:rFonts w:ascii="Arial" w:cs="Arial" w:eastAsia="Arial" w:hAnsi="Arial"/>
          <w:sz w:val="16"/>
          <w:szCs w:val="16"/>
          <w:color w:val="auto"/>
        </w:rPr>
      </w:pPr>
    </w:p>
    <w:p>
      <w:pPr>
        <w:ind w:left="400" w:right="40" w:hanging="392"/>
        <w:spacing w:after="0" w:line="293"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quarter ended September 30, 2017 as compared to the quarter ended September 30, 2016 reflects an increase in amortization expense of approximately $11.1 million due to increased volumes and changes in landfill estimates identified in both quarters.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8" w:right="239" w:bottom="536" w:gutter="0" w:footer="0" w:header="0"/>
        </w:sectPr>
      </w:pPr>
    </w:p>
    <w:bookmarkStart w:id="9" w:name="page10"/>
    <w:bookmarkEnd w:id="9"/>
    <w:p>
      <w:pPr>
        <w:ind w:left="4660"/>
        <w:spacing w:after="0"/>
        <w:rPr>
          <w:sz w:val="20"/>
          <w:szCs w:val="20"/>
          <w:color w:val="auto"/>
        </w:rPr>
      </w:pPr>
      <w:r>
        <w:rPr>
          <w:rFonts w:ascii="Arial" w:cs="Arial" w:eastAsia="Arial" w:hAnsi="Arial"/>
          <w:sz w:val="20"/>
          <w:szCs w:val="20"/>
          <w:b w:val="1"/>
          <w:bCs w:val="1"/>
          <w:color w:val="auto"/>
        </w:rPr>
        <w:t>Waste Management, Inc.</w:t>
      </w:r>
    </w:p>
    <w:p>
      <w:pPr>
        <w:spacing w:after="0" w:line="41"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Reconciliation of Certain Non-GAAP Measures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(Dollars In Millions, Except Per Share Amounts)</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5"/>
          </w:tcPr>
          <w:p>
            <w:pPr>
              <w:jc w:val="center"/>
              <w:ind w:left="268"/>
              <w:spacing w:after="0"/>
              <w:rPr>
                <w:sz w:val="20"/>
                <w:szCs w:val="20"/>
                <w:color w:val="auto"/>
              </w:rPr>
            </w:pPr>
            <w:r>
              <w:rPr>
                <w:rFonts w:ascii="Arial" w:cs="Arial" w:eastAsia="Arial" w:hAnsi="Arial"/>
                <w:sz w:val="14"/>
                <w:szCs w:val="14"/>
                <w:b w:val="1"/>
                <w:bCs w:val="1"/>
                <w:color w:val="auto"/>
                <w:w w:val="96"/>
              </w:rPr>
              <w:t>Quarter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tcPr>
          <w:p>
            <w:pPr>
              <w:jc w:val="center"/>
              <w:ind w:right="109"/>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Net Income and Diluted Earnings Per Share</w:t>
            </w:r>
          </w:p>
        </w:tc>
        <w:tc>
          <w:tcPr>
            <w:tcW w:w="2400" w:type="dxa"/>
            <w:vAlign w:val="bottom"/>
            <w:tcBorders>
              <w:bottom w:val="single" w:sz="8" w:color="auto"/>
            </w:tcBorders>
            <w:gridSpan w:val="5"/>
          </w:tcPr>
          <w:p>
            <w:pPr>
              <w:jc w:val="center"/>
              <w:ind w:left="248"/>
              <w:spacing w:after="0"/>
              <w:rPr>
                <w:sz w:val="20"/>
                <w:szCs w:val="20"/>
                <w:color w:val="auto"/>
              </w:rPr>
            </w:pPr>
            <w:r>
              <w:rPr>
                <w:rFonts w:ascii="Arial" w:cs="Arial" w:eastAsia="Arial" w:hAnsi="Arial"/>
                <w:sz w:val="14"/>
                <w:szCs w:val="14"/>
                <w:b w:val="1"/>
                <w:bCs w:val="1"/>
                <w:color w:val="auto"/>
                <w:w w:val="91"/>
              </w:rPr>
              <w:t>September 30, 2017</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center"/>
              <w:ind w:right="129"/>
              <w:spacing w:after="0"/>
              <w:rPr>
                <w:sz w:val="20"/>
                <w:szCs w:val="20"/>
                <w:color w:val="auto"/>
              </w:rPr>
            </w:pPr>
            <w:r>
              <w:rPr>
                <w:rFonts w:ascii="Arial" w:cs="Arial" w:eastAsia="Arial" w:hAnsi="Arial"/>
                <w:sz w:val="14"/>
                <w:szCs w:val="14"/>
                <w:b w:val="1"/>
                <w:bCs w:val="1"/>
                <w:color w:val="auto"/>
                <w:w w:val="91"/>
              </w:rPr>
              <w:t>September 30, 2016</w:t>
            </w:r>
          </w:p>
        </w:tc>
        <w:tc>
          <w:tcPr>
            <w:tcW w:w="0" w:type="dxa"/>
            <w:vAlign w:val="bottom"/>
          </w:tcPr>
          <w:p>
            <w:pPr>
              <w:spacing w:after="0"/>
              <w:rPr>
                <w:sz w:val="1"/>
                <w:szCs w:val="1"/>
                <w:color w:val="auto"/>
              </w:rPr>
            </w:pPr>
          </w:p>
        </w:tc>
      </w:tr>
      <w:tr>
        <w:trPr>
          <w:trHeight w:val="119"/>
        </w:trPr>
        <w:tc>
          <w:tcPr>
            <w:tcW w:w="6020" w:type="dxa"/>
            <w:vAlign w:val="bottom"/>
            <w:gridSpan w:val="2"/>
            <w:vMerge w:val="continue"/>
          </w:tcPr>
          <w:p>
            <w:pPr>
              <w:spacing w:after="0"/>
              <w:rPr>
                <w:sz w:val="10"/>
                <w:szCs w:val="10"/>
                <w:color w:val="auto"/>
              </w:rPr>
            </w:pPr>
          </w:p>
        </w:tc>
        <w:tc>
          <w:tcPr>
            <w:tcW w:w="13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After-tax</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jc w:val="center"/>
              <w:ind w:left="249"/>
              <w:spacing w:after="0" w:line="119" w:lineRule="exact"/>
              <w:rPr>
                <w:sz w:val="20"/>
                <w:szCs w:val="20"/>
                <w:color w:val="auto"/>
              </w:rPr>
            </w:pPr>
            <w:r>
              <w:rPr>
                <w:rFonts w:ascii="Arial" w:cs="Arial" w:eastAsia="Arial" w:hAnsi="Arial"/>
                <w:sz w:val="13"/>
                <w:szCs w:val="13"/>
                <w:b w:val="1"/>
                <w:bCs w:val="1"/>
                <w:color w:val="auto"/>
                <w:w w:val="98"/>
              </w:rPr>
              <w:t>Per Share</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4"/>
          </w:tcPr>
          <w:p>
            <w:pPr>
              <w:jc w:val="center"/>
              <w:ind w:right="340"/>
              <w:spacing w:after="0" w:line="119" w:lineRule="exact"/>
              <w:rPr>
                <w:sz w:val="20"/>
                <w:szCs w:val="20"/>
                <w:color w:val="auto"/>
              </w:rPr>
            </w:pPr>
            <w:r>
              <w:rPr>
                <w:rFonts w:ascii="Arial" w:cs="Arial" w:eastAsia="Arial" w:hAnsi="Arial"/>
                <w:sz w:val="13"/>
                <w:szCs w:val="13"/>
                <w:b w:val="1"/>
                <w:bCs w:val="1"/>
                <w:color w:val="auto"/>
              </w:rPr>
              <w:t>After-tax</w:t>
            </w:r>
          </w:p>
        </w:tc>
        <w:tc>
          <w:tcPr>
            <w:tcW w:w="160" w:type="dxa"/>
            <w:vAlign w:val="bottom"/>
          </w:tcPr>
          <w:p>
            <w:pPr>
              <w:spacing w:after="0"/>
              <w:rPr>
                <w:sz w:val="10"/>
                <w:szCs w:val="10"/>
                <w:color w:val="auto"/>
              </w:rPr>
            </w:pPr>
          </w:p>
        </w:tc>
        <w:tc>
          <w:tcPr>
            <w:tcW w:w="860" w:type="dxa"/>
            <w:vAlign w:val="bottom"/>
          </w:tcPr>
          <w:p>
            <w:pPr>
              <w:jc w:val="center"/>
              <w:ind w:right="109"/>
              <w:spacing w:after="0" w:line="119" w:lineRule="exact"/>
              <w:rPr>
                <w:sz w:val="20"/>
                <w:szCs w:val="20"/>
                <w:color w:val="auto"/>
              </w:rPr>
            </w:pPr>
            <w:r>
              <w:rPr>
                <w:rFonts w:ascii="Arial" w:cs="Arial" w:eastAsia="Arial" w:hAnsi="Arial"/>
                <w:sz w:val="13"/>
                <w:szCs w:val="13"/>
                <w:b w:val="1"/>
                <w:bCs w:val="1"/>
                <w:color w:val="auto"/>
                <w:w w:val="98"/>
              </w:rPr>
              <w:t>Per Share</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7"/>
        </w:trPr>
        <w:tc>
          <w:tcPr>
            <w:tcW w:w="602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Income and Diluted EPS, as reported</w:t>
            </w:r>
          </w:p>
        </w:tc>
        <w:tc>
          <w:tcPr>
            <w:tcW w:w="940" w:type="dxa"/>
            <w:vAlign w:val="bottom"/>
          </w:tcPr>
          <w:p>
            <w:pPr>
              <w:jc w:val="right"/>
              <w:ind w:right="72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386</w:t>
            </w:r>
          </w:p>
        </w:tc>
        <w:tc>
          <w:tcPr>
            <w:tcW w:w="1060" w:type="dxa"/>
            <w:vAlign w:val="bottom"/>
            <w:gridSpan w:val="3"/>
          </w:tcPr>
          <w:p>
            <w:pPr>
              <w:jc w:val="right"/>
              <w:ind w:right="70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7"/>
              </w:rPr>
              <w:t>0.87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0.68</w:t>
            </w:r>
          </w:p>
        </w:tc>
        <w:tc>
          <w:tcPr>
            <w:tcW w:w="0" w:type="dxa"/>
            <w:vAlign w:val="bottom"/>
          </w:tcPr>
          <w:p>
            <w:pPr>
              <w:spacing w:after="0"/>
              <w:rPr>
                <w:sz w:val="1"/>
                <w:szCs w:val="1"/>
                <w:color w:val="auto"/>
              </w:rPr>
            </w:pPr>
          </w:p>
        </w:tc>
      </w:tr>
      <w:tr>
        <w:trPr>
          <w:trHeight w:val="166"/>
        </w:trPr>
        <w:tc>
          <w:tcPr>
            <w:tcW w:w="602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2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Withdrawal from a multiemployer pension plan</w:t>
            </w:r>
          </w:p>
        </w:tc>
        <w:tc>
          <w:tcPr>
            <w:tcW w:w="94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jc w:val="right"/>
              <w:spacing w:after="0" w:line="158" w:lineRule="exact"/>
              <w:rPr>
                <w:sz w:val="20"/>
                <w:szCs w:val="20"/>
                <w:color w:val="auto"/>
              </w:rPr>
            </w:pPr>
            <w:r>
              <w:rPr>
                <w:rFonts w:ascii="Arial" w:cs="Arial" w:eastAsia="Arial" w:hAnsi="Arial"/>
                <w:sz w:val="14"/>
                <w:szCs w:val="14"/>
                <w:color w:val="auto"/>
                <w:w w:val="87"/>
              </w:rPr>
              <w:t>0.02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49"/>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020" w:type="dxa"/>
            <w:vAlign w:val="bottom"/>
            <w:gridSpan w:val="2"/>
          </w:tcPr>
          <w:p>
            <w:pPr>
              <w:ind w:left="260"/>
              <w:spacing w:after="0"/>
              <w:rPr>
                <w:sz w:val="20"/>
                <w:szCs w:val="20"/>
                <w:color w:val="auto"/>
              </w:rPr>
            </w:pPr>
            <w:r>
              <w:rPr>
                <w:rFonts w:ascii="Arial" w:cs="Arial" w:eastAsia="Arial" w:hAnsi="Arial"/>
                <w:sz w:val="14"/>
                <w:szCs w:val="14"/>
                <w:color w:val="auto"/>
              </w:rPr>
              <w:t>Expense from divestitures, asset impairments and unusual items</w:t>
            </w: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0.01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0.16</w:t>
            </w:r>
          </w:p>
        </w:tc>
        <w:tc>
          <w:tcPr>
            <w:tcW w:w="0" w:type="dxa"/>
            <w:vAlign w:val="bottom"/>
          </w:tcPr>
          <w:p>
            <w:pPr>
              <w:spacing w:after="0"/>
              <w:rPr>
                <w:sz w:val="1"/>
                <w:szCs w:val="1"/>
                <w:color w:val="auto"/>
              </w:rPr>
            </w:pPr>
          </w:p>
        </w:tc>
      </w:tr>
      <w:tr>
        <w:trPr>
          <w:trHeight w:val="156"/>
        </w:trPr>
        <w:tc>
          <w:tcPr>
            <w:tcW w:w="60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Adjusted Net Income and Diluted EPS (a)</w:t>
            </w:r>
          </w:p>
        </w:tc>
        <w:tc>
          <w:tcPr>
            <w:tcW w:w="940" w:type="dxa"/>
            <w:vAlign w:val="bottom"/>
            <w:tcBorders>
              <w:bottom w:val="single" w:sz="8" w:color="auto"/>
            </w:tcBorders>
          </w:tcPr>
          <w:p>
            <w:pPr>
              <w:jc w:val="right"/>
              <w:ind w:right="728"/>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398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bottom w:val="single" w:sz="8" w:color="auto"/>
            </w:tcBorders>
          </w:tcPr>
          <w:p>
            <w:pPr>
              <w:jc w:val="right"/>
              <w:ind w:right="709"/>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7"/>
              </w:rPr>
              <w:t>0.90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374</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0.84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5"/>
          </w:tcPr>
          <w:p>
            <w:pPr>
              <w:jc w:val="center"/>
              <w:ind w:left="228"/>
              <w:spacing w:after="0"/>
              <w:rPr>
                <w:sz w:val="20"/>
                <w:szCs w:val="20"/>
                <w:color w:val="auto"/>
              </w:rPr>
            </w:pPr>
            <w:r>
              <w:rPr>
                <w:rFonts w:ascii="Arial" w:cs="Arial" w:eastAsia="Arial" w:hAnsi="Arial"/>
                <w:sz w:val="14"/>
                <w:szCs w:val="14"/>
                <w:b w:val="1"/>
                <w:bCs w:val="1"/>
                <w:color w:val="auto"/>
                <w:w w:val="96"/>
              </w:rPr>
              <w:t>Quarter Ended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6"/>
          </w:tcPr>
          <w:p>
            <w:pPr>
              <w:jc w:val="center"/>
              <w:ind w:right="109"/>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71"/>
        </w:trPr>
        <w:tc>
          <w:tcPr>
            <w:tcW w:w="60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Operating EBITDA and Adjusted Operating EBITDA as a</w:t>
            </w:r>
          </w:p>
        </w:tc>
        <w:tc>
          <w:tcPr>
            <w:tcW w:w="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center"/>
              <w:ind w:left="208"/>
              <w:spacing w:after="0"/>
              <w:rPr>
                <w:sz w:val="20"/>
                <w:szCs w:val="20"/>
                <w:color w:val="auto"/>
              </w:rPr>
            </w:pPr>
            <w:r>
              <w:rPr>
                <w:rFonts w:ascii="Arial" w:cs="Arial" w:eastAsia="Arial" w:hAnsi="Arial"/>
                <w:sz w:val="14"/>
                <w:szCs w:val="14"/>
                <w:b w:val="1"/>
                <w:bCs w:val="1"/>
                <w:color w:val="auto"/>
                <w:w w:val="91"/>
              </w:rPr>
              <w:t>September 30, 2017</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center"/>
              <w:ind w:right="129"/>
              <w:spacing w:after="0"/>
              <w:rPr>
                <w:sz w:val="20"/>
                <w:szCs w:val="20"/>
                <w:color w:val="auto"/>
              </w:rPr>
            </w:pPr>
            <w:r>
              <w:rPr>
                <w:rFonts w:ascii="Arial" w:cs="Arial" w:eastAsia="Arial" w:hAnsi="Arial"/>
                <w:sz w:val="14"/>
                <w:szCs w:val="14"/>
                <w:b w:val="1"/>
                <w:bCs w:val="1"/>
                <w:color w:val="auto"/>
                <w:w w:val="91"/>
              </w:rPr>
              <w:t>September 30, 2016</w:t>
            </w:r>
          </w:p>
        </w:tc>
        <w:tc>
          <w:tcPr>
            <w:tcW w:w="0" w:type="dxa"/>
            <w:vAlign w:val="bottom"/>
          </w:tcPr>
          <w:p>
            <w:pPr>
              <w:spacing w:after="0"/>
              <w:rPr>
                <w:sz w:val="1"/>
                <w:szCs w:val="1"/>
                <w:color w:val="auto"/>
              </w:rPr>
            </w:pPr>
          </w:p>
        </w:tc>
      </w:tr>
      <w:tr>
        <w:trPr>
          <w:trHeight w:val="110"/>
        </w:trPr>
        <w:tc>
          <w:tcPr>
            <w:tcW w:w="60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2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Percent of Revenues</w:t>
            </w:r>
          </w:p>
        </w:tc>
        <w:tc>
          <w:tcPr>
            <w:tcW w:w="94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8"/>
              </w:rPr>
              <w:t>Amount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jc w:val="center"/>
              <w:ind w:left="229"/>
              <w:spacing w:after="0" w:line="158" w:lineRule="exact"/>
              <w:rPr>
                <w:sz w:val="20"/>
                <w:szCs w:val="20"/>
                <w:color w:val="auto"/>
              </w:rPr>
            </w:pPr>
            <w:r>
              <w:rPr>
                <w:rFonts w:ascii="Arial" w:cs="Arial" w:eastAsia="Arial" w:hAnsi="Arial"/>
                <w:sz w:val="14"/>
                <w:szCs w:val="14"/>
                <w:b w:val="1"/>
                <w:bCs w:val="1"/>
                <w:color w:val="auto"/>
                <w:w w:val="98"/>
              </w:rPr>
              <w:t>As a% of</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109"/>
              <w:spacing w:after="0" w:line="158" w:lineRule="exact"/>
              <w:rPr>
                <w:sz w:val="20"/>
                <w:szCs w:val="20"/>
                <w:color w:val="auto"/>
              </w:rPr>
            </w:pPr>
            <w:r>
              <w:rPr>
                <w:rFonts w:ascii="Arial" w:cs="Arial" w:eastAsia="Arial" w:hAnsi="Arial"/>
                <w:sz w:val="14"/>
                <w:szCs w:val="14"/>
                <w:b w:val="1"/>
                <w:bCs w:val="1"/>
                <w:color w:val="auto"/>
                <w:w w:val="94"/>
              </w:rPr>
              <w:t>As a% of</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0"/>
              </w:rPr>
              <w:t>Revenues</w:t>
            </w:r>
          </w:p>
        </w:tc>
        <w:tc>
          <w:tcPr>
            <w:tcW w:w="0" w:type="dxa"/>
            <w:vAlign w:val="bottom"/>
          </w:tcPr>
          <w:p>
            <w:pPr>
              <w:spacing w:after="0"/>
              <w:rPr>
                <w:sz w:val="1"/>
                <w:szCs w:val="1"/>
                <w:color w:val="auto"/>
              </w:rPr>
            </w:pPr>
          </w:p>
        </w:tc>
      </w:tr>
      <w:tr>
        <w:trPr>
          <w:trHeight w:val="211"/>
        </w:trPr>
        <w:tc>
          <w:tcPr>
            <w:tcW w:w="60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Revenues, as reported</w:t>
            </w:r>
          </w:p>
        </w:tc>
        <w:tc>
          <w:tcPr>
            <w:tcW w:w="940" w:type="dxa"/>
            <w:vAlign w:val="bottom"/>
          </w:tcPr>
          <w:p>
            <w:pPr>
              <w:jc w:val="right"/>
              <w:ind w:right="74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1"/>
              </w:rPr>
              <w:t>3,716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3,548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60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from Operations, as reported</w:t>
            </w:r>
          </w:p>
        </w:tc>
        <w:tc>
          <w:tcPr>
            <w:tcW w:w="940" w:type="dxa"/>
            <w:vAlign w:val="bottom"/>
          </w:tcPr>
          <w:p>
            <w:pPr>
              <w:jc w:val="right"/>
              <w:ind w:right="74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701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560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020" w:type="dxa"/>
            <w:vAlign w:val="bottom"/>
            <w:gridSpan w:val="2"/>
          </w:tcPr>
          <w:p>
            <w:pPr>
              <w:ind w:left="260"/>
              <w:spacing w:after="0"/>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00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Operating EBITDA, as reported (b)</w:t>
            </w: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48"/>
              <w:spacing w:after="0" w:line="147"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w w:val="91"/>
              </w:rPr>
              <w:t>1,051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896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2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9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2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Withdrawal from a multiemployer pension plan</w:t>
            </w:r>
          </w:p>
        </w:tc>
        <w:tc>
          <w:tcPr>
            <w:tcW w:w="9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20" w:type="dxa"/>
            <w:vAlign w:val="bottom"/>
            <w:gridSpan w:val="2"/>
          </w:tcPr>
          <w:p>
            <w:pPr>
              <w:ind w:left="260"/>
              <w:spacing w:after="0"/>
              <w:rPr>
                <w:sz w:val="20"/>
                <w:szCs w:val="20"/>
                <w:color w:val="auto"/>
              </w:rPr>
            </w:pPr>
            <w:r>
              <w:rPr>
                <w:rFonts w:ascii="Arial" w:cs="Arial" w:eastAsia="Arial" w:hAnsi="Arial"/>
                <w:sz w:val="14"/>
                <w:szCs w:val="14"/>
                <w:color w:val="auto"/>
              </w:rPr>
              <w:t xml:space="preserve">Expense from divestitures, asset impairments and unusual items </w:t>
            </w:r>
            <w:r>
              <w:rPr>
                <w:rFonts w:ascii="Arial" w:cs="Arial" w:eastAsia="Arial" w:hAnsi="Arial"/>
                <w:sz w:val="14"/>
                <w:szCs w:val="14"/>
                <w:b w:val="1"/>
                <w:bCs w:val="1"/>
                <w:color w:val="auto"/>
              </w:rPr>
              <w:t>(c)</w:t>
            </w:r>
          </w:p>
        </w:tc>
        <w:tc>
          <w:tcPr>
            <w:tcW w:w="9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Adjusted Operating EBITDA (b)</w:t>
            </w:r>
          </w:p>
        </w:tc>
        <w:tc>
          <w:tcPr>
            <w:tcW w:w="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748"/>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1,071</w:t>
            </w:r>
          </w:p>
        </w:tc>
        <w:tc>
          <w:tcPr>
            <w:tcW w:w="1380" w:type="dxa"/>
            <w:vAlign w:val="bottom"/>
            <w:gridSpan w:val="4"/>
          </w:tcPr>
          <w:p>
            <w:pPr>
              <w:jc w:val="right"/>
              <w:ind w:right="8"/>
              <w:spacing w:after="0" w:line="155" w:lineRule="exact"/>
              <w:rPr>
                <w:sz w:val="20"/>
                <w:szCs w:val="20"/>
                <w:color w:val="auto"/>
              </w:rPr>
            </w:pPr>
            <w:r>
              <w:rPr>
                <w:rFonts w:ascii="Arial" w:cs="Arial" w:eastAsia="Arial" w:hAnsi="Arial"/>
                <w:sz w:val="14"/>
                <w:szCs w:val="14"/>
                <w:b w:val="1"/>
                <w:bCs w:val="1"/>
                <w:color w:val="auto"/>
              </w:rPr>
              <w:t>28.8%</w:t>
            </w:r>
          </w:p>
        </w:tc>
        <w:tc>
          <w:tcPr>
            <w:tcW w:w="12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1,002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28.2%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Quarter Ended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Tax Expense Reconciliation and Effective Tax Rate</w:t>
            </w: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Pre-tax Income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Tax Expense</w:t>
            </w:r>
          </w:p>
        </w:tc>
        <w:tc>
          <w:tcPr>
            <w:tcW w:w="1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08"/>
              <w:spacing w:after="0" w:line="119" w:lineRule="exact"/>
              <w:rPr>
                <w:sz w:val="20"/>
                <w:szCs w:val="20"/>
                <w:color w:val="auto"/>
              </w:rPr>
            </w:pPr>
            <w:r>
              <w:rPr>
                <w:rFonts w:ascii="Arial" w:cs="Arial" w:eastAsia="Arial" w:hAnsi="Arial"/>
                <w:sz w:val="13"/>
                <w:szCs w:val="13"/>
                <w:b w:val="1"/>
                <w:bCs w:val="1"/>
                <w:color w:val="auto"/>
                <w:w w:val="99"/>
              </w:rPr>
              <w:t>Effective Tax</w:t>
            </w:r>
          </w:p>
        </w:tc>
        <w:tc>
          <w:tcPr>
            <w:tcW w:w="160" w:type="dxa"/>
            <w:vAlign w:val="bottom"/>
            <w:gridSpan w:val="3"/>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Rate (d)</w:t>
            </w:r>
          </w:p>
        </w:tc>
        <w:tc>
          <w:tcPr>
            <w:tcW w:w="16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20" w:type="dxa"/>
            <w:vAlign w:val="bottom"/>
            <w:gridSpan w:val="2"/>
          </w:tcPr>
          <w:p>
            <w:pPr>
              <w:ind w:left="140"/>
              <w:spacing w:after="0"/>
              <w:rPr>
                <w:sz w:val="20"/>
                <w:szCs w:val="20"/>
                <w:color w:val="auto"/>
              </w:rPr>
            </w:pPr>
            <w:r>
              <w:rPr>
                <w:rFonts w:ascii="Arial" w:cs="Arial" w:eastAsia="Arial" w:hAnsi="Arial"/>
                <w:sz w:val="14"/>
                <w:szCs w:val="14"/>
                <w:b w:val="1"/>
                <w:bCs w:val="1"/>
                <w:color w:val="auto"/>
              </w:rPr>
              <w:t>As-reported amounts</w:t>
            </w:r>
          </w:p>
        </w:tc>
        <w:tc>
          <w:tcPr>
            <w:tcW w:w="940" w:type="dxa"/>
            <w:vAlign w:val="bottom"/>
          </w:tcPr>
          <w:p>
            <w:pPr>
              <w:jc w:val="right"/>
              <w:ind w:right="74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603</w:t>
            </w:r>
          </w:p>
        </w:tc>
        <w:tc>
          <w:tcPr>
            <w:tcW w:w="1060" w:type="dxa"/>
            <w:vAlign w:val="bottom"/>
            <w:gridSpan w:val="3"/>
          </w:tcPr>
          <w:p>
            <w:pPr>
              <w:jc w:val="right"/>
              <w:ind w:right="729"/>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215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35.7%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602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20" w:type="dxa"/>
            <w:vAlign w:val="bottom"/>
            <w:gridSpan w:val="2"/>
          </w:tcPr>
          <w:p>
            <w:pPr>
              <w:ind w:left="260"/>
              <w:spacing w:after="0"/>
              <w:rPr>
                <w:sz w:val="20"/>
                <w:szCs w:val="20"/>
                <w:color w:val="auto"/>
              </w:rPr>
            </w:pPr>
            <w:r>
              <w:rPr>
                <w:rFonts w:ascii="Arial" w:cs="Arial" w:eastAsia="Arial" w:hAnsi="Arial"/>
                <w:sz w:val="14"/>
                <w:szCs w:val="14"/>
                <w:color w:val="auto"/>
              </w:rPr>
              <w:t>Withdrawal from a multiemployer pension plan</w:t>
            </w:r>
          </w:p>
        </w:tc>
        <w:tc>
          <w:tcPr>
            <w:tcW w:w="9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02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Expense from divestitures, asset impairments and unusual items</w:t>
            </w:r>
          </w:p>
        </w:tc>
        <w:tc>
          <w:tcPr>
            <w:tcW w:w="940" w:type="dxa"/>
            <w:vAlign w:val="bottom"/>
          </w:tcPr>
          <w:p>
            <w:pPr>
              <w:spacing w:after="0"/>
              <w:rPr>
                <w:sz w:val="12"/>
                <w:szCs w:val="12"/>
                <w:color w:val="auto"/>
              </w:rPr>
            </w:pPr>
          </w:p>
        </w:tc>
        <w:tc>
          <w:tcPr>
            <w:tcW w:w="400" w:type="dxa"/>
            <w:vAlign w:val="bottom"/>
          </w:tcPr>
          <w:p>
            <w:pPr>
              <w:jc w:val="right"/>
              <w:spacing w:after="0" w:line="145"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jc w:val="right"/>
              <w:ind w:right="8"/>
              <w:spacing w:after="0" w:line="145"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As-adjusted amounts</w:t>
            </w: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35.8%</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00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748"/>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623</w:t>
            </w:r>
          </w:p>
        </w:tc>
        <w:tc>
          <w:tcPr>
            <w:tcW w:w="120" w:type="dxa"/>
            <w:vAlign w:val="bottom"/>
            <w:vMerge w:val="continue"/>
          </w:tcPr>
          <w:p>
            <w:pPr>
              <w:spacing w:after="0"/>
              <w:rPr>
                <w:sz w:val="12"/>
                <w:szCs w:val="12"/>
                <w:color w:val="auto"/>
              </w:rPr>
            </w:pPr>
          </w:p>
        </w:tc>
        <w:tc>
          <w:tcPr>
            <w:tcW w:w="940" w:type="dxa"/>
            <w:vAlign w:val="bottom"/>
            <w:tcBorders>
              <w:bottom w:val="single" w:sz="8" w:color="auto"/>
            </w:tcBorders>
            <w:gridSpan w:val="2"/>
          </w:tcPr>
          <w:p>
            <w:pPr>
              <w:jc w:val="right"/>
              <w:ind w:right="72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4"/>
              </w:rPr>
              <w:t>223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Adjusted third quarter 2017 earnings per diluted share increased 7.1% as compared with adjusted third quarter 2016 earnings per diluted share.</w:t>
      </w:r>
    </w:p>
    <w:p>
      <w:pPr>
        <w:ind w:left="260" w:right="480" w:hanging="252"/>
        <w:spacing w:after="0" w:line="221" w:lineRule="auto"/>
        <w:tabs>
          <w:tab w:leader="none" w:pos="244"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Third quarter 2017 operating EBITDA increased 17.3% and 6.9% on an as reported and as adjusted basis, respectively, as compared with the same period prior year. Adjusted operating EBITDA as a percent of revenues increased 60 basis points to 28.8% of revenues in the third quarter 2017.</w:t>
      </w:r>
    </w:p>
    <w:p>
      <w:pPr>
        <w:ind w:left="260" w:right="300" w:hanging="252"/>
        <w:spacing w:after="0" w:line="221" w:lineRule="auto"/>
        <w:tabs>
          <w:tab w:leader="none" w:pos="241"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Third quarter 2017 amount consists of $9 million to increase estimated environmental remediation reserves. Third quarter 2016 amount primarily includes pre-tax charges of i) $43 million related to the impairment of a rural landfill and ii) $42 million related to estimated environmental remediation reserves.</w:t>
      </w:r>
    </w:p>
    <w:p>
      <w:pPr>
        <w:ind w:left="260" w:hanging="252"/>
        <w:spacing w:after="0" w:line="237" w:lineRule="auto"/>
        <w:tabs>
          <w:tab w:leader="none" w:pos="244"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The Company calculates its effective tax rate based on actual dollars. Rounding differences occurred when the effective tax rate was calculated using Pre-tax Income and Tax Expense amounts included in the table above, as these items have been rounded in millions.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60"/>
        <w:spacing w:after="0"/>
        <w:rPr>
          <w:sz w:val="20"/>
          <w:szCs w:val="20"/>
          <w:color w:val="auto"/>
        </w:rPr>
      </w:pPr>
      <w:r>
        <w:rPr>
          <w:rFonts w:ascii="Arial" w:cs="Arial" w:eastAsia="Arial" w:hAnsi="Arial"/>
          <w:sz w:val="20"/>
          <w:szCs w:val="20"/>
          <w:b w:val="1"/>
          <w:bCs w:val="1"/>
          <w:color w:val="auto"/>
        </w:rPr>
        <w:t>Waste Management, Inc.</w:t>
      </w:r>
    </w:p>
    <w:p>
      <w:pPr>
        <w:spacing w:after="0" w:line="40"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Reconciliation of Certain Non-GAAP Measures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(Dollars In Millions)</w:t>
      </w:r>
    </w:p>
    <w:p>
      <w:pPr>
        <w:spacing w:after="0" w:line="4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6"/>
              </w:rPr>
              <w:t>Quarter Ended</w:t>
            </w:r>
          </w:p>
        </w:tc>
        <w:tc>
          <w:tcPr>
            <w:tcW w:w="240" w:type="dxa"/>
            <w:vAlign w:val="bottom"/>
          </w:tcPr>
          <w:p>
            <w:pPr>
              <w:spacing w:after="0"/>
              <w:rPr>
                <w:sz w:val="14"/>
                <w:szCs w:val="14"/>
                <w:color w:val="auto"/>
              </w:rPr>
            </w:pPr>
          </w:p>
        </w:tc>
        <w:tc>
          <w:tcPr>
            <w:tcW w:w="236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85"/>
        </w:trPr>
        <w:tc>
          <w:tcPr>
            <w:tcW w:w="58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Operating Expenses as a Percent of Revenues</w:t>
            </w:r>
          </w:p>
        </w:tc>
        <w:tc>
          <w:tcPr>
            <w:tcW w:w="240" w:type="dxa"/>
            <w:vAlign w:val="bottom"/>
          </w:tcPr>
          <w:p>
            <w:pPr>
              <w:spacing w:after="0"/>
              <w:rPr>
                <w:sz w:val="16"/>
                <w:szCs w:val="16"/>
                <w:color w:val="auto"/>
              </w:rPr>
            </w:pPr>
          </w:p>
        </w:tc>
        <w:tc>
          <w:tcPr>
            <w:tcW w:w="26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1"/>
              </w:rPr>
              <w:t>September 30, 2017</w:t>
            </w:r>
          </w:p>
        </w:tc>
        <w:tc>
          <w:tcPr>
            <w:tcW w:w="240" w:type="dxa"/>
            <w:vAlign w:val="bottom"/>
          </w:tcPr>
          <w:p>
            <w:pPr>
              <w:spacing w:after="0"/>
              <w:rPr>
                <w:sz w:val="16"/>
                <w:szCs w:val="16"/>
                <w:color w:val="auto"/>
              </w:rPr>
            </w:pPr>
          </w:p>
        </w:tc>
        <w:tc>
          <w:tcPr>
            <w:tcW w:w="236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1"/>
              </w:rPr>
              <w:t>September 30, 2016</w:t>
            </w:r>
          </w:p>
        </w:tc>
        <w:tc>
          <w:tcPr>
            <w:tcW w:w="0" w:type="dxa"/>
            <w:vAlign w:val="bottom"/>
          </w:tcPr>
          <w:p>
            <w:pPr>
              <w:spacing w:after="0"/>
              <w:rPr>
                <w:sz w:val="1"/>
                <w:szCs w:val="1"/>
                <w:color w:val="auto"/>
              </w:rPr>
            </w:pPr>
          </w:p>
        </w:tc>
      </w:tr>
      <w:tr>
        <w:trPr>
          <w:trHeight w:val="133"/>
        </w:trPr>
        <w:tc>
          <w:tcPr>
            <w:tcW w:w="5880" w:type="dxa"/>
            <w:vAlign w:val="bottom"/>
            <w:vMerge w:val="continue"/>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ind w:left="300"/>
              <w:spacing w:after="0" w:line="133" w:lineRule="exact"/>
              <w:rPr>
                <w:sz w:val="20"/>
                <w:szCs w:val="20"/>
                <w:color w:val="auto"/>
              </w:rPr>
            </w:pPr>
            <w:r>
              <w:rPr>
                <w:rFonts w:ascii="Arial" w:cs="Arial" w:eastAsia="Arial" w:hAnsi="Arial"/>
                <w:sz w:val="14"/>
                <w:szCs w:val="14"/>
                <w:b w:val="1"/>
                <w:bCs w:val="1"/>
                <w:color w:val="auto"/>
              </w:rPr>
              <w:t>As a% of</w:t>
            </w:r>
          </w:p>
        </w:tc>
        <w:tc>
          <w:tcPr>
            <w:tcW w:w="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ind w:left="320"/>
              <w:spacing w:after="0" w:line="133" w:lineRule="exact"/>
              <w:rPr>
                <w:sz w:val="20"/>
                <w:szCs w:val="20"/>
                <w:color w:val="auto"/>
              </w:rPr>
            </w:pPr>
            <w:r>
              <w:rPr>
                <w:rFonts w:ascii="Arial" w:cs="Arial" w:eastAsia="Arial" w:hAnsi="Arial"/>
                <w:sz w:val="14"/>
                <w:szCs w:val="14"/>
                <w:b w:val="1"/>
                <w:bCs w:val="1"/>
                <w:color w:val="auto"/>
              </w:rPr>
              <w:t>As a% of</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Revenues</w:t>
            </w: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306"/>
        </w:trPr>
        <w:tc>
          <w:tcPr>
            <w:tcW w:w="5880" w:type="dxa"/>
            <w:vAlign w:val="bottom"/>
          </w:tcPr>
          <w:p>
            <w:pPr>
              <w:ind w:left="180"/>
              <w:spacing w:after="0"/>
              <w:rPr>
                <w:sz w:val="20"/>
                <w:szCs w:val="20"/>
                <w:color w:val="auto"/>
              </w:rPr>
            </w:pPr>
            <w:r>
              <w:rPr>
                <w:rFonts w:ascii="Arial" w:cs="Arial" w:eastAsia="Arial" w:hAnsi="Arial"/>
                <w:sz w:val="14"/>
                <w:szCs w:val="14"/>
                <w:b w:val="1"/>
                <w:bCs w:val="1"/>
                <w:color w:val="auto"/>
              </w:rPr>
              <w:t>Operating Revenues, as reported</w:t>
            </w:r>
          </w:p>
        </w:tc>
        <w:tc>
          <w:tcPr>
            <w:tcW w:w="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3,716</w:t>
            </w:r>
          </w:p>
        </w:tc>
        <w:tc>
          <w:tcPr>
            <w:tcW w:w="2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3,548</w:t>
            </w:r>
          </w:p>
        </w:tc>
        <w:tc>
          <w:tcPr>
            <w:tcW w:w="2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880" w:type="dxa"/>
            <w:vAlign w:val="bottom"/>
          </w:tcPr>
          <w:p>
            <w:pPr>
              <w:ind w:left="180"/>
              <w:spacing w:after="0"/>
              <w:rPr>
                <w:sz w:val="20"/>
                <w:szCs w:val="20"/>
                <w:color w:val="auto"/>
              </w:rPr>
            </w:pPr>
            <w:r>
              <w:rPr>
                <w:rFonts w:ascii="Arial" w:cs="Arial" w:eastAsia="Arial" w:hAnsi="Arial"/>
                <w:sz w:val="14"/>
                <w:szCs w:val="14"/>
                <w:b w:val="1"/>
                <w:bCs w:val="1"/>
                <w:color w:val="auto"/>
              </w:rPr>
              <w:t>Operating Expenses, as reported</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2,302</w:t>
            </w:r>
          </w:p>
        </w:tc>
        <w:tc>
          <w:tcPr>
            <w:tcW w:w="13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61.9%</w:t>
            </w:r>
          </w:p>
        </w:tc>
        <w:tc>
          <w:tcPr>
            <w:tcW w:w="26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2,216</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62.5%</w:t>
            </w:r>
          </w:p>
        </w:tc>
        <w:tc>
          <w:tcPr>
            <w:tcW w:w="0" w:type="dxa"/>
            <w:vAlign w:val="bottom"/>
          </w:tcPr>
          <w:p>
            <w:pPr>
              <w:spacing w:after="0"/>
              <w:rPr>
                <w:sz w:val="1"/>
                <w:szCs w:val="1"/>
                <w:color w:val="auto"/>
              </w:rPr>
            </w:pPr>
          </w:p>
        </w:tc>
      </w:tr>
      <w:tr>
        <w:trPr>
          <w:trHeight w:val="153"/>
        </w:trPr>
        <w:tc>
          <w:tcPr>
            <w:tcW w:w="588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Adjustment:</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880" w:type="dxa"/>
            <w:vAlign w:val="bottom"/>
          </w:tcPr>
          <w:p>
            <w:pPr>
              <w:ind w:left="360"/>
              <w:spacing w:after="0" w:line="145" w:lineRule="exact"/>
              <w:rPr>
                <w:sz w:val="20"/>
                <w:szCs w:val="20"/>
                <w:color w:val="auto"/>
              </w:rPr>
            </w:pPr>
            <w:r>
              <w:rPr>
                <w:rFonts w:ascii="Arial" w:cs="Arial" w:eastAsia="Arial" w:hAnsi="Arial"/>
                <w:sz w:val="14"/>
                <w:szCs w:val="14"/>
                <w:color w:val="auto"/>
              </w:rPr>
              <w:t>Withdrawal from a multiemployer pension plan</w:t>
            </w:r>
          </w:p>
        </w:tc>
        <w:tc>
          <w:tcPr>
            <w:tcW w:w="240" w:type="dxa"/>
            <w:vAlign w:val="bottom"/>
          </w:tcPr>
          <w:p>
            <w:pPr>
              <w:spacing w:after="0"/>
              <w:rPr>
                <w:sz w:val="12"/>
                <w:szCs w:val="12"/>
                <w:color w:val="auto"/>
              </w:rPr>
            </w:pPr>
          </w:p>
        </w:tc>
        <w:tc>
          <w:tcPr>
            <w:tcW w:w="9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Adjusted Operating Expenses (a)</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61.7%</w:t>
            </w: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880" w:type="dxa"/>
            <w:vAlign w:val="bottom"/>
            <w:vMerge w:val="continue"/>
          </w:tcPr>
          <w:p>
            <w:pPr>
              <w:spacing w:after="0"/>
              <w:rPr>
                <w:sz w:val="12"/>
                <w:szCs w:val="12"/>
                <w:color w:val="auto"/>
              </w:rPr>
            </w:pPr>
          </w:p>
        </w:tc>
        <w:tc>
          <w:tcPr>
            <w:tcW w:w="2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2,291</w:t>
            </w:r>
          </w:p>
        </w:tc>
        <w:tc>
          <w:tcPr>
            <w:tcW w:w="1380" w:type="dxa"/>
            <w:vAlign w:val="bottom"/>
            <w:tcBorders>
              <w:bottom w:val="single" w:sz="8" w:color="auto"/>
            </w:tcBorders>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6"/>
              </w:rPr>
              <w:t>Quarter Ended</w:t>
            </w:r>
          </w:p>
        </w:tc>
        <w:tc>
          <w:tcPr>
            <w:tcW w:w="240" w:type="dxa"/>
            <w:vAlign w:val="bottom"/>
          </w:tcPr>
          <w:p>
            <w:pPr>
              <w:spacing w:after="0"/>
              <w:rPr>
                <w:sz w:val="24"/>
                <w:szCs w:val="24"/>
                <w:color w:val="auto"/>
              </w:rPr>
            </w:pPr>
          </w:p>
        </w:tc>
        <w:tc>
          <w:tcPr>
            <w:tcW w:w="236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w w:val="96"/>
              </w:rPr>
              <w:t>Quarter Ended</w:t>
            </w:r>
          </w:p>
        </w:tc>
        <w:tc>
          <w:tcPr>
            <w:tcW w:w="0" w:type="dxa"/>
            <w:vAlign w:val="bottom"/>
          </w:tcPr>
          <w:p>
            <w:pPr>
              <w:spacing w:after="0"/>
              <w:rPr>
                <w:sz w:val="1"/>
                <w:szCs w:val="1"/>
                <w:color w:val="auto"/>
              </w:rPr>
            </w:pPr>
          </w:p>
        </w:tc>
      </w:tr>
      <w:tr>
        <w:trPr>
          <w:trHeight w:val="185"/>
        </w:trPr>
        <w:tc>
          <w:tcPr>
            <w:tcW w:w="58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Income from Operations and Adjusted Income from Operations</w:t>
            </w:r>
          </w:p>
        </w:tc>
        <w:tc>
          <w:tcPr>
            <w:tcW w:w="240" w:type="dxa"/>
            <w:vAlign w:val="bottom"/>
          </w:tcPr>
          <w:p>
            <w:pPr>
              <w:spacing w:after="0"/>
              <w:rPr>
                <w:sz w:val="16"/>
                <w:szCs w:val="16"/>
                <w:color w:val="auto"/>
              </w:rPr>
            </w:pPr>
          </w:p>
        </w:tc>
        <w:tc>
          <w:tcPr>
            <w:tcW w:w="26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1"/>
              </w:rPr>
              <w:t>September 30, 2017</w:t>
            </w:r>
          </w:p>
        </w:tc>
        <w:tc>
          <w:tcPr>
            <w:tcW w:w="240" w:type="dxa"/>
            <w:vAlign w:val="bottom"/>
          </w:tcPr>
          <w:p>
            <w:pPr>
              <w:spacing w:after="0"/>
              <w:rPr>
                <w:sz w:val="16"/>
                <w:szCs w:val="16"/>
                <w:color w:val="auto"/>
              </w:rPr>
            </w:pPr>
          </w:p>
        </w:tc>
        <w:tc>
          <w:tcPr>
            <w:tcW w:w="236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1"/>
              </w:rPr>
              <w:t>September 30, 2016</w:t>
            </w:r>
          </w:p>
        </w:tc>
        <w:tc>
          <w:tcPr>
            <w:tcW w:w="0" w:type="dxa"/>
            <w:vAlign w:val="bottom"/>
          </w:tcPr>
          <w:p>
            <w:pPr>
              <w:spacing w:after="0"/>
              <w:rPr>
                <w:sz w:val="1"/>
                <w:szCs w:val="1"/>
                <w:color w:val="auto"/>
              </w:rPr>
            </w:pPr>
          </w:p>
        </w:tc>
      </w:tr>
      <w:tr>
        <w:trPr>
          <w:trHeight w:val="122"/>
        </w:trPr>
        <w:tc>
          <w:tcPr>
            <w:tcW w:w="5880" w:type="dxa"/>
            <w:vAlign w:val="bottom"/>
            <w:vMerge w:val="continue"/>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ind w:left="300"/>
              <w:spacing w:after="0" w:line="122" w:lineRule="exact"/>
              <w:rPr>
                <w:sz w:val="20"/>
                <w:szCs w:val="20"/>
                <w:color w:val="auto"/>
              </w:rPr>
            </w:pPr>
            <w:r>
              <w:rPr>
                <w:rFonts w:ascii="Arial" w:cs="Arial" w:eastAsia="Arial" w:hAnsi="Arial"/>
                <w:sz w:val="14"/>
                <w:szCs w:val="14"/>
                <w:b w:val="1"/>
                <w:bCs w:val="1"/>
                <w:color w:val="auto"/>
              </w:rPr>
              <w:t>As a% of</w:t>
            </w:r>
          </w:p>
        </w:tc>
        <w:tc>
          <w:tcPr>
            <w:tcW w:w="2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ind w:left="320"/>
              <w:spacing w:after="0" w:line="122" w:lineRule="exact"/>
              <w:rPr>
                <w:sz w:val="20"/>
                <w:szCs w:val="20"/>
                <w:color w:val="auto"/>
              </w:rPr>
            </w:pPr>
            <w:r>
              <w:rPr>
                <w:rFonts w:ascii="Arial" w:cs="Arial" w:eastAsia="Arial" w:hAnsi="Arial"/>
                <w:sz w:val="14"/>
                <w:szCs w:val="14"/>
                <w:b w:val="1"/>
                <w:bCs w:val="1"/>
                <w:color w:val="auto"/>
              </w:rPr>
              <w:t>As a% of</w:t>
            </w:r>
          </w:p>
        </w:tc>
        <w:tc>
          <w:tcPr>
            <w:tcW w:w="0" w:type="dxa"/>
            <w:vAlign w:val="bottom"/>
          </w:tcPr>
          <w:p>
            <w:pPr>
              <w:spacing w:after="0"/>
              <w:rPr>
                <w:sz w:val="1"/>
                <w:szCs w:val="1"/>
                <w:color w:val="auto"/>
              </w:rPr>
            </w:pPr>
          </w:p>
        </w:tc>
      </w:tr>
      <w:tr>
        <w:trPr>
          <w:trHeight w:val="182"/>
        </w:trPr>
        <w:tc>
          <w:tcPr>
            <w:tcW w:w="5880" w:type="dxa"/>
            <w:vAlign w:val="bottom"/>
          </w:tcPr>
          <w:p>
            <w:pPr>
              <w:spacing w:after="0"/>
              <w:rPr>
                <w:sz w:val="20"/>
                <w:szCs w:val="20"/>
                <w:color w:val="auto"/>
              </w:rPr>
            </w:pPr>
            <w:r>
              <w:rPr>
                <w:rFonts w:ascii="Arial" w:cs="Arial" w:eastAsia="Arial" w:hAnsi="Arial"/>
                <w:sz w:val="14"/>
                <w:szCs w:val="14"/>
                <w:b w:val="1"/>
                <w:bCs w:val="1"/>
                <w:i w:val="1"/>
                <w:iCs w:val="1"/>
                <w:color w:val="auto"/>
              </w:rPr>
              <w:t>as a Percent of Revenues</w:t>
            </w:r>
          </w:p>
        </w:tc>
        <w:tc>
          <w:tcPr>
            <w:tcW w:w="240" w:type="dxa"/>
            <w:vAlign w:val="bottom"/>
          </w:tcPr>
          <w:p>
            <w:pPr>
              <w:spacing w:after="0"/>
              <w:rPr>
                <w:sz w:val="15"/>
                <w:szCs w:val="15"/>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Revenues</w:t>
            </w:r>
          </w:p>
        </w:tc>
        <w:tc>
          <w:tcPr>
            <w:tcW w:w="240" w:type="dxa"/>
            <w:vAlign w:val="bottom"/>
          </w:tcPr>
          <w:p>
            <w:pPr>
              <w:spacing w:after="0"/>
              <w:rPr>
                <w:sz w:val="15"/>
                <w:szCs w:val="15"/>
                <w:color w:val="auto"/>
              </w:rPr>
            </w:pPr>
          </w:p>
        </w:tc>
        <w:tc>
          <w:tcPr>
            <w:tcW w:w="960" w:type="dxa"/>
            <w:vAlign w:val="bottom"/>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200" w:type="dxa"/>
            <w:vAlign w:val="bottom"/>
          </w:tcPr>
          <w:p>
            <w:pPr>
              <w:ind w:left="30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306"/>
        </w:trPr>
        <w:tc>
          <w:tcPr>
            <w:tcW w:w="5880" w:type="dxa"/>
            <w:vAlign w:val="bottom"/>
          </w:tcPr>
          <w:p>
            <w:pPr>
              <w:ind w:left="180"/>
              <w:spacing w:after="0"/>
              <w:rPr>
                <w:sz w:val="20"/>
                <w:szCs w:val="20"/>
                <w:color w:val="auto"/>
              </w:rPr>
            </w:pPr>
            <w:r>
              <w:rPr>
                <w:rFonts w:ascii="Arial" w:cs="Arial" w:eastAsia="Arial" w:hAnsi="Arial"/>
                <w:sz w:val="14"/>
                <w:szCs w:val="14"/>
                <w:b w:val="1"/>
                <w:bCs w:val="1"/>
                <w:color w:val="auto"/>
              </w:rPr>
              <w:t>Operating Revenues, as reported</w:t>
            </w:r>
          </w:p>
        </w:tc>
        <w:tc>
          <w:tcPr>
            <w:tcW w:w="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3,716</w:t>
            </w:r>
          </w:p>
        </w:tc>
        <w:tc>
          <w:tcPr>
            <w:tcW w:w="2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3,548</w:t>
            </w:r>
          </w:p>
        </w:tc>
        <w:tc>
          <w:tcPr>
            <w:tcW w:w="2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880" w:type="dxa"/>
            <w:vAlign w:val="bottom"/>
          </w:tcPr>
          <w:p>
            <w:pPr>
              <w:ind w:left="180"/>
              <w:spacing w:after="0"/>
              <w:rPr>
                <w:sz w:val="20"/>
                <w:szCs w:val="20"/>
                <w:color w:val="auto"/>
              </w:rPr>
            </w:pPr>
            <w:r>
              <w:rPr>
                <w:rFonts w:ascii="Arial" w:cs="Arial" w:eastAsia="Arial" w:hAnsi="Arial"/>
                <w:sz w:val="14"/>
                <w:szCs w:val="14"/>
                <w:b w:val="1"/>
                <w:bCs w:val="1"/>
                <w:color w:val="auto"/>
              </w:rPr>
              <w:t>Income from Operations, as reported</w:t>
            </w:r>
          </w:p>
        </w:tc>
        <w:tc>
          <w:tcPr>
            <w:tcW w:w="2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701</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560</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88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80" w:type="dxa"/>
            <w:vAlign w:val="bottom"/>
          </w:tcPr>
          <w:p>
            <w:pPr>
              <w:ind w:left="360"/>
              <w:spacing w:after="0" w:line="149" w:lineRule="exact"/>
              <w:rPr>
                <w:sz w:val="20"/>
                <w:szCs w:val="20"/>
                <w:color w:val="auto"/>
              </w:rPr>
            </w:pPr>
            <w:r>
              <w:rPr>
                <w:rFonts w:ascii="Arial" w:cs="Arial" w:eastAsia="Arial" w:hAnsi="Arial"/>
                <w:sz w:val="14"/>
                <w:szCs w:val="14"/>
                <w:color w:val="auto"/>
              </w:rPr>
              <w:t>Withdrawal from a multiemployer pension plan</w:t>
            </w:r>
          </w:p>
        </w:tc>
        <w:tc>
          <w:tcPr>
            <w:tcW w:w="24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80" w:type="dxa"/>
            <w:vAlign w:val="bottom"/>
          </w:tcPr>
          <w:p>
            <w:pPr>
              <w:ind w:left="360"/>
              <w:spacing w:after="0" w:line="145" w:lineRule="exact"/>
              <w:rPr>
                <w:sz w:val="20"/>
                <w:szCs w:val="20"/>
                <w:color w:val="auto"/>
              </w:rPr>
            </w:pPr>
            <w:r>
              <w:rPr>
                <w:rFonts w:ascii="Arial" w:cs="Arial" w:eastAsia="Arial" w:hAnsi="Arial"/>
                <w:sz w:val="14"/>
                <w:szCs w:val="14"/>
                <w:color w:val="auto"/>
              </w:rPr>
              <w:t>Expense from divestitures, asset impairments and unusual items</w:t>
            </w:r>
          </w:p>
        </w:tc>
        <w:tc>
          <w:tcPr>
            <w:tcW w:w="240" w:type="dxa"/>
            <w:vAlign w:val="bottom"/>
          </w:tcPr>
          <w:p>
            <w:pPr>
              <w:spacing w:after="0"/>
              <w:rPr>
                <w:sz w:val="12"/>
                <w:szCs w:val="12"/>
                <w:color w:val="auto"/>
              </w:rPr>
            </w:pPr>
          </w:p>
        </w:tc>
        <w:tc>
          <w:tcPr>
            <w:tcW w:w="9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9</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8"/>
              <w:spacing w:after="0" w:line="145" w:lineRule="exact"/>
              <w:rPr>
                <w:sz w:val="20"/>
                <w:szCs w:val="20"/>
                <w:color w:val="auto"/>
              </w:rPr>
            </w:pPr>
            <w:r>
              <w:rPr>
                <w:rFonts w:ascii="Arial" w:cs="Arial" w:eastAsia="Arial" w:hAnsi="Arial"/>
                <w:sz w:val="14"/>
                <w:szCs w:val="14"/>
                <w:color w:val="auto"/>
              </w:rPr>
              <w:t>106</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5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Adjusted Income from Operations (b)</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19.4%</w:t>
            </w: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18.8%</w:t>
            </w:r>
          </w:p>
        </w:tc>
        <w:tc>
          <w:tcPr>
            <w:tcW w:w="0" w:type="dxa"/>
            <w:vAlign w:val="bottom"/>
          </w:tcPr>
          <w:p>
            <w:pPr>
              <w:spacing w:after="0"/>
              <w:rPr>
                <w:sz w:val="1"/>
                <w:szCs w:val="1"/>
                <w:color w:val="auto"/>
              </w:rPr>
            </w:pPr>
          </w:p>
        </w:tc>
      </w:tr>
      <w:tr>
        <w:trPr>
          <w:trHeight w:val="142"/>
        </w:trPr>
        <w:tc>
          <w:tcPr>
            <w:tcW w:w="5880" w:type="dxa"/>
            <w:vAlign w:val="bottom"/>
            <w:vMerge w:val="continue"/>
          </w:tcPr>
          <w:p>
            <w:pPr>
              <w:spacing w:after="0"/>
              <w:rPr>
                <w:sz w:val="12"/>
                <w:szCs w:val="12"/>
                <w:color w:val="auto"/>
              </w:rPr>
            </w:pPr>
          </w:p>
        </w:tc>
        <w:tc>
          <w:tcPr>
            <w:tcW w:w="2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721</w:t>
            </w: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666</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240" w:top="115" w:right="31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2017 Projected Free Cash Flow Reconciliation </w:t>
            </w:r>
            <w:r>
              <w:rPr>
                <w:rFonts w:ascii="Arial" w:cs="Arial" w:eastAsia="Arial" w:hAnsi="Arial"/>
                <w:sz w:val="14"/>
                <w:szCs w:val="14"/>
                <w:b w:val="1"/>
                <w:bCs w:val="1"/>
                <w:color w:val="auto"/>
              </w:rPr>
              <w:t>(c)</w:t>
            </w:r>
          </w:p>
        </w:tc>
        <w:tc>
          <w:tcPr>
            <w:tcW w:w="220" w:type="dxa"/>
            <w:vAlign w:val="bottom"/>
          </w:tcPr>
          <w:p>
            <w:pPr>
              <w:spacing w:after="0"/>
              <w:rPr>
                <w:sz w:val="16"/>
                <w:szCs w:val="16"/>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Scenario 1</w:t>
            </w:r>
          </w:p>
        </w:tc>
        <w:tc>
          <w:tcPr>
            <w:tcW w:w="200" w:type="dxa"/>
            <w:vAlign w:val="bottom"/>
          </w:tcPr>
          <w:p>
            <w:pPr>
              <w:spacing w:after="0"/>
              <w:rPr>
                <w:sz w:val="16"/>
                <w:szCs w:val="16"/>
                <w:color w:val="auto"/>
              </w:rPr>
            </w:pP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8"/>
              </w:rPr>
              <w:t>Scenario 2</w:t>
            </w:r>
          </w:p>
        </w:tc>
        <w:tc>
          <w:tcPr>
            <w:tcW w:w="0" w:type="dxa"/>
            <w:vAlign w:val="bottom"/>
          </w:tcPr>
          <w:p>
            <w:pPr>
              <w:spacing w:after="0"/>
              <w:rPr>
                <w:sz w:val="1"/>
                <w:szCs w:val="1"/>
                <w:color w:val="auto"/>
              </w:rPr>
            </w:pPr>
          </w:p>
        </w:tc>
      </w:tr>
      <w:tr>
        <w:trPr>
          <w:trHeight w:val="134"/>
        </w:trPr>
        <w:tc>
          <w:tcPr>
            <w:tcW w:w="5880" w:type="dxa"/>
            <w:vAlign w:val="bottom"/>
            <w:vMerge w:val="restart"/>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5880" w:type="dxa"/>
            <w:vAlign w:val="bottom"/>
            <w:vMerge w:val="continue"/>
          </w:tcPr>
          <w:p>
            <w:pPr>
              <w:spacing w:after="0"/>
              <w:rPr>
                <w:sz w:val="10"/>
                <w:szCs w:val="10"/>
                <w:color w:val="auto"/>
              </w:rPr>
            </w:pPr>
          </w:p>
        </w:tc>
        <w:tc>
          <w:tcPr>
            <w:tcW w:w="220" w:type="dxa"/>
            <w:vAlign w:val="bottom"/>
            <w:tcBorders>
              <w:top w:val="single" w:sz="8" w:color="auto"/>
            </w:tcBorders>
          </w:tcPr>
          <w:p>
            <w:pPr>
              <w:jc w:val="right"/>
              <w:ind w:right="8"/>
              <w:spacing w:after="0" w:line="123"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3,100</w:t>
            </w:r>
          </w:p>
        </w:tc>
        <w:tc>
          <w:tcPr>
            <w:tcW w:w="200" w:type="dxa"/>
            <w:vAlign w:val="bottom"/>
          </w:tcPr>
          <w:p>
            <w:pPr>
              <w:spacing w:after="0"/>
              <w:rPr>
                <w:sz w:val="10"/>
                <w:szCs w:val="10"/>
                <w:color w:val="auto"/>
              </w:rPr>
            </w:pPr>
          </w:p>
        </w:tc>
        <w:tc>
          <w:tcPr>
            <w:tcW w:w="2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149"/>
        </w:trPr>
        <w:tc>
          <w:tcPr>
            <w:tcW w:w="5880" w:type="dxa"/>
            <w:vAlign w:val="bottom"/>
          </w:tcPr>
          <w:p>
            <w:pPr>
              <w:ind w:left="380"/>
              <w:spacing w:after="0" w:line="149" w:lineRule="exact"/>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(1,450)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149"/>
        </w:trPr>
        <w:tc>
          <w:tcPr>
            <w:tcW w:w="5880" w:type="dxa"/>
            <w:vAlign w:val="bottom"/>
          </w:tcPr>
          <w:p>
            <w:pPr>
              <w:ind w:left="380"/>
              <w:spacing w:after="0" w:line="149" w:lineRule="exact"/>
              <w:rPr>
                <w:sz w:val="20"/>
                <w:szCs w:val="20"/>
                <w:color w:val="auto"/>
              </w:rPr>
            </w:pPr>
            <w:r>
              <w:rPr>
                <w:rFonts w:ascii="Arial" w:cs="Arial" w:eastAsia="Arial" w:hAnsi="Arial"/>
                <w:sz w:val="14"/>
                <w:szCs w:val="14"/>
                <w:color w:val="auto"/>
              </w:rPr>
              <w:t>Proceeds from divestitures of businesses and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880" w:type="dxa"/>
            <w:vAlign w:val="bottom"/>
          </w:tcPr>
          <w:p>
            <w:pPr>
              <w:ind w:left="540"/>
              <w:spacing w:after="0" w:line="145" w:lineRule="exact"/>
              <w:rPr>
                <w:sz w:val="20"/>
                <w:szCs w:val="20"/>
                <w:color w:val="auto"/>
              </w:rPr>
            </w:pPr>
            <w:r>
              <w:rPr>
                <w:rFonts w:ascii="Arial" w:cs="Arial" w:eastAsia="Arial" w:hAnsi="Arial"/>
                <w:sz w:val="14"/>
                <w:szCs w:val="14"/>
                <w:color w:val="auto"/>
              </w:rPr>
              <w:t>other assets (net of cash divested)</w:t>
            </w:r>
          </w:p>
        </w:tc>
        <w:tc>
          <w:tcPr>
            <w:tcW w:w="220" w:type="dxa"/>
            <w:vAlign w:val="bottom"/>
          </w:tcPr>
          <w:p>
            <w:pPr>
              <w:spacing w:after="0"/>
              <w:rPr>
                <w:sz w:val="12"/>
                <w:szCs w:val="12"/>
                <w:color w:val="auto"/>
              </w:rPr>
            </w:pPr>
          </w:p>
        </w:tc>
        <w:tc>
          <w:tcPr>
            <w:tcW w:w="1000" w:type="dxa"/>
            <w:vAlign w:val="bottom"/>
          </w:tcPr>
          <w:p>
            <w:pPr>
              <w:jc w:val="right"/>
              <w:ind w:right="28"/>
              <w:spacing w:after="0" w:line="145" w:lineRule="exact"/>
              <w:rPr>
                <w:sz w:val="20"/>
                <w:szCs w:val="20"/>
                <w:color w:val="auto"/>
              </w:rPr>
            </w:pPr>
            <w:r>
              <w:rPr>
                <w:rFonts w:ascii="Arial" w:cs="Arial" w:eastAsia="Arial" w:hAnsi="Arial"/>
                <w:sz w:val="14"/>
                <w:szCs w:val="14"/>
                <w:color w:val="auto"/>
              </w:rPr>
              <w:t>50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28"/>
              <w:spacing w:after="0" w:line="14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3"/>
        </w:trPr>
        <w:tc>
          <w:tcPr>
            <w:tcW w:w="58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Free Cash Flow</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880" w:type="dxa"/>
            <w:vAlign w:val="bottom"/>
            <w:vMerge w:val="continue"/>
          </w:tcPr>
          <w:p>
            <w:pPr>
              <w:spacing w:after="0"/>
              <w:rPr>
                <w:sz w:val="12"/>
                <w:szCs w:val="12"/>
                <w:color w:val="auto"/>
              </w:rPr>
            </w:pPr>
          </w:p>
        </w:tc>
        <w:tc>
          <w:tcPr>
            <w:tcW w:w="2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1,700</w:t>
            </w:r>
          </w:p>
        </w:tc>
        <w:tc>
          <w:tcPr>
            <w:tcW w:w="20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1,750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right="260" w:hanging="332"/>
        <w:spacing w:after="0" w:line="253" w:lineRule="auto"/>
        <w:tabs>
          <w:tab w:leader="none" w:pos="319"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Adjusted third quarter 2017 operating expenses increased $75 million as compared with the same period prior year. Adjusted third quarter 2017 operating expenses as a percent of revenues improved 80 basis points as compared with the same period prior year.</w:t>
      </w:r>
    </w:p>
    <w:p>
      <w:pPr>
        <w:spacing w:after="0" w:line="106" w:lineRule="exact"/>
        <w:rPr>
          <w:rFonts w:ascii="Arial" w:cs="Arial" w:eastAsia="Arial" w:hAnsi="Arial"/>
          <w:sz w:val="14"/>
          <w:szCs w:val="14"/>
          <w:b w:val="1"/>
          <w:bCs w:val="1"/>
          <w:color w:val="auto"/>
        </w:rPr>
      </w:pPr>
    </w:p>
    <w:p>
      <w:pPr>
        <w:ind w:left="340" w:right="300" w:hanging="332"/>
        <w:spacing w:after="0" w:line="253" w:lineRule="auto"/>
        <w:tabs>
          <w:tab w:leader="none" w:pos="327"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Adjusted third quarter 2017 income from operations increased $55 million, or 8.3%, as compared with the same period prior year. Adjusted third quarter 2017 income from operations as a percent of revenues improved 60 basis points as compared with the same period prior year.</w:t>
      </w:r>
    </w:p>
    <w:p>
      <w:pPr>
        <w:spacing w:after="0" w:line="106" w:lineRule="exact"/>
        <w:rPr>
          <w:rFonts w:ascii="Arial" w:cs="Arial" w:eastAsia="Arial" w:hAnsi="Arial"/>
          <w:sz w:val="14"/>
          <w:szCs w:val="14"/>
          <w:b w:val="1"/>
          <w:bCs w:val="1"/>
          <w:color w:val="auto"/>
        </w:rPr>
      </w:pPr>
    </w:p>
    <w:p>
      <w:pPr>
        <w:ind w:left="340" w:hanging="332"/>
        <w:spacing w:after="0" w:line="253" w:lineRule="auto"/>
        <w:tabs>
          <w:tab w:leader="none" w:pos="324"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The reconciliation includes two scenarios that illustrate our projected free cash flow range for 2017. The amounts used in the reconciliation are subject to many variables, some of which are not under our control and, therefore, are not necessarily indicative of actual results.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56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2019-12-29T04:06:26Z</dcterms:created>
  <dcterms:modified xsi:type="dcterms:W3CDTF">2019-12-29T04:06:26Z</dcterms:modified>
</cp:coreProperties>
</file>