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1779"/>
        <w:spacing w:after="0"/>
        <w:rPr>
          <w:sz w:val="20"/>
          <w:szCs w:val="20"/>
          <w:color w:val="auto"/>
        </w:rPr>
      </w:pPr>
      <w:r>
        <w:rPr>
          <w:rFonts w:ascii="Courier New" w:cs="Courier New" w:eastAsia="Courier New" w:hAnsi="Courier New"/>
          <w:sz w:val="18"/>
          <w:szCs w:val="18"/>
          <w:color w:val="auto"/>
        </w:rPr>
        <w:t>CUSIP Number 94106L109</w:t>
      </w:r>
    </w:p>
    <w:p>
      <w:pPr>
        <w:spacing w:after="0" w:line="200"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2004</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 X</w:t>
        <w:tab/>
        <w:t>]</w:t>
      </w:r>
      <w:r>
        <w:rPr>
          <w:sz w:val="20"/>
          <w:szCs w:val="20"/>
          <w:color w:val="auto"/>
        </w:rPr>
        <w:tab/>
      </w:r>
      <w:r>
        <w:rPr>
          <w:rFonts w:ascii="Courier New" w:cs="Courier New" w:eastAsia="Courier New" w:hAnsi="Courier New"/>
          <w:sz w:val="16"/>
          <w:szCs w:val="16"/>
          <w:color w:val="auto"/>
        </w:rPr>
        <w:t>Rule 13d-1(b)</w:t>
      </w:r>
    </w:p>
    <w:p>
      <w:pPr>
        <w:ind w:left="1580" w:hanging="624"/>
        <w:spacing w:after="0" w:line="238"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580" w:hanging="624"/>
        <w:spacing w:after="0" w:line="238"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 - - - - - - - - - - - - - - - - - - - - - - - - - -</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94106L109</w:t>
      </w:r>
    </w:p>
    <w:p>
      <w:pPr>
        <w:spacing w:after="0" w:line="201" w:lineRule="exact"/>
        <w:rPr>
          <w:sz w:val="24"/>
          <w:szCs w:val="24"/>
          <w:color w:val="auto"/>
        </w:rPr>
      </w:pPr>
    </w:p>
    <w:p>
      <w:pPr>
        <w:ind w:left="1580" w:hanging="624"/>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900"/>
        <w:spacing w:after="0" w:line="238" w:lineRule="auto"/>
        <w:rPr>
          <w:sz w:val="20"/>
          <w:szCs w:val="20"/>
          <w:color w:val="auto"/>
        </w:rPr>
      </w:pPr>
      <w:r>
        <w:rPr>
          <w:rFonts w:ascii="Courier New" w:cs="Courier New" w:eastAsia="Courier New" w:hAnsi="Courier New"/>
          <w:sz w:val="18"/>
          <w:szCs w:val="18"/>
          <w:color w:val="auto"/>
        </w:rPr>
        <w:t>Legg Mason Funds Management, Inc.</w:t>
      </w:r>
    </w:p>
    <w:p>
      <w:pPr>
        <w:ind w:left="1580"/>
        <w:spacing w:after="0"/>
        <w:rPr>
          <w:sz w:val="20"/>
          <w:szCs w:val="20"/>
          <w:color w:val="auto"/>
        </w:rPr>
      </w:pPr>
      <w:r>
        <w:rPr>
          <w:rFonts w:ascii="Courier New" w:cs="Courier New" w:eastAsia="Courier New" w:hAnsi="Courier New"/>
          <w:sz w:val="18"/>
          <w:szCs w:val="18"/>
          <w:color w:val="auto"/>
        </w:rPr>
        <w:t>Tax Identification No.:</w:t>
      </w:r>
    </w:p>
    <w:p>
      <w:pPr>
        <w:ind w:left="1900"/>
        <w:spacing w:after="0" w:line="237" w:lineRule="auto"/>
        <w:rPr>
          <w:sz w:val="20"/>
          <w:szCs w:val="20"/>
          <w:color w:val="auto"/>
        </w:rPr>
      </w:pPr>
      <w:r>
        <w:rPr>
          <w:rFonts w:ascii="Courier New" w:cs="Courier New" w:eastAsia="Courier New" w:hAnsi="Courier New"/>
          <w:sz w:val="18"/>
          <w:szCs w:val="18"/>
          <w:color w:val="auto"/>
        </w:rPr>
        <w:t>52-2268681</w:t>
      </w:r>
    </w:p>
    <w:p>
      <w:pPr>
        <w:spacing w:after="0" w:line="202" w:lineRule="exact"/>
        <w:rPr>
          <w:sz w:val="24"/>
          <w:szCs w:val="24"/>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736"/>
        <w:spacing w:after="0" w:line="238" w:lineRule="auto"/>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736"/>
        <w:spacing w:after="0" w:line="238" w:lineRule="auto"/>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5)</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22,332,039</w:t>
            </w:r>
          </w:p>
        </w:tc>
      </w:tr>
    </w:tbl>
    <w:p>
      <w:pPr>
        <w:ind w:left="1700" w:hanging="744"/>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- 0 -</w:t>
      </w:r>
    </w:p>
    <w:p>
      <w:pPr>
        <w:ind w:left="1700" w:hanging="744"/>
        <w:spacing w:after="0" w:line="238"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22,332,039</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68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22,332,039</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68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2"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900"/>
        <w:spacing w:after="0" w:line="238" w:lineRule="auto"/>
        <w:rPr>
          <w:sz w:val="20"/>
          <w:szCs w:val="20"/>
          <w:color w:val="auto"/>
        </w:rPr>
      </w:pPr>
      <w:r>
        <w:rPr>
          <w:rFonts w:ascii="Courier New" w:cs="Courier New" w:eastAsia="Courier New" w:hAnsi="Courier New"/>
          <w:sz w:val="18"/>
          <w:szCs w:val="18"/>
          <w:color w:val="auto"/>
        </w:rPr>
        <w:t>3.90</w:t>
      </w:r>
    </w:p>
    <w:p>
      <w:pPr>
        <w:spacing w:after="0" w:line="207" w:lineRule="exact"/>
        <w:rPr>
          <w:sz w:val="24"/>
          <w:szCs w:val="24"/>
          <w:color w:val="auto"/>
        </w:rPr>
      </w:pPr>
    </w:p>
    <w:p>
      <w:pPr>
        <w:ind w:left="1900" w:right="5899" w:hanging="944"/>
        <w:spacing w:after="0" w:line="235" w:lineRule="auto"/>
        <w:tabs>
          <w:tab w:leader="none" w:pos="168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94106L109</w:t>
      </w:r>
    </w:p>
    <w:p>
      <w:pPr>
        <w:spacing w:after="0" w:line="201" w:lineRule="exact"/>
        <w:rPr>
          <w:sz w:val="24"/>
          <w:szCs w:val="24"/>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900"/>
        <w:spacing w:after="0" w:line="238" w:lineRule="auto"/>
        <w:rPr>
          <w:sz w:val="20"/>
          <w:szCs w:val="20"/>
          <w:color w:val="auto"/>
        </w:rPr>
      </w:pPr>
      <w:r>
        <w:rPr>
          <w:rFonts w:ascii="Courier New" w:cs="Courier New" w:eastAsia="Courier New" w:hAnsi="Courier New"/>
          <w:sz w:val="18"/>
          <w:szCs w:val="18"/>
          <w:color w:val="auto"/>
        </w:rPr>
        <w:t>Legg Mason Capital Management, Inc.</w:t>
      </w:r>
    </w:p>
    <w:p>
      <w:pPr>
        <w:ind w:left="1480"/>
        <w:spacing w:after="0"/>
        <w:rPr>
          <w:sz w:val="20"/>
          <w:szCs w:val="20"/>
          <w:color w:val="auto"/>
        </w:rPr>
      </w:pPr>
      <w:r>
        <w:rPr>
          <w:rFonts w:ascii="Courier New" w:cs="Courier New" w:eastAsia="Courier New" w:hAnsi="Courier New"/>
          <w:sz w:val="18"/>
          <w:szCs w:val="18"/>
          <w:color w:val="auto"/>
        </w:rPr>
        <w:t>Tax Identification No.:</w:t>
      </w:r>
    </w:p>
    <w:p>
      <w:pPr>
        <w:ind w:left="2000"/>
        <w:spacing w:after="0" w:line="237" w:lineRule="auto"/>
        <w:rPr>
          <w:sz w:val="20"/>
          <w:szCs w:val="20"/>
          <w:color w:val="auto"/>
        </w:rPr>
      </w:pPr>
      <w:r>
        <w:rPr>
          <w:rFonts w:ascii="Courier New" w:cs="Courier New" w:eastAsia="Courier New" w:hAnsi="Courier New"/>
          <w:sz w:val="18"/>
          <w:szCs w:val="18"/>
          <w:color w:val="auto"/>
        </w:rPr>
        <w:t>52-1268629</w:t>
      </w:r>
    </w:p>
    <w:p>
      <w:pPr>
        <w:spacing w:after="0" w:line="202" w:lineRule="exact"/>
        <w:rPr>
          <w:sz w:val="24"/>
          <w:szCs w:val="24"/>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736"/>
        <w:spacing w:after="0" w:line="238"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736"/>
        <w:spacing w:after="0" w:line="238"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5)</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11,252,200</w:t>
            </w:r>
          </w:p>
        </w:tc>
      </w:tr>
    </w:tbl>
    <w:p>
      <w:pPr>
        <w:ind w:left="1700" w:hanging="744"/>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- 0 -</w:t>
      </w:r>
    </w:p>
    <w:p>
      <w:pPr>
        <w:ind w:left="1700" w:hanging="744"/>
        <w:spacing w:after="0" w:line="238"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11,252,200</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68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11,252,200</w:t>
      </w:r>
    </w:p>
    <w:p>
      <w:pPr>
        <w:sectPr>
          <w:pgSz w:w="11900" w:h="16838" w:orient="portrait"/>
          <w:cols w:equalWidth="0" w:num="1">
            <w:col w:w="10219"/>
          </w:cols>
          <w:pgMar w:left="240" w:top="244" w:right="1440" w:bottom="0" w:gutter="0" w:footer="0" w:header="0"/>
        </w:sectPr>
      </w:pPr>
    </w:p>
    <w:bookmarkStart w:id="1" w:name="page2"/>
    <w:bookmarkEnd w:id="1"/>
    <w:p>
      <w:pPr>
        <w:ind w:left="1900" w:right="1779" w:hanging="944"/>
        <w:spacing w:after="0" w:line="235" w:lineRule="auto"/>
        <w:tabs>
          <w:tab w:leader="none" w:pos="168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2"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900"/>
        <w:spacing w:after="0" w:line="238" w:lineRule="auto"/>
        <w:rPr>
          <w:sz w:val="20"/>
          <w:szCs w:val="20"/>
          <w:color w:val="auto"/>
        </w:rPr>
      </w:pPr>
      <w:r>
        <w:rPr>
          <w:rFonts w:ascii="Courier New" w:cs="Courier New" w:eastAsia="Courier New" w:hAnsi="Courier New"/>
          <w:sz w:val="18"/>
          <w:szCs w:val="18"/>
          <w:color w:val="auto"/>
        </w:rPr>
        <w:t>1.97%</w:t>
      </w:r>
    </w:p>
    <w:p>
      <w:pPr>
        <w:spacing w:after="0" w:line="207" w:lineRule="exact"/>
        <w:rPr>
          <w:sz w:val="20"/>
          <w:szCs w:val="20"/>
          <w:color w:val="auto"/>
        </w:rPr>
      </w:pPr>
    </w:p>
    <w:p>
      <w:pPr>
        <w:ind w:left="1900" w:right="5899" w:hanging="944"/>
        <w:spacing w:after="0" w:line="235" w:lineRule="auto"/>
        <w:tabs>
          <w:tab w:leader="none" w:pos="168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9410L109</w:t>
      </w:r>
    </w:p>
    <w:p>
      <w:pPr>
        <w:spacing w:after="0" w:line="201" w:lineRule="exact"/>
        <w:rPr>
          <w:sz w:val="20"/>
          <w:szCs w:val="20"/>
          <w:color w:val="auto"/>
        </w:rPr>
      </w:pPr>
    </w:p>
    <w:p>
      <w:pPr>
        <w:ind w:left="1480" w:hanging="524"/>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700"/>
        <w:spacing w:after="0" w:line="238" w:lineRule="auto"/>
        <w:rPr>
          <w:sz w:val="20"/>
          <w:szCs w:val="20"/>
          <w:color w:val="auto"/>
        </w:rPr>
      </w:pPr>
      <w:r>
        <w:rPr>
          <w:rFonts w:ascii="Courier New" w:cs="Courier New" w:eastAsia="Courier New" w:hAnsi="Courier New"/>
          <w:sz w:val="18"/>
          <w:szCs w:val="18"/>
          <w:color w:val="auto"/>
        </w:rPr>
        <w:t>Legg Mason Focus Capital, Inc.</w:t>
      </w:r>
    </w:p>
    <w:p>
      <w:pPr>
        <w:ind w:left="1480"/>
        <w:spacing w:after="0"/>
        <w:rPr>
          <w:sz w:val="20"/>
          <w:szCs w:val="20"/>
          <w:color w:val="auto"/>
        </w:rPr>
      </w:pPr>
      <w:r>
        <w:rPr>
          <w:rFonts w:ascii="Courier New" w:cs="Courier New" w:eastAsia="Courier New" w:hAnsi="Courier New"/>
          <w:sz w:val="18"/>
          <w:szCs w:val="18"/>
          <w:color w:val="auto"/>
        </w:rPr>
        <w:t>Tax Identification No.</w:t>
      </w:r>
    </w:p>
    <w:p>
      <w:pPr>
        <w:ind w:left="1700"/>
        <w:spacing w:after="0" w:line="237" w:lineRule="auto"/>
        <w:rPr>
          <w:sz w:val="20"/>
          <w:szCs w:val="20"/>
          <w:color w:val="auto"/>
        </w:rPr>
      </w:pPr>
      <w:r>
        <w:rPr>
          <w:rFonts w:ascii="Courier New" w:cs="Courier New" w:eastAsia="Courier New" w:hAnsi="Courier New"/>
          <w:sz w:val="18"/>
          <w:szCs w:val="18"/>
          <w:color w:val="auto"/>
        </w:rPr>
        <w:t>52-2311719</w:t>
      </w:r>
    </w:p>
    <w:p>
      <w:pPr>
        <w:spacing w:after="0" w:line="202" w:lineRule="exact"/>
        <w:rPr>
          <w:sz w:val="20"/>
          <w:szCs w:val="20"/>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630"/>
        <w:spacing w:after="0" w:line="238" w:lineRule="auto"/>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630"/>
        <w:spacing w:after="0" w:line="238" w:lineRule="auto"/>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5)</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6)</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2"/>
              </w:rPr>
              <w:t>33,975</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7)</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ind w:left="1480" w:hanging="524"/>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r>
        <w:rPr>
          <w:rFonts w:ascii="Courier New" w:cs="Courier New" w:eastAsia="Courier New" w:hAnsi="Courier New"/>
          <w:sz w:val="16"/>
          <w:szCs w:val="16"/>
          <w:color w:val="auto"/>
        </w:rPr>
        <w:t>33,975</w:t>
      </w:r>
    </w:p>
    <w:p>
      <w:pPr>
        <w:spacing w:after="0" w:line="207" w:lineRule="exact"/>
        <w:rPr>
          <w:rFonts w:ascii="Courier New" w:cs="Courier New" w:eastAsia="Courier New" w:hAnsi="Courier New"/>
          <w:sz w:val="18"/>
          <w:szCs w:val="18"/>
          <w:color w:val="auto"/>
        </w:rPr>
      </w:pPr>
    </w:p>
    <w:p>
      <w:pPr>
        <w:ind w:left="1900" w:right="2319" w:hanging="944"/>
        <w:spacing w:after="0" w:line="235" w:lineRule="auto"/>
        <w:tabs>
          <w:tab w:leader="none" w:pos="147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33,975</w:t>
      </w:r>
    </w:p>
    <w:p>
      <w:pPr>
        <w:spacing w:after="0" w:line="208" w:lineRule="exact"/>
        <w:rPr>
          <w:rFonts w:ascii="Courier New" w:cs="Courier New" w:eastAsia="Courier New" w:hAnsi="Courier New"/>
          <w:sz w:val="18"/>
          <w:szCs w:val="18"/>
          <w:color w:val="auto"/>
        </w:rPr>
      </w:pPr>
    </w:p>
    <w:p>
      <w:pPr>
        <w:ind w:left="2120" w:right="2199" w:hanging="1164"/>
        <w:spacing w:after="0" w:line="235"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aggregate amount in row (9) excludes certain shares: n/a</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2000"/>
        <w:spacing w:after="0" w:line="238" w:lineRule="auto"/>
        <w:rPr>
          <w:sz w:val="20"/>
          <w:szCs w:val="20"/>
          <w:color w:val="auto"/>
        </w:rPr>
      </w:pPr>
      <w:r>
        <w:rPr>
          <w:rFonts w:ascii="Courier New" w:cs="Courier New" w:eastAsia="Courier New" w:hAnsi="Courier New"/>
          <w:sz w:val="18"/>
          <w:szCs w:val="18"/>
          <w:color w:val="auto"/>
        </w:rPr>
        <w:t>0.00%</w:t>
      </w:r>
    </w:p>
    <w:p>
      <w:pPr>
        <w:spacing w:after="0" w:line="207" w:lineRule="exact"/>
        <w:rPr>
          <w:sz w:val="20"/>
          <w:szCs w:val="20"/>
          <w:color w:val="auto"/>
        </w:rPr>
      </w:pPr>
    </w:p>
    <w:p>
      <w:pPr>
        <w:ind w:left="2120" w:right="5999" w:hanging="1164"/>
        <w:spacing w:after="0" w:line="235" w:lineRule="auto"/>
        <w:tabs>
          <w:tab w:leader="none" w:pos="159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IA,CO</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 - - - - - - - - - - - - - - - - - - - - - - - - - -</w:t>
      </w:r>
    </w:p>
    <w:p>
      <w:pPr>
        <w:spacing w:after="0" w:line="16"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1a)</w:t>
      </w:r>
      <w:r>
        <w:rPr>
          <w:rFonts w:ascii="Courier New" w:cs="Courier New" w:eastAsia="Courier New" w:hAnsi="Courier New"/>
          <w:sz w:val="16"/>
          <w:szCs w:val="16"/>
          <w:color w:val="auto"/>
        </w:rPr>
        <w:t>Name of issuer:</w:t>
      </w:r>
    </w:p>
    <w:p>
      <w:pPr>
        <w:ind w:left="28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2860"/>
        <w:spacing w:after="0" w:line="238" w:lineRule="auto"/>
        <w:rPr>
          <w:sz w:val="20"/>
          <w:szCs w:val="20"/>
          <w:color w:val="auto"/>
        </w:rPr>
      </w:pPr>
      <w:r>
        <w:rPr>
          <w:rFonts w:ascii="Courier New" w:cs="Courier New" w:eastAsia="Courier New" w:hAnsi="Courier New"/>
          <w:sz w:val="18"/>
          <w:szCs w:val="18"/>
          <w:color w:val="auto"/>
        </w:rPr>
        <w:t>1001 Fannie Street, Ste. 4000</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6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Name of person filing:</w:t>
            </w:r>
          </w:p>
        </w:tc>
        <w:tc>
          <w:tcPr>
            <w:tcW w:w="19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Capital Management, Inc.</w:t>
            </w: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Focus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Capital, Inc.</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45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1040" w:type="dxa"/>
            <w:vAlign w:val="bottom"/>
          </w:tcPr>
          <w:p>
            <w:pPr>
              <w:spacing w:after="0"/>
              <w:rPr>
                <w:sz w:val="17"/>
                <w:szCs w:val="17"/>
                <w:color w:val="auto"/>
              </w:rPr>
            </w:pPr>
          </w:p>
        </w:tc>
        <w:tc>
          <w:tcPr>
            <w:tcW w:w="26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100 Light Street</w:t>
            </w:r>
          </w:p>
        </w:tc>
        <w:tc>
          <w:tcPr>
            <w:tcW w:w="19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Baltimore,</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MD  21202</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r>
      <w:tr>
        <w:trPr>
          <w:trHeight w:val="203"/>
        </w:trPr>
        <w:tc>
          <w:tcPr>
            <w:tcW w:w="1040" w:type="dxa"/>
            <w:vAlign w:val="bottom"/>
          </w:tcPr>
          <w:p>
            <w:pPr>
              <w:spacing w:after="0"/>
              <w:rPr>
                <w:sz w:val="17"/>
                <w:szCs w:val="17"/>
                <w:color w:val="auto"/>
              </w:rPr>
            </w:pPr>
          </w:p>
        </w:tc>
        <w:tc>
          <w:tcPr>
            <w:tcW w:w="454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Maryland corporation</w:t>
            </w: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Capital Management, Inc.</w:t>
            </w:r>
          </w:p>
        </w:tc>
      </w:tr>
      <w:tr>
        <w:trPr>
          <w:trHeight w:val="203"/>
        </w:trPr>
        <w:tc>
          <w:tcPr>
            <w:tcW w:w="1040" w:type="dxa"/>
            <w:vAlign w:val="bottom"/>
          </w:tcPr>
          <w:p>
            <w:pPr>
              <w:spacing w:after="0"/>
              <w:rPr>
                <w:sz w:val="17"/>
                <w:szCs w:val="17"/>
                <w:color w:val="auto"/>
              </w:rPr>
            </w:pPr>
          </w:p>
        </w:tc>
        <w:tc>
          <w:tcPr>
            <w:tcW w:w="454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Maryland corporation</w:t>
            </w: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Focus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Capital, Inc.</w:t>
            </w:r>
          </w:p>
        </w:tc>
      </w:tr>
      <w:tr>
        <w:trPr>
          <w:trHeight w:val="203"/>
        </w:trPr>
        <w:tc>
          <w:tcPr>
            <w:tcW w:w="1040" w:type="dxa"/>
            <w:vAlign w:val="bottom"/>
          </w:tcPr>
          <w:p>
            <w:pPr>
              <w:spacing w:after="0"/>
              <w:rPr>
                <w:sz w:val="17"/>
                <w:szCs w:val="17"/>
                <w:color w:val="auto"/>
              </w:rPr>
            </w:pPr>
          </w:p>
        </w:tc>
        <w:tc>
          <w:tcPr>
            <w:tcW w:w="454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Maryland corporation</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5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040" w:type="dxa"/>
            <w:vAlign w:val="bottom"/>
          </w:tcPr>
          <w:p>
            <w:pPr>
              <w:spacing w:after="0"/>
              <w:rPr>
                <w:sz w:val="17"/>
                <w:szCs w:val="17"/>
                <w:color w:val="auto"/>
              </w:rPr>
            </w:pPr>
          </w:p>
        </w:tc>
        <w:tc>
          <w:tcPr>
            <w:tcW w:w="26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Common Stock</w:t>
            </w:r>
          </w:p>
        </w:tc>
        <w:tc>
          <w:tcPr>
            <w:tcW w:w="1940" w:type="dxa"/>
            <w:vAlign w:val="bottom"/>
          </w:tcPr>
          <w:p>
            <w:pPr>
              <w:spacing w:after="0"/>
              <w:rPr>
                <w:sz w:val="17"/>
                <w:szCs w:val="17"/>
                <w:color w:val="auto"/>
              </w:rPr>
            </w:pP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CUSIP number:</w:t>
            </w:r>
          </w:p>
        </w:tc>
        <w:tc>
          <w:tcPr>
            <w:tcW w:w="2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94106L109</w:t>
            </w:r>
          </w:p>
        </w:tc>
      </w:tr>
    </w:tbl>
    <w:p>
      <w:pPr>
        <w:spacing w:after="0" w:line="201" w:lineRule="exact"/>
        <w:rPr>
          <w:sz w:val="20"/>
          <w:szCs w:val="20"/>
          <w:color w:val="auto"/>
        </w:rPr>
      </w:pPr>
    </w:p>
    <w:p>
      <w:pPr>
        <w:jc w:val="center"/>
        <w:ind w:right="1459"/>
        <w:spacing w:after="0"/>
        <w:tabs>
          <w:tab w:leader="none" w:pos="1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9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ind w:left="960"/>
        <w:spacing w:after="0"/>
        <w:rPr>
          <w:sz w:val="20"/>
          <w:szCs w:val="20"/>
          <w:color w:val="auto"/>
        </w:rPr>
      </w:pPr>
      <w:r>
        <w:rPr>
          <w:rFonts w:ascii="Courier New" w:cs="Courier New" w:eastAsia="Courier New" w:hAnsi="Courier New"/>
          <w:sz w:val="18"/>
          <w:szCs w:val="18"/>
          <w:color w:val="auto"/>
        </w:rPr>
        <w:t>(a)[ ]Broker or dealer under Section 15 of the Act.</w:t>
      </w:r>
    </w:p>
    <w:p>
      <w:pPr>
        <w:ind w:left="960"/>
        <w:spacing w:after="0" w:line="237" w:lineRule="auto"/>
        <w:rPr>
          <w:sz w:val="20"/>
          <w:szCs w:val="20"/>
          <w:color w:val="auto"/>
        </w:rPr>
      </w:pPr>
      <w:r>
        <w:rPr>
          <w:rFonts w:ascii="Courier New" w:cs="Courier New" w:eastAsia="Courier New" w:hAnsi="Courier New"/>
          <w:sz w:val="18"/>
          <w:szCs w:val="18"/>
          <w:color w:val="auto"/>
        </w:rPr>
        <w:t>(b)[ ]Bank as defined in Section 3(a)(6) of the Act.</w:t>
      </w:r>
    </w:p>
    <w:p>
      <w:pPr>
        <w:spacing w:after="0" w:line="5" w:lineRule="exact"/>
        <w:rPr>
          <w:sz w:val="20"/>
          <w:szCs w:val="20"/>
          <w:color w:val="auto"/>
        </w:rPr>
      </w:pPr>
    </w:p>
    <w:p>
      <w:pPr>
        <w:ind w:left="960" w:right="1999"/>
        <w:spacing w:after="0" w:line="268" w:lineRule="auto"/>
        <w:rPr>
          <w:sz w:val="20"/>
          <w:szCs w:val="20"/>
          <w:color w:val="auto"/>
        </w:rPr>
      </w:pPr>
      <w:r>
        <w:rPr>
          <w:rFonts w:ascii="Courier New" w:cs="Courier New" w:eastAsia="Courier New" w:hAnsi="Courier New"/>
          <w:sz w:val="16"/>
          <w:szCs w:val="16"/>
          <w:color w:val="auto"/>
        </w:rPr>
        <w:t>(c)[ ]Insurance Company as defined in Section 3(a)(6) of the Act. (d)[ ]Investment Company registered under Section 8 of the Investment</w:t>
      </w:r>
    </w:p>
    <w:p>
      <w:pPr>
        <w:ind w:left="1580"/>
        <w:spacing w:after="0" w:line="233" w:lineRule="auto"/>
        <w:rPr>
          <w:sz w:val="20"/>
          <w:szCs w:val="20"/>
          <w:color w:val="auto"/>
        </w:rPr>
      </w:pPr>
      <w:r>
        <w:rPr>
          <w:rFonts w:ascii="Courier New" w:cs="Courier New" w:eastAsia="Courier New" w:hAnsi="Courier New"/>
          <w:sz w:val="18"/>
          <w:szCs w:val="18"/>
          <w:color w:val="auto"/>
        </w:rPr>
        <w:t>Company Act.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 ]Investment Adviser registered under Section 203 of the Investment</w:t>
      </w:r>
    </w:p>
    <w:p>
      <w:pPr>
        <w:sectPr>
          <w:pgSz w:w="11900" w:h="16838" w:orient="portrait"/>
          <w:cols w:equalWidth="0" w:num="1">
            <w:col w:w="10219"/>
          </w:cols>
          <w:pgMar w:left="240" w:top="142" w:right="1440" w:bottom="0" w:gutter="0" w:footer="0" w:header="0"/>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Advisers Act of 1940.</w:t>
      </w:r>
    </w:p>
    <w:p>
      <w:pPr>
        <w:spacing w:after="0" w:line="4" w:lineRule="exact"/>
        <w:rPr>
          <w:sz w:val="20"/>
          <w:szCs w:val="20"/>
          <w:color w:val="auto"/>
        </w:rPr>
      </w:pPr>
    </w:p>
    <w:p>
      <w:pPr>
        <w:ind w:left="1580" w:right="1879" w:hanging="631"/>
        <w:spacing w:after="0" w:line="235" w:lineRule="auto"/>
        <w:rPr>
          <w:sz w:val="20"/>
          <w:szCs w:val="20"/>
          <w:color w:val="auto"/>
        </w:rPr>
      </w:pPr>
      <w:r>
        <w:rPr>
          <w:rFonts w:ascii="Courier New" w:cs="Courier New" w:eastAsia="Courier New" w:hAnsi="Courier New"/>
          <w:sz w:val="18"/>
          <w:szCs w:val="18"/>
          <w:color w:val="auto"/>
        </w:rPr>
        <w:t>(f)[ ]Employee Benefit Plan, Pension Fund which is subject to ERISA of 1974 or Endowment Funds; see 240.13d-1(b)(ii)(F).</w:t>
      </w:r>
    </w:p>
    <w:p>
      <w:pPr>
        <w:spacing w:after="0" w:line="6"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(g)[ ]Parent holding company, in accordance with 240.13d-1(b)(ii)(G), (h)[X]Group, in accordance with 240.13d-1(b)(1)(ii)(J).</w:t>
      </w:r>
    </w:p>
    <w:p>
      <w:pPr>
        <w:sectPr>
          <w:pgSz w:w="11900" w:h="16838" w:orient="portrait"/>
          <w:cols w:equalWidth="0" w:num="1">
            <w:col w:w="10219"/>
          </w:cols>
          <w:pgMar w:left="240" w:top="136" w:right="1440" w:bottom="0" w:gutter="0" w:footer="0" w:header="0"/>
        </w:sectPr>
      </w:pP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700" w:space="420"/>
            <w:col w:w="8099"/>
          </w:cols>
          <w:pgMar w:left="240" w:top="136" w:right="1440" w:bottom="0" w:gutter="0" w:footer="0" w:header="0"/>
          <w:type w:val="continuous"/>
        </w:sectPr>
      </w:pPr>
    </w:p>
    <w:p>
      <w:pPr>
        <w:spacing w:after="0" w:line="24"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33,618,214</w:t>
      </w:r>
    </w:p>
    <w:p>
      <w:pPr>
        <w:spacing w:after="0" w:line="200" w:lineRule="exact"/>
        <w:rPr>
          <w:sz w:val="20"/>
          <w:szCs w:val="20"/>
          <w:color w:val="auto"/>
        </w:rPr>
      </w:pPr>
    </w:p>
    <w:p>
      <w:pPr>
        <w:sectPr>
          <w:pgSz w:w="11900" w:h="16838" w:orient="portrait"/>
          <w:cols w:equalWidth="0" w:num="2">
            <w:col w:w="5080" w:space="720"/>
            <w:col w:w="4419"/>
          </w:cols>
          <w:pgMar w:left="240" w:top="136" w:right="1440" w:bottom="0" w:gutter="0" w:footer="0" w:header="0"/>
          <w:type w:val="continuous"/>
        </w:sectPr>
      </w:pPr>
    </w:p>
    <w:p>
      <w:pPr>
        <w:spacing w:after="0" w:line="18"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w:t>
      </w:r>
      <w:r>
        <w:rPr>
          <w:rFonts w:ascii="Courier New" w:cs="Courier New" w:eastAsia="Courier New" w:hAnsi="Courier New"/>
          <w:sz w:val="16"/>
          <w:szCs w:val="16"/>
          <w:color w:val="auto"/>
        </w:rPr>
        <w:t>Percent of Class:  5.88%</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2740" w:hanging="836"/>
        <w:spacing w:after="0" w:line="238" w:lineRule="auto"/>
        <w:tabs>
          <w:tab w:leader="none" w:pos="27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120" w:hanging="320"/>
        <w:spacing w:after="0" w:line="238" w:lineRule="auto"/>
        <w:tabs>
          <w:tab w:leader="none" w:pos="412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3800" w:right="2939" w:hanging="1896"/>
        <w:spacing w:after="0" w:line="235" w:lineRule="auto"/>
        <w:tabs>
          <w:tab w:leader="none" w:pos="2747"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33,618,214</w:t>
      </w:r>
    </w:p>
    <w:p>
      <w:pPr>
        <w:spacing w:after="0" w:line="5" w:lineRule="exact"/>
        <w:rPr>
          <w:rFonts w:ascii="Courier New" w:cs="Courier New" w:eastAsia="Courier New" w:hAnsi="Courier New"/>
          <w:sz w:val="18"/>
          <w:szCs w:val="18"/>
          <w:color w:val="auto"/>
        </w:rPr>
      </w:pPr>
    </w:p>
    <w:p>
      <w:pPr>
        <w:ind w:left="2740" w:hanging="836"/>
        <w:spacing w:after="0"/>
        <w:tabs>
          <w:tab w:leader="none" w:pos="274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16" w:lineRule="exact"/>
        <w:rPr>
          <w:rFonts w:ascii="Courier New" w:cs="Courier New" w:eastAsia="Courier New" w:hAnsi="Courier New"/>
          <w:sz w:val="16"/>
          <w:szCs w:val="16"/>
          <w:color w:val="auto"/>
        </w:rPr>
      </w:pPr>
    </w:p>
    <w:p>
      <w:pPr>
        <w:ind w:left="4020" w:hanging="220"/>
        <w:spacing w:after="0" w:line="238" w:lineRule="auto"/>
        <w:tabs>
          <w:tab w:leader="none" w:pos="402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3800" w:right="1779" w:hanging="1896"/>
        <w:spacing w:after="0" w:line="235" w:lineRule="auto"/>
        <w:tabs>
          <w:tab w:leader="none" w:pos="2641"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33,618,214</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28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900" w:right="241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Various accounts managed by the investment advisers identified in Item 8 have the right to receive or the power to direct the receipt of dividends from, or the proceeds from the sale of shares of the issuer. No such account holds more than 5% of the shares outstanding.</w:t>
      </w:r>
    </w:p>
    <w:p>
      <w:pPr>
        <w:spacing w:after="0" w:line="209"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2640"/>
        <w:spacing w:after="0" w:line="238" w:lineRule="auto"/>
        <w:rPr>
          <w:sz w:val="20"/>
          <w:szCs w:val="20"/>
          <w:color w:val="auto"/>
        </w:rPr>
      </w:pPr>
      <w:r>
        <w:rPr>
          <w:rFonts w:ascii="Courier New" w:cs="Courier New" w:eastAsia="Courier New" w:hAnsi="Courier New"/>
          <w:sz w:val="18"/>
          <w:szCs w:val="18"/>
          <w:color w:val="auto"/>
        </w:rPr>
        <w:t>Legg Mason Funds Management, Inc.-investment adviser</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Legg Mason Capital Management, Inc.-investment adviser</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Legg Mason Focus Capital, Inc.-investment adviser</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26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Date - February 14, 2005</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Funds Management,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Jennifer Murphy, Senior Vice President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Capital Management,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Andrew J. Bowden, Senior Vice President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Focus Capital, Inc.</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By____________________________________________</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Robert G. Hagstrom, President</w:t>
      </w:r>
    </w:p>
    <w:sectPr>
      <w:pgSz w:w="11900" w:h="16838" w:orient="portrait"/>
      <w:cols w:equalWidth="0" w:num="1">
        <w:col w:w="9259"/>
      </w:cols>
      <w:pgMar w:left="120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7"/>
    </w:lvl>
  </w:abstractNum>
  <w:abstractNum w:abstractNumId="4">
    <w:nsid w:val="4DB127F8"/>
    <w:multiLevelType w:val="hybridMultilevel"/>
    <w:lvl w:ilvl="0">
      <w:lvlJc w:val="left"/>
      <w:lvlText w:val="%1)"/>
      <w:numFmt w:val="decimal"/>
      <w:start w:val="1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lvl w:ilvl="1">
      <w:lvlJc w:val="left"/>
      <w:lvlText w:val="%2)"/>
      <w:numFmt w:val="lowerLetter"/>
      <w:start w:val="1"/>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2"/>
    </w:lvl>
    <w:lvl w:ilvl="1">
      <w:lvlJc w:val="left"/>
      <w:lvlText w:val="%2)"/>
      <w:numFmt w:val="lowerLetter"/>
      <w:start w:val="1"/>
    </w:lvl>
  </w:abstractNum>
  <w:abstractNum w:abstractNumId="12">
    <w:nsid w:val="DED7263"/>
    <w:multiLevelType w:val="hybridMultilevel"/>
    <w:lvl w:ilvl="0">
      <w:lvlJc w:val="left"/>
      <w:lvlText w:val="%1)"/>
      <w:numFmt w:val="decimal"/>
      <w:start w:val="8"/>
    </w:lvl>
  </w:abstractNum>
  <w:abstractNum w:abstractNumId="13">
    <w:nsid w:val="7FDCC233"/>
    <w:multiLevelType w:val="hybridMultilevel"/>
    <w:lvl w:ilvl="0">
      <w:lvlJc w:val="left"/>
      <w:lvlText w:val="-"/>
      <w:numFmt w:val="bullet"/>
      <w:start w:val="1"/>
    </w:lvl>
    <w:lvl w:ilvl="1">
      <w:lvlJc w:val="left"/>
      <w:lvlText w:val="%2)"/>
      <w:numFmt w:val="decimal"/>
      <w:start w:val="12"/>
    </w:lvl>
  </w:abstractNum>
  <w:abstractNum w:abstractNumId="14">
    <w:nsid w:val="1BEFD79F"/>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2019-12-19T21:27:09Z</dcterms:created>
  <dcterms:modified xsi:type="dcterms:W3CDTF">2019-12-19T21:27:09Z</dcterms:modified>
</cp:coreProperties>
</file>