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November 13,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70"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70"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70"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70"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1140" w:firstLine="648"/>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200" w:firstLine="441"/>
        <w:spacing w:after="0" w:line="286" w:lineRule="auto"/>
        <w:rPr>
          <w:sz w:val="20"/>
          <w:szCs w:val="20"/>
          <w:color w:val="auto"/>
        </w:rPr>
      </w:pPr>
      <w:r>
        <w:rPr>
          <w:rFonts w:ascii="Arial" w:cs="Arial" w:eastAsia="Arial" w:hAnsi="Arial"/>
          <w:sz w:val="17"/>
          <w:szCs w:val="17"/>
          <w:color w:val="auto"/>
        </w:rPr>
        <w:t>Effective November 13, 2017, the Board of Directors (the “Board”) of Waste Management, Inc. (the “Company”) elected Ms. Leslie K. Nagy as Vice President and Chief Accounting Officer. As disclosed in a Form 8-K filed on August 4, 2017, Ms. Devina A. Rankin had been serving as the Company’s principal accounting officer on an interim basis. Ms. Rankin remains the Company’s Senior Vice President and Chief Financial Officer.</w:t>
      </w:r>
    </w:p>
    <w:p>
      <w:pPr>
        <w:spacing w:after="0" w:line="166" w:lineRule="exact"/>
        <w:rPr>
          <w:sz w:val="24"/>
          <w:szCs w:val="24"/>
          <w:color w:val="auto"/>
        </w:rPr>
      </w:pPr>
    </w:p>
    <w:p>
      <w:pPr>
        <w:ind w:right="60" w:firstLine="441"/>
        <w:spacing w:after="0" w:line="259" w:lineRule="auto"/>
        <w:rPr>
          <w:sz w:val="20"/>
          <w:szCs w:val="20"/>
          <w:color w:val="auto"/>
        </w:rPr>
      </w:pPr>
      <w:r>
        <w:rPr>
          <w:rFonts w:ascii="Arial" w:cs="Arial" w:eastAsia="Arial" w:hAnsi="Arial"/>
          <w:sz w:val="18"/>
          <w:szCs w:val="18"/>
          <w:color w:val="auto"/>
        </w:rPr>
        <w:t>Ms. Nagy, age 43, was previously employed by Parker Drilling Company as its Principal Accounting Officer and Controller from April 2014 through November 2017 and as its Director of Finance and Assistant Controller from July 2010 through April 2014. Before joining Parker Drilling, Ms. Nagy worked for Ernst &amp; Young LLP from 1997 to 2010. Ms. Nagy earned a Bachelor of Business Administration and Master of Science in Accounting from Texas A&amp;M University. Ms. Nagy is a certified public accountant licensed in Texas.</w:t>
      </w:r>
    </w:p>
    <w:p>
      <w:pPr>
        <w:spacing w:after="0" w:line="187" w:lineRule="exact"/>
        <w:rPr>
          <w:sz w:val="24"/>
          <w:szCs w:val="24"/>
          <w:color w:val="auto"/>
        </w:rPr>
      </w:pPr>
    </w:p>
    <w:p>
      <w:pPr>
        <w:jc w:val="both"/>
        <w:ind w:right="400" w:firstLine="441"/>
        <w:spacing w:after="0" w:line="302" w:lineRule="auto"/>
        <w:rPr>
          <w:sz w:val="20"/>
          <w:szCs w:val="20"/>
          <w:color w:val="auto"/>
        </w:rPr>
      </w:pPr>
      <w:r>
        <w:rPr>
          <w:rFonts w:ascii="Arial" w:cs="Arial" w:eastAsia="Arial" w:hAnsi="Arial"/>
          <w:sz w:val="16"/>
          <w:szCs w:val="16"/>
          <w:color w:val="auto"/>
        </w:rPr>
        <w:t>In connection with her appointment, Ms. Nagy will receive an annual base salary of $275,000. She will also receive a bonus under the Company’s annual incentive plan with a target value of 50% of her annual base salary, with actual payout dependent on the Company’s results relative to the annual incentive plan performance measures. As an inducement to her commencement of employment, Ms. Nagy will receive an award of restricted stock units (“RSUs”) under the Company’s 2014 Stock Incentive Plan with a grant date value of $225,000. The material terms of the RSU grant are as follows:</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Vesting Schedule</w:t>
            </w:r>
          </w:p>
        </w:tc>
        <w:tc>
          <w:tcPr>
            <w:tcW w:w="780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4"/>
              </w:rPr>
              <w:t>100% on third anniversary. Each RSU will be converted into one share of</w:t>
            </w:r>
          </w:p>
        </w:tc>
      </w:tr>
      <w:tr>
        <w:trPr>
          <w:trHeight w:val="230"/>
        </w:trPr>
        <w:tc>
          <w:tcPr>
            <w:tcW w:w="3620" w:type="dxa"/>
            <w:vAlign w:val="bottom"/>
            <w:shd w:val="clear" w:color="auto" w:fill="CCEEFF"/>
          </w:tcPr>
          <w:p>
            <w:pPr>
              <w:spacing w:after="0"/>
              <w:rPr>
                <w:sz w:val="20"/>
                <w:szCs w:val="20"/>
                <w:color w:val="auto"/>
              </w:rPr>
            </w:pPr>
          </w:p>
        </w:tc>
        <w:tc>
          <w:tcPr>
            <w:tcW w:w="78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Company common stock.</w:t>
            </w:r>
          </w:p>
        </w:tc>
      </w:tr>
    </w:tbl>
    <w:p>
      <w:pPr>
        <w:sectPr>
          <w:pgSz w:w="11900" w:h="16870" w:orient="portrait"/>
          <w:cols w:equalWidth="0" w:num="1">
            <w:col w:w="11420"/>
          </w:cols>
          <w:pgMar w:left="240" w:top="54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w w:val="99"/>
              </w:rPr>
              <w:t>Dividend Equivalents</w:t>
            </w:r>
          </w:p>
        </w:tc>
        <w:tc>
          <w:tcPr>
            <w:tcW w:w="3760" w:type="dxa"/>
            <w:vAlign w:val="bottom"/>
          </w:tcPr>
          <w:p>
            <w:pPr>
              <w:spacing w:after="0"/>
              <w:rPr>
                <w:sz w:val="20"/>
                <w:szCs w:val="20"/>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Dividends will accrue and be paid in cash upon settlement.</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Termination of Employment</w:t>
            </w:r>
          </w:p>
        </w:tc>
        <w:tc>
          <w:tcPr>
            <w:tcW w:w="5820" w:type="dxa"/>
            <w:vAlign w:val="bottom"/>
            <w:shd w:val="clear" w:color="auto" w:fill="CCEEFF"/>
          </w:tcPr>
          <w:p>
            <w:pPr>
              <w:spacing w:after="0"/>
              <w:rPr>
                <w:sz w:val="18"/>
                <w:szCs w:val="18"/>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color w:val="auto"/>
              </w:rPr>
              <w:t>Death or Disability</w:t>
            </w:r>
          </w:p>
        </w:tc>
        <w:tc>
          <w:tcPr>
            <w:tcW w:w="3760" w:type="dxa"/>
            <w:vAlign w:val="bottom"/>
          </w:tcPr>
          <w:p>
            <w:pPr>
              <w:spacing w:after="0"/>
              <w:rPr>
                <w:sz w:val="18"/>
                <w:szCs w:val="18"/>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All RSUs immediately vest.</w:t>
            </w: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Qualifying Retirement or Involuntary Termination without Cause</w:t>
            </w:r>
          </w:p>
        </w:tc>
        <w:tc>
          <w:tcPr>
            <w:tcW w:w="58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RSUs vest on a pro rata basis and will be paid on originally scheduled</w:t>
            </w:r>
          </w:p>
        </w:tc>
      </w:tr>
      <w:tr>
        <w:trPr>
          <w:trHeight w:val="230"/>
        </w:trPr>
        <w:tc>
          <w:tcPr>
            <w:tcW w:w="184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vesting date.</w:t>
            </w:r>
          </w:p>
        </w:tc>
      </w:tr>
      <w:tr>
        <w:trPr>
          <w:trHeight w:val="216"/>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Resignation; Involuntary Termination for Cause</w:t>
            </w:r>
          </w:p>
        </w:tc>
        <w:tc>
          <w:tcPr>
            <w:tcW w:w="5820" w:type="dxa"/>
            <w:vAlign w:val="bottom"/>
          </w:tcPr>
          <w:p>
            <w:pPr>
              <w:ind w:left="320"/>
              <w:spacing w:after="0"/>
              <w:rPr>
                <w:sz w:val="20"/>
                <w:szCs w:val="20"/>
                <w:color w:val="auto"/>
              </w:rPr>
            </w:pPr>
            <w:r>
              <w:rPr>
                <w:rFonts w:ascii="Arial" w:cs="Arial" w:eastAsia="Arial" w:hAnsi="Arial"/>
                <w:sz w:val="18"/>
                <w:szCs w:val="18"/>
                <w:color w:val="auto"/>
              </w:rPr>
              <w:t>All unvested RSUs are forfeited.</w:t>
            </w:r>
          </w:p>
        </w:tc>
      </w:tr>
      <w:tr>
        <w:trPr>
          <w:trHeight w:val="202"/>
        </w:trPr>
        <w:tc>
          <w:tcPr>
            <w:tcW w:w="56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Involuntary Termination without Cause following a Change in Control</w:t>
            </w:r>
          </w:p>
        </w:tc>
        <w:tc>
          <w:tcPr>
            <w:tcW w:w="58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RSUs vest on a pro rata basis and will be paid on originally scheduled</w:t>
            </w:r>
          </w:p>
        </w:tc>
      </w:tr>
      <w:tr>
        <w:trPr>
          <w:trHeight w:val="230"/>
        </w:trPr>
        <w:tc>
          <w:tcPr>
            <w:tcW w:w="184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vesting date.</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b w:val="1"/>
                <w:bCs w:val="1"/>
                <w:color w:val="auto"/>
              </w:rPr>
              <w:t>Item 5.03</w:t>
            </w:r>
          </w:p>
        </w:tc>
        <w:tc>
          <w:tcPr>
            <w:tcW w:w="9580" w:type="dxa"/>
            <w:vAlign w:val="bottom"/>
            <w:gridSpan w:val="2"/>
          </w:tcPr>
          <w:p>
            <w:pPr>
              <w:ind w:left="160"/>
              <w:spacing w:after="0"/>
              <w:rPr>
                <w:sz w:val="20"/>
                <w:szCs w:val="20"/>
                <w:color w:val="auto"/>
              </w:rPr>
            </w:pPr>
            <w:r>
              <w:rPr>
                <w:rFonts w:ascii="Arial" w:cs="Arial" w:eastAsia="Arial" w:hAnsi="Arial"/>
                <w:sz w:val="18"/>
                <w:szCs w:val="18"/>
                <w:b w:val="1"/>
                <w:bCs w:val="1"/>
                <w:color w:val="auto"/>
              </w:rPr>
              <w:t>Amendments to Articles of Incorporation or Bylaws; Change in Fiscal Year.</w:t>
            </w:r>
          </w:p>
        </w:tc>
      </w:tr>
    </w:tbl>
    <w:p>
      <w:pPr>
        <w:spacing w:after="0" w:line="202"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Effective November 13, 2017, the Board adopted amendments to the Company’s By-Laws, primarily to implement procedural updates and clarification edits, including: clarification that Section 2.13 regarding stockholder proposals is only applicable to annual meetings; clarification in Sections 2.13 and 2.14 of the timing to submit a stockholder proposal or nomination in the event that the Company’s annual meeting is more than 30 days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before or 70 days after the anniversary date of the prior year’s annual meeting; addition of a new Section 2.15 requiring nominees for election as a director to submit a standard director questionnaire and certain related representations; update in Section 4.1 to elect to be governed by Section 141(c)(2) of the Delaware General Corporation Law, giving the Board additional flexibility in what can be delegated to a committee; revision to Section 6.4 to allow the Chief Executive Officer or President to fill certain officer vacancies, consistent with their existing powers to appoint and remove subordinate officers; and update in Section 10.1 to provide a definition of “officer” for purposes of the indemnification and advancement of expenses provisions. The amendments also include other changes intended to clarify and conform various provisions of the Company’s By-Laws to the Delaware General Corporation Law.</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above description of the amendments is qualified in its entirety by reference to the Company’s Amended and Restated By-Laws, as currently in effect, a copy of which is filed as Exhibit 3.2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240" w:type="dxa"/>
            <w:vAlign w:val="bottom"/>
            <w:gridSpan w:val="3"/>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5"/>
          </w:tcPr>
          <w:p>
            <w:pPr>
              <w:ind w:left="340"/>
              <w:spacing w:after="0"/>
              <w:rPr>
                <w:rFonts w:ascii="Arial" w:cs="Arial" w:eastAsia="Arial" w:hAnsi="Arial"/>
                <w:sz w:val="18"/>
                <w:szCs w:val="18"/>
                <w:color w:val="0000EE"/>
              </w:rPr>
            </w:pPr>
            <w:hyperlink w:anchor="page2">
              <w:r>
                <w:rPr>
                  <w:rFonts w:ascii="Arial" w:cs="Arial" w:eastAsia="Arial" w:hAnsi="Arial"/>
                  <w:sz w:val="18"/>
                  <w:szCs w:val="18"/>
                  <w:color w:val="0000EE"/>
                </w:rPr>
                <w:t>Amended and Restated By-Laws of Waste Management, Inc. as of November 13, 2017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top w:val="single" w:sz="8" w:color="0000EE"/>
            </w:tcBorders>
            <w:gridSpan w:val="2"/>
          </w:tcPr>
          <w:p>
            <w:pPr>
              <w:jc w:val="right"/>
              <w:ind w:right="399"/>
              <w:spacing w:after="0"/>
              <w:rPr>
                <w:sz w:val="20"/>
                <w:szCs w:val="20"/>
                <w:color w:val="auto"/>
              </w:rPr>
            </w:pPr>
            <w:r>
              <w:rPr>
                <w:rFonts w:ascii="Arial" w:cs="Arial" w:eastAsia="Arial" w:hAnsi="Arial"/>
                <w:sz w:val="18"/>
                <w:szCs w:val="18"/>
                <w:color w:val="auto"/>
              </w:rPr>
              <w:t>3</w:t>
            </w:r>
          </w:p>
        </w:tc>
        <w:tc>
          <w:tcPr>
            <w:tcW w:w="1520" w:type="dxa"/>
            <w:vAlign w:val="bottom"/>
            <w:tcBorders>
              <w:top w:val="single" w:sz="8" w:color="0000EE"/>
            </w:tcBorders>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7520" w:type="dxa"/>
            <w:vAlign w:val="bottom"/>
            <w:gridSpan w:val="2"/>
          </w:tcPr>
          <w:p>
            <w:pPr>
              <w:ind w:left="246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900" w:type="dxa"/>
            <w:vAlign w:val="bottom"/>
          </w:tcPr>
          <w:p>
            <w:pPr>
              <w:spacing w:after="0"/>
              <w:rPr>
                <w:sz w:val="20"/>
                <w:szCs w:val="20"/>
                <w:color w:val="auto"/>
              </w:rPr>
            </w:pPr>
            <w:r>
              <w:rPr>
                <w:rFonts w:ascii="Arial" w:cs="Arial" w:eastAsia="Arial" w:hAnsi="Arial"/>
                <w:sz w:val="18"/>
                <w:szCs w:val="18"/>
                <w:color w:val="auto"/>
              </w:rPr>
              <w:t>Date:   November 13, 2017</w:t>
            </w:r>
          </w:p>
        </w:tc>
        <w:tc>
          <w:tcPr>
            <w:tcW w:w="7520" w:type="dxa"/>
            <w:vAlign w:val="bottom"/>
            <w:gridSpan w:val="2"/>
          </w:tcPr>
          <w:p>
            <w:pPr>
              <w:ind w:left="2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9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Chief Legal Officer and Chief</w:t>
            </w:r>
          </w:p>
        </w:tc>
        <w:tc>
          <w:tcPr>
            <w:tcW w:w="4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Compliance Officer</w:t>
            </w:r>
          </w:p>
        </w:tc>
        <w:tc>
          <w:tcPr>
            <w:tcW w:w="4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2960" w:type="dxa"/>
            <w:vAlign w:val="bottom"/>
          </w:tcPr>
          <w:p>
            <w:pPr>
              <w:jc w:val="right"/>
              <w:ind w:right="1010"/>
              <w:spacing w:after="0"/>
              <w:rPr>
                <w:sz w:val="20"/>
                <w:szCs w:val="20"/>
                <w:color w:val="auto"/>
              </w:rPr>
            </w:pPr>
            <w:r>
              <w:rPr>
                <w:rFonts w:ascii="Arial" w:cs="Arial" w:eastAsia="Arial" w:hAnsi="Arial"/>
                <w:sz w:val="18"/>
                <w:szCs w:val="18"/>
                <w:color w:val="auto"/>
              </w:rPr>
              <w:t>4</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90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NOVEMBER 13,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81"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Corporation shall prepare,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158" w:lineRule="exact"/>
        <w:rPr>
          <w:sz w:val="20"/>
          <w:szCs w:val="20"/>
          <w:color w:val="auto"/>
        </w:rPr>
      </w:pPr>
    </w:p>
    <w:p>
      <w:pPr>
        <w:ind w:right="400" w:firstLine="1297"/>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67" w:lineRule="auto"/>
        <w:tabs>
          <w:tab w:leader="none" w:pos="1991"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Special meetings of the stockholders, for any purpose or purposes, unless otherwise prescribed by the General Corporation Law of the State of Delaware, shall be called by the Secretary at the written request of the Chairman of the Board (if any) or the Chief Executive Officer, or may be called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ectPr>
          <w:pgSz w:w="11900" w:h="16838" w:orient="portrait"/>
          <w:cols w:equalWidth="0" w:num="1">
            <w:col w:w="11420"/>
          </w:cols>
          <w:pgMar w:left="240" w:top="121"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p>
      <w:pPr>
        <w:ind w:firstLine="1305"/>
        <w:spacing w:after="0" w:line="285" w:lineRule="auto"/>
        <w:tabs>
          <w:tab w:leader="none" w:pos="2001" w:val="left"/>
        </w:tabs>
        <w:numPr>
          <w:ilvl w:val="0"/>
          <w:numId w:val="2"/>
        </w:numPr>
        <w:rPr>
          <w:rFonts w:ascii="Arial" w:cs="Arial" w:eastAsia="Arial" w:hAnsi="Arial"/>
          <w:sz w:val="16"/>
          <w:szCs w:val="16"/>
          <w:color w:val="auto"/>
        </w:rPr>
      </w:pPr>
      <w:r>
        <w:rPr>
          <w:rFonts w:ascii="Arial" w:cs="Arial" w:eastAsia="Arial" w:hAnsi="Arial"/>
          <w:sz w:val="16"/>
          <w:szCs w:val="16"/>
          <w:color w:val="auto"/>
        </w:rPr>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388" w:lineRule="exact"/>
        <w:rPr>
          <w:rFonts w:ascii="Arial" w:cs="Arial" w:eastAsia="Arial" w:hAnsi="Arial"/>
          <w:sz w:val="16"/>
          <w:szCs w:val="16"/>
          <w:color w:val="auto"/>
        </w:rPr>
      </w:pPr>
    </w:p>
    <w:p>
      <w:pPr>
        <w:ind w:firstLine="1305"/>
        <w:spacing w:after="0" w:line="270" w:lineRule="auto"/>
        <w:tabs>
          <w:tab w:leader="none" w:pos="1991" w:val="left"/>
        </w:tabs>
        <w:numPr>
          <w:ilvl w:val="0"/>
          <w:numId w:val="2"/>
        </w:numPr>
        <w:rPr>
          <w:rFonts w:ascii="Arial" w:cs="Arial" w:eastAsia="Arial" w:hAnsi="Arial"/>
          <w:sz w:val="17"/>
          <w:szCs w:val="17"/>
          <w:color w:val="auto"/>
        </w:rPr>
      </w:pPr>
      <w:r>
        <w:rPr>
          <w:rFonts w:ascii="Arial" w:cs="Arial" w:eastAsia="Arial" w:hAnsi="Arial"/>
          <w:sz w:val="17"/>
          <w:szCs w:val="17"/>
          <w:color w:val="auto"/>
        </w:rPr>
        <w:t>Calling of a Special Meeting. Notwithstanding the foregoing, the Secretary shall not be required to call a special meeting of stockholders if (i) 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violation of Regulation 14A under the Exchange Act or other applicable law; or (E) does not comply with the provisions of this Section 2.4.</w:t>
      </w:r>
    </w:p>
    <w:p>
      <w:pPr>
        <w:spacing w:after="0" w:line="23" w:lineRule="exact"/>
        <w:rPr>
          <w:sz w:val="20"/>
          <w:szCs w:val="20"/>
          <w:color w:val="auto"/>
        </w:rPr>
      </w:pPr>
    </w:p>
    <w:p>
      <w:pPr>
        <w:ind w:right="100" w:firstLine="1305"/>
        <w:spacing w:after="0" w:line="281" w:lineRule="auto"/>
        <w:tabs>
          <w:tab w:leader="none" w:pos="2001" w:val="left"/>
        </w:tabs>
        <w:numPr>
          <w:ilvl w:val="1"/>
          <w:numId w:val="3"/>
        </w:numPr>
        <w:rPr>
          <w:rFonts w:ascii="Arial" w:cs="Arial" w:eastAsia="Arial" w:hAnsi="Arial"/>
          <w:sz w:val="16"/>
          <w:szCs w:val="16"/>
          <w:color w:val="auto"/>
        </w:rPr>
      </w:pPr>
      <w:r>
        <w:rPr>
          <w:rFonts w:ascii="Arial" w:cs="Arial" w:eastAsia="Arial" w:hAnsi="Arial"/>
          <w:sz w:val="16"/>
          <w:szCs w:val="16"/>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w:t>
      </w:r>
    </w:p>
    <w:p>
      <w:pPr>
        <w:spacing w:after="0" w:line="3" w:lineRule="exact"/>
        <w:rPr>
          <w:rFonts w:ascii="Arial" w:cs="Arial" w:eastAsia="Arial" w:hAnsi="Arial"/>
          <w:sz w:val="16"/>
          <w:szCs w:val="16"/>
          <w:color w:val="auto"/>
        </w:rPr>
      </w:pPr>
    </w:p>
    <w:p>
      <w:pPr>
        <w:ind w:right="40" w:firstLine="8"/>
        <w:spacing w:after="0" w:line="252" w:lineRule="auto"/>
        <w:tabs>
          <w:tab w:leader="none" w:pos="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93" w:lineRule="exact"/>
        <w:rPr>
          <w:rFonts w:ascii="Arial" w:cs="Arial" w:eastAsia="Arial" w:hAnsi="Arial"/>
          <w:sz w:val="18"/>
          <w:szCs w:val="18"/>
          <w:color w:val="auto"/>
        </w:rPr>
      </w:pPr>
    </w:p>
    <w:p>
      <w:pPr>
        <w:ind w:firstLine="1305"/>
        <w:spacing w:after="0" w:line="302" w:lineRule="auto"/>
        <w:tabs>
          <w:tab w:leader="none" w:pos="1991" w:val="left"/>
        </w:tabs>
        <w:numPr>
          <w:ilvl w:val="1"/>
          <w:numId w:val="4"/>
        </w:numPr>
        <w:rPr>
          <w:rFonts w:ascii="Arial" w:cs="Arial" w:eastAsia="Arial" w:hAnsi="Arial"/>
          <w:sz w:val="16"/>
          <w:szCs w:val="16"/>
          <w:color w:val="auto"/>
        </w:rPr>
      </w:pPr>
      <w:r>
        <w:rPr>
          <w:rFonts w:ascii="Arial" w:cs="Arial" w:eastAsia="Arial" w:hAnsi="Arial"/>
          <w:sz w:val="16"/>
          <w:szCs w:val="16"/>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w:t>
      </w:r>
    </w:p>
    <w:p>
      <w:pPr>
        <w:spacing w:after="0" w:line="160" w:lineRule="exact"/>
        <w:rPr>
          <w:rFonts w:ascii="Arial" w:cs="Arial" w:eastAsia="Arial" w:hAnsi="Arial"/>
          <w:sz w:val="16"/>
          <w:szCs w:val="16"/>
          <w:color w:val="auto"/>
        </w:rPr>
      </w:pPr>
    </w:p>
    <w:p>
      <w:pPr>
        <w:jc w:val="both"/>
        <w:ind w:firstLine="1305"/>
        <w:spacing w:after="0" w:line="318" w:lineRule="auto"/>
        <w:tabs>
          <w:tab w:leader="none" w:pos="2016" w:val="left"/>
        </w:tabs>
        <w:numPr>
          <w:ilvl w:val="1"/>
          <w:numId w:val="4"/>
        </w:numPr>
        <w:rPr>
          <w:rFonts w:ascii="Arial" w:cs="Arial" w:eastAsia="Arial" w:hAnsi="Arial"/>
          <w:sz w:val="15"/>
          <w:szCs w:val="15"/>
          <w:color w:val="auto"/>
        </w:rPr>
      </w:pPr>
      <w:r>
        <w:rPr>
          <w:rFonts w:ascii="Arial" w:cs="Arial" w:eastAsia="Arial" w:hAnsi="Arial"/>
          <w:sz w:val="15"/>
          <w:szCs w:val="15"/>
          <w:color w:val="auto"/>
        </w:rPr>
        <w:t>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 (i) each request identifies substantially the same purpose or purposes of the proposed special meeting and substantially the same matter proposed to be acted on at the proposed special meeting, and (ii) such request(s) have been dated and delivered to the Secretary within sixty (60) days of the earliest dated Special Meeting Request.</w:t>
      </w:r>
    </w:p>
    <w:p>
      <w:pPr>
        <w:spacing w:after="0" w:line="148"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Meeting</w:t>
      </w:r>
      <w:r>
        <w:rPr>
          <w:rFonts w:ascii="Arial" w:cs="Arial" w:eastAsia="Arial" w:hAnsi="Arial"/>
          <w:sz w:val="18"/>
          <w:szCs w:val="18"/>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w:t>
      </w:r>
    </w:p>
    <w:p>
      <w:pPr>
        <w:sectPr>
          <w:pgSz w:w="11900" w:h="16838" w:orient="portrait"/>
          <w:cols w:equalWidth="0" w:num="1">
            <w:col w:w="11420"/>
          </w:cols>
          <w:pgMar w:left="240" w:top="584" w:right="239" w:bottom="0" w:gutter="0" w:footer="0" w:header="0"/>
        </w:sectPr>
      </w:pPr>
    </w:p>
    <w:bookmarkStart w:id="4" w:name="page5"/>
    <w:bookmarkEnd w:id="4"/>
    <w:p>
      <w:pPr>
        <w:spacing w:after="0" w:line="288" w:lineRule="auto"/>
        <w:rPr>
          <w:sz w:val="20"/>
          <w:szCs w:val="20"/>
          <w:color w:val="auto"/>
        </w:rPr>
      </w:pPr>
      <w:r>
        <w:rPr>
          <w:rFonts w:ascii="Arial" w:cs="Arial" w:eastAsia="Arial" w:hAnsi="Arial"/>
          <w:sz w:val="16"/>
          <w:szCs w:val="16"/>
          <w:color w:val="auto"/>
        </w:rPr>
        <w:t>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inadvertent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169"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88"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Quorum; Adjournment</w:t>
      </w:r>
      <w:r>
        <w:rPr>
          <w:rFonts w:ascii="Arial" w:cs="Arial" w:eastAsia="Arial" w:hAnsi="Arial"/>
          <w:sz w:val="17"/>
          <w:szCs w:val="17"/>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71"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78"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Voting</w:t>
      </w:r>
      <w:r>
        <w:rPr>
          <w:rFonts w:ascii="Arial" w:cs="Arial" w:eastAsia="Arial" w:hAnsi="Arial"/>
          <w:sz w:val="17"/>
          <w:szCs w:val="17"/>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Except as otherwise provided by or pursuant to the provisions of the Certificate of Incorporation, each stockholder having the right to vote at a meeting of stockholders or to express consent or dissent to a corporate action in writing without a meeting shall be entitled to vote in person, or may authorize another person to act for such stockholder by proxy, bearing a date not more than three years prior to voting, unless such proxy provides for a longer period, and filed with the Secretary of the Corporation, or such other officer as the Board of Directors may from time to time determine by resolution, before, or at the time of, the meeting. A stockholder may revoke a proxy that is not irrevocable by attending the meeting and voting in person or by delivering to the Secretary of the Corporation a revocation of the proxy or a new proxy bearing a later date.</w:t>
      </w:r>
    </w:p>
    <w:p>
      <w:pPr>
        <w:spacing w:after="0" w:line="18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he was appointed to act as proxy.</w:t>
      </w:r>
    </w:p>
    <w:p>
      <w:pPr>
        <w:spacing w:after="0" w:line="193"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Voting of Stock of Certain Holders; Elections; Inspectors</w:t>
      </w:r>
      <w:r>
        <w:rPr>
          <w:rFonts w:ascii="Arial" w:cs="Arial" w:eastAsia="Arial" w:hAnsi="Arial"/>
          <w:sz w:val="18"/>
          <w:szCs w:val="18"/>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93"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w:t>
      </w:r>
    </w:p>
    <w:p>
      <w:pPr>
        <w:sectPr>
          <w:pgSz w:w="11900" w:h="16838" w:orient="portrait"/>
          <w:cols w:equalWidth="0" w:num="1">
            <w:col w:w="11400"/>
          </w:cols>
          <w:pgMar w:left="240" w:top="125" w:right="259" w:bottom="0" w:gutter="0" w:footer="0" w:header="0"/>
        </w:sectPr>
      </w:pPr>
    </w:p>
    <w:bookmarkStart w:id="5" w:name="page6"/>
    <w:bookmarkEnd w:id="5"/>
    <w:p>
      <w:pPr>
        <w:ind w:right="660"/>
        <w:spacing w:after="0" w:line="308" w:lineRule="auto"/>
        <w:rPr>
          <w:sz w:val="20"/>
          <w:szCs w:val="20"/>
          <w:color w:val="auto"/>
        </w:rPr>
      </w:pPr>
      <w:r>
        <w:rPr>
          <w:rFonts w:ascii="Arial" w:cs="Arial" w:eastAsia="Arial" w:hAnsi="Arial"/>
          <w:sz w:val="17"/>
          <w:szCs w:val="17"/>
          <w:color w:val="auto"/>
        </w:rPr>
        <w:t>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47" w:lineRule="exact"/>
        <w:rPr>
          <w:sz w:val="20"/>
          <w:szCs w:val="20"/>
          <w:color w:val="auto"/>
        </w:rPr>
      </w:pPr>
    </w:p>
    <w:p>
      <w:pPr>
        <w:ind w:left="2600" w:hanging="64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23" w:lineRule="exact"/>
        <w:rPr>
          <w:rFonts w:ascii="Arial" w:cs="Arial" w:eastAsia="Arial" w:hAnsi="Arial"/>
          <w:sz w:val="18"/>
          <w:szCs w:val="18"/>
          <w:color w:val="auto"/>
        </w:rPr>
      </w:pPr>
    </w:p>
    <w:p>
      <w:pPr>
        <w:ind w:left="2600" w:hanging="647"/>
        <w:spacing w:after="0"/>
        <w:tabs>
          <w:tab w:leader="none" w:pos="2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9" w:lineRule="exact"/>
        <w:rPr>
          <w:rFonts w:ascii="Arial" w:cs="Arial" w:eastAsia="Arial" w:hAnsi="Arial"/>
          <w:sz w:val="18"/>
          <w:szCs w:val="18"/>
          <w:color w:val="auto"/>
        </w:rPr>
      </w:pPr>
    </w:p>
    <w:p>
      <w:pPr>
        <w:ind w:left="1300" w:firstLine="653"/>
        <w:spacing w:after="0" w:line="292" w:lineRule="auto"/>
        <w:tabs>
          <w:tab w:leader="none" w:pos="2607"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163"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All voting of stockholders shall be conducted as may be required under any procedures established for the meeting. All proxies submitted to the Corporation may be voted by a master ballot.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Inspector of Elections</w:t>
      </w:r>
      <w:r>
        <w:rPr>
          <w:rFonts w:ascii="Arial" w:cs="Arial" w:eastAsia="Arial" w:hAnsi="Arial"/>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w:t>
      </w:r>
    </w:p>
    <w:p>
      <w:pPr>
        <w:ind w:right="160" w:firstLine="8"/>
        <w:spacing w:after="0" w:line="292"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3"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Conduct of Meeting</w:t>
      </w:r>
      <w:r>
        <w:rPr>
          <w:rFonts w:ascii="Arial" w:cs="Arial" w:eastAsia="Arial" w:hAnsi="Arial"/>
          <w:sz w:val="17"/>
          <w:szCs w:val="17"/>
          <w:color w:val="auto"/>
        </w:rPr>
        <w:t>. The meetings of the stockholders shall be presided over by the Chairman of the Board (if any), or if he is not present, by the Chairman of the Nominating and Governance Committee of the Board, or if neither the Chairman of the Board (if any) nor the Chairman of the Nominating and Governance Committee is present, by the Chief Executive Officer, or if neither the Chairman of the Board (if any), the Chairman of the Nominating and Governance Committee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unless otherwise determined by the Board of Directors, the order of business and the procedure at the meeting, including such regulation of the manner of voting and the conduct of discussion as seem to him in order. Unless the Board of Directors or the chairman of the meeting of stockholders shall otherwise determine, the order of business shall be as follows:</w:t>
      </w:r>
    </w:p>
    <w:p>
      <w:pPr>
        <w:spacing w:after="0" w:line="178" w:lineRule="exact"/>
        <w:rPr>
          <w:sz w:val="20"/>
          <w:szCs w:val="20"/>
          <w:color w:val="auto"/>
        </w:rPr>
      </w:pPr>
    </w:p>
    <w:p>
      <w:pPr>
        <w:ind w:left="2600" w:hanging="647"/>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23" w:lineRule="exact"/>
        <w:rPr>
          <w:rFonts w:ascii="Arial" w:cs="Arial" w:eastAsia="Arial" w:hAnsi="Arial"/>
          <w:sz w:val="18"/>
          <w:szCs w:val="18"/>
          <w:color w:val="auto"/>
        </w:rPr>
      </w:pPr>
    </w:p>
    <w:p>
      <w:pPr>
        <w:ind w:left="2600" w:hanging="647"/>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Appointment of a secretary if necessary.</w:t>
      </w:r>
    </w:p>
    <w:p>
      <w:pPr>
        <w:spacing w:after="0" w:line="9" w:lineRule="exact"/>
        <w:rPr>
          <w:rFonts w:ascii="Arial" w:cs="Arial" w:eastAsia="Arial" w:hAnsi="Arial"/>
          <w:sz w:val="18"/>
          <w:szCs w:val="18"/>
          <w:color w:val="auto"/>
        </w:rPr>
      </w:pPr>
    </w:p>
    <w:p>
      <w:pPr>
        <w:ind w:left="2620" w:hanging="667"/>
        <w:spacing w:after="0"/>
        <w:tabs>
          <w:tab w:leader="none" w:pos="2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9" w:lineRule="exact"/>
        <w:rPr>
          <w:rFonts w:ascii="Arial" w:cs="Arial" w:eastAsia="Arial" w:hAnsi="Arial"/>
          <w:sz w:val="18"/>
          <w:szCs w:val="18"/>
          <w:color w:val="auto"/>
        </w:rPr>
      </w:pPr>
    </w:p>
    <w:p>
      <w:pPr>
        <w:ind w:left="2620" w:hanging="667"/>
        <w:spacing w:after="0"/>
        <w:tabs>
          <w:tab w:leader="none" w:pos="2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9" w:lineRule="exact"/>
        <w:rPr>
          <w:rFonts w:ascii="Arial" w:cs="Arial" w:eastAsia="Arial" w:hAnsi="Arial"/>
          <w:sz w:val="18"/>
          <w:szCs w:val="18"/>
          <w:color w:val="auto"/>
        </w:rPr>
      </w:pPr>
    </w:p>
    <w:p>
      <w:pPr>
        <w:ind w:left="2620" w:hanging="667"/>
        <w:spacing w:after="0"/>
        <w:tabs>
          <w:tab w:leader="none" w:pos="2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9" w:lineRule="exact"/>
        <w:rPr>
          <w:rFonts w:ascii="Arial" w:cs="Arial" w:eastAsia="Arial" w:hAnsi="Arial"/>
          <w:sz w:val="18"/>
          <w:szCs w:val="18"/>
          <w:color w:val="auto"/>
        </w:rPr>
      </w:pPr>
    </w:p>
    <w:p>
      <w:pPr>
        <w:ind w:left="2620" w:hanging="667"/>
        <w:spacing w:after="0"/>
        <w:tabs>
          <w:tab w:leader="none" w:pos="2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9" w:lineRule="exact"/>
        <w:rPr>
          <w:rFonts w:ascii="Arial" w:cs="Arial" w:eastAsia="Arial" w:hAnsi="Arial"/>
          <w:sz w:val="18"/>
          <w:szCs w:val="18"/>
          <w:color w:val="auto"/>
        </w:rPr>
      </w:pPr>
    </w:p>
    <w:p>
      <w:pPr>
        <w:ind w:left="2600" w:hanging="647"/>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211"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Without limiting the foregoing, except to the extent inconsistent with any rules and regulations as adopted by the Board of Directors, the chairman of the meeting shall have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66"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Treasury Stock</w:t>
      </w:r>
      <w:r>
        <w:rPr>
          <w:rFonts w:ascii="Arial" w:cs="Arial" w:eastAsia="Arial" w:hAnsi="Arial"/>
          <w:sz w:val="16"/>
          <w:szCs w:val="16"/>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w:t>
      </w:r>
    </w:p>
    <w:p>
      <w:pPr>
        <w:sectPr>
          <w:pgSz w:w="11900" w:h="16838" w:orient="portrait"/>
          <w:cols w:equalWidth="0" w:num="1">
            <w:col w:w="11420"/>
          </w:cols>
          <w:pgMar w:left="240" w:top="125" w:right="239" w:bottom="0" w:gutter="0" w:footer="0" w:header="0"/>
        </w:sectPr>
      </w:pPr>
    </w:p>
    <w:bookmarkStart w:id="6" w:name="page7"/>
    <w:bookmarkEnd w:id="6"/>
    <w:p>
      <w:pPr>
        <w:spacing w:after="0" w:line="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counted for quorum purposes; provided, however, that the foregoing shall not limit the right of the Corporation or any subsidiary of the Corporation to vote stock, including but not limited to its own stock, held by it in a fiduciary capacity.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86" w:lineRule="auto"/>
        <w:tabs>
          <w:tab w:leader="none" w:pos="154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68" w:lineRule="auto"/>
        <w:tabs>
          <w:tab w:leader="none" w:pos="155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83" w:lineRule="exact"/>
        <w:rPr>
          <w:rFonts w:ascii="Arial" w:cs="Arial" w:eastAsia="Arial" w:hAnsi="Arial"/>
          <w:sz w:val="17"/>
          <w:szCs w:val="17"/>
          <w:color w:val="auto"/>
        </w:rPr>
      </w:pPr>
    </w:p>
    <w:p>
      <w:pPr>
        <w:ind w:right="60" w:firstLine="1305"/>
        <w:spacing w:after="0" w:line="270" w:lineRule="auto"/>
        <w:tabs>
          <w:tab w:leader="none" w:pos="154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77" w:lineRule="exact"/>
        <w:rPr>
          <w:rFonts w:ascii="Arial" w:cs="Arial" w:eastAsia="Arial" w:hAnsi="Arial"/>
          <w:sz w:val="17"/>
          <w:szCs w:val="17"/>
          <w:color w:val="auto"/>
        </w:rPr>
      </w:pPr>
    </w:p>
    <w:p>
      <w:pPr>
        <w:ind w:right="520" w:firstLine="1305"/>
        <w:spacing w:after="0" w:line="342" w:lineRule="auto"/>
        <w:tabs>
          <w:tab w:leader="none" w:pos="1551"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written consent shall be effective to take the corporate action referred to therein unless a valid written consent or valid written consents signed by a sufficient number of stockholders to take such action are delivered to the Corporation in the manner prescribed in this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2.12 and applicable law, and not revoked, within 60 days of the first date on which a written consent is so delivered to the Corporation.</w:t>
      </w:r>
    </w:p>
    <w:p>
      <w:pPr>
        <w:spacing w:after="0" w:line="225"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meeting of the stockholders, only such business (other than nominations of persons for election to the Board of Directors) shall be conducted as shall have been properly brought before the meeting. To be properly brought before an annual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w:t>
      </w:r>
    </w:p>
    <w:p>
      <w:pPr>
        <w:spacing w:after="0" w:line="2" w:lineRule="exact"/>
        <w:rPr>
          <w:sz w:val="20"/>
          <w:szCs w:val="20"/>
          <w:color w:val="auto"/>
        </w:rPr>
      </w:pPr>
    </w:p>
    <w:p>
      <w:pPr>
        <w:jc w:val="both"/>
        <w:ind w:right="100" w:firstLine="8"/>
        <w:spacing w:after="0" w:line="28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meeting of stockholders pursuant to clause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above of this paragraph, the proposed business must constitute a proper matter for stockholder action.</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 proposal (other than nominations of persons for election to the Board of Directors) by a stockholder shall be presented at an annual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w:t>
      </w:r>
    </w:p>
    <w:p>
      <w:pPr>
        <w:sectPr>
          <w:pgSz w:w="11900" w:h="16934" w:orient="portrait"/>
          <w:cols w:equalWidth="0" w:num="1">
            <w:col w:w="11400"/>
          </w:cols>
          <w:pgMar w:left="240" w:top="125" w:right="259" w:bottom="0" w:gutter="0" w:footer="0" w:header="0"/>
        </w:sectPr>
      </w:pPr>
    </w:p>
    <w:bookmarkStart w:id="7" w:name="page8"/>
    <w:bookmarkEnd w:id="7"/>
    <w:p>
      <w:pPr>
        <w:spacing w:after="0" w:line="287" w:lineRule="auto"/>
        <w:rPr>
          <w:sz w:val="20"/>
          <w:szCs w:val="20"/>
          <w:color w:val="auto"/>
        </w:rPr>
      </w:pPr>
      <w:r>
        <w:rPr>
          <w:rFonts w:ascii="Arial" w:cs="Arial" w:eastAsia="Arial" w:hAnsi="Arial"/>
          <w:sz w:val="16"/>
          <w:szCs w:val="16"/>
          <w:color w:val="auto"/>
        </w:rPr>
        <w:t>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or the beneficial owner, if any,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and/or form of proxy to holders of at least the percentage of the Corporation’s outstanding capital stock required to approve or adopt the proposal and/or</w:t>
      </w:r>
    </w:p>
    <w:p>
      <w:pPr>
        <w:spacing w:after="0" w:line="46" w:lineRule="exact"/>
        <w:rPr>
          <w:sz w:val="20"/>
          <w:szCs w:val="20"/>
          <w:color w:val="auto"/>
        </w:rPr>
      </w:pPr>
    </w:p>
    <w:p>
      <w:pPr>
        <w:ind w:firstLine="8"/>
        <w:spacing w:after="0" w:line="257"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the proposal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such annual meeting or not later than the close of business on the later of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prior to such annual meeting or the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19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This provision shall not prevent the presentation at a meeting of stockholders of reports of officers, directors, and committees; but in connection with such reports, no new business shall be acted upon at such meeting unless properly brought before the meeting in accordance with this Section 2.13 with respect to annual meetings or Section 2.4 of these by-laws with respect to special meetings. Notwithstanding anything in these by-laws to the contrary, no business (other than nominations of persons for election to the Board of Directors) shall be conducted at any annual meeting of stockholders except in accordance with the procedures set forth in this Section 2.13 and no nominations shall be considered at an annual or special meeting of stockholders except in accordance with Section 2.14 below. The chairman of the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brought before the meeting shall not be transacted. Notwithstanding the foregoing provisions of this Section 2.13, unless otherwise required by law,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Notwithstanding any other provision of these by-laws, the Corporation shall be under no obligation to include any stockholder proposal in its proxy statement materials or otherwise present any such proposal to stockholders at a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at an annual meeting of stockholders. Nothing in this Section 2.13 shall be deemed to affect any rights of stockholders to request inclusion of proposals in the Corporation’s proxy statement pursuant to applicable rules and regulations promulgated under the Exchange Act. Only such business shall be conducted at a special meeting of stockholders as shall have been brought before the meeting pursuant to the Corporation’s notice of meeting in accordance with Section 2.4 of these by-laws.</w:t>
      </w:r>
    </w:p>
    <w:p>
      <w:pPr>
        <w:sectPr>
          <w:pgSz w:w="11900" w:h="16838" w:orient="portrait"/>
          <w:cols w:equalWidth="0" w:num="1">
            <w:col w:w="11420"/>
          </w:cols>
          <w:pgMar w:left="240" w:top="125" w:right="239" w:bottom="0" w:gutter="0" w:footer="0" w:header="0"/>
        </w:sectPr>
      </w:pPr>
    </w:p>
    <w:bookmarkStart w:id="8" w:name="page9"/>
    <w:bookmarkEnd w:id="8"/>
    <w:p>
      <w:pPr>
        <w:ind w:firstLine="648"/>
        <w:spacing w:after="0" w:line="272"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u w:val="single" w:color="auto"/>
          <w:color w:val="auto"/>
        </w:rPr>
        <w:t>Nomination of Directors</w:t>
      </w:r>
      <w:r>
        <w:rPr>
          <w:rFonts w:ascii="Arial" w:cs="Arial" w:eastAsia="Arial" w:hAnsi="Arial"/>
          <w:sz w:val="17"/>
          <w:szCs w:val="17"/>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w:t>
      </w:r>
    </w:p>
    <w:p>
      <w:pPr>
        <w:ind w:right="40"/>
        <w:spacing w:after="0" w:line="284" w:lineRule="auto"/>
        <w:rPr>
          <w:sz w:val="20"/>
          <w:szCs w:val="20"/>
          <w:color w:val="auto"/>
        </w:rPr>
      </w:pPr>
      <w:r>
        <w:rPr>
          <w:rFonts w:ascii="Arial" w:cs="Arial" w:eastAsia="Arial" w:hAnsi="Arial"/>
          <w:sz w:val="16"/>
          <w:szCs w:val="16"/>
          <w:color w:val="auto"/>
        </w:rPr>
        <w:t>Section 14(a) of the Exchange Act and the rules and regulations promulgated thereunder, and (ii) such person’s written consent to being named in the Corporation’s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 (ii) 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including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With respect to each person whom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stockholder proposes to nominate for election to the Board of Directors, a stockholder’s notice must, in addition to the matters set forth above, also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completed and signed questionnaire, representations and agreements required by Section 2.15 of these by-laws. The Corporation may also require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proposed nominee to furnish such other information as it may reasonably require to determine the eligibility of such proposed nominee to serve as a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Corporation. Notwithstanding anything in the first sentence of this paragraph to the contrary, in the event that the number of directors to be elected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at the annual meeting is increased effective after the time period for which nominations would otherwise be due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2.14 and there is no public announcement by the Corporation naming the nominees for the additional directorships at least one hundred (100)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the first anniversary of the preceding year’s annual meeting, a stockholder’s notice required by this Section 2.14 shall also be considered timely,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with respect to nominees for the additional directorships, if it shall be delivered to the Secretary of the Corporation at the principal executive offices of</w:t>
      </w:r>
    </w:p>
    <w:p>
      <w:pPr>
        <w:spacing w:after="0" w:line="237" w:lineRule="auto"/>
        <w:rPr>
          <w:sz w:val="20"/>
          <w:szCs w:val="20"/>
          <w:color w:val="auto"/>
        </w:rPr>
      </w:pPr>
      <w:r>
        <w:rPr>
          <w:rFonts w:ascii="Arial" w:cs="Arial" w:eastAsia="Arial" w:hAnsi="Arial"/>
          <w:sz w:val="17"/>
          <w:szCs w:val="17"/>
          <w:color w:val="auto"/>
        </w:rPr>
        <w:t>the Corporation not later than the close of business on the tenth (10</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day on which such public announcement is first made by the</w:t>
      </w:r>
    </w:p>
    <w:p>
      <w:pPr>
        <w:spacing w:after="0"/>
        <w:rPr>
          <w:sz w:val="20"/>
          <w:szCs w:val="20"/>
          <w:color w:val="auto"/>
        </w:rPr>
      </w:pPr>
      <w:r>
        <w:rPr>
          <w:rFonts w:ascii="Arial" w:cs="Arial" w:eastAsia="Arial" w:hAnsi="Arial"/>
          <w:sz w:val="16"/>
          <w:szCs w:val="16"/>
          <w:color w:val="auto"/>
        </w:rPr>
        <w:t>Corporation. At the request of the Board of Directors any person nominated by the Board of Directors for election as a director shall furnish to the Secretary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of the Corporation that information required to be set forth in a stockholder’s notice of nomination which pertains to the nominee.</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7"/>
          <w:szCs w:val="17"/>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the stockholders pursuant to Section 2.4 hereof or (2) provided that the Board of Directors or the stockholders pursuant to Section 2.4 hereof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The proposal by stockholders of other business to be conducted at a special meeting of the stockholders may be made only in accordance with Section 2.4 hereof.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(including, but not limited to, the completed and signed questionnaire, representations and agreements required by Section 2.15 of these by-laws) shall be delivered to the Secretary at the principal executive offices of the Corporation not earlier than the close of business on the one hundred fiftieth (150</w:t>
      </w:r>
      <w:r>
        <w:rPr>
          <w:rFonts w:ascii="Arial" w:cs="Arial" w:eastAsia="Arial" w:hAnsi="Arial"/>
          <w:sz w:val="22"/>
          <w:szCs w:val="22"/>
          <w:color w:val="auto"/>
          <w:vertAlign w:val="superscript"/>
        </w:rPr>
        <w:t>th</w:t>
      </w:r>
      <w:r>
        <w:rPr>
          <w:rFonts w:ascii="Arial" w:cs="Arial" w:eastAsia="Arial" w:hAnsi="Arial"/>
          <w:sz w:val="17"/>
          <w:szCs w:val="17"/>
          <w:color w:val="auto"/>
        </w:rPr>
        <w:t>) day prior to such special meeting and not later than the close of business on the later of the one hundred twentieth (120</w:t>
      </w:r>
      <w:r>
        <w:rPr>
          <w:rFonts w:ascii="Arial" w:cs="Arial" w:eastAsia="Arial" w:hAnsi="Arial"/>
          <w:sz w:val="22"/>
          <w:szCs w:val="22"/>
          <w:color w:val="auto"/>
          <w:vertAlign w:val="superscript"/>
        </w:rPr>
        <w:t>th</w:t>
      </w:r>
      <w:r>
        <w:rPr>
          <w:rFonts w:ascii="Arial" w:cs="Arial" w:eastAsia="Arial" w:hAnsi="Arial"/>
          <w:sz w:val="17"/>
          <w:szCs w:val="17"/>
          <w:color w:val="auto"/>
        </w:rPr>
        <w:t>) day prior to such special meeting, or the tenth (10</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day on which public announcement is first made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w:t>
      </w:r>
    </w:p>
    <w:p>
      <w:pPr>
        <w:sectPr>
          <w:pgSz w:w="11900" w:h="16838" w:orient="portrait"/>
          <w:cols w:equalWidth="0" w:num="1">
            <w:col w:w="11400"/>
          </w:cols>
          <w:pgMar w:left="240" w:top="125" w:right="259" w:bottom="1" w:gutter="0" w:footer="0" w:header="0"/>
        </w:sectPr>
      </w:pPr>
    </w:p>
    <w:bookmarkStart w:id="9" w:name="page10"/>
    <w:bookmarkEnd w:id="9"/>
    <w:p>
      <w:pPr>
        <w:ind w:right="160" w:firstLine="648"/>
        <w:spacing w:after="0" w:line="277" w:lineRule="auto"/>
        <w:rPr>
          <w:sz w:val="20"/>
          <w:szCs w:val="20"/>
          <w:color w:val="auto"/>
        </w:rPr>
      </w:pPr>
      <w:r>
        <w:rPr>
          <w:rFonts w:ascii="Arial" w:cs="Arial" w:eastAsia="Arial" w:hAnsi="Arial"/>
          <w:sz w:val="18"/>
          <w:szCs w:val="18"/>
          <w:color w:val="auto"/>
        </w:rPr>
        <w:t>Only such persons who are nominated in accordance with the procedures set forth in this Section 2.14 shall be eligible to be elected at an annual or special meeting of stockholders of the Corporation to serve as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Submission of Questionnaire, Representations and Agreements</w:t>
      </w:r>
      <w:r>
        <w:rPr>
          <w:rFonts w:ascii="Arial" w:cs="Arial" w:eastAsia="Arial" w:hAnsi="Arial"/>
          <w:sz w:val="17"/>
          <w:szCs w:val="17"/>
          <w:color w:val="auto"/>
        </w:rPr>
        <w:t>. To be eligible to be a nominee for election or reelection as a director of the Corporation, a person must deliver (with respect to any person nominated by a stockholder in accordance with clause (c) of the first paragraph of Section 2.14 or the third paragraph of Section 2.14, in accordance with the time periods prescribed for delivery of notice under Section 2.14) to the Secretary at the principal executive offices of the Corporation a written questionnaire with respect to the background, and qualification and potential conflicts of interest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with respect to any direct or indirect compensation, reimbursement or indemnification in connection with service or action as a director that has not been disclosed to the Corporation and (C)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81"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6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as of the tenth day preceding the date that the Corporation first mails it notice of meeting to the stockholders of the Corporation,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as of the tenth day preceding the date that the Corporation first mails its notice of meeting to the stockholders of the Corporation,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w:t>
      </w:r>
    </w:p>
    <w:p>
      <w:pPr>
        <w:sectPr>
          <w:pgSz w:w="11900" w:h="16838" w:orient="portrait"/>
          <w:cols w:equalWidth="0" w:num="1">
            <w:col w:w="11400"/>
          </w:cols>
          <w:pgMar w:left="240" w:top="125" w:right="259" w:bottom="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0" w:name="page11"/>
    <w:bookmarkEnd w:id="10"/>
    <w:p>
      <w:pPr>
        <w:ind w:right="40"/>
        <w:spacing w:after="0" w:line="264" w:lineRule="auto"/>
        <w:rPr>
          <w:sz w:val="20"/>
          <w:szCs w:val="20"/>
          <w:color w:val="auto"/>
        </w:rPr>
      </w:pPr>
      <w:r>
        <w:rPr>
          <w:rFonts w:ascii="Arial" w:cs="Arial" w:eastAsia="Arial" w:hAnsi="Arial"/>
          <w:sz w:val="18"/>
          <w:szCs w:val="18"/>
          <w:color w:val="auto"/>
        </w:rPr>
        <w:t>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81"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93"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93" w:lineRule="exact"/>
        <w:rPr>
          <w:sz w:val="20"/>
          <w:szCs w:val="20"/>
          <w:color w:val="auto"/>
        </w:rPr>
      </w:pPr>
    </w:p>
    <w:p>
      <w:pPr>
        <w:ind w:right="20" w:firstLine="1297"/>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66"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Special Meeting</w:t>
      </w:r>
      <w:r>
        <w:rPr>
          <w:rFonts w:ascii="Arial" w:cs="Arial" w:eastAsia="Arial" w:hAnsi="Arial"/>
          <w:sz w:val="18"/>
          <w:szCs w:val="18"/>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87"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Notice of Special Meeting</w:t>
      </w:r>
      <w:r>
        <w:rPr>
          <w:rFonts w:ascii="Arial" w:cs="Arial" w:eastAsia="Arial" w:hAnsi="Arial"/>
          <w:sz w:val="17"/>
          <w:szCs w:val="17"/>
          <w:color w:val="auto"/>
        </w:rPr>
        <w:t>. Notice of special meetings of the Board of Directors shall be given to each director at least 24 hours prior to the time of such meeting by mail, personal delivery, facsimile, telephone or other means of electronic transmission.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 of the directors, or members of a committee of directors, need be specified in a waiver of notice.</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Place of Meetings; Order of Business</w:t>
      </w:r>
      <w:r>
        <w:rPr>
          <w:rFonts w:ascii="Arial" w:cs="Arial" w:eastAsia="Arial" w:hAnsi="Arial"/>
          <w:sz w:val="17"/>
          <w:szCs w:val="17"/>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of the meeting may appoint any person to act as secretary of the meeting. At all meetings of the Board of Directors business shall be transacted in such order as shall from time to time be determined by the chairman of the meeting.</w:t>
      </w:r>
    </w:p>
    <w:p>
      <w:pPr>
        <w:spacing w:after="0" w:line="179"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Quorum and Participation; Telephonic Meeting</w:t>
      </w:r>
      <w:r>
        <w:rPr>
          <w:rFonts w:ascii="Arial" w:cs="Arial" w:eastAsia="Arial" w:hAnsi="Arial"/>
          <w:sz w:val="17"/>
          <w:szCs w:val="17"/>
          <w:color w:val="auto"/>
        </w:rPr>
        <w:t>. A majority of the whole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73"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88"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 have assented to the action unless (i) he objects at the beginning of the meeting to the transaction of any business on the ground that the meeting is not lawfully called or convened, (ii) his dissent shall be entered in the minutes of the meeting or (iii) he shall file his written dissent to such action with the person acting as secretary of the meeting before the adjournment thereof. Such right to dissent shall not apply to a director who voted in favor of such action.</w:t>
      </w:r>
    </w:p>
    <w:p>
      <w:pPr>
        <w:spacing w:after="0" w:line="18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11" w:name="page12"/>
    <w:bookmarkEnd w:id="11"/>
    <w:p>
      <w:pPr>
        <w:ind w:right="140"/>
        <w:spacing w:after="0" w:line="286" w:lineRule="auto"/>
        <w:rPr>
          <w:sz w:val="20"/>
          <w:szCs w:val="20"/>
          <w:color w:val="auto"/>
        </w:rPr>
      </w:pPr>
      <w:r>
        <w:rPr>
          <w:rFonts w:ascii="Arial" w:cs="Arial" w:eastAsia="Arial" w:hAnsi="Arial"/>
          <w:sz w:val="17"/>
          <w:szCs w:val="17"/>
          <w:color w:val="auto"/>
        </w:rPr>
        <w:t>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166"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81"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to the fullest extent permitted by law, shall be approved, adopted or ratified by the vote of the stockholders holding a majority in voting power of the issued and outstanding shares of stock of the Corporation entitled to vote and present in person or by proxy at such meeting (provided that a quorum is present), shall, to the fullest extent permitted by law,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to the fullest extent permitted by law, be as valid and as binding upon the Corporation and upon all the stockholders as if it had been approved or ratified by every stockholder of the Corporation.</w:t>
      </w:r>
    </w:p>
    <w:p>
      <w:pPr>
        <w:spacing w:after="0" w:line="169"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ind w:right="180" w:firstLine="1297"/>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Designation, Powers and Name</w:t>
      </w:r>
      <w:r>
        <w:rPr>
          <w:rFonts w:ascii="Arial" w:cs="Arial" w:eastAsia="Arial" w:hAnsi="Arial"/>
          <w:sz w:val="17"/>
          <w:szCs w:val="17"/>
          <w:color w:val="auto"/>
        </w:rPr>
        <w:t>. The Corporation elects to be governed by Section 141(c)(2) of the General Corporation Law of the State of Delaware. The Board of Directors shall designate a Nominating and Governance Committee, a Management Development and Compensation Committee, and an Audit Committee and may designate one or more other committees, each such committee to consist of one or more of the directors of the Corporation. Any such designated committee shall have and may, to the fullest extent permitted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79"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for such committee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at a meeting where a quorum is present, the affirmative vote of a majority of the members present shall be necessary for the adoption by it of any resolution.</w:t>
      </w:r>
    </w:p>
    <w:p>
      <w:pPr>
        <w:spacing w:after="0" w:line="189" w:lineRule="exact"/>
        <w:rPr>
          <w:sz w:val="20"/>
          <w:szCs w:val="20"/>
          <w:color w:val="auto"/>
        </w:rPr>
      </w:pPr>
    </w:p>
    <w:p>
      <w:pPr>
        <w:ind w:right="240" w:firstLine="1297"/>
        <w:spacing w:after="0" w:line="34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Compensation</w:t>
      </w:r>
      <w:r>
        <w:rPr>
          <w:rFonts w:ascii="Arial" w:cs="Arial" w:eastAsia="Arial" w:hAnsi="Arial"/>
          <w:sz w:val="16"/>
          <w:szCs w:val="16"/>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225"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Methods of Giving Notice</w:t>
      </w:r>
      <w:r>
        <w:rPr>
          <w:rFonts w:ascii="Arial" w:cs="Arial" w:eastAsia="Arial" w:hAnsi="Arial"/>
          <w:sz w:val="17"/>
          <w:szCs w:val="17"/>
          <w:color w:val="auto"/>
        </w:rPr>
        <w:t>. Except as otherwise provided herein or permitted by applicable law,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12" w:name="page13"/>
    <w:bookmarkEnd w:id="12"/>
    <w:p>
      <w:pPr>
        <w:spacing w:after="0" w:line="106"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Waiver</w:t>
      </w:r>
      <w:r>
        <w:rPr>
          <w:rFonts w:ascii="Arial" w:cs="Arial" w:eastAsia="Arial" w:hAnsi="Arial"/>
          <w:sz w:val="16"/>
          <w:szCs w:val="16"/>
          <w:color w:val="auto"/>
        </w:rPr>
        <w:t>. Whenever any notice is required to be given under the Certificate of Incorporation, these by-laws or applicable law, a waiver thereof in writing or by electronic transmission, given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unless so required by the Certificate of Incorporation or these by-laws.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Officers</w:t>
      </w:r>
      <w:r>
        <w:rPr>
          <w:rFonts w:ascii="Arial" w:cs="Arial" w:eastAsia="Arial" w:hAnsi="Arial"/>
          <w:sz w:val="17"/>
          <w:szCs w:val="17"/>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 Chief Legal Officer,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8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170"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contractual rights, if any, of the person so removed. Election or appointment of an officer or agent shall not of itself create contract rights. Any officer may resign at any time by giving written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87"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Vacancies</w:t>
      </w:r>
      <w:r>
        <w:rPr>
          <w:rFonts w:ascii="Arial" w:cs="Arial" w:eastAsia="Arial" w:hAnsi="Arial"/>
          <w:sz w:val="17"/>
          <w:szCs w:val="17"/>
          <w:color w:val="auto"/>
        </w:rPr>
        <w:t>. If the Chief Executive Officer, President, General Counsel / Chief Legal Officer, Chief Financial Officer, Chief Accounting Officer or the most senior representative of Internal Audit shall die, resign, or otherwise be removed from such officer position, such vacancy may be filled solely by the Board of Directors. Any vacancy occurring with respect to any other officer due to death, resignation, removal or otherwise, may be filled by the Board of Directors or by the Chief Executive Officer or the President in accordance with these by-laws.</w:t>
      </w:r>
    </w:p>
    <w:p>
      <w:pPr>
        <w:spacing w:after="0" w:line="171"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Compensation</w:t>
      </w:r>
      <w:r>
        <w:rPr>
          <w:rFonts w:ascii="Arial" w:cs="Arial" w:eastAsia="Arial" w:hAnsi="Arial"/>
          <w:sz w:val="17"/>
          <w:szCs w:val="17"/>
          <w:color w:val="auto"/>
        </w:rPr>
        <w:t>. The compensation of the Corporation’s executive officers (as determined in accordance with the Securities Exchange Act of 1934, as amended), and any other group of officers elected or appointed by the Board of Directors and set forth in the charter of the Management Development and Compensation Committee,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73"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193"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Substitute for Chairman of the Board</w:t>
      </w:r>
      <w:r>
        <w:rPr>
          <w:rFonts w:ascii="Arial" w:cs="Arial" w:eastAsia="Arial" w:hAnsi="Arial"/>
          <w:sz w:val="18"/>
          <w:szCs w:val="18"/>
          <w:color w:val="auto"/>
        </w:rPr>
        <w:t>. In the absence of the Chairman of the Board, or in the event of his inability or refusal to act, the Chairman of the Nominating and Governance Committee will preside and shall perform the duties and exercise the powers of the Chairman of the Board, and when acting shall have all the powers of and be subject to all the restriction upon the Chairman of the Board. If both the Chairman of the Board and the Chairman of the Nominating and Governance Committee are absent or unable to act as chairman, a chairman shall be elected from the directors present.</w:t>
      </w:r>
    </w:p>
    <w:p>
      <w:pPr>
        <w:spacing w:after="0" w:line="18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the Chairman of the Nominating and Governance Committee of the Board, the Chief Executive Officer shall preside at all meetings of the stockholders. He may</w:t>
      </w:r>
    </w:p>
    <w:p>
      <w:pPr>
        <w:sectPr>
          <w:pgSz w:w="11900" w:h="16945" w:orient="portrait"/>
          <w:cols w:equalWidth="0" w:num="1">
            <w:col w:w="11420"/>
          </w:cols>
          <w:pgMar w:left="240" w:top="125" w:right="239" w:bottom="0" w:gutter="0" w:footer="0" w:header="0"/>
        </w:sectPr>
      </w:pPr>
    </w:p>
    <w:bookmarkStart w:id="13" w:name="page14"/>
    <w:bookmarkEnd w:id="13"/>
    <w:p>
      <w:pPr>
        <w:ind w:right="120"/>
        <w:spacing w:after="0" w:line="302" w:lineRule="auto"/>
        <w:rPr>
          <w:sz w:val="20"/>
          <w:szCs w:val="20"/>
          <w:color w:val="auto"/>
        </w:rPr>
      </w:pPr>
      <w:r>
        <w:rPr>
          <w:rFonts w:ascii="Arial" w:cs="Arial" w:eastAsia="Arial" w:hAnsi="Arial"/>
          <w:sz w:val="16"/>
          <w:szCs w:val="16"/>
          <w:color w:val="auto"/>
        </w:rPr>
        <w:t>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or to fill a vacancy in the office of the President, General Counsel / Chief Legal Officer, Chief Financial Officer, Chief Accounting Officer or the most senior representative of Internal Audit without the approval of the Board of Directors.</w:t>
      </w:r>
    </w:p>
    <w:p>
      <w:pPr>
        <w:spacing w:after="0" w:line="154" w:lineRule="exact"/>
        <w:rPr>
          <w:sz w:val="20"/>
          <w:szCs w:val="20"/>
          <w:color w:val="auto"/>
        </w:rPr>
      </w:pPr>
    </w:p>
    <w:p>
      <w:pPr>
        <w:jc w:val="both"/>
        <w:ind w:right="120" w:firstLine="1297"/>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Board of Directors or the Executive Committee (if any) from time to time.</w:t>
      </w:r>
    </w:p>
    <w:p>
      <w:pPr>
        <w:spacing w:after="0" w:line="147"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or to fill a vacancy in the office of the General Counsel / Chief Legal Officer, Chief Financial Officer, Chief Accounting Officer or the most senior representative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89"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88" w:lineRule="exact"/>
        <w:rPr>
          <w:sz w:val="20"/>
          <w:szCs w:val="20"/>
          <w:color w:val="auto"/>
        </w:rPr>
      </w:pPr>
    </w:p>
    <w:p>
      <w:pPr>
        <w:ind w:right="20" w:firstLine="1297"/>
        <w:spacing w:after="0" w:line="287" w:lineRule="auto"/>
        <w:rPr>
          <w:sz w:val="20"/>
          <w:szCs w:val="20"/>
          <w:color w:val="auto"/>
        </w:rPr>
      </w:pPr>
      <w:r>
        <w:rPr>
          <w:rFonts w:ascii="Arial" w:cs="Arial" w:eastAsia="Arial" w:hAnsi="Arial"/>
          <w:sz w:val="16"/>
          <w:szCs w:val="16"/>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w:t>
      </w:r>
    </w:p>
    <w:p>
      <w:pPr>
        <w:spacing w:after="0" w:line="169" w:lineRule="exact"/>
        <w:rPr>
          <w:sz w:val="20"/>
          <w:szCs w:val="20"/>
          <w:color w:val="auto"/>
        </w:rPr>
      </w:pPr>
    </w:p>
    <w:p>
      <w:pPr>
        <w:jc w:val="both"/>
        <w:ind w:right="380" w:firstLine="1297"/>
        <w:spacing w:after="0" w:line="26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 / Chief Legal Officer</w:t>
      </w:r>
      <w:r>
        <w:rPr>
          <w:rFonts w:ascii="Arial" w:cs="Arial" w:eastAsia="Arial" w:hAnsi="Arial"/>
          <w:sz w:val="18"/>
          <w:szCs w:val="18"/>
          <w:color w:val="auto"/>
        </w:rPr>
        <w:t>. The General Counsel, who may also, or in the alternative, have the title Chief Legal Officer, shall be the chief legal advisor of the Corporation and shall have responsibility for the management of the legal affairs and litigation of the Corporation; and, in general, he shall perform the duties incident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office of general counsel or chief legal officer of a corporation and such other duties as may be assigned to him by these by-laws or by the Chief Executive Officer, the President, the Board of Directors, or the Executive Committee (if any).</w:t>
      </w:r>
    </w:p>
    <w:p>
      <w:pPr>
        <w:spacing w:after="0" w:line="170" w:lineRule="exact"/>
        <w:rPr>
          <w:sz w:val="20"/>
          <w:szCs w:val="20"/>
          <w:color w:val="auto"/>
        </w:rPr>
      </w:pPr>
    </w:p>
    <w:p>
      <w:pPr>
        <w:ind w:right="100" w:firstLine="1297"/>
        <w:spacing w:after="0" w:line="290"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if required by law,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w:t>
      </w:r>
    </w:p>
    <w:p>
      <w:pPr>
        <w:sectPr>
          <w:pgSz w:w="11900" w:h="16838" w:orient="portrait"/>
          <w:cols w:equalWidth="0" w:num="1">
            <w:col w:w="11420"/>
          </w:cols>
          <w:pgMar w:left="240" w:top="125" w:right="239" w:bottom="0" w:gutter="0" w:footer="0" w:header="0"/>
        </w:sectPr>
      </w:pPr>
    </w:p>
    <w:bookmarkStart w:id="14" w:name="page15"/>
    <w:bookmarkEnd w:id="14"/>
    <w:p>
      <w:pPr>
        <w:spacing w:after="0" w:line="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such other powers and perform such other duties, as from time to time may be assigned to him by these by-laws, the Chief Executive Officer, the President, the Board of Directors, or the Executive Committee (if any).</w:t>
      </w:r>
    </w:p>
    <w:p>
      <w:pPr>
        <w:spacing w:after="0" w:line="170"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Chief Accounting Officer</w:t>
      </w:r>
      <w:r>
        <w:rPr>
          <w:rFonts w:ascii="Arial" w:cs="Arial" w:eastAsia="Arial" w:hAnsi="Arial"/>
          <w:sz w:val="17"/>
          <w:szCs w:val="17"/>
          <w:color w:val="auto"/>
        </w:rPr>
        <w:t>. The Chief Accounting Officer shall be the principal accounting officer of the Corporation and may also be the controller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78" w:lineRule="exact"/>
        <w:rPr>
          <w:sz w:val="20"/>
          <w:szCs w:val="20"/>
          <w:color w:val="auto"/>
        </w:rPr>
      </w:pPr>
    </w:p>
    <w:p>
      <w:pPr>
        <w:ind w:right="100" w:firstLine="1297"/>
        <w:spacing w:after="0" w:line="272"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178"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Assistant Secretary, Assistant Treasurer or Assistant Controller</w:t>
      </w:r>
      <w:r>
        <w:rPr>
          <w:rFonts w:ascii="Arial" w:cs="Arial" w:eastAsia="Arial" w:hAnsi="Arial"/>
          <w:sz w:val="18"/>
          <w:szCs w:val="18"/>
          <w:color w:val="auto"/>
        </w:rPr>
        <w:t>. The Assistant Secretaries, Assistant Treasurers and Assistant Controllers shall, in general,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and Assistant Treasurers may sign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225" w:lineRule="exact"/>
        <w:rPr>
          <w:sz w:val="20"/>
          <w:szCs w:val="20"/>
          <w:color w:val="auto"/>
        </w:rPr>
      </w:pPr>
    </w:p>
    <w:p>
      <w:pPr>
        <w:ind w:right="80" w:firstLine="1297"/>
        <w:spacing w:after="0" w:line="26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Contracts</w:t>
      </w:r>
      <w:r>
        <w:rPr>
          <w:rFonts w:ascii="Arial" w:cs="Arial" w:eastAsia="Arial" w:hAnsi="Arial"/>
          <w:sz w:val="17"/>
          <w:szCs w:val="17"/>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loans,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83" w:lineRule="exact"/>
        <w:rPr>
          <w:sz w:val="20"/>
          <w:szCs w:val="20"/>
          <w:color w:val="auto"/>
        </w:rPr>
      </w:pPr>
    </w:p>
    <w:p>
      <w:pPr>
        <w:ind w:right="320" w:firstLine="1297"/>
        <w:spacing w:after="0" w:line="286"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Checks, Etc.</w:t>
      </w:r>
      <w:r>
        <w:rPr>
          <w:rFonts w:ascii="Arial" w:cs="Arial" w:eastAsia="Arial" w:hAnsi="Arial"/>
          <w:sz w:val="17"/>
          <w:szCs w:val="17"/>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225"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if provided by the Board of Directors by resolution or resolutions, shall be uncertificated shares evidenced by a book-entry system maintained by the registrar of such stock, or a combination of both. Every holder of stock represented by certificates shall be entitled to a certificate signed by, or in the name of the Corporation by, two authorized officers of the Corporation, including, but not limited to, the Chairman of the Board of Directors, the Vice Chairman of the Board of Directors, the President, a Vice-President, the Treasurer, an Assistant Treasurer, the Secretary or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w:t>
      </w:r>
    </w:p>
    <w:p>
      <w:pPr>
        <w:sectPr>
          <w:pgSz w:w="11900" w:h="16930" w:orient="portrait"/>
          <w:cols w:equalWidth="0" w:num="1">
            <w:col w:w="11420"/>
          </w:cols>
          <w:pgMar w:left="240" w:top="125" w:right="239" w:bottom="0" w:gutter="0" w:footer="0" w:header="0"/>
        </w:sectPr>
      </w:pPr>
    </w:p>
    <w:bookmarkStart w:id="15" w:name="page16"/>
    <w:bookmarkEnd w:id="15"/>
    <w:p>
      <w:pPr>
        <w:jc w:val="both"/>
        <w:ind w:right="40"/>
        <w:spacing w:after="0" w:line="286" w:lineRule="auto"/>
        <w:rPr>
          <w:sz w:val="20"/>
          <w:szCs w:val="20"/>
          <w:color w:val="auto"/>
        </w:rPr>
      </w:pPr>
      <w:r>
        <w:rPr>
          <w:rFonts w:ascii="Arial" w:cs="Arial" w:eastAsia="Arial" w:hAnsi="Arial"/>
          <w:sz w:val="17"/>
          <w:szCs w:val="17"/>
          <w:color w:val="auto"/>
        </w:rPr>
        <w:t>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66"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9"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47" w:lineRule="exact"/>
        <w:rPr>
          <w:sz w:val="20"/>
          <w:szCs w:val="20"/>
          <w:color w:val="auto"/>
        </w:rPr>
      </w:pPr>
    </w:p>
    <w:p>
      <w:pPr>
        <w:ind w:right="60" w:firstLine="1297"/>
        <w:spacing w:after="0" w:line="291"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Lost, Stolen or Destroyed; Issuance of New Certificates</w:t>
      </w:r>
      <w:r>
        <w:rPr>
          <w:rFonts w:ascii="Arial" w:cs="Arial" w:eastAsia="Arial" w:hAnsi="Arial"/>
          <w:sz w:val="16"/>
          <w:szCs w:val="16"/>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67"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78" w:lineRule="exact"/>
        <w:rPr>
          <w:sz w:val="20"/>
          <w:szCs w:val="20"/>
          <w:color w:val="auto"/>
        </w:rPr>
      </w:pPr>
    </w:p>
    <w:p>
      <w:pPr>
        <w:ind w:right="360" w:firstLine="1297"/>
        <w:spacing w:after="0" w:line="308"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treat the registered owner of any share or shares of stock whether certificated or uncertificated as the holder in fact thereof and, accordingly, shall not be bound to recognize any equitable or other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claim to or interest in such share or shares on the part of any other person, whether or not it shall have express or other notice thereof, except as otherwise provided by the laws of the State of Delaware.</w:t>
      </w:r>
    </w:p>
    <w:p>
      <w:pPr>
        <w:spacing w:after="0" w:line="170" w:lineRule="exact"/>
        <w:rPr>
          <w:sz w:val="20"/>
          <w:szCs w:val="20"/>
          <w:color w:val="auto"/>
        </w:rPr>
      </w:pPr>
    </w:p>
    <w:p>
      <w:pPr>
        <w:jc w:val="both"/>
        <w:ind w:right="200" w:firstLine="1297"/>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pursuant to and in accordance with applicable law. Dividends may be paid in the form of cash, in property or in shares of capital stock, subject to the provisions of the Certificate of Incorporation.</w:t>
      </w:r>
    </w:p>
    <w:p>
      <w:pPr>
        <w:spacing w:after="0" w:line="181"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AND ADVANCEMENT OF EXPENSES</w:t>
      </w:r>
    </w:p>
    <w:p>
      <w:pPr>
        <w:sectPr>
          <w:pgSz w:w="11900" w:h="16838" w:orient="portrait"/>
          <w:cols w:equalWidth="0" w:num="1">
            <w:col w:w="11400"/>
          </w:cols>
          <w:pgMar w:left="240" w:top="125" w:right="259" w:bottom="0" w:gutter="0" w:footer="0" w:header="0"/>
        </w:sectPr>
      </w:pPr>
    </w:p>
    <w:bookmarkStart w:id="16" w:name="page17"/>
    <w:bookmarkEnd w:id="16"/>
    <w:p>
      <w:pPr>
        <w:spacing w:after="0" w:line="106" w:lineRule="exact"/>
        <w:rPr>
          <w:sz w:val="20"/>
          <w:szCs w:val="20"/>
          <w:color w:val="auto"/>
        </w:rPr>
      </w:pPr>
    </w:p>
    <w:p>
      <w:pPr>
        <w:ind w:firstLine="1945"/>
        <w:spacing w:after="0" w:line="254"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Third Party Actions</w:t>
      </w:r>
      <w:r>
        <w:rPr>
          <w:rFonts w:ascii="Arial" w:cs="Arial" w:eastAsia="Arial" w:hAnsi="Arial"/>
          <w:sz w:val="18"/>
          <w:szCs w:val="18"/>
          <w:color w:val="auto"/>
        </w:rPr>
        <w:t>. This Corporation shall, to the maximum extent permitted from time to time under the law of the State of Delaware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 For purposes of this Article X, an “officer” is defined as any person elected as an officer of this Corporation by the Board of Directors or appointed as an officer of this Corporation by the Chief Executive Officer or President, in each case, in accordance with Article VI of these by-laws.</w:t>
      </w:r>
    </w:p>
    <w:p>
      <w:pPr>
        <w:spacing w:after="0" w:line="183"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72"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Successful Defense</w:t>
      </w:r>
      <w:r>
        <w:rPr>
          <w:rFonts w:ascii="Arial" w:cs="Arial" w:eastAsia="Arial" w:hAnsi="Arial"/>
          <w:sz w:val="17"/>
          <w:szCs w:val="17"/>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Claims</w:t>
      </w:r>
      <w:r>
        <w:rPr>
          <w:rFonts w:ascii="Arial" w:cs="Arial" w:eastAsia="Arial" w:hAnsi="Arial"/>
          <w:sz w:val="17"/>
          <w:szCs w:val="17"/>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7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8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w:t>
      </w:r>
    </w:p>
    <w:p>
      <w:pPr>
        <w:sectPr>
          <w:pgSz w:w="11900" w:h="16945" w:orient="portrait"/>
          <w:cols w:equalWidth="0" w:num="1">
            <w:col w:w="11420"/>
          </w:cols>
          <w:pgMar w:left="240" w:top="125" w:right="239" w:bottom="0" w:gutter="0" w:footer="0" w:header="0"/>
        </w:sectPr>
      </w:pPr>
    </w:p>
    <w:bookmarkStart w:id="17" w:name="page18"/>
    <w:bookmarkEnd w:id="17"/>
    <w:p>
      <w:pPr>
        <w:ind w:right="80"/>
        <w:spacing w:after="0" w:line="259" w:lineRule="auto"/>
        <w:rPr>
          <w:sz w:val="20"/>
          <w:szCs w:val="20"/>
          <w:color w:val="auto"/>
        </w:rPr>
      </w:pPr>
      <w:r>
        <w:rPr>
          <w:rFonts w:ascii="Arial" w:cs="Arial" w:eastAsia="Arial" w:hAnsi="Arial"/>
          <w:sz w:val="18"/>
          <w:szCs w:val="18"/>
          <w:color w:val="auto"/>
        </w:rPr>
        <w:t>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his official capacity and as to action in another capacity while holding office,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and shall continue as to a person who has ceased to be a director, officer, employee, or agent and shall inure to the benefit of the heirs, executors, and administrators of such a person.</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Other Sources</w:t>
      </w:r>
      <w:r>
        <w:rPr>
          <w:rFonts w:ascii="Arial" w:cs="Arial" w:eastAsia="Arial" w:hAnsi="Arial"/>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720" w:firstLine="1297"/>
        <w:spacing w:after="0" w:line="34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2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as established from time to time by the Board of Directors.</w:t>
      </w:r>
    </w:p>
    <w:p>
      <w:pPr>
        <w:spacing w:after="0" w:line="248"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or member of a committee may resign at any time. Such resignation shall be made in writing and shall take effect at the time specified therein, or if no time be specified, at the time of its receipt by the Chairman of the Board or Secretary if the resignation is from a director or committee member. The acceptance of a resignation shall not be necessary to make it effective, unless expressly so provided in the resignation.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24"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Reliance upon Books, Reports and Records</w:t>
      </w:r>
      <w:r>
        <w:rPr>
          <w:rFonts w:ascii="Arial" w:cs="Arial" w:eastAsia="Arial" w:hAnsi="Arial"/>
          <w:sz w:val="16"/>
          <w:szCs w:val="16"/>
          <w:color w:val="auto"/>
        </w:rPr>
        <w:t>. Each director and each member of any committee designated by the Board of Directors shall, in the performance of his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decimal"/>
      <w:start w:val="1"/>
    </w:lvl>
    <w:lvl w:ilvl="1">
      <w:lvlJc w:val="left"/>
      <w:lvlText w:val="(%2)"/>
      <w:numFmt w:val="lowerLetter"/>
      <w:start w:val="4"/>
    </w:lvl>
  </w:abstractNum>
  <w:abstractNum w:abstractNumId="3">
    <w:nsid w:val="79E2A9E3"/>
    <w:multiLevelType w:val="hybridMultilevel"/>
    <w:lvl w:ilvl="0">
      <w:lvlJc w:val="left"/>
      <w:lvlText w:val="(%1)"/>
      <w:numFmt w:val="decimal"/>
      <w:start w:val="10"/>
    </w:lvl>
    <w:lvl w:ilvl="1">
      <w:lvlJc w:val="left"/>
      <w:lvlText w:val="(%2)"/>
      <w:numFmt w:val="lowerLetter"/>
      <w:start w:val="5"/>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Roman"/>
      <w:start w:val="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2019-12-29T03:21:47Z</dcterms:created>
  <dcterms:modified xsi:type="dcterms:W3CDTF">2019-12-29T03:21:47Z</dcterms:modified>
</cp:coreProperties>
</file>