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193040</wp:posOffset>
            </wp:positionV>
            <wp:extent cx="6328410"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28410" cy="59118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820" w:right="920"/>
        <w:spacing w:after="0" w:line="264" w:lineRule="auto"/>
        <w:rPr>
          <w:sz w:val="20"/>
          <w:szCs w:val="20"/>
          <w:color w:val="auto"/>
        </w:rPr>
      </w:pPr>
      <w:r>
        <w:rPr>
          <w:rFonts w:ascii="Arial" w:cs="Arial" w:eastAsia="Arial" w:hAnsi="Arial"/>
          <w:sz w:val="18"/>
          <w:szCs w:val="18"/>
          <w:color w:val="E8112D"/>
        </w:rPr>
        <w:t>The information in this preliminary prospectus supplement is not complete and may be changed. This preliminary prospectus supplement and the accompanying prospectus are not an offer to sell these securities and we are not soliciting an offer to buy these securities in any jurisdiction where the offer or sale is not permitted.</w:t>
      </w:r>
    </w:p>
    <w:p>
      <w:pPr>
        <w:spacing w:after="0" w:line="353" w:lineRule="exact"/>
        <w:rPr>
          <w:sz w:val="20"/>
          <w:szCs w:val="20"/>
          <w:color w:val="auto"/>
        </w:rPr>
      </w:pPr>
    </w:p>
    <w:p>
      <w:pPr>
        <w:jc w:val="right"/>
        <w:ind w:right="800"/>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0"/>
          <w:szCs w:val="20"/>
          <w:color w:val="auto"/>
        </w:rPr>
      </w:pPr>
    </w:p>
    <w:p>
      <w:pPr>
        <w:jc w:val="right"/>
        <w:ind w:right="800"/>
        <w:spacing w:after="0"/>
        <w:rPr>
          <w:sz w:val="20"/>
          <w:szCs w:val="20"/>
          <w:color w:val="auto"/>
        </w:rPr>
      </w:pPr>
      <w:r>
        <w:rPr>
          <w:rFonts w:ascii="Arial" w:cs="Arial" w:eastAsia="Arial" w:hAnsi="Arial"/>
          <w:sz w:val="18"/>
          <w:szCs w:val="18"/>
          <w:b w:val="1"/>
          <w:bCs w:val="1"/>
          <w:color w:val="auto"/>
        </w:rPr>
        <w:t>Registration No. 333-162059</w:t>
      </w:r>
    </w:p>
    <w:p>
      <w:pPr>
        <w:spacing w:after="0" w:line="1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E8112D"/>
        </w:rPr>
        <w:t>SUBJECT TO COMPLETION, DATED FEBRUARY 23, 2011</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(To Prospectus Dated September 22, 2009)</w:t>
      </w:r>
    </w:p>
    <w:p>
      <w:pPr>
        <w:spacing w:after="0" w:line="324" w:lineRule="exact"/>
        <w:rPr>
          <w:sz w:val="20"/>
          <w:szCs w:val="20"/>
          <w:color w:val="auto"/>
        </w:rPr>
      </w:pPr>
    </w:p>
    <w:p>
      <w:pPr>
        <w:ind w:left="5120"/>
        <w:spacing w:after="0"/>
        <w:rPr>
          <w:sz w:val="20"/>
          <w:szCs w:val="20"/>
          <w:color w:val="auto"/>
        </w:rPr>
      </w:pPr>
      <w:r>
        <w:rPr>
          <w:rFonts w:ascii="Arial" w:cs="Arial" w:eastAsia="Arial" w:hAnsi="Arial"/>
          <w:sz w:val="25"/>
          <w:szCs w:val="2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97790</wp:posOffset>
            </wp:positionV>
            <wp:extent cx="1269365"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6936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 Senior Notes due 2021</w:t>
      </w:r>
    </w:p>
    <w:p>
      <w:pPr>
        <w:sectPr>
          <w:pgSz w:w="11900" w:h="16838" w:orient="portrait"/>
          <w:cols w:equalWidth="0" w:num="1">
            <w:col w:w="11420"/>
          </w:cols>
          <w:pgMar w:left="240" w:top="122" w:right="239" w:bottom="1440" w:gutter="0" w:footer="0" w:header="0"/>
        </w:sectPr>
      </w:pPr>
    </w:p>
    <w:p>
      <w:pPr>
        <w:spacing w:after="0" w:line="35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on</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hanging="277"/>
        <w:spacing w:after="0" w:line="277" w:lineRule="auto"/>
        <w:rPr>
          <w:sz w:val="20"/>
          <w:szCs w:val="20"/>
          <w:color w:val="auto"/>
        </w:rPr>
      </w:pPr>
      <w:r>
        <w:rPr>
          <w:rFonts w:ascii="Arial" w:cs="Arial" w:eastAsia="Arial" w:hAnsi="Arial"/>
          <w:sz w:val="18"/>
          <w:szCs w:val="18"/>
          <w:color w:val="auto"/>
        </w:rPr>
        <w:t>We are offering $</w:t>
      </w:r>
      <w:r>
        <w:rPr>
          <w:sz w:val="20"/>
          <w:szCs w:val="20"/>
          <w:color w:val="auto"/>
        </w:rPr>
        <w:t xml:space="preserve"> </w:t>
      </w:r>
      <w:r>
        <w:rPr>
          <w:rFonts w:ascii="Arial" w:cs="Arial" w:eastAsia="Arial" w:hAnsi="Arial"/>
          <w:sz w:val="18"/>
          <w:szCs w:val="18"/>
          <w:color w:val="auto"/>
        </w:rPr>
        <w:t>of our % senior notes due 2021. Interest on the notes will accrue from February and of each year, beginning , 2011. The notes will mature on , 2021.</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 2011 and will be payable</w:t>
      </w:r>
    </w:p>
    <w:p>
      <w:pPr>
        <w:spacing w:after="0" w:line="369" w:lineRule="exact"/>
        <w:rPr>
          <w:sz w:val="20"/>
          <w:szCs w:val="20"/>
          <w:color w:val="auto"/>
        </w:rPr>
      </w:pPr>
    </w:p>
    <w:p>
      <w:pPr>
        <w:sectPr>
          <w:pgSz w:w="11900" w:h="16838" w:orient="portrait"/>
          <w:cols w:equalWidth="0" w:num="3">
            <w:col w:w="880" w:space="480"/>
            <w:col w:w="7160" w:space="140"/>
            <w:col w:w="2760"/>
          </w:cols>
          <w:pgMar w:left="240" w:top="122" w:right="239" w:bottom="1440" w:gutter="0" w:footer="0" w:header="0"/>
          <w:type w:val="continuous"/>
        </w:sectPr>
      </w:pPr>
    </w:p>
    <w:p>
      <w:pPr>
        <w:jc w:val="both"/>
        <w:ind w:left="700" w:right="840" w:firstLine="397"/>
        <w:spacing w:after="0" w:line="286" w:lineRule="auto"/>
        <w:rPr>
          <w:sz w:val="20"/>
          <w:szCs w:val="20"/>
          <w:color w:val="auto"/>
        </w:rPr>
      </w:pPr>
      <w:r>
        <w:rPr>
          <w:rFonts w:ascii="Arial" w:cs="Arial" w:eastAsia="Arial" w:hAnsi="Arial"/>
          <w:sz w:val="17"/>
          <w:szCs w:val="17"/>
          <w:color w:val="auto"/>
        </w:rPr>
        <w:t>The notes will be the senior obligations of Waste Management, Inc. and will be fully and unconditionally guaranteed by our wholly owned subsidiary, Waste Management Holdings, Inc. The notes will rank equally with all of our other senior indebtedness. The indenture under which we are issuing the notes does not restrict our ability to incur additional senior indebtedness.</w:t>
      </w:r>
    </w:p>
    <w:p>
      <w:pPr>
        <w:spacing w:after="0" w:line="71" w:lineRule="exact"/>
        <w:rPr>
          <w:sz w:val="20"/>
          <w:szCs w:val="20"/>
          <w:color w:val="auto"/>
        </w:rPr>
      </w:pPr>
    </w:p>
    <w:p>
      <w:pPr>
        <w:ind w:left="700" w:right="820" w:firstLine="397"/>
        <w:spacing w:after="0" w:line="342" w:lineRule="auto"/>
        <w:rPr>
          <w:sz w:val="20"/>
          <w:szCs w:val="20"/>
          <w:color w:val="auto"/>
        </w:rPr>
      </w:pPr>
      <w:r>
        <w:rPr>
          <w:rFonts w:ascii="Arial" w:cs="Arial" w:eastAsia="Arial" w:hAnsi="Arial"/>
          <w:sz w:val="16"/>
          <w:szCs w:val="16"/>
          <w:color w:val="auto"/>
        </w:rPr>
        <w:t>We may redeem the notes, in whole or in part, at any time at the redemption prices described beginning on page S-11. If a change of control triggering event as described beginning on page S-14 occurs, we may be required to offer to purchase the notes from holders.</w:t>
      </w:r>
    </w:p>
    <w:p>
      <w:pPr>
        <w:spacing w:after="0" w:line="16" w:lineRule="exact"/>
        <w:rPr>
          <w:sz w:val="20"/>
          <w:szCs w:val="20"/>
          <w:color w:val="auto"/>
        </w:rPr>
      </w:pPr>
    </w:p>
    <w:p>
      <w:pPr>
        <w:ind w:left="700" w:right="1300" w:firstLine="496"/>
        <w:spacing w:after="0" w:line="256" w:lineRule="auto"/>
        <w:rPr>
          <w:sz w:val="20"/>
          <w:szCs w:val="20"/>
          <w:color w:val="auto"/>
        </w:rPr>
      </w:pPr>
      <w:r>
        <w:rPr>
          <w:rFonts w:ascii="Arial" w:cs="Arial" w:eastAsia="Arial" w:hAnsi="Arial"/>
          <w:sz w:val="22"/>
          <w:szCs w:val="22"/>
          <w:b w:val="1"/>
          <w:bCs w:val="1"/>
          <w:color w:val="auto"/>
        </w:rPr>
        <w:t>Investing in the notes involves risks. See “Risk Factors” beginning on page S-4 of this prospectus supplement.</w:t>
      </w:r>
    </w:p>
    <w:p>
      <w:pPr>
        <w:spacing w:after="0" w:line="81" w:lineRule="exact"/>
        <w:rPr>
          <w:sz w:val="20"/>
          <w:szCs w:val="20"/>
          <w:color w:val="auto"/>
        </w:rPr>
      </w:pPr>
    </w:p>
    <w:p>
      <w:pPr>
        <w:ind w:left="700" w:right="840" w:firstLine="397"/>
        <w:spacing w:after="0" w:line="264"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92"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1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36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 Note</w:t>
            </w:r>
          </w:p>
        </w:tc>
        <w:tc>
          <w:tcPr>
            <w:tcW w:w="300" w:type="dxa"/>
            <w:vAlign w:val="bottom"/>
          </w:tcPr>
          <w:p>
            <w:pPr>
              <w:spacing w:after="0"/>
              <w:rPr>
                <w:sz w:val="14"/>
                <w:szCs w:val="14"/>
                <w:color w:val="auto"/>
              </w:rPr>
            </w:pPr>
          </w:p>
        </w:tc>
        <w:tc>
          <w:tcPr>
            <w:tcW w:w="320" w:type="dxa"/>
            <w:vAlign w:val="bottom"/>
          </w:tcPr>
          <w:p>
            <w:pPr>
              <w:spacing w:after="0"/>
              <w:rPr>
                <w:sz w:val="20"/>
                <w:szCs w:val="20"/>
                <w:color w:val="auto"/>
              </w:rPr>
            </w:pPr>
            <w:r>
              <w:rPr>
                <w:rFonts w:ascii="Arial" w:cs="Arial" w:eastAsia="Arial" w:hAnsi="Arial"/>
                <w:sz w:val="14"/>
                <w:szCs w:val="14"/>
                <w:b w:val="1"/>
                <w:bCs w:val="1"/>
                <w:color w:val="auto"/>
                <w:w w:val="89"/>
              </w:rPr>
              <w:t>Total</w:t>
            </w:r>
          </w:p>
        </w:tc>
      </w:tr>
      <w:tr>
        <w:trPr>
          <w:trHeight w:val="249"/>
        </w:trPr>
        <w:tc>
          <w:tcPr>
            <w:tcW w:w="2940" w:type="dxa"/>
            <w:vAlign w:val="bottom"/>
            <w:gridSpan w:val="2"/>
          </w:tcPr>
          <w:p>
            <w:pPr>
              <w:spacing w:after="0"/>
              <w:rPr>
                <w:sz w:val="20"/>
                <w:szCs w:val="20"/>
                <w:color w:val="auto"/>
              </w:rPr>
            </w:pPr>
            <w:r>
              <w:rPr>
                <w:rFonts w:ascii="Arial" w:cs="Arial" w:eastAsia="Arial" w:hAnsi="Arial"/>
                <w:sz w:val="18"/>
                <w:szCs w:val="18"/>
                <w:color w:val="auto"/>
              </w:rPr>
              <w:t>Public Offering Price(1)</w:t>
            </w:r>
          </w:p>
        </w:tc>
        <w:tc>
          <w:tcPr>
            <w:tcW w:w="5820" w:type="dxa"/>
            <w:vAlign w:val="bottom"/>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6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30"/>
        </w:trPr>
        <w:tc>
          <w:tcPr>
            <w:tcW w:w="2940" w:type="dxa"/>
            <w:vAlign w:val="bottom"/>
            <w:gridSpan w:val="2"/>
          </w:tcPr>
          <w:p>
            <w:pPr>
              <w:spacing w:after="0"/>
              <w:rPr>
                <w:sz w:val="20"/>
                <w:szCs w:val="20"/>
                <w:color w:val="auto"/>
              </w:rPr>
            </w:pPr>
            <w:r>
              <w:rPr>
                <w:rFonts w:ascii="Arial" w:cs="Arial" w:eastAsia="Arial" w:hAnsi="Arial"/>
                <w:sz w:val="18"/>
                <w:szCs w:val="18"/>
                <w:color w:val="auto"/>
                <w:w w:val="97"/>
              </w:rPr>
              <w:t>Proceeds to Us (excluding expenses)</w:t>
            </w:r>
          </w:p>
        </w:tc>
        <w:tc>
          <w:tcPr>
            <w:tcW w:w="6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122"/>
        </w:trPr>
        <w:tc>
          <w:tcPr>
            <w:tcW w:w="1260" w:type="dxa"/>
            <w:vAlign w:val="bottom"/>
            <w:tcBorders>
              <w:bottom w:val="single" w:sz="8" w:color="auto"/>
            </w:tcBorders>
          </w:tcPr>
          <w:p>
            <w:pPr>
              <w:spacing w:after="0"/>
              <w:rPr>
                <w:sz w:val="10"/>
                <w:szCs w:val="10"/>
                <w:color w:val="auto"/>
              </w:rPr>
            </w:pPr>
          </w:p>
        </w:tc>
        <w:tc>
          <w:tcPr>
            <w:tcW w:w="1680" w:type="dxa"/>
            <w:vAlign w:val="bottom"/>
          </w:tcPr>
          <w:p>
            <w:pPr>
              <w:spacing w:after="0"/>
              <w:rPr>
                <w:sz w:val="10"/>
                <w:szCs w:val="10"/>
                <w:color w:val="auto"/>
              </w:rPr>
            </w:pPr>
          </w:p>
        </w:tc>
        <w:tc>
          <w:tcPr>
            <w:tcW w:w="6360" w:type="dxa"/>
            <w:vAlign w:val="bottom"/>
            <w:gridSpan w:val="2"/>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r>
      <w:tr>
        <w:trPr>
          <w:trHeight w:val="277"/>
        </w:trPr>
        <w:tc>
          <w:tcPr>
            <w:tcW w:w="2940" w:type="dxa"/>
            <w:vAlign w:val="bottom"/>
            <w:gridSpan w:val="2"/>
          </w:tcPr>
          <w:p>
            <w:pPr>
              <w:spacing w:after="0"/>
              <w:rPr>
                <w:sz w:val="20"/>
                <w:szCs w:val="20"/>
                <w:color w:val="auto"/>
              </w:rPr>
            </w:pPr>
            <w:r>
              <w:rPr>
                <w:rFonts w:ascii="Arial" w:cs="Arial" w:eastAsia="Arial" w:hAnsi="Arial"/>
                <w:sz w:val="18"/>
                <w:szCs w:val="18"/>
                <w:color w:val="auto"/>
                <w:w w:val="93"/>
              </w:rPr>
              <w:t>(1) Plus accrued interest from February</w:t>
            </w:r>
          </w:p>
        </w:tc>
        <w:tc>
          <w:tcPr>
            <w:tcW w:w="6360" w:type="dxa"/>
            <w:vAlign w:val="bottom"/>
            <w:gridSpan w:val="2"/>
          </w:tcPr>
          <w:p>
            <w:pPr>
              <w:jc w:val="right"/>
              <w:ind w:right="3370"/>
              <w:spacing w:after="0"/>
              <w:rPr>
                <w:sz w:val="20"/>
                <w:szCs w:val="20"/>
                <w:color w:val="auto"/>
              </w:rPr>
            </w:pPr>
            <w:r>
              <w:rPr>
                <w:rFonts w:ascii="Arial" w:cs="Arial" w:eastAsia="Arial" w:hAnsi="Arial"/>
                <w:sz w:val="18"/>
                <w:szCs w:val="18"/>
                <w:color w:val="auto"/>
                <w:w w:val="92"/>
              </w:rPr>
              <w:t>, 2011 if delivery occurs after that date.</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0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notes will not be listed on any securities exchange. Currently, there is no public market for the notes.</w:t>
      </w:r>
    </w:p>
    <w:p>
      <w:pPr>
        <w:spacing w:after="0" w:line="131" w:lineRule="exact"/>
        <w:rPr>
          <w:sz w:val="20"/>
          <w:szCs w:val="20"/>
          <w:color w:val="auto"/>
        </w:rPr>
      </w:pPr>
    </w:p>
    <w:p>
      <w:pPr>
        <w:jc w:val="both"/>
        <w:ind w:left="700" w:right="820" w:firstLine="397"/>
        <w:spacing w:after="0" w:line="264" w:lineRule="auto"/>
        <w:rPr>
          <w:sz w:val="20"/>
          <w:szCs w:val="20"/>
          <w:color w:val="auto"/>
        </w:rPr>
      </w:pPr>
      <w:r>
        <w:rPr>
          <w:rFonts w:ascii="Arial" w:cs="Arial" w:eastAsia="Arial" w:hAnsi="Arial"/>
          <w:sz w:val="18"/>
          <w:szCs w:val="18"/>
          <w:color w:val="auto"/>
        </w:rPr>
        <w:t>The underwriters expect to deliver the notes to investors on or about February , 2011 only in book-entry form through the facilities of The Depository Trust Company and its participants, including Clearstream Banking, société anonyme, and Euroclear Bank S.A./N.V., as operator of the Euroclear System.</w:t>
      </w:r>
    </w:p>
    <w:p>
      <w:pPr>
        <w:spacing w:after="0" w:line="87"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Joint Book-Running and Joint Lead Managers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4620" w:type="dxa"/>
            <w:vAlign w:val="bottom"/>
          </w:tcPr>
          <w:p>
            <w:pPr>
              <w:ind w:left="700"/>
              <w:spacing w:after="0"/>
              <w:rPr>
                <w:sz w:val="20"/>
                <w:szCs w:val="20"/>
                <w:color w:val="auto"/>
              </w:rPr>
            </w:pPr>
            <w:r>
              <w:rPr>
                <w:rFonts w:ascii="Arial" w:cs="Arial" w:eastAsia="Arial" w:hAnsi="Arial"/>
                <w:sz w:val="32"/>
                <w:szCs w:val="32"/>
                <w:b w:val="1"/>
                <w:bCs w:val="1"/>
                <w:color w:val="auto"/>
                <w:w w:val="99"/>
              </w:rPr>
              <w:t>Deutsche Bank Securities</w:t>
            </w:r>
          </w:p>
        </w:tc>
        <w:tc>
          <w:tcPr>
            <w:tcW w:w="6800" w:type="dxa"/>
            <w:vAlign w:val="bottom"/>
          </w:tcPr>
          <w:p>
            <w:pPr>
              <w:ind w:left="5360"/>
              <w:spacing w:after="0"/>
              <w:rPr>
                <w:sz w:val="20"/>
                <w:szCs w:val="20"/>
                <w:color w:val="auto"/>
              </w:rPr>
            </w:pPr>
            <w:r>
              <w:rPr>
                <w:rFonts w:ascii="Arial" w:cs="Arial" w:eastAsia="Arial" w:hAnsi="Arial"/>
                <w:sz w:val="32"/>
                <w:szCs w:val="32"/>
                <w:b w:val="1"/>
                <w:bCs w:val="1"/>
                <w:color w:val="auto"/>
              </w:rPr>
              <w:t>RBS</w:t>
            </w:r>
          </w:p>
        </w:tc>
      </w:tr>
      <w:tr>
        <w:trPr>
          <w:trHeight w:val="431"/>
        </w:trPr>
        <w:tc>
          <w:tcPr>
            <w:tcW w:w="4620" w:type="dxa"/>
            <w:vAlign w:val="bottom"/>
          </w:tcPr>
          <w:p>
            <w:pPr>
              <w:spacing w:after="0"/>
              <w:rPr>
                <w:sz w:val="24"/>
                <w:szCs w:val="24"/>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February  , 2011</w:t>
            </w:r>
          </w:p>
        </w:tc>
      </w:tr>
      <w:tr>
        <w:trPr>
          <w:trHeight w:val="226"/>
        </w:trPr>
        <w:tc>
          <w:tcPr>
            <w:tcW w:w="4620" w:type="dxa"/>
            <w:vAlign w:val="bottom"/>
            <w:tcBorders>
              <w:bottom w:val="single" w:sz="8" w:color="808080"/>
            </w:tcBorders>
          </w:tcPr>
          <w:p>
            <w:pPr>
              <w:spacing w:after="0"/>
              <w:rPr>
                <w:sz w:val="19"/>
                <w:szCs w:val="19"/>
                <w:color w:val="auto"/>
              </w:rPr>
            </w:pPr>
          </w:p>
        </w:tc>
        <w:tc>
          <w:tcPr>
            <w:tcW w:w="6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ind w:left="700" w:right="820" w:firstLine="397"/>
        <w:spacing w:after="0" w:line="290" w:lineRule="auto"/>
        <w:rPr>
          <w:sz w:val="20"/>
          <w:szCs w:val="20"/>
          <w:color w:val="auto"/>
        </w:rPr>
      </w:pPr>
      <w:r>
        <w:rPr>
          <w:rFonts w:ascii="Arial" w:cs="Arial" w:eastAsia="Arial" w:hAnsi="Arial"/>
          <w:sz w:val="16"/>
          <w:szCs w:val="16"/>
          <w:b w:val="1"/>
          <w:bCs w:val="1"/>
          <w:color w:val="auto"/>
        </w:rPr>
        <w:t>When making your investment decision in the notes, you should rely only on the information contained or incorporated by reference in this prospectus supplement and the accompanying prospectus and any free writing prospectus prepared by or on behalf of us. We have not, and the underwriters have not, authorized anyone to provide you with additional or different information. We are not, and the underwriters are not, making an offer of these securities in any jurisdiction where the offer is not permitted. You should not assume that the information contained in this prospectus supplement or the accompanying prospectus is accurate as of any date other than the date on the front cover of this prospectus supplement, or that the information we previously filed with the Securities and Exchange Commission, or SEC, and incorporated by reference in this prospectus supplement or the accompanying prospectus is accurate as of any date other than the date of the document incorporated by reference. Our business, financial condition, results operations and prospects may have changed since those dates.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120" w:type="dxa"/>
            <w:vAlign w:val="bottom"/>
            <w:gridSpan w:val="2"/>
          </w:tcPr>
          <w:p>
            <w:pPr>
              <w:jc w:val="center"/>
              <w:ind w:right="3712"/>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0"/>
                <w:szCs w:val="20"/>
                <w:color w:val="auto"/>
              </w:rPr>
            </w:pPr>
          </w:p>
        </w:tc>
      </w:tr>
      <w:tr>
        <w:trPr>
          <w:trHeight w:val="392"/>
        </w:trPr>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Page</w:t>
            </w:r>
          </w:p>
        </w:tc>
        <w:tc>
          <w:tcPr>
            <w:tcW w:w="800" w:type="dxa"/>
            <w:vAlign w:val="bottom"/>
          </w:tcPr>
          <w:p>
            <w:pPr>
              <w:spacing w:after="0"/>
              <w:rPr>
                <w:sz w:val="24"/>
                <w:szCs w:val="24"/>
                <w:color w:val="auto"/>
              </w:rPr>
            </w:pPr>
          </w:p>
        </w:tc>
      </w:tr>
      <w:tr>
        <w:trPr>
          <w:trHeight w:val="249"/>
        </w:trPr>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120" w:type="dxa"/>
            <w:vAlign w:val="bottom"/>
            <w:gridSpan w:val="2"/>
          </w:tcPr>
          <w:p>
            <w:pPr>
              <w:jc w:val="center"/>
              <w:ind w:right="3712"/>
              <w:spacing w:after="0"/>
              <w:rPr>
                <w:sz w:val="20"/>
                <w:szCs w:val="20"/>
                <w:color w:val="auto"/>
              </w:rPr>
            </w:pPr>
            <w:r>
              <w:rPr>
                <w:rFonts w:ascii="Arial" w:cs="Arial" w:eastAsia="Arial" w:hAnsi="Arial"/>
                <w:sz w:val="18"/>
                <w:szCs w:val="18"/>
                <w:b w:val="1"/>
                <w:bCs w:val="1"/>
                <w:color w:val="auto"/>
                <w:w w:val="87"/>
              </w:rPr>
              <w:t>Prospectus Supplement</w:t>
            </w:r>
          </w:p>
        </w:tc>
        <w:tc>
          <w:tcPr>
            <w:tcW w:w="800" w:type="dxa"/>
            <w:vAlign w:val="bottom"/>
          </w:tcPr>
          <w:p>
            <w:pPr>
              <w:spacing w:after="0"/>
              <w:rPr>
                <w:sz w:val="21"/>
                <w:szCs w:val="21"/>
                <w:color w:val="auto"/>
              </w:rPr>
            </w:pPr>
          </w:p>
        </w:tc>
      </w:tr>
      <w:tr>
        <w:trPr>
          <w:trHeight w:val="190"/>
        </w:trPr>
        <w:tc>
          <w:tcPr>
            <w:tcW w:w="700" w:type="dxa"/>
            <w:vAlign w:val="bottom"/>
          </w:tcPr>
          <w:p>
            <w:pPr>
              <w:spacing w:after="0"/>
              <w:rPr>
                <w:sz w:val="16"/>
                <w:szCs w:val="16"/>
                <w:color w:val="auto"/>
              </w:rPr>
            </w:pPr>
          </w:p>
        </w:tc>
        <w:tc>
          <w:tcPr>
            <w:tcW w:w="700" w:type="dxa"/>
            <w:vAlign w:val="bottom"/>
            <w:tcBorders>
              <w:bottom w:val="single" w:sz="8" w:color="0000EE"/>
            </w:tcBorders>
            <w:gridSpan w:val="2"/>
          </w:tcPr>
          <w:p>
            <w:pPr>
              <w:spacing w:after="0" w:line="190"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Summary</w:t>
              </w:r>
            </w:hyperlink>
          </w:p>
        </w:tc>
        <w:tc>
          <w:tcPr>
            <w:tcW w:w="3100" w:type="dxa"/>
            <w:vAlign w:val="bottom"/>
            <w:gridSpan w:val="8"/>
          </w:tcPr>
          <w:p>
            <w:pPr>
              <w:spacing w:after="0"/>
              <w:rPr>
                <w:sz w:val="16"/>
                <w:szCs w:val="16"/>
                <w:color w:val="auto"/>
              </w:rPr>
            </w:pPr>
          </w:p>
        </w:tc>
        <w:tc>
          <w:tcPr>
            <w:tcW w:w="5580" w:type="dxa"/>
            <w:vAlign w:val="bottom"/>
          </w:tcPr>
          <w:p>
            <w:pPr>
              <w:spacing w:after="0"/>
              <w:rPr>
                <w:sz w:val="16"/>
                <w:szCs w:val="16"/>
                <w:color w:val="auto"/>
              </w:rPr>
            </w:pPr>
          </w:p>
        </w:tc>
        <w:tc>
          <w:tcPr>
            <w:tcW w:w="540" w:type="dxa"/>
            <w:vAlign w:val="bottom"/>
          </w:tcPr>
          <w:p>
            <w:pPr>
              <w:jc w:val="right"/>
              <w:ind w:right="12"/>
              <w:spacing w:after="0" w:line="190" w:lineRule="exact"/>
              <w:rPr>
                <w:sz w:val="20"/>
                <w:szCs w:val="20"/>
                <w:color w:val="auto"/>
              </w:rPr>
            </w:pPr>
            <w:r>
              <w:rPr>
                <w:rFonts w:ascii="Arial" w:cs="Arial" w:eastAsia="Arial" w:hAnsi="Arial"/>
                <w:sz w:val="18"/>
                <w:szCs w:val="18"/>
                <w:color w:val="auto"/>
              </w:rPr>
              <w:t>S-1</w:t>
            </w:r>
          </w:p>
        </w:tc>
        <w:tc>
          <w:tcPr>
            <w:tcW w:w="800" w:type="dxa"/>
            <w:vAlign w:val="bottom"/>
          </w:tcPr>
          <w:p>
            <w:pPr>
              <w:spacing w:after="0"/>
              <w:rPr>
                <w:sz w:val="16"/>
                <w:szCs w:val="16"/>
                <w:color w:val="auto"/>
              </w:rPr>
            </w:pPr>
          </w:p>
        </w:tc>
      </w:tr>
      <w:tr>
        <w:trPr>
          <w:trHeight w:val="196"/>
        </w:trPr>
        <w:tc>
          <w:tcPr>
            <w:tcW w:w="70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2900" w:type="dxa"/>
            <w:vAlign w:val="bottom"/>
            <w:gridSpan w:val="7"/>
          </w:tcPr>
          <w:p>
            <w:pPr>
              <w:spacing w:after="0"/>
              <w:rPr>
                <w:sz w:val="17"/>
                <w:szCs w:val="17"/>
                <w:color w:val="auto"/>
              </w:rPr>
            </w:pPr>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S-4</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1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S-7</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Capitalization</w:t>
              </w:r>
            </w:hyperlink>
          </w:p>
        </w:tc>
        <w:tc>
          <w:tcPr>
            <w:tcW w:w="140" w:type="dxa"/>
            <w:vAlign w:val="bottom"/>
            <w:tcBorders>
              <w:top w:val="single" w:sz="8" w:color="0000EE"/>
            </w:tcBorders>
          </w:tcPr>
          <w:p>
            <w:pPr>
              <w:spacing w:after="0"/>
              <w:rPr>
                <w:sz w:val="17"/>
                <w:szCs w:val="17"/>
                <w:color w:val="auto"/>
              </w:rPr>
            </w:pPr>
          </w:p>
        </w:tc>
        <w:tc>
          <w:tcPr>
            <w:tcW w:w="2640" w:type="dxa"/>
            <w:vAlign w:val="bottom"/>
            <w:gridSpan w:val="3"/>
          </w:tcPr>
          <w:p>
            <w:pPr>
              <w:spacing w:after="0"/>
              <w:rPr>
                <w:sz w:val="17"/>
                <w:szCs w:val="17"/>
                <w:color w:val="auto"/>
              </w:rPr>
            </w:pPr>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S-8</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5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Description of Notes</w:t>
              </w:r>
            </w:hyperlink>
          </w:p>
        </w:tc>
        <w:tc>
          <w:tcPr>
            <w:tcW w:w="2300" w:type="dxa"/>
            <w:vAlign w:val="bottom"/>
            <w:gridSpan w:val="2"/>
          </w:tcPr>
          <w:p>
            <w:pPr>
              <w:spacing w:after="0"/>
              <w:rPr>
                <w:sz w:val="17"/>
                <w:szCs w:val="17"/>
                <w:color w:val="auto"/>
              </w:rPr>
            </w:pPr>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S-10</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10"/>
          </w:tcPr>
          <w:p>
            <w:pPr>
              <w:spacing w:after="0" w:line="196" w:lineRule="exact"/>
              <w:rPr>
                <w:sz w:val="20"/>
                <w:szCs w:val="20"/>
                <w:color w:val="auto"/>
              </w:rPr>
            </w:pPr>
            <w:r>
              <w:rPr>
                <w:rFonts w:ascii="Arial" w:cs="Arial" w:eastAsia="Arial" w:hAnsi="Arial"/>
                <w:sz w:val="18"/>
                <w:szCs w:val="18"/>
                <w:color w:val="0000EE"/>
              </w:rPr>
              <w:t>Underwriting</w:t>
            </w:r>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S-21</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0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Legal Matters</w:t>
            </w:r>
          </w:p>
        </w:tc>
        <w:tc>
          <w:tcPr>
            <w:tcW w:w="2800" w:type="dxa"/>
            <w:vAlign w:val="bottom"/>
            <w:gridSpan w:val="5"/>
          </w:tcPr>
          <w:p>
            <w:pPr>
              <w:spacing w:after="0"/>
              <w:rPr>
                <w:sz w:val="17"/>
                <w:szCs w:val="17"/>
                <w:color w:val="auto"/>
              </w:rPr>
            </w:pPr>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S-23</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10"/>
          </w:tcPr>
          <w:p>
            <w:pPr>
              <w:spacing w:after="0" w:line="196" w:lineRule="exact"/>
              <w:rPr>
                <w:sz w:val="20"/>
                <w:szCs w:val="20"/>
                <w:color w:val="auto"/>
              </w:rPr>
            </w:pPr>
            <w:r>
              <w:rPr>
                <w:rFonts w:ascii="Arial" w:cs="Arial" w:eastAsia="Arial" w:hAnsi="Arial"/>
                <w:sz w:val="18"/>
                <w:szCs w:val="18"/>
                <w:color w:val="0000EE"/>
              </w:rPr>
              <w:t>Experts</w:t>
            </w:r>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S-23</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6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3800" w:type="dxa"/>
            <w:vAlign w:val="bottom"/>
            <w:gridSpan w:val="10"/>
          </w:tcPr>
          <w:p>
            <w:pPr>
              <w:spacing w:after="0" w:line="196" w:lineRule="exact"/>
              <w:rPr>
                <w:sz w:val="20"/>
                <w:szCs w:val="20"/>
                <w:color w:val="auto"/>
              </w:rPr>
            </w:pPr>
            <w:r>
              <w:rPr>
                <w:rFonts w:ascii="Arial" w:cs="Arial" w:eastAsia="Arial" w:hAnsi="Arial"/>
                <w:sz w:val="18"/>
                <w:szCs w:val="18"/>
                <w:color w:val="0000EE"/>
                <w:w w:val="95"/>
              </w:rPr>
              <w:t>Incorporation of Certain Documents by Reference</w:t>
            </w:r>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S-24</w:t>
            </w:r>
          </w:p>
        </w:tc>
        <w:tc>
          <w:tcPr>
            <w:tcW w:w="800" w:type="dxa"/>
            <w:vAlign w:val="bottom"/>
          </w:tcPr>
          <w:p>
            <w:pPr>
              <w:spacing w:after="0"/>
              <w:rPr>
                <w:sz w:val="17"/>
                <w:szCs w:val="17"/>
                <w:color w:val="auto"/>
              </w:rPr>
            </w:pPr>
          </w:p>
        </w:tc>
      </w:tr>
      <w:tr>
        <w:trPr>
          <w:trHeight w:val="222"/>
        </w:trPr>
        <w:tc>
          <w:tcPr>
            <w:tcW w:w="700" w:type="dxa"/>
            <w:vAlign w:val="bottom"/>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100" w:type="dxa"/>
            <w:vAlign w:val="bottom"/>
            <w:tcBorders>
              <w:top w:val="single" w:sz="8" w:color="0000EE"/>
            </w:tcBorders>
          </w:tcPr>
          <w:p>
            <w:pPr>
              <w:spacing w:after="0"/>
              <w:rPr>
                <w:sz w:val="19"/>
                <w:szCs w:val="19"/>
                <w:color w:val="auto"/>
              </w:rPr>
            </w:pPr>
          </w:p>
        </w:tc>
        <w:tc>
          <w:tcPr>
            <w:tcW w:w="200" w:type="dxa"/>
            <w:vAlign w:val="bottom"/>
          </w:tcPr>
          <w:p>
            <w:pPr>
              <w:spacing w:after="0"/>
              <w:rPr>
                <w:sz w:val="19"/>
                <w:szCs w:val="19"/>
                <w:color w:val="auto"/>
              </w:rPr>
            </w:pPr>
          </w:p>
        </w:tc>
        <w:tc>
          <w:tcPr>
            <w:tcW w:w="6120" w:type="dxa"/>
            <w:vAlign w:val="bottom"/>
            <w:gridSpan w:val="2"/>
          </w:tcPr>
          <w:p>
            <w:pPr>
              <w:jc w:val="center"/>
              <w:ind w:right="3712"/>
              <w:spacing w:after="0"/>
              <w:rPr>
                <w:sz w:val="20"/>
                <w:szCs w:val="20"/>
                <w:color w:val="auto"/>
              </w:rPr>
            </w:pPr>
            <w:r>
              <w:rPr>
                <w:rFonts w:ascii="Arial" w:cs="Arial" w:eastAsia="Arial" w:hAnsi="Arial"/>
                <w:sz w:val="18"/>
                <w:szCs w:val="18"/>
                <w:b w:val="1"/>
                <w:bCs w:val="1"/>
                <w:color w:val="auto"/>
                <w:w w:val="85"/>
              </w:rPr>
              <w:t>Prospectus</w:t>
            </w:r>
          </w:p>
        </w:tc>
        <w:tc>
          <w:tcPr>
            <w:tcW w:w="800" w:type="dxa"/>
            <w:vAlign w:val="bottom"/>
          </w:tcPr>
          <w:p>
            <w:pPr>
              <w:spacing w:after="0"/>
              <w:rPr>
                <w:sz w:val="19"/>
                <w:szCs w:val="19"/>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Forward-Looking Statements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About This Prospectus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3</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w w:val="95"/>
              </w:rPr>
              <w:t>Incorporation of Certain Documents by Reference</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4</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Where You Can Find More Information</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The Company</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Risk Factors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Ratio of Earnings to Fixed Charges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Use of Proceeds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Description of the Debt Securities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6</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Description of Guarantees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14</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Description of Capital Stock</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14</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Description of Other Securities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16</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Plan of Distribution</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16</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Selling Securityholders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Legal Matters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Experts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20"/>
                <w:szCs w:val="20"/>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5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SUMMARY</w:t>
      </w:r>
    </w:p>
    <w:p>
      <w:pPr>
        <w:spacing w:after="0" w:line="135" w:lineRule="exact"/>
        <w:rPr>
          <w:sz w:val="20"/>
          <w:szCs w:val="20"/>
          <w:color w:val="auto"/>
        </w:rPr>
      </w:pPr>
    </w:p>
    <w:p>
      <w:pPr>
        <w:ind w:left="920" w:right="300" w:firstLine="397"/>
        <w:spacing w:after="0" w:line="257" w:lineRule="auto"/>
        <w:rPr>
          <w:sz w:val="20"/>
          <w:szCs w:val="20"/>
          <w:color w:val="auto"/>
        </w:rPr>
      </w:pPr>
      <w:r>
        <w:rPr>
          <w:rFonts w:ascii="Arial" w:cs="Arial" w:eastAsia="Arial" w:hAnsi="Arial"/>
          <w:sz w:val="18"/>
          <w:szCs w:val="18"/>
          <w:i w:val="1"/>
          <w:iCs w:val="1"/>
          <w:color w:val="auto"/>
        </w:rPr>
        <w:t>This summary highlights selected information from this prospectus supplement and the accompanying prospectus, but does not contain all information that may be important to you. This prospectus supplement and the accompanying prospectus include specific terms of the offering of the notes, information about our business and financial data. We encourage you to read this prospectus supplement and the accompanying prospectus, together with documents incorporated by reference, in their entirety before making an investment decision.</w:t>
      </w:r>
    </w:p>
    <w:p>
      <w:pPr>
        <w:spacing w:after="0" w:line="94" w:lineRule="exact"/>
        <w:rPr>
          <w:sz w:val="20"/>
          <w:szCs w:val="20"/>
          <w:color w:val="auto"/>
        </w:rPr>
      </w:pPr>
    </w:p>
    <w:p>
      <w:pPr>
        <w:ind w:left="920" w:firstLine="397"/>
        <w:spacing w:after="0" w:line="342" w:lineRule="auto"/>
        <w:rPr>
          <w:sz w:val="20"/>
          <w:szCs w:val="20"/>
          <w:color w:val="auto"/>
        </w:rPr>
      </w:pPr>
      <w:r>
        <w:rPr>
          <w:rFonts w:ascii="Arial" w:cs="Arial" w:eastAsia="Arial" w:hAnsi="Arial"/>
          <w:sz w:val="16"/>
          <w:szCs w:val="16"/>
          <w:i w:val="1"/>
          <w:iCs w:val="1"/>
          <w:color w:val="auto"/>
        </w:rPr>
        <w:t>As used in this prospectus supplement, the terms “Waste Management,” “we,” “us” or “our” refer to Waste Management, Inc. and its consolidated subsidiaries and consolidated variable interest entities, taken as a whole, unless the context clearly indicates otherwise.</w:t>
      </w:r>
    </w:p>
    <w:p>
      <w:pPr>
        <w:spacing w:after="0" w:line="241"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Waste Management, Inc.</w:t>
      </w:r>
    </w:p>
    <w:p>
      <w:pPr>
        <w:spacing w:after="0" w:line="135" w:lineRule="exact"/>
        <w:rPr>
          <w:sz w:val="20"/>
          <w:szCs w:val="20"/>
          <w:color w:val="auto"/>
        </w:rPr>
      </w:pPr>
    </w:p>
    <w:p>
      <w:pPr>
        <w:ind w:left="920" w:right="140" w:firstLine="397"/>
        <w:spacing w:after="0" w:line="259" w:lineRule="auto"/>
        <w:rPr>
          <w:sz w:val="20"/>
          <w:szCs w:val="20"/>
          <w:color w:val="auto"/>
        </w:rPr>
      </w:pPr>
      <w:r>
        <w:rPr>
          <w:rFonts w:ascii="Arial" w:cs="Arial" w:eastAsia="Arial" w:hAnsi="Arial"/>
          <w:sz w:val="18"/>
          <w:szCs w:val="18"/>
          <w:color w:val="auto"/>
        </w:rPr>
        <w:t>We are the leading provider of comprehensive waste management services in North America. Our subsidiaries provide collection, transfer, recycling and disposal services. We are also a leading developer, operator and owner of waste-to-energy and landfill gas-to-energy facilities in the United States. Our customers include residential, commercial, industrial and municipal customers throughout North America.</w:t>
      </w:r>
    </w:p>
    <w:p>
      <w:pPr>
        <w:spacing w:after="0" w:line="92"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Our principal offices are located at 1001 Fannin Street, Suite 4000, Houston, Texas 77002. Our telephone number at that address is</w:t>
      </w:r>
    </w:p>
    <w:p>
      <w:pPr>
        <w:spacing w:after="0" w:line="46" w:lineRule="exact"/>
        <w:rPr>
          <w:sz w:val="20"/>
          <w:szCs w:val="20"/>
          <w:color w:val="auto"/>
        </w:rPr>
      </w:pPr>
    </w:p>
    <w:p>
      <w:pPr>
        <w:ind w:left="920" w:right="340" w:firstLine="2"/>
        <w:spacing w:after="0" w:line="273" w:lineRule="auto"/>
        <w:tabs>
          <w:tab w:leader="none" w:pos="1355" w:val="left"/>
        </w:tabs>
        <w:numPr>
          <w:ilvl w:val="0"/>
          <w:numId w:val="1"/>
        </w:numPr>
        <w:rPr>
          <w:rFonts w:ascii="Arial" w:cs="Arial" w:eastAsia="Arial" w:hAnsi="Arial"/>
          <w:sz w:val="17"/>
          <w:szCs w:val="17"/>
          <w:color w:val="auto"/>
        </w:rPr>
      </w:pPr>
      <w:r>
        <w:rPr>
          <w:rFonts w:ascii="Arial" w:cs="Arial" w:eastAsia="Arial" w:hAnsi="Arial"/>
          <w:sz w:val="17"/>
          <w:szCs w:val="17"/>
          <w:color w:val="auto"/>
        </w:rPr>
        <w:t>512-6200. Our website address is http://www.wm.com. Our annual reports on Form 10-K, quarterly reports on Form 10-Q and current reports on Form 8-K are all available, free of charge, on our website as soon as practicable after we file them with the SEC. Information on our website is not incorporated by reference into this prospectus supplement and does not constitute a part of this prospectus supplement. Our common stock is traded on the New York Stock Exchange under the symbol “WM.”</w:t>
      </w:r>
    </w:p>
    <w:p>
      <w:pPr>
        <w:spacing w:after="0" w:line="294"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Waste Management Holdings, Inc.</w:t>
      </w:r>
    </w:p>
    <w:p>
      <w:pPr>
        <w:spacing w:after="0" w:line="135" w:lineRule="exact"/>
        <w:rPr>
          <w:sz w:val="20"/>
          <w:szCs w:val="20"/>
          <w:color w:val="auto"/>
        </w:rPr>
      </w:pPr>
    </w:p>
    <w:p>
      <w:pPr>
        <w:jc w:val="both"/>
        <w:ind w:left="920" w:right="80" w:firstLine="397"/>
        <w:spacing w:after="0" w:line="264" w:lineRule="auto"/>
        <w:rPr>
          <w:sz w:val="20"/>
          <w:szCs w:val="20"/>
          <w:color w:val="auto"/>
        </w:rPr>
      </w:pPr>
      <w:r>
        <w:rPr>
          <w:rFonts w:ascii="Arial" w:cs="Arial" w:eastAsia="Arial" w:hAnsi="Arial"/>
          <w:sz w:val="18"/>
          <w:szCs w:val="18"/>
          <w:color w:val="auto"/>
        </w:rPr>
        <w:t>Waste Management Holdings, Inc., which we refer to in this prospectus supplement as “WM Holdings,” is a direct wholly owned subsidiary of Waste Management. WM Holdings is a holding company, the only assets of which are the equity interests of our operating subsidiaries.</w:t>
      </w:r>
    </w:p>
    <w:p>
      <w:pPr>
        <w:sectPr>
          <w:pgSz w:w="11900" w:h="16838" w:orient="portrait"/>
          <w:cols w:equalWidth="0" w:num="1">
            <w:col w:w="10800"/>
          </w:cols>
          <w:pgMar w:left="240" w:top="419"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1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The Offering</w:t>
      </w:r>
    </w:p>
    <w:p>
      <w:pPr>
        <w:spacing w:after="0" w:line="135" w:lineRule="exact"/>
        <w:rPr>
          <w:sz w:val="20"/>
          <w:szCs w:val="20"/>
          <w:color w:val="auto"/>
        </w:rPr>
      </w:pPr>
    </w:p>
    <w:p>
      <w:pPr>
        <w:ind w:left="920" w:right="500" w:firstLine="397"/>
        <w:spacing w:after="0" w:line="286" w:lineRule="auto"/>
        <w:rPr>
          <w:sz w:val="20"/>
          <w:szCs w:val="20"/>
          <w:color w:val="auto"/>
        </w:rPr>
      </w:pPr>
      <w:r>
        <w:rPr>
          <w:rFonts w:ascii="Arial" w:cs="Arial" w:eastAsia="Arial" w:hAnsi="Arial"/>
          <w:sz w:val="17"/>
          <w:szCs w:val="17"/>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the Debt Securities” section of the accompanying prospectus contain a more detailed description of the terms of the notes.</w:t>
      </w:r>
    </w:p>
    <w:p>
      <w:pPr>
        <w:spacing w:after="0" w:line="71"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Issuer</w:t>
            </w:r>
          </w:p>
        </w:tc>
        <w:tc>
          <w:tcPr>
            <w:tcW w:w="4160" w:type="dxa"/>
            <w:vAlign w:val="bottom"/>
            <w:gridSpan w:val="3"/>
          </w:tcPr>
          <w:p>
            <w:pPr>
              <w:ind w:left="960"/>
              <w:spacing w:after="0"/>
              <w:rPr>
                <w:sz w:val="20"/>
                <w:szCs w:val="20"/>
                <w:color w:val="auto"/>
              </w:rPr>
            </w:pPr>
            <w:r>
              <w:rPr>
                <w:rFonts w:ascii="Arial" w:cs="Arial" w:eastAsia="Arial" w:hAnsi="Arial"/>
                <w:sz w:val="18"/>
                <w:szCs w:val="18"/>
                <w:color w:val="auto"/>
              </w:rPr>
              <w:t>Waste Management, Inc.</w:t>
            </w:r>
          </w:p>
        </w:tc>
        <w:tc>
          <w:tcPr>
            <w:tcW w:w="3020" w:type="dxa"/>
            <w:vAlign w:val="bottom"/>
          </w:tcPr>
          <w:p>
            <w:pPr>
              <w:spacing w:after="0"/>
              <w:rPr>
                <w:sz w:val="20"/>
                <w:szCs w:val="20"/>
                <w:color w:val="auto"/>
              </w:rPr>
            </w:pPr>
          </w:p>
        </w:tc>
      </w:tr>
      <w:tr>
        <w:trPr>
          <w:trHeight w:val="324"/>
        </w:trPr>
        <w:tc>
          <w:tcPr>
            <w:tcW w:w="2720" w:type="dxa"/>
            <w:vAlign w:val="bottom"/>
          </w:tcPr>
          <w:p>
            <w:pPr>
              <w:spacing w:after="0"/>
              <w:rPr>
                <w:sz w:val="20"/>
                <w:szCs w:val="20"/>
                <w:color w:val="auto"/>
              </w:rPr>
            </w:pPr>
            <w:r>
              <w:rPr>
                <w:rFonts w:ascii="Arial" w:cs="Arial" w:eastAsia="Arial" w:hAnsi="Arial"/>
                <w:sz w:val="18"/>
                <w:szCs w:val="18"/>
                <w:color w:val="auto"/>
              </w:rPr>
              <w:t>Securities Offered</w:t>
            </w:r>
          </w:p>
        </w:tc>
        <w:tc>
          <w:tcPr>
            <w:tcW w:w="1120" w:type="dxa"/>
            <w:vAlign w:val="bottom"/>
          </w:tcPr>
          <w:p>
            <w:pPr>
              <w:ind w:left="960"/>
              <w:spacing w:after="0"/>
              <w:rPr>
                <w:sz w:val="20"/>
                <w:szCs w:val="20"/>
                <w:color w:val="auto"/>
              </w:rPr>
            </w:pPr>
            <w:r>
              <w:rPr>
                <w:rFonts w:ascii="Arial" w:cs="Arial" w:eastAsia="Arial" w:hAnsi="Arial"/>
                <w:sz w:val="18"/>
                <w:szCs w:val="18"/>
                <w:color w:val="auto"/>
              </w:rPr>
              <w:t>$</w:t>
            </w:r>
          </w:p>
        </w:tc>
        <w:tc>
          <w:tcPr>
            <w:tcW w:w="3040" w:type="dxa"/>
            <w:vAlign w:val="bottom"/>
            <w:gridSpan w:val="2"/>
          </w:tcPr>
          <w:p>
            <w:pPr>
              <w:ind w:left="200"/>
              <w:spacing w:after="0"/>
              <w:rPr>
                <w:sz w:val="20"/>
                <w:szCs w:val="20"/>
                <w:color w:val="auto"/>
              </w:rPr>
            </w:pPr>
            <w:r>
              <w:rPr>
                <w:rFonts w:ascii="Arial" w:cs="Arial" w:eastAsia="Arial" w:hAnsi="Arial"/>
                <w:sz w:val="18"/>
                <w:szCs w:val="18"/>
                <w:color w:val="auto"/>
                <w:w w:val="95"/>
              </w:rPr>
              <w:t>million aggregate principal amount of</w:t>
            </w:r>
          </w:p>
        </w:tc>
        <w:tc>
          <w:tcPr>
            <w:tcW w:w="3020" w:type="dxa"/>
            <w:vAlign w:val="bottom"/>
          </w:tcPr>
          <w:p>
            <w:pPr>
              <w:jc w:val="right"/>
              <w:ind w:right="930"/>
              <w:spacing w:after="0"/>
              <w:rPr>
                <w:sz w:val="20"/>
                <w:szCs w:val="20"/>
                <w:color w:val="auto"/>
              </w:rPr>
            </w:pPr>
            <w:r>
              <w:rPr>
                <w:rFonts w:ascii="Arial" w:cs="Arial" w:eastAsia="Arial" w:hAnsi="Arial"/>
                <w:sz w:val="18"/>
                <w:szCs w:val="18"/>
                <w:color w:val="auto"/>
                <w:w w:val="94"/>
              </w:rPr>
              <w:t>% Senior Notes due 2021.</w:t>
            </w:r>
          </w:p>
        </w:tc>
      </w:tr>
      <w:tr>
        <w:trPr>
          <w:trHeight w:val="310"/>
        </w:trPr>
        <w:tc>
          <w:tcPr>
            <w:tcW w:w="2720" w:type="dxa"/>
            <w:vAlign w:val="bottom"/>
          </w:tcPr>
          <w:p>
            <w:pPr>
              <w:spacing w:after="0"/>
              <w:rPr>
                <w:sz w:val="20"/>
                <w:szCs w:val="20"/>
                <w:color w:val="auto"/>
              </w:rPr>
            </w:pPr>
            <w:r>
              <w:rPr>
                <w:rFonts w:ascii="Arial" w:cs="Arial" w:eastAsia="Arial" w:hAnsi="Arial"/>
                <w:sz w:val="18"/>
                <w:szCs w:val="18"/>
                <w:color w:val="auto"/>
              </w:rPr>
              <w:t>Subsidiary Guarantee</w:t>
            </w:r>
          </w:p>
        </w:tc>
        <w:tc>
          <w:tcPr>
            <w:tcW w:w="7180" w:type="dxa"/>
            <w:vAlign w:val="bottom"/>
            <w:gridSpan w:val="4"/>
          </w:tcPr>
          <w:p>
            <w:pPr>
              <w:ind w:left="960"/>
              <w:spacing w:after="0"/>
              <w:rPr>
                <w:sz w:val="20"/>
                <w:szCs w:val="20"/>
                <w:color w:val="auto"/>
              </w:rPr>
            </w:pPr>
            <w:r>
              <w:rPr>
                <w:rFonts w:ascii="Arial" w:cs="Arial" w:eastAsia="Arial" w:hAnsi="Arial"/>
                <w:sz w:val="18"/>
                <w:szCs w:val="18"/>
                <w:color w:val="auto"/>
                <w:w w:val="94"/>
              </w:rPr>
              <w:t>WM Holdings will fully and unconditionally guarantee, on a senior unsecured basis,</w:t>
            </w:r>
          </w:p>
        </w:tc>
      </w:tr>
      <w:tr>
        <w:trPr>
          <w:trHeight w:val="216"/>
        </w:trPr>
        <w:tc>
          <w:tcPr>
            <w:tcW w:w="2720" w:type="dxa"/>
            <w:vAlign w:val="bottom"/>
          </w:tcPr>
          <w:p>
            <w:pPr>
              <w:spacing w:after="0"/>
              <w:rPr>
                <w:sz w:val="18"/>
                <w:szCs w:val="18"/>
                <w:color w:val="auto"/>
              </w:rPr>
            </w:pPr>
          </w:p>
        </w:tc>
        <w:tc>
          <w:tcPr>
            <w:tcW w:w="7180" w:type="dxa"/>
            <w:vAlign w:val="bottom"/>
            <w:gridSpan w:val="4"/>
          </w:tcPr>
          <w:p>
            <w:pPr>
              <w:ind w:left="960"/>
              <w:spacing w:after="0"/>
              <w:rPr>
                <w:sz w:val="20"/>
                <w:szCs w:val="20"/>
                <w:color w:val="auto"/>
              </w:rPr>
            </w:pPr>
            <w:r>
              <w:rPr>
                <w:rFonts w:ascii="Arial" w:cs="Arial" w:eastAsia="Arial" w:hAnsi="Arial"/>
                <w:sz w:val="18"/>
                <w:szCs w:val="18"/>
                <w:color w:val="auto"/>
                <w:w w:val="96"/>
              </w:rPr>
              <w:t>the full and prompt payment of the principal and any premium and interest on the</w:t>
            </w:r>
          </w:p>
        </w:tc>
      </w:tr>
      <w:tr>
        <w:trPr>
          <w:trHeight w:val="230"/>
        </w:trPr>
        <w:tc>
          <w:tcPr>
            <w:tcW w:w="2720" w:type="dxa"/>
            <w:vAlign w:val="bottom"/>
          </w:tcPr>
          <w:p>
            <w:pPr>
              <w:spacing w:after="0"/>
              <w:rPr>
                <w:sz w:val="20"/>
                <w:szCs w:val="20"/>
                <w:color w:val="auto"/>
              </w:rPr>
            </w:pPr>
          </w:p>
        </w:tc>
        <w:tc>
          <w:tcPr>
            <w:tcW w:w="7180" w:type="dxa"/>
            <w:vAlign w:val="bottom"/>
            <w:gridSpan w:val="4"/>
          </w:tcPr>
          <w:p>
            <w:pPr>
              <w:ind w:left="960"/>
              <w:spacing w:after="0"/>
              <w:rPr>
                <w:sz w:val="20"/>
                <w:szCs w:val="20"/>
                <w:color w:val="auto"/>
              </w:rPr>
            </w:pPr>
            <w:r>
              <w:rPr>
                <w:rFonts w:ascii="Arial" w:cs="Arial" w:eastAsia="Arial" w:hAnsi="Arial"/>
                <w:sz w:val="18"/>
                <w:szCs w:val="18"/>
                <w:color w:val="auto"/>
                <w:w w:val="92"/>
              </w:rPr>
              <w:t>notes, when and as they become due and payable, whether at maturity or otherwise.</w:t>
            </w:r>
          </w:p>
        </w:tc>
      </w:tr>
      <w:tr>
        <w:trPr>
          <w:trHeight w:val="324"/>
        </w:trPr>
        <w:tc>
          <w:tcPr>
            <w:tcW w:w="2720" w:type="dxa"/>
            <w:vAlign w:val="bottom"/>
          </w:tcPr>
          <w:p>
            <w:pPr>
              <w:spacing w:after="0"/>
              <w:rPr>
                <w:sz w:val="20"/>
                <w:szCs w:val="20"/>
                <w:color w:val="auto"/>
              </w:rPr>
            </w:pPr>
            <w:r>
              <w:rPr>
                <w:rFonts w:ascii="Arial" w:cs="Arial" w:eastAsia="Arial" w:hAnsi="Arial"/>
                <w:sz w:val="18"/>
                <w:szCs w:val="18"/>
                <w:color w:val="auto"/>
              </w:rPr>
              <w:t>Maturity Date</w:t>
            </w:r>
          </w:p>
        </w:tc>
        <w:tc>
          <w:tcPr>
            <w:tcW w:w="1120" w:type="dxa"/>
            <w:vAlign w:val="bottom"/>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 2021.</w:t>
            </w:r>
          </w:p>
        </w:tc>
        <w:tc>
          <w:tcPr>
            <w:tcW w:w="206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324"/>
        </w:trPr>
        <w:tc>
          <w:tcPr>
            <w:tcW w:w="2720" w:type="dxa"/>
            <w:vAlign w:val="bottom"/>
          </w:tcPr>
          <w:p>
            <w:pPr>
              <w:spacing w:after="0"/>
              <w:rPr>
                <w:sz w:val="20"/>
                <w:szCs w:val="20"/>
                <w:color w:val="auto"/>
              </w:rPr>
            </w:pPr>
            <w:r>
              <w:rPr>
                <w:rFonts w:ascii="Arial" w:cs="Arial" w:eastAsia="Arial" w:hAnsi="Arial"/>
                <w:sz w:val="18"/>
                <w:szCs w:val="18"/>
                <w:color w:val="auto"/>
              </w:rPr>
              <w:t>Interest Rate</w:t>
            </w:r>
          </w:p>
        </w:tc>
        <w:tc>
          <w:tcPr>
            <w:tcW w:w="1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 per year.</w:t>
            </w:r>
          </w:p>
        </w:tc>
        <w:tc>
          <w:tcPr>
            <w:tcW w:w="206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324"/>
        </w:trPr>
        <w:tc>
          <w:tcPr>
            <w:tcW w:w="2720" w:type="dxa"/>
            <w:vAlign w:val="bottom"/>
          </w:tcPr>
          <w:p>
            <w:pPr>
              <w:spacing w:after="0"/>
              <w:rPr>
                <w:sz w:val="20"/>
                <w:szCs w:val="20"/>
                <w:color w:val="auto"/>
              </w:rPr>
            </w:pPr>
            <w:r>
              <w:rPr>
                <w:rFonts w:ascii="Arial" w:cs="Arial" w:eastAsia="Arial" w:hAnsi="Arial"/>
                <w:sz w:val="18"/>
                <w:szCs w:val="18"/>
                <w:color w:val="auto"/>
              </w:rPr>
              <w:t>Interest Payment Dates</w:t>
            </w:r>
          </w:p>
        </w:tc>
        <w:tc>
          <w:tcPr>
            <w:tcW w:w="1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2060" w:type="dxa"/>
            <w:vAlign w:val="bottom"/>
          </w:tcPr>
          <w:p>
            <w:pPr>
              <w:ind w:left="100"/>
              <w:spacing w:after="0"/>
              <w:rPr>
                <w:sz w:val="20"/>
                <w:szCs w:val="20"/>
                <w:color w:val="auto"/>
              </w:rPr>
            </w:pPr>
            <w:r>
              <w:rPr>
                <w:rFonts w:ascii="Arial" w:cs="Arial" w:eastAsia="Arial" w:hAnsi="Arial"/>
                <w:sz w:val="18"/>
                <w:szCs w:val="18"/>
                <w:color w:val="auto"/>
              </w:rPr>
              <w:t>of each year, beginning</w:t>
            </w:r>
          </w:p>
        </w:tc>
        <w:tc>
          <w:tcPr>
            <w:tcW w:w="3020" w:type="dxa"/>
            <w:vAlign w:val="bottom"/>
          </w:tcPr>
          <w:p>
            <w:pPr>
              <w:jc w:val="right"/>
              <w:ind w:right="2270"/>
              <w:spacing w:after="0"/>
              <w:rPr>
                <w:sz w:val="20"/>
                <w:szCs w:val="20"/>
                <w:color w:val="auto"/>
              </w:rPr>
            </w:pPr>
            <w:r>
              <w:rPr>
                <w:rFonts w:ascii="Arial" w:cs="Arial" w:eastAsia="Arial" w:hAnsi="Arial"/>
                <w:sz w:val="18"/>
                <w:szCs w:val="18"/>
                <w:color w:val="auto"/>
              </w:rPr>
              <w:t>, 2011.</w:t>
            </w:r>
          </w:p>
        </w:tc>
      </w:tr>
      <w:tr>
        <w:trPr>
          <w:trHeight w:val="310"/>
        </w:trPr>
        <w:tc>
          <w:tcPr>
            <w:tcW w:w="2720" w:type="dxa"/>
            <w:vAlign w:val="bottom"/>
          </w:tcPr>
          <w:p>
            <w:pPr>
              <w:spacing w:after="0"/>
              <w:rPr>
                <w:sz w:val="20"/>
                <w:szCs w:val="20"/>
                <w:color w:val="auto"/>
              </w:rPr>
            </w:pPr>
            <w:r>
              <w:rPr>
                <w:rFonts w:ascii="Arial" w:cs="Arial" w:eastAsia="Arial" w:hAnsi="Arial"/>
                <w:sz w:val="18"/>
                <w:szCs w:val="18"/>
                <w:color w:val="auto"/>
              </w:rPr>
              <w:t>Optional Redemption</w:t>
            </w:r>
          </w:p>
        </w:tc>
        <w:tc>
          <w:tcPr>
            <w:tcW w:w="7180" w:type="dxa"/>
            <w:vAlign w:val="bottom"/>
            <w:gridSpan w:val="4"/>
          </w:tcPr>
          <w:p>
            <w:pPr>
              <w:ind w:left="960"/>
              <w:spacing w:after="0"/>
              <w:rPr>
                <w:sz w:val="20"/>
                <w:szCs w:val="20"/>
                <w:color w:val="auto"/>
              </w:rPr>
            </w:pPr>
            <w:r>
              <w:rPr>
                <w:rFonts w:ascii="Arial" w:cs="Arial" w:eastAsia="Arial" w:hAnsi="Arial"/>
                <w:sz w:val="18"/>
                <w:szCs w:val="18"/>
                <w:color w:val="auto"/>
                <w:w w:val="95"/>
              </w:rPr>
              <w:t>We may elect to redeem and repay any or all of the notes at any time in minimum</w:t>
            </w:r>
          </w:p>
        </w:tc>
      </w:tr>
      <w:tr>
        <w:trPr>
          <w:trHeight w:val="216"/>
        </w:trPr>
        <w:tc>
          <w:tcPr>
            <w:tcW w:w="2720" w:type="dxa"/>
            <w:vAlign w:val="bottom"/>
          </w:tcPr>
          <w:p>
            <w:pPr>
              <w:spacing w:after="0"/>
              <w:rPr>
                <w:sz w:val="18"/>
                <w:szCs w:val="18"/>
                <w:color w:val="auto"/>
              </w:rPr>
            </w:pPr>
          </w:p>
        </w:tc>
        <w:tc>
          <w:tcPr>
            <w:tcW w:w="7180" w:type="dxa"/>
            <w:vAlign w:val="bottom"/>
            <w:gridSpan w:val="4"/>
          </w:tcPr>
          <w:p>
            <w:pPr>
              <w:ind w:left="960"/>
              <w:spacing w:after="0"/>
              <w:rPr>
                <w:sz w:val="20"/>
                <w:szCs w:val="20"/>
                <w:color w:val="auto"/>
              </w:rPr>
            </w:pPr>
            <w:r>
              <w:rPr>
                <w:rFonts w:ascii="Arial" w:cs="Arial" w:eastAsia="Arial" w:hAnsi="Arial"/>
                <w:sz w:val="18"/>
                <w:szCs w:val="18"/>
                <w:color w:val="auto"/>
                <w:w w:val="91"/>
              </w:rPr>
              <w:t>principal amounts of $2,000 or any integral multiple of $1,000 in excess thereof. If we</w:t>
            </w:r>
          </w:p>
        </w:tc>
      </w:tr>
      <w:tr>
        <w:trPr>
          <w:trHeight w:val="216"/>
        </w:trPr>
        <w:tc>
          <w:tcPr>
            <w:tcW w:w="2720" w:type="dxa"/>
            <w:vAlign w:val="bottom"/>
          </w:tcPr>
          <w:p>
            <w:pPr>
              <w:spacing w:after="0"/>
              <w:rPr>
                <w:sz w:val="18"/>
                <w:szCs w:val="18"/>
                <w:color w:val="auto"/>
              </w:rPr>
            </w:pPr>
          </w:p>
        </w:tc>
        <w:tc>
          <w:tcPr>
            <w:tcW w:w="7180" w:type="dxa"/>
            <w:vAlign w:val="bottom"/>
            <w:gridSpan w:val="4"/>
          </w:tcPr>
          <w:p>
            <w:pPr>
              <w:ind w:left="960"/>
              <w:spacing w:after="0"/>
              <w:rPr>
                <w:sz w:val="20"/>
                <w:szCs w:val="20"/>
                <w:color w:val="auto"/>
              </w:rPr>
            </w:pPr>
            <w:r>
              <w:rPr>
                <w:rFonts w:ascii="Arial" w:cs="Arial" w:eastAsia="Arial" w:hAnsi="Arial"/>
                <w:sz w:val="18"/>
                <w:szCs w:val="18"/>
                <w:color w:val="auto"/>
                <w:w w:val="92"/>
              </w:rPr>
              <w:t>elect to redeem and repay the notes before the date that is three months prior to the</w:t>
            </w:r>
          </w:p>
        </w:tc>
      </w:tr>
      <w:tr>
        <w:trPr>
          <w:trHeight w:val="216"/>
        </w:trPr>
        <w:tc>
          <w:tcPr>
            <w:tcW w:w="2720" w:type="dxa"/>
            <w:vAlign w:val="bottom"/>
          </w:tcPr>
          <w:p>
            <w:pPr>
              <w:spacing w:after="0"/>
              <w:rPr>
                <w:sz w:val="18"/>
                <w:szCs w:val="18"/>
                <w:color w:val="auto"/>
              </w:rPr>
            </w:pPr>
          </w:p>
        </w:tc>
        <w:tc>
          <w:tcPr>
            <w:tcW w:w="7180" w:type="dxa"/>
            <w:vAlign w:val="bottom"/>
            <w:gridSpan w:val="4"/>
          </w:tcPr>
          <w:p>
            <w:pPr>
              <w:ind w:left="960"/>
              <w:spacing w:after="0"/>
              <w:rPr>
                <w:sz w:val="20"/>
                <w:szCs w:val="20"/>
                <w:color w:val="auto"/>
              </w:rPr>
            </w:pPr>
            <w:r>
              <w:rPr>
                <w:rFonts w:ascii="Arial" w:cs="Arial" w:eastAsia="Arial" w:hAnsi="Arial"/>
                <w:sz w:val="18"/>
                <w:szCs w:val="18"/>
                <w:color w:val="auto"/>
                <w:w w:val="96"/>
              </w:rPr>
              <w:t>maturity date, we will pay an amount equal to the greater of 100% of the principal</w:t>
            </w:r>
          </w:p>
        </w:tc>
      </w:tr>
      <w:tr>
        <w:trPr>
          <w:trHeight w:val="216"/>
        </w:trPr>
        <w:tc>
          <w:tcPr>
            <w:tcW w:w="2720" w:type="dxa"/>
            <w:vAlign w:val="bottom"/>
          </w:tcPr>
          <w:p>
            <w:pPr>
              <w:spacing w:after="0"/>
              <w:rPr>
                <w:sz w:val="18"/>
                <w:szCs w:val="18"/>
                <w:color w:val="auto"/>
              </w:rPr>
            </w:pPr>
          </w:p>
        </w:tc>
        <w:tc>
          <w:tcPr>
            <w:tcW w:w="7180" w:type="dxa"/>
            <w:vAlign w:val="bottom"/>
            <w:gridSpan w:val="4"/>
          </w:tcPr>
          <w:p>
            <w:pPr>
              <w:ind w:left="960"/>
              <w:spacing w:after="0"/>
              <w:rPr>
                <w:sz w:val="20"/>
                <w:szCs w:val="20"/>
                <w:color w:val="auto"/>
              </w:rPr>
            </w:pPr>
            <w:r>
              <w:rPr>
                <w:rFonts w:ascii="Arial" w:cs="Arial" w:eastAsia="Arial" w:hAnsi="Arial"/>
                <w:sz w:val="18"/>
                <w:szCs w:val="18"/>
                <w:color w:val="auto"/>
                <w:w w:val="95"/>
              </w:rPr>
              <w:t>amount of the notes redeemed and repaid, or the sum of the present values of the</w:t>
            </w:r>
          </w:p>
        </w:tc>
      </w:tr>
      <w:tr>
        <w:trPr>
          <w:trHeight w:val="216"/>
        </w:trPr>
        <w:tc>
          <w:tcPr>
            <w:tcW w:w="2720" w:type="dxa"/>
            <w:vAlign w:val="bottom"/>
          </w:tcPr>
          <w:p>
            <w:pPr>
              <w:spacing w:after="0"/>
              <w:rPr>
                <w:sz w:val="18"/>
                <w:szCs w:val="18"/>
                <w:color w:val="auto"/>
              </w:rPr>
            </w:pPr>
          </w:p>
        </w:tc>
        <w:tc>
          <w:tcPr>
            <w:tcW w:w="7180" w:type="dxa"/>
            <w:vAlign w:val="bottom"/>
            <w:gridSpan w:val="4"/>
          </w:tcPr>
          <w:p>
            <w:pPr>
              <w:ind w:left="960"/>
              <w:spacing w:after="0"/>
              <w:rPr>
                <w:sz w:val="20"/>
                <w:szCs w:val="20"/>
                <w:color w:val="auto"/>
              </w:rPr>
            </w:pPr>
            <w:r>
              <w:rPr>
                <w:rFonts w:ascii="Arial" w:cs="Arial" w:eastAsia="Arial" w:hAnsi="Arial"/>
                <w:sz w:val="18"/>
                <w:szCs w:val="18"/>
                <w:color w:val="auto"/>
                <w:w w:val="94"/>
              </w:rPr>
              <w:t>remaining scheduled payments of principal and interest on the notes. If we elect to</w:t>
            </w:r>
          </w:p>
        </w:tc>
      </w:tr>
      <w:tr>
        <w:trPr>
          <w:trHeight w:val="216"/>
        </w:trPr>
        <w:tc>
          <w:tcPr>
            <w:tcW w:w="2720" w:type="dxa"/>
            <w:vAlign w:val="bottom"/>
          </w:tcPr>
          <w:p>
            <w:pPr>
              <w:spacing w:after="0"/>
              <w:rPr>
                <w:sz w:val="18"/>
                <w:szCs w:val="18"/>
                <w:color w:val="auto"/>
              </w:rPr>
            </w:pPr>
          </w:p>
        </w:tc>
        <w:tc>
          <w:tcPr>
            <w:tcW w:w="7180" w:type="dxa"/>
            <w:vAlign w:val="bottom"/>
            <w:gridSpan w:val="4"/>
          </w:tcPr>
          <w:p>
            <w:pPr>
              <w:ind w:left="960"/>
              <w:spacing w:after="0"/>
              <w:rPr>
                <w:sz w:val="20"/>
                <w:szCs w:val="20"/>
                <w:color w:val="auto"/>
              </w:rPr>
            </w:pPr>
            <w:r>
              <w:rPr>
                <w:rFonts w:ascii="Arial" w:cs="Arial" w:eastAsia="Arial" w:hAnsi="Arial"/>
                <w:sz w:val="18"/>
                <w:szCs w:val="18"/>
                <w:color w:val="auto"/>
                <w:w w:val="97"/>
              </w:rPr>
              <w:t>redeem and repay the notes on or after the date that is three months prior to the</w:t>
            </w:r>
          </w:p>
        </w:tc>
      </w:tr>
      <w:tr>
        <w:trPr>
          <w:trHeight w:val="216"/>
        </w:trPr>
        <w:tc>
          <w:tcPr>
            <w:tcW w:w="2720" w:type="dxa"/>
            <w:vAlign w:val="bottom"/>
          </w:tcPr>
          <w:p>
            <w:pPr>
              <w:spacing w:after="0"/>
              <w:rPr>
                <w:sz w:val="18"/>
                <w:szCs w:val="18"/>
                <w:color w:val="auto"/>
              </w:rPr>
            </w:pPr>
          </w:p>
        </w:tc>
        <w:tc>
          <w:tcPr>
            <w:tcW w:w="7180" w:type="dxa"/>
            <w:vAlign w:val="bottom"/>
            <w:gridSpan w:val="4"/>
          </w:tcPr>
          <w:p>
            <w:pPr>
              <w:ind w:left="960"/>
              <w:spacing w:after="0"/>
              <w:rPr>
                <w:sz w:val="20"/>
                <w:szCs w:val="20"/>
                <w:color w:val="auto"/>
              </w:rPr>
            </w:pPr>
            <w:r>
              <w:rPr>
                <w:rFonts w:ascii="Arial" w:cs="Arial" w:eastAsia="Arial" w:hAnsi="Arial"/>
                <w:sz w:val="18"/>
                <w:szCs w:val="18"/>
                <w:color w:val="auto"/>
                <w:w w:val="95"/>
              </w:rPr>
              <w:t>maturity date, we will pay an amount equal to 100% of the principal amount of the</w:t>
            </w:r>
          </w:p>
        </w:tc>
      </w:tr>
      <w:tr>
        <w:trPr>
          <w:trHeight w:val="216"/>
        </w:trPr>
        <w:tc>
          <w:tcPr>
            <w:tcW w:w="2720" w:type="dxa"/>
            <w:vAlign w:val="bottom"/>
          </w:tcPr>
          <w:p>
            <w:pPr>
              <w:spacing w:after="0"/>
              <w:rPr>
                <w:sz w:val="18"/>
                <w:szCs w:val="18"/>
                <w:color w:val="auto"/>
              </w:rPr>
            </w:pPr>
          </w:p>
        </w:tc>
        <w:tc>
          <w:tcPr>
            <w:tcW w:w="7180" w:type="dxa"/>
            <w:vAlign w:val="bottom"/>
            <w:gridSpan w:val="4"/>
          </w:tcPr>
          <w:p>
            <w:pPr>
              <w:ind w:left="960"/>
              <w:spacing w:after="0"/>
              <w:rPr>
                <w:sz w:val="20"/>
                <w:szCs w:val="20"/>
                <w:color w:val="auto"/>
              </w:rPr>
            </w:pPr>
            <w:r>
              <w:rPr>
                <w:rFonts w:ascii="Arial" w:cs="Arial" w:eastAsia="Arial" w:hAnsi="Arial"/>
                <w:sz w:val="18"/>
                <w:szCs w:val="18"/>
                <w:color w:val="auto"/>
                <w:w w:val="89"/>
              </w:rPr>
              <w:t>notes redeemed and repaid. We will pay accrued interest on the notes redeemed to the</w:t>
            </w:r>
          </w:p>
        </w:tc>
      </w:tr>
      <w:tr>
        <w:trPr>
          <w:trHeight w:val="216"/>
        </w:trPr>
        <w:tc>
          <w:tcPr>
            <w:tcW w:w="2720" w:type="dxa"/>
            <w:vAlign w:val="bottom"/>
          </w:tcPr>
          <w:p>
            <w:pPr>
              <w:spacing w:after="0"/>
              <w:rPr>
                <w:sz w:val="18"/>
                <w:szCs w:val="18"/>
                <w:color w:val="auto"/>
              </w:rPr>
            </w:pPr>
          </w:p>
        </w:tc>
        <w:tc>
          <w:tcPr>
            <w:tcW w:w="7180" w:type="dxa"/>
            <w:vAlign w:val="bottom"/>
            <w:gridSpan w:val="4"/>
          </w:tcPr>
          <w:p>
            <w:pPr>
              <w:ind w:left="960"/>
              <w:spacing w:after="0"/>
              <w:rPr>
                <w:sz w:val="20"/>
                <w:szCs w:val="20"/>
                <w:color w:val="auto"/>
              </w:rPr>
            </w:pPr>
            <w:r>
              <w:rPr>
                <w:rFonts w:ascii="Arial" w:cs="Arial" w:eastAsia="Arial" w:hAnsi="Arial"/>
                <w:sz w:val="18"/>
                <w:szCs w:val="18"/>
                <w:color w:val="auto"/>
              </w:rPr>
              <w:t>redemption date. See “Description of Notes — Optional Redemption” in this</w:t>
            </w:r>
          </w:p>
        </w:tc>
      </w:tr>
      <w:tr>
        <w:trPr>
          <w:trHeight w:val="230"/>
        </w:trPr>
        <w:tc>
          <w:tcPr>
            <w:tcW w:w="2720" w:type="dxa"/>
            <w:vAlign w:val="bottom"/>
          </w:tcPr>
          <w:p>
            <w:pPr>
              <w:spacing w:after="0"/>
              <w:rPr>
                <w:sz w:val="20"/>
                <w:szCs w:val="20"/>
                <w:color w:val="auto"/>
              </w:rPr>
            </w:pPr>
          </w:p>
        </w:tc>
        <w:tc>
          <w:tcPr>
            <w:tcW w:w="4160" w:type="dxa"/>
            <w:vAlign w:val="bottom"/>
            <w:gridSpan w:val="3"/>
          </w:tcPr>
          <w:p>
            <w:pPr>
              <w:ind w:left="960"/>
              <w:spacing w:after="0"/>
              <w:rPr>
                <w:sz w:val="20"/>
                <w:szCs w:val="20"/>
                <w:color w:val="auto"/>
              </w:rPr>
            </w:pPr>
            <w:r>
              <w:rPr>
                <w:rFonts w:ascii="Arial" w:cs="Arial" w:eastAsia="Arial" w:hAnsi="Arial"/>
                <w:sz w:val="18"/>
                <w:szCs w:val="18"/>
                <w:color w:val="auto"/>
              </w:rPr>
              <w:t>prospectus supplement.</w:t>
            </w:r>
          </w:p>
        </w:tc>
        <w:tc>
          <w:tcPr>
            <w:tcW w:w="3020" w:type="dxa"/>
            <w:vAlign w:val="bottom"/>
          </w:tcPr>
          <w:p>
            <w:pPr>
              <w:spacing w:after="0"/>
              <w:rPr>
                <w:sz w:val="20"/>
                <w:szCs w:val="20"/>
                <w:color w:val="auto"/>
              </w:rPr>
            </w:pPr>
          </w:p>
        </w:tc>
      </w:tr>
      <w:tr>
        <w:trPr>
          <w:trHeight w:val="310"/>
        </w:trPr>
        <w:tc>
          <w:tcPr>
            <w:tcW w:w="2720" w:type="dxa"/>
            <w:vAlign w:val="bottom"/>
          </w:tcPr>
          <w:p>
            <w:pPr>
              <w:spacing w:after="0"/>
              <w:rPr>
                <w:sz w:val="20"/>
                <w:szCs w:val="20"/>
                <w:color w:val="auto"/>
              </w:rPr>
            </w:pPr>
            <w:r>
              <w:rPr>
                <w:rFonts w:ascii="Arial" w:cs="Arial" w:eastAsia="Arial" w:hAnsi="Arial"/>
                <w:sz w:val="18"/>
                <w:szCs w:val="18"/>
                <w:color w:val="auto"/>
              </w:rPr>
              <w:t>Change of Control Offer</w:t>
            </w:r>
          </w:p>
        </w:tc>
        <w:tc>
          <w:tcPr>
            <w:tcW w:w="7180" w:type="dxa"/>
            <w:vAlign w:val="bottom"/>
            <w:gridSpan w:val="4"/>
          </w:tcPr>
          <w:p>
            <w:pPr>
              <w:ind w:left="960"/>
              <w:spacing w:after="0"/>
              <w:rPr>
                <w:sz w:val="20"/>
                <w:szCs w:val="20"/>
                <w:color w:val="auto"/>
              </w:rPr>
            </w:pPr>
            <w:r>
              <w:rPr>
                <w:rFonts w:ascii="Arial" w:cs="Arial" w:eastAsia="Arial" w:hAnsi="Arial"/>
                <w:sz w:val="18"/>
                <w:szCs w:val="18"/>
                <w:color w:val="auto"/>
                <w:w w:val="92"/>
              </w:rPr>
              <w:t>If a change of control triggering event occurs, holders of the notes may require us to</w:t>
            </w:r>
          </w:p>
        </w:tc>
      </w:tr>
      <w:tr>
        <w:trPr>
          <w:trHeight w:val="216"/>
        </w:trPr>
        <w:tc>
          <w:tcPr>
            <w:tcW w:w="2720" w:type="dxa"/>
            <w:vAlign w:val="bottom"/>
          </w:tcPr>
          <w:p>
            <w:pPr>
              <w:spacing w:after="0"/>
              <w:rPr>
                <w:sz w:val="18"/>
                <w:szCs w:val="18"/>
                <w:color w:val="auto"/>
              </w:rPr>
            </w:pPr>
          </w:p>
        </w:tc>
        <w:tc>
          <w:tcPr>
            <w:tcW w:w="7180" w:type="dxa"/>
            <w:vAlign w:val="bottom"/>
            <w:gridSpan w:val="4"/>
          </w:tcPr>
          <w:p>
            <w:pPr>
              <w:ind w:left="960"/>
              <w:spacing w:after="0"/>
              <w:rPr>
                <w:sz w:val="20"/>
                <w:szCs w:val="20"/>
                <w:color w:val="auto"/>
              </w:rPr>
            </w:pPr>
            <w:r>
              <w:rPr>
                <w:rFonts w:ascii="Arial" w:cs="Arial" w:eastAsia="Arial" w:hAnsi="Arial"/>
                <w:sz w:val="18"/>
                <w:szCs w:val="18"/>
                <w:color w:val="auto"/>
                <w:w w:val="99"/>
              </w:rPr>
              <w:t>purchase all or a portion of such holders’ notes at a price equal to 101% of the</w:t>
            </w:r>
          </w:p>
        </w:tc>
      </w:tr>
      <w:tr>
        <w:trPr>
          <w:trHeight w:val="216"/>
        </w:trPr>
        <w:tc>
          <w:tcPr>
            <w:tcW w:w="2720" w:type="dxa"/>
            <w:vAlign w:val="bottom"/>
          </w:tcPr>
          <w:p>
            <w:pPr>
              <w:spacing w:after="0"/>
              <w:rPr>
                <w:sz w:val="18"/>
                <w:szCs w:val="18"/>
                <w:color w:val="auto"/>
              </w:rPr>
            </w:pPr>
          </w:p>
        </w:tc>
        <w:tc>
          <w:tcPr>
            <w:tcW w:w="7180" w:type="dxa"/>
            <w:vAlign w:val="bottom"/>
            <w:gridSpan w:val="4"/>
          </w:tcPr>
          <w:p>
            <w:pPr>
              <w:ind w:left="960"/>
              <w:spacing w:after="0"/>
              <w:rPr>
                <w:sz w:val="20"/>
                <w:szCs w:val="20"/>
                <w:color w:val="auto"/>
              </w:rPr>
            </w:pPr>
            <w:r>
              <w:rPr>
                <w:rFonts w:ascii="Arial" w:cs="Arial" w:eastAsia="Arial" w:hAnsi="Arial"/>
                <w:sz w:val="18"/>
                <w:szCs w:val="18"/>
                <w:color w:val="auto"/>
              </w:rPr>
              <w:t>principal amount, plus accrued interest, if any, to the date of purchase. See</w:t>
            </w:r>
          </w:p>
        </w:tc>
      </w:tr>
      <w:tr>
        <w:trPr>
          <w:trHeight w:val="230"/>
        </w:trPr>
        <w:tc>
          <w:tcPr>
            <w:tcW w:w="2720" w:type="dxa"/>
            <w:vAlign w:val="bottom"/>
          </w:tcPr>
          <w:p>
            <w:pPr>
              <w:spacing w:after="0"/>
              <w:rPr>
                <w:sz w:val="20"/>
                <w:szCs w:val="20"/>
                <w:color w:val="auto"/>
              </w:rPr>
            </w:pPr>
          </w:p>
        </w:tc>
        <w:tc>
          <w:tcPr>
            <w:tcW w:w="7180" w:type="dxa"/>
            <w:vAlign w:val="bottom"/>
            <w:gridSpan w:val="4"/>
          </w:tcPr>
          <w:p>
            <w:pPr>
              <w:ind w:left="960"/>
              <w:spacing w:after="0"/>
              <w:rPr>
                <w:sz w:val="20"/>
                <w:szCs w:val="20"/>
                <w:color w:val="auto"/>
              </w:rPr>
            </w:pPr>
            <w:r>
              <w:rPr>
                <w:rFonts w:ascii="Arial" w:cs="Arial" w:eastAsia="Arial" w:hAnsi="Arial"/>
                <w:sz w:val="18"/>
                <w:szCs w:val="18"/>
                <w:color w:val="auto"/>
                <w:w w:val="96"/>
              </w:rPr>
              <w:t>“Description of Notes — Change of Control Offer” in this prospectus supplement.</w:t>
            </w:r>
          </w:p>
        </w:tc>
      </w:tr>
      <w:tr>
        <w:trPr>
          <w:trHeight w:val="310"/>
        </w:trPr>
        <w:tc>
          <w:tcPr>
            <w:tcW w:w="2720" w:type="dxa"/>
            <w:vAlign w:val="bottom"/>
          </w:tcPr>
          <w:p>
            <w:pPr>
              <w:spacing w:after="0"/>
              <w:rPr>
                <w:sz w:val="20"/>
                <w:szCs w:val="20"/>
                <w:color w:val="auto"/>
              </w:rPr>
            </w:pPr>
            <w:r>
              <w:rPr>
                <w:rFonts w:ascii="Arial" w:cs="Arial" w:eastAsia="Arial" w:hAnsi="Arial"/>
                <w:sz w:val="18"/>
                <w:szCs w:val="18"/>
                <w:color w:val="auto"/>
              </w:rPr>
              <w:t>Ranking</w:t>
            </w:r>
          </w:p>
        </w:tc>
        <w:tc>
          <w:tcPr>
            <w:tcW w:w="7180" w:type="dxa"/>
            <w:vAlign w:val="bottom"/>
            <w:gridSpan w:val="4"/>
          </w:tcPr>
          <w:p>
            <w:pPr>
              <w:ind w:left="960"/>
              <w:spacing w:after="0"/>
              <w:rPr>
                <w:sz w:val="20"/>
                <w:szCs w:val="20"/>
                <w:color w:val="auto"/>
              </w:rPr>
            </w:pPr>
            <w:r>
              <w:rPr>
                <w:rFonts w:ascii="Arial" w:cs="Arial" w:eastAsia="Arial" w:hAnsi="Arial"/>
                <w:sz w:val="18"/>
                <w:szCs w:val="18"/>
                <w:color w:val="auto"/>
                <w:w w:val="96"/>
              </w:rPr>
              <w:t>The notes and the guarantees will constitute the senior unsecured debt of Waste</w:t>
            </w:r>
          </w:p>
        </w:tc>
      </w:tr>
      <w:tr>
        <w:trPr>
          <w:trHeight w:val="216"/>
        </w:trPr>
        <w:tc>
          <w:tcPr>
            <w:tcW w:w="2720" w:type="dxa"/>
            <w:vAlign w:val="bottom"/>
          </w:tcPr>
          <w:p>
            <w:pPr>
              <w:spacing w:after="0"/>
              <w:rPr>
                <w:sz w:val="18"/>
                <w:szCs w:val="18"/>
                <w:color w:val="auto"/>
              </w:rPr>
            </w:pPr>
          </w:p>
        </w:tc>
        <w:tc>
          <w:tcPr>
            <w:tcW w:w="7180" w:type="dxa"/>
            <w:vAlign w:val="bottom"/>
            <w:gridSpan w:val="4"/>
          </w:tcPr>
          <w:p>
            <w:pPr>
              <w:ind w:left="960"/>
              <w:spacing w:after="0"/>
              <w:rPr>
                <w:sz w:val="20"/>
                <w:szCs w:val="20"/>
                <w:color w:val="auto"/>
              </w:rPr>
            </w:pPr>
            <w:r>
              <w:rPr>
                <w:rFonts w:ascii="Arial" w:cs="Arial" w:eastAsia="Arial" w:hAnsi="Arial"/>
                <w:sz w:val="18"/>
                <w:szCs w:val="18"/>
                <w:color w:val="auto"/>
                <w:w w:val="95"/>
              </w:rPr>
              <w:t>Management, Inc. and WM Holdings, respectively, and will rank equally with all of</w:t>
            </w:r>
          </w:p>
        </w:tc>
      </w:tr>
      <w:tr>
        <w:trPr>
          <w:trHeight w:val="216"/>
        </w:trPr>
        <w:tc>
          <w:tcPr>
            <w:tcW w:w="2720" w:type="dxa"/>
            <w:vAlign w:val="bottom"/>
          </w:tcPr>
          <w:p>
            <w:pPr>
              <w:spacing w:after="0"/>
              <w:rPr>
                <w:sz w:val="18"/>
                <w:szCs w:val="18"/>
                <w:color w:val="auto"/>
              </w:rPr>
            </w:pPr>
          </w:p>
        </w:tc>
        <w:tc>
          <w:tcPr>
            <w:tcW w:w="7180" w:type="dxa"/>
            <w:vAlign w:val="bottom"/>
            <w:gridSpan w:val="4"/>
          </w:tcPr>
          <w:p>
            <w:pPr>
              <w:ind w:left="960"/>
              <w:spacing w:after="0"/>
              <w:rPr>
                <w:sz w:val="20"/>
                <w:szCs w:val="20"/>
                <w:color w:val="auto"/>
              </w:rPr>
            </w:pPr>
            <w:r>
              <w:rPr>
                <w:rFonts w:ascii="Arial" w:cs="Arial" w:eastAsia="Arial" w:hAnsi="Arial"/>
                <w:sz w:val="18"/>
                <w:szCs w:val="18"/>
                <w:color w:val="auto"/>
              </w:rPr>
              <w:t>our and its other existing and future senior indebtedness from time to time</w:t>
            </w:r>
          </w:p>
        </w:tc>
      </w:tr>
      <w:tr>
        <w:trPr>
          <w:trHeight w:val="230"/>
        </w:trPr>
        <w:tc>
          <w:tcPr>
            <w:tcW w:w="2720" w:type="dxa"/>
            <w:vAlign w:val="bottom"/>
          </w:tcPr>
          <w:p>
            <w:pPr>
              <w:spacing w:after="0"/>
              <w:rPr>
                <w:sz w:val="20"/>
                <w:szCs w:val="20"/>
                <w:color w:val="auto"/>
              </w:rPr>
            </w:pPr>
          </w:p>
        </w:tc>
        <w:tc>
          <w:tcPr>
            <w:tcW w:w="2100" w:type="dxa"/>
            <w:vAlign w:val="bottom"/>
            <w:gridSpan w:val="2"/>
          </w:tcPr>
          <w:p>
            <w:pPr>
              <w:ind w:left="960"/>
              <w:spacing w:after="0"/>
              <w:rPr>
                <w:sz w:val="20"/>
                <w:szCs w:val="20"/>
                <w:color w:val="auto"/>
              </w:rPr>
            </w:pPr>
            <w:r>
              <w:rPr>
                <w:rFonts w:ascii="Arial" w:cs="Arial" w:eastAsia="Arial" w:hAnsi="Arial"/>
                <w:sz w:val="18"/>
                <w:szCs w:val="18"/>
                <w:color w:val="auto"/>
              </w:rPr>
              <w:t>outstanding.</w:t>
            </w:r>
          </w:p>
        </w:tc>
        <w:tc>
          <w:tcPr>
            <w:tcW w:w="206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310"/>
        </w:trPr>
        <w:tc>
          <w:tcPr>
            <w:tcW w:w="2720" w:type="dxa"/>
            <w:vAlign w:val="bottom"/>
          </w:tcPr>
          <w:p>
            <w:pPr>
              <w:spacing w:after="0"/>
              <w:rPr>
                <w:sz w:val="20"/>
                <w:szCs w:val="20"/>
                <w:color w:val="auto"/>
              </w:rPr>
            </w:pPr>
            <w:r>
              <w:rPr>
                <w:rFonts w:ascii="Arial" w:cs="Arial" w:eastAsia="Arial" w:hAnsi="Arial"/>
                <w:sz w:val="18"/>
                <w:szCs w:val="18"/>
                <w:color w:val="auto"/>
              </w:rPr>
              <w:t>Covenants</w:t>
            </w:r>
          </w:p>
        </w:tc>
        <w:tc>
          <w:tcPr>
            <w:tcW w:w="7180" w:type="dxa"/>
            <w:vAlign w:val="bottom"/>
            <w:gridSpan w:val="4"/>
          </w:tcPr>
          <w:p>
            <w:pPr>
              <w:ind w:left="960"/>
              <w:spacing w:after="0"/>
              <w:rPr>
                <w:sz w:val="20"/>
                <w:szCs w:val="20"/>
                <w:color w:val="auto"/>
              </w:rPr>
            </w:pPr>
            <w:r>
              <w:rPr>
                <w:rFonts w:ascii="Arial" w:cs="Arial" w:eastAsia="Arial" w:hAnsi="Arial"/>
                <w:sz w:val="18"/>
                <w:szCs w:val="18"/>
                <w:color w:val="auto"/>
                <w:w w:val="96"/>
              </w:rPr>
              <w:t>We will issue the notes under an indenture containing covenants for your benefit.</w:t>
            </w:r>
          </w:p>
        </w:tc>
      </w:tr>
      <w:tr>
        <w:trPr>
          <w:trHeight w:val="230"/>
        </w:trPr>
        <w:tc>
          <w:tcPr>
            <w:tcW w:w="2720" w:type="dxa"/>
            <w:vAlign w:val="bottom"/>
          </w:tcPr>
          <w:p>
            <w:pPr>
              <w:spacing w:after="0"/>
              <w:rPr>
                <w:sz w:val="20"/>
                <w:szCs w:val="20"/>
                <w:color w:val="auto"/>
              </w:rPr>
            </w:pPr>
          </w:p>
        </w:tc>
        <w:tc>
          <w:tcPr>
            <w:tcW w:w="7180" w:type="dxa"/>
            <w:vAlign w:val="bottom"/>
            <w:gridSpan w:val="4"/>
          </w:tcPr>
          <w:p>
            <w:pPr>
              <w:ind w:left="960"/>
              <w:spacing w:after="0"/>
              <w:rPr>
                <w:sz w:val="20"/>
                <w:szCs w:val="20"/>
                <w:color w:val="auto"/>
              </w:rPr>
            </w:pPr>
            <w:r>
              <w:rPr>
                <w:rFonts w:ascii="Arial" w:cs="Arial" w:eastAsia="Arial" w:hAnsi="Arial"/>
                <w:sz w:val="18"/>
                <w:szCs w:val="18"/>
                <w:color w:val="auto"/>
              </w:rPr>
              <w:t>These covenants restrict our ability, with certain exceptions, to:</w:t>
            </w:r>
          </w:p>
        </w:tc>
      </w:tr>
    </w:tbl>
    <w:p>
      <w:pPr>
        <w:spacing w:after="0" w:line="94" w:lineRule="exact"/>
        <w:rPr>
          <w:sz w:val="20"/>
          <w:szCs w:val="20"/>
          <w:color w:val="auto"/>
        </w:rPr>
      </w:pPr>
    </w:p>
    <w:p>
      <w:pPr>
        <w:ind w:left="4700" w:hanging="104"/>
        <w:spacing w:after="0"/>
        <w:tabs>
          <w:tab w:leader="none" w:pos="4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create, incur or assume debt secured by liens;</w:t>
      </w:r>
    </w:p>
    <w:p>
      <w:pPr>
        <w:spacing w:after="0" w:line="117" w:lineRule="exact"/>
        <w:rPr>
          <w:rFonts w:ascii="Arial" w:cs="Arial" w:eastAsia="Arial" w:hAnsi="Arial"/>
          <w:sz w:val="18"/>
          <w:szCs w:val="18"/>
          <w:color w:val="auto"/>
        </w:rPr>
      </w:pPr>
    </w:p>
    <w:p>
      <w:pPr>
        <w:ind w:left="4700" w:hanging="104"/>
        <w:spacing w:after="0"/>
        <w:tabs>
          <w:tab w:leader="none" w:pos="4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engage in sale and leaseback transactions; and</w:t>
      </w:r>
    </w:p>
    <w:p>
      <w:pPr>
        <w:spacing w:after="0" w:line="117" w:lineRule="exact"/>
        <w:rPr>
          <w:rFonts w:ascii="Arial" w:cs="Arial" w:eastAsia="Arial" w:hAnsi="Arial"/>
          <w:sz w:val="18"/>
          <w:szCs w:val="18"/>
          <w:color w:val="auto"/>
        </w:rPr>
      </w:pPr>
    </w:p>
    <w:p>
      <w:pPr>
        <w:ind w:left="4700" w:hanging="104"/>
        <w:spacing w:after="0"/>
        <w:tabs>
          <w:tab w:leader="none" w:pos="4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ectPr>
          <w:pgSz w:w="11900" w:h="16838" w:orient="portrait"/>
          <w:cols w:equalWidth="0" w:num="1">
            <w:col w:w="10820"/>
          </w:cols>
          <w:pgMar w:left="240" w:top="419"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99"/>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419" w:right="8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Use of Proceeds</w:t>
            </w:r>
          </w:p>
        </w:tc>
        <w:tc>
          <w:tcPr>
            <w:tcW w:w="6020" w:type="dxa"/>
            <w:vAlign w:val="bottom"/>
          </w:tcPr>
          <w:p>
            <w:pPr>
              <w:ind w:left="1220"/>
              <w:spacing w:after="0"/>
              <w:rPr>
                <w:sz w:val="20"/>
                <w:szCs w:val="20"/>
                <w:color w:val="auto"/>
              </w:rPr>
            </w:pPr>
            <w:r>
              <w:rPr>
                <w:rFonts w:ascii="Arial" w:cs="Arial" w:eastAsia="Arial" w:hAnsi="Arial"/>
                <w:sz w:val="18"/>
                <w:szCs w:val="18"/>
                <w:color w:val="auto"/>
                <w:w w:val="92"/>
              </w:rPr>
              <w:t>We expect the net proceeds from the offering of the notes to be $</w:t>
            </w:r>
          </w:p>
        </w:tc>
        <w:tc>
          <w:tcPr>
            <w:tcW w:w="1420" w:type="dxa"/>
            <w:vAlign w:val="bottom"/>
          </w:tcPr>
          <w:p>
            <w:pPr>
              <w:ind w:left="140"/>
              <w:spacing w:after="0"/>
              <w:rPr>
                <w:sz w:val="20"/>
                <w:szCs w:val="20"/>
                <w:color w:val="auto"/>
              </w:rPr>
            </w:pPr>
            <w:r>
              <w:rPr>
                <w:rFonts w:ascii="Arial" w:cs="Arial" w:eastAsia="Arial" w:hAnsi="Arial"/>
                <w:sz w:val="18"/>
                <w:szCs w:val="18"/>
                <w:color w:val="auto"/>
              </w:rPr>
              <w:t>million, after</w:t>
            </w:r>
          </w:p>
        </w:tc>
      </w:tr>
      <w:tr>
        <w:trPr>
          <w:trHeight w:val="216"/>
        </w:trPr>
        <w:tc>
          <w:tcPr>
            <w:tcW w:w="2460" w:type="dxa"/>
            <w:vAlign w:val="bottom"/>
          </w:tcPr>
          <w:p>
            <w:pPr>
              <w:spacing w:after="0"/>
              <w:rPr>
                <w:sz w:val="18"/>
                <w:szCs w:val="18"/>
                <w:color w:val="auto"/>
              </w:rPr>
            </w:pPr>
          </w:p>
        </w:tc>
        <w:tc>
          <w:tcPr>
            <w:tcW w:w="7440" w:type="dxa"/>
            <w:vAlign w:val="bottom"/>
            <w:gridSpan w:val="2"/>
          </w:tcPr>
          <w:p>
            <w:pPr>
              <w:ind w:left="1220"/>
              <w:spacing w:after="0"/>
              <w:rPr>
                <w:sz w:val="20"/>
                <w:szCs w:val="20"/>
                <w:color w:val="auto"/>
              </w:rPr>
            </w:pPr>
            <w:r>
              <w:rPr>
                <w:rFonts w:ascii="Arial" w:cs="Arial" w:eastAsia="Arial" w:hAnsi="Arial"/>
                <w:sz w:val="18"/>
                <w:szCs w:val="18"/>
                <w:color w:val="auto"/>
                <w:w w:val="93"/>
              </w:rPr>
              <w:t>deducting the underwriting discount and estimated expenses of the offering that we</w:t>
            </w:r>
          </w:p>
        </w:tc>
      </w:tr>
      <w:tr>
        <w:trPr>
          <w:trHeight w:val="216"/>
        </w:trPr>
        <w:tc>
          <w:tcPr>
            <w:tcW w:w="2460" w:type="dxa"/>
            <w:vAlign w:val="bottom"/>
          </w:tcPr>
          <w:p>
            <w:pPr>
              <w:spacing w:after="0"/>
              <w:rPr>
                <w:sz w:val="18"/>
                <w:szCs w:val="18"/>
                <w:color w:val="auto"/>
              </w:rPr>
            </w:pPr>
          </w:p>
        </w:tc>
        <w:tc>
          <w:tcPr>
            <w:tcW w:w="7440" w:type="dxa"/>
            <w:vAlign w:val="bottom"/>
            <w:gridSpan w:val="2"/>
          </w:tcPr>
          <w:p>
            <w:pPr>
              <w:ind w:left="1220"/>
              <w:spacing w:after="0"/>
              <w:rPr>
                <w:sz w:val="20"/>
                <w:szCs w:val="20"/>
                <w:color w:val="auto"/>
              </w:rPr>
            </w:pPr>
            <w:r>
              <w:rPr>
                <w:rFonts w:ascii="Arial" w:cs="Arial" w:eastAsia="Arial" w:hAnsi="Arial"/>
                <w:sz w:val="18"/>
                <w:szCs w:val="18"/>
                <w:color w:val="auto"/>
                <w:w w:val="91"/>
              </w:rPr>
              <w:t>will pay. We intend to use the net proceeds from the offering of the notes to repay the</w:t>
            </w:r>
          </w:p>
        </w:tc>
      </w:tr>
      <w:tr>
        <w:trPr>
          <w:trHeight w:val="216"/>
        </w:trPr>
        <w:tc>
          <w:tcPr>
            <w:tcW w:w="2460" w:type="dxa"/>
            <w:vAlign w:val="bottom"/>
          </w:tcPr>
          <w:p>
            <w:pPr>
              <w:spacing w:after="0"/>
              <w:rPr>
                <w:sz w:val="18"/>
                <w:szCs w:val="18"/>
                <w:color w:val="auto"/>
              </w:rPr>
            </w:pPr>
          </w:p>
        </w:tc>
        <w:tc>
          <w:tcPr>
            <w:tcW w:w="7440" w:type="dxa"/>
            <w:vAlign w:val="bottom"/>
            <w:gridSpan w:val="2"/>
          </w:tcPr>
          <w:p>
            <w:pPr>
              <w:ind w:left="1220"/>
              <w:spacing w:after="0"/>
              <w:rPr>
                <w:sz w:val="20"/>
                <w:szCs w:val="20"/>
                <w:color w:val="auto"/>
              </w:rPr>
            </w:pPr>
            <w:r>
              <w:rPr>
                <w:rFonts w:ascii="Arial" w:cs="Arial" w:eastAsia="Arial" w:hAnsi="Arial"/>
                <w:sz w:val="18"/>
                <w:szCs w:val="18"/>
                <w:color w:val="auto"/>
                <w:w w:val="93"/>
              </w:rPr>
              <w:t>approximately $147 million principal amount of our outstanding 7.65% Senior Notes</w:t>
            </w:r>
          </w:p>
        </w:tc>
      </w:tr>
      <w:tr>
        <w:trPr>
          <w:trHeight w:val="216"/>
        </w:trPr>
        <w:tc>
          <w:tcPr>
            <w:tcW w:w="2460" w:type="dxa"/>
            <w:vAlign w:val="bottom"/>
          </w:tcPr>
          <w:p>
            <w:pPr>
              <w:spacing w:after="0"/>
              <w:rPr>
                <w:sz w:val="18"/>
                <w:szCs w:val="18"/>
                <w:color w:val="auto"/>
              </w:rPr>
            </w:pPr>
          </w:p>
        </w:tc>
        <w:tc>
          <w:tcPr>
            <w:tcW w:w="7440" w:type="dxa"/>
            <w:vAlign w:val="bottom"/>
            <w:gridSpan w:val="2"/>
          </w:tcPr>
          <w:p>
            <w:pPr>
              <w:ind w:left="1220"/>
              <w:spacing w:after="0"/>
              <w:rPr>
                <w:sz w:val="20"/>
                <w:szCs w:val="20"/>
                <w:color w:val="auto"/>
              </w:rPr>
            </w:pPr>
            <w:r>
              <w:rPr>
                <w:rFonts w:ascii="Arial" w:cs="Arial" w:eastAsia="Arial" w:hAnsi="Arial"/>
                <w:sz w:val="18"/>
                <w:szCs w:val="18"/>
                <w:color w:val="auto"/>
                <w:w w:val="92"/>
              </w:rPr>
              <w:t>when they mature in March 2011, plus accrued and unpaid interest of approximately</w:t>
            </w:r>
          </w:p>
        </w:tc>
      </w:tr>
      <w:tr>
        <w:trPr>
          <w:trHeight w:val="216"/>
        </w:trPr>
        <w:tc>
          <w:tcPr>
            <w:tcW w:w="2460" w:type="dxa"/>
            <w:vAlign w:val="bottom"/>
          </w:tcPr>
          <w:p>
            <w:pPr>
              <w:spacing w:after="0"/>
              <w:rPr>
                <w:sz w:val="18"/>
                <w:szCs w:val="18"/>
                <w:color w:val="auto"/>
              </w:rPr>
            </w:pPr>
          </w:p>
        </w:tc>
        <w:tc>
          <w:tcPr>
            <w:tcW w:w="7440" w:type="dxa"/>
            <w:vAlign w:val="bottom"/>
            <w:gridSpan w:val="2"/>
          </w:tcPr>
          <w:p>
            <w:pPr>
              <w:ind w:left="1220"/>
              <w:spacing w:after="0"/>
              <w:rPr>
                <w:sz w:val="20"/>
                <w:szCs w:val="20"/>
                <w:color w:val="auto"/>
              </w:rPr>
            </w:pPr>
            <w:r>
              <w:rPr>
                <w:rFonts w:ascii="Arial" w:cs="Arial" w:eastAsia="Arial" w:hAnsi="Arial"/>
                <w:sz w:val="18"/>
                <w:szCs w:val="18"/>
                <w:color w:val="auto"/>
                <w:w w:val="96"/>
              </w:rPr>
              <w:t>$5.6 million. All remaining proceeds will be used for general corporate purposes,</w:t>
            </w:r>
          </w:p>
        </w:tc>
      </w:tr>
      <w:tr>
        <w:trPr>
          <w:trHeight w:val="216"/>
        </w:trPr>
        <w:tc>
          <w:tcPr>
            <w:tcW w:w="2460" w:type="dxa"/>
            <w:vAlign w:val="bottom"/>
          </w:tcPr>
          <w:p>
            <w:pPr>
              <w:spacing w:after="0"/>
              <w:rPr>
                <w:sz w:val="18"/>
                <w:szCs w:val="18"/>
                <w:color w:val="auto"/>
              </w:rPr>
            </w:pPr>
          </w:p>
        </w:tc>
        <w:tc>
          <w:tcPr>
            <w:tcW w:w="7440" w:type="dxa"/>
            <w:vAlign w:val="bottom"/>
            <w:gridSpan w:val="2"/>
          </w:tcPr>
          <w:p>
            <w:pPr>
              <w:ind w:left="1220"/>
              <w:spacing w:after="0"/>
              <w:rPr>
                <w:sz w:val="20"/>
                <w:szCs w:val="20"/>
                <w:color w:val="auto"/>
              </w:rPr>
            </w:pPr>
            <w:r>
              <w:rPr>
                <w:rFonts w:ascii="Arial" w:cs="Arial" w:eastAsia="Arial" w:hAnsi="Arial"/>
                <w:sz w:val="18"/>
                <w:szCs w:val="18"/>
                <w:color w:val="auto"/>
              </w:rPr>
              <w:t>including additions to working capital, capital expenditures and the funding of</w:t>
            </w:r>
          </w:p>
        </w:tc>
      </w:tr>
      <w:tr>
        <w:trPr>
          <w:trHeight w:val="216"/>
        </w:trPr>
        <w:tc>
          <w:tcPr>
            <w:tcW w:w="2460" w:type="dxa"/>
            <w:vAlign w:val="bottom"/>
          </w:tcPr>
          <w:p>
            <w:pPr>
              <w:spacing w:after="0"/>
              <w:rPr>
                <w:sz w:val="18"/>
                <w:szCs w:val="18"/>
                <w:color w:val="auto"/>
              </w:rPr>
            </w:pPr>
          </w:p>
        </w:tc>
        <w:tc>
          <w:tcPr>
            <w:tcW w:w="7440" w:type="dxa"/>
            <w:vAlign w:val="bottom"/>
            <w:gridSpan w:val="2"/>
          </w:tcPr>
          <w:p>
            <w:pPr>
              <w:ind w:left="1220"/>
              <w:spacing w:after="0"/>
              <w:rPr>
                <w:sz w:val="20"/>
                <w:szCs w:val="20"/>
                <w:color w:val="auto"/>
              </w:rPr>
            </w:pPr>
            <w:r>
              <w:rPr>
                <w:rFonts w:ascii="Arial" w:cs="Arial" w:eastAsia="Arial" w:hAnsi="Arial"/>
                <w:sz w:val="18"/>
                <w:szCs w:val="18"/>
                <w:color w:val="auto"/>
                <w:w w:val="93"/>
              </w:rPr>
              <w:t>potential acquisitions and investments in businesses. See “Use of Proceeds” in this</w:t>
            </w:r>
          </w:p>
        </w:tc>
      </w:tr>
      <w:tr>
        <w:trPr>
          <w:trHeight w:val="230"/>
        </w:trPr>
        <w:tc>
          <w:tcPr>
            <w:tcW w:w="2460" w:type="dxa"/>
            <w:vAlign w:val="bottom"/>
          </w:tcPr>
          <w:p>
            <w:pPr>
              <w:spacing w:after="0"/>
              <w:rPr>
                <w:sz w:val="20"/>
                <w:szCs w:val="20"/>
                <w:color w:val="auto"/>
              </w:rPr>
            </w:pPr>
          </w:p>
        </w:tc>
        <w:tc>
          <w:tcPr>
            <w:tcW w:w="6020" w:type="dxa"/>
            <w:vAlign w:val="bottom"/>
          </w:tcPr>
          <w:p>
            <w:pPr>
              <w:ind w:left="1220"/>
              <w:spacing w:after="0"/>
              <w:rPr>
                <w:sz w:val="20"/>
                <w:szCs w:val="20"/>
                <w:color w:val="auto"/>
              </w:rPr>
            </w:pPr>
            <w:r>
              <w:rPr>
                <w:rFonts w:ascii="Arial" w:cs="Arial" w:eastAsia="Arial" w:hAnsi="Arial"/>
                <w:sz w:val="18"/>
                <w:szCs w:val="18"/>
                <w:color w:val="auto"/>
              </w:rPr>
              <w:t>prospectus supplement.</w:t>
            </w:r>
          </w:p>
        </w:tc>
        <w:tc>
          <w:tcPr>
            <w:tcW w:w="1420" w:type="dxa"/>
            <w:vAlign w:val="bottom"/>
          </w:tcPr>
          <w:p>
            <w:pPr>
              <w:spacing w:after="0"/>
              <w:rPr>
                <w:sz w:val="20"/>
                <w:szCs w:val="20"/>
                <w:color w:val="auto"/>
              </w:rPr>
            </w:pPr>
          </w:p>
        </w:tc>
      </w:tr>
      <w:tr>
        <w:trPr>
          <w:trHeight w:val="324"/>
        </w:trPr>
        <w:tc>
          <w:tcPr>
            <w:tcW w:w="2460" w:type="dxa"/>
            <w:vAlign w:val="bottom"/>
          </w:tcPr>
          <w:p>
            <w:pPr>
              <w:spacing w:after="0"/>
              <w:rPr>
                <w:sz w:val="20"/>
                <w:szCs w:val="20"/>
                <w:color w:val="auto"/>
              </w:rPr>
            </w:pPr>
            <w:r>
              <w:rPr>
                <w:rFonts w:ascii="Arial" w:cs="Arial" w:eastAsia="Arial" w:hAnsi="Arial"/>
                <w:sz w:val="18"/>
                <w:szCs w:val="18"/>
                <w:color w:val="auto"/>
              </w:rPr>
              <w:t>Trustee</w:t>
            </w:r>
          </w:p>
        </w:tc>
        <w:tc>
          <w:tcPr>
            <w:tcW w:w="6020" w:type="dxa"/>
            <w:vAlign w:val="bottom"/>
          </w:tcPr>
          <w:p>
            <w:pPr>
              <w:ind w:left="1220"/>
              <w:spacing w:after="0"/>
              <w:rPr>
                <w:sz w:val="20"/>
                <w:szCs w:val="20"/>
                <w:color w:val="auto"/>
              </w:rPr>
            </w:pPr>
            <w:r>
              <w:rPr>
                <w:rFonts w:ascii="Arial" w:cs="Arial" w:eastAsia="Arial" w:hAnsi="Arial"/>
                <w:sz w:val="18"/>
                <w:szCs w:val="18"/>
                <w:color w:val="auto"/>
              </w:rPr>
              <w:t>The Bank of New York Mellon Trust Company, N.A.</w:t>
            </w:r>
          </w:p>
        </w:tc>
        <w:tc>
          <w:tcPr>
            <w:tcW w:w="1420" w:type="dxa"/>
            <w:vAlign w:val="bottom"/>
          </w:tcPr>
          <w:p>
            <w:pPr>
              <w:spacing w:after="0"/>
              <w:rPr>
                <w:sz w:val="24"/>
                <w:szCs w:val="24"/>
                <w:color w:val="auto"/>
              </w:rPr>
            </w:pPr>
          </w:p>
        </w:tc>
      </w:tr>
      <w:tr>
        <w:trPr>
          <w:trHeight w:val="310"/>
        </w:trPr>
        <w:tc>
          <w:tcPr>
            <w:tcW w:w="2460" w:type="dxa"/>
            <w:vAlign w:val="bottom"/>
          </w:tcPr>
          <w:p>
            <w:pPr>
              <w:spacing w:after="0"/>
              <w:rPr>
                <w:sz w:val="20"/>
                <w:szCs w:val="20"/>
                <w:color w:val="auto"/>
              </w:rPr>
            </w:pPr>
            <w:r>
              <w:rPr>
                <w:rFonts w:ascii="Arial" w:cs="Arial" w:eastAsia="Arial" w:hAnsi="Arial"/>
                <w:sz w:val="18"/>
                <w:szCs w:val="18"/>
                <w:color w:val="auto"/>
              </w:rPr>
              <w:t>Additional Issues</w:t>
            </w:r>
          </w:p>
        </w:tc>
        <w:tc>
          <w:tcPr>
            <w:tcW w:w="7440" w:type="dxa"/>
            <w:vAlign w:val="bottom"/>
            <w:gridSpan w:val="2"/>
          </w:tcPr>
          <w:p>
            <w:pPr>
              <w:ind w:left="1220"/>
              <w:spacing w:after="0"/>
              <w:rPr>
                <w:sz w:val="20"/>
                <w:szCs w:val="20"/>
                <w:color w:val="auto"/>
              </w:rPr>
            </w:pPr>
            <w:r>
              <w:rPr>
                <w:rFonts w:ascii="Arial" w:cs="Arial" w:eastAsia="Arial" w:hAnsi="Arial"/>
                <w:sz w:val="18"/>
                <w:szCs w:val="18"/>
                <w:color w:val="auto"/>
                <w:w w:val="92"/>
              </w:rPr>
              <w:t>We may create and issue additional notes ranking equally and ratably with the notes</w:t>
            </w:r>
          </w:p>
        </w:tc>
      </w:tr>
      <w:tr>
        <w:trPr>
          <w:trHeight w:val="216"/>
        </w:trPr>
        <w:tc>
          <w:tcPr>
            <w:tcW w:w="2460" w:type="dxa"/>
            <w:vAlign w:val="bottom"/>
          </w:tcPr>
          <w:p>
            <w:pPr>
              <w:spacing w:after="0"/>
              <w:rPr>
                <w:sz w:val="18"/>
                <w:szCs w:val="18"/>
                <w:color w:val="auto"/>
              </w:rPr>
            </w:pPr>
          </w:p>
        </w:tc>
        <w:tc>
          <w:tcPr>
            <w:tcW w:w="7440" w:type="dxa"/>
            <w:vAlign w:val="bottom"/>
            <w:gridSpan w:val="2"/>
          </w:tcPr>
          <w:p>
            <w:pPr>
              <w:ind w:left="1220"/>
              <w:spacing w:after="0"/>
              <w:rPr>
                <w:sz w:val="20"/>
                <w:szCs w:val="20"/>
                <w:color w:val="auto"/>
              </w:rPr>
            </w:pPr>
            <w:r>
              <w:rPr>
                <w:rFonts w:ascii="Arial" w:cs="Arial" w:eastAsia="Arial" w:hAnsi="Arial"/>
                <w:sz w:val="18"/>
                <w:szCs w:val="18"/>
                <w:color w:val="auto"/>
                <w:w w:val="90"/>
              </w:rPr>
              <w:t>offered by this prospectus supplement in all respects, so that such additional notes will</w:t>
            </w:r>
          </w:p>
        </w:tc>
      </w:tr>
      <w:tr>
        <w:trPr>
          <w:trHeight w:val="216"/>
        </w:trPr>
        <w:tc>
          <w:tcPr>
            <w:tcW w:w="2460" w:type="dxa"/>
            <w:vAlign w:val="bottom"/>
          </w:tcPr>
          <w:p>
            <w:pPr>
              <w:spacing w:after="0"/>
              <w:rPr>
                <w:sz w:val="18"/>
                <w:szCs w:val="18"/>
                <w:color w:val="auto"/>
              </w:rPr>
            </w:pPr>
          </w:p>
        </w:tc>
        <w:tc>
          <w:tcPr>
            <w:tcW w:w="7440" w:type="dxa"/>
            <w:vAlign w:val="bottom"/>
            <w:gridSpan w:val="2"/>
          </w:tcPr>
          <w:p>
            <w:pPr>
              <w:ind w:left="1220"/>
              <w:spacing w:after="0"/>
              <w:rPr>
                <w:sz w:val="20"/>
                <w:szCs w:val="20"/>
                <w:color w:val="auto"/>
              </w:rPr>
            </w:pPr>
            <w:r>
              <w:rPr>
                <w:rFonts w:ascii="Arial" w:cs="Arial" w:eastAsia="Arial" w:hAnsi="Arial"/>
                <w:sz w:val="18"/>
                <w:szCs w:val="18"/>
                <w:color w:val="auto"/>
                <w:w w:val="95"/>
              </w:rPr>
              <w:t>be consolidated and form a single series with the notes offered by this prospectus</w:t>
            </w:r>
          </w:p>
        </w:tc>
      </w:tr>
      <w:tr>
        <w:trPr>
          <w:trHeight w:val="230"/>
        </w:trPr>
        <w:tc>
          <w:tcPr>
            <w:tcW w:w="2460" w:type="dxa"/>
            <w:vAlign w:val="bottom"/>
          </w:tcPr>
          <w:p>
            <w:pPr>
              <w:spacing w:after="0"/>
              <w:rPr>
                <w:sz w:val="20"/>
                <w:szCs w:val="20"/>
                <w:color w:val="auto"/>
              </w:rPr>
            </w:pPr>
          </w:p>
        </w:tc>
        <w:tc>
          <w:tcPr>
            <w:tcW w:w="7440" w:type="dxa"/>
            <w:vAlign w:val="bottom"/>
            <w:gridSpan w:val="2"/>
          </w:tcPr>
          <w:p>
            <w:pPr>
              <w:ind w:left="1220"/>
              <w:spacing w:after="0"/>
              <w:rPr>
                <w:sz w:val="20"/>
                <w:szCs w:val="20"/>
                <w:color w:val="auto"/>
              </w:rPr>
            </w:pPr>
            <w:r>
              <w:rPr>
                <w:rFonts w:ascii="Arial" w:cs="Arial" w:eastAsia="Arial" w:hAnsi="Arial"/>
                <w:sz w:val="18"/>
                <w:szCs w:val="18"/>
                <w:color w:val="auto"/>
                <w:w w:val="89"/>
              </w:rPr>
              <w:t>supplement and will have the same terms, as to status, redemption or otherwise except</w:t>
            </w:r>
          </w:p>
        </w:tc>
      </w:tr>
    </w:tbl>
    <w:p>
      <w:pPr>
        <w:ind w:left="4600" w:right="220"/>
        <w:spacing w:after="0" w:line="261" w:lineRule="auto"/>
        <w:rPr>
          <w:sz w:val="20"/>
          <w:szCs w:val="20"/>
          <w:color w:val="auto"/>
        </w:rPr>
      </w:pPr>
      <w:r>
        <w:rPr>
          <w:rFonts w:ascii="Arial" w:cs="Arial" w:eastAsia="Arial" w:hAnsi="Arial"/>
          <w:sz w:val="18"/>
          <w:szCs w:val="18"/>
          <w:color w:val="auto"/>
        </w:rPr>
        <w:t>for the issue date, the initial interest payment date, if applicable, and the payment of interest accruing prior to the issue date of such additional notes.</w:t>
      </w:r>
    </w:p>
    <w:p>
      <w:pPr>
        <w:spacing w:after="0" w:line="30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Ratio of Earnings to Fixed Charges</w:t>
      </w:r>
    </w:p>
    <w:p>
      <w:pPr>
        <w:spacing w:after="0" w:line="13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following table sets forth our ratio of earnings to fixed charges for each of the periods indicted:</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42"/>
        </w:trPr>
        <w:tc>
          <w:tcPr>
            <w:tcW w:w="6620" w:type="dxa"/>
            <w:vAlign w:val="bottom"/>
          </w:tcPr>
          <w:p>
            <w:pPr>
              <w:spacing w:after="0"/>
              <w:rPr>
                <w:sz w:val="12"/>
                <w:szCs w:val="12"/>
                <w:color w:val="auto"/>
              </w:rPr>
            </w:pPr>
          </w:p>
        </w:tc>
        <w:tc>
          <w:tcPr>
            <w:tcW w:w="40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2010</w:t>
            </w:r>
          </w:p>
        </w:tc>
        <w:tc>
          <w:tcPr>
            <w:tcW w:w="72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2009</w:t>
            </w:r>
          </w:p>
        </w:tc>
        <w:tc>
          <w:tcPr>
            <w:tcW w:w="70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2008</w:t>
            </w:r>
          </w:p>
        </w:tc>
        <w:tc>
          <w:tcPr>
            <w:tcW w:w="70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2007</w:t>
            </w:r>
          </w:p>
        </w:tc>
        <w:tc>
          <w:tcPr>
            <w:tcW w:w="7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r>
      <w:tr>
        <w:trPr>
          <w:trHeight w:val="264"/>
        </w:trPr>
        <w:tc>
          <w:tcPr>
            <w:tcW w:w="662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8"/>
              </w:rPr>
              <w:t>4.1x</w:t>
            </w:r>
          </w:p>
        </w:tc>
        <w:tc>
          <w:tcPr>
            <w:tcW w:w="3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8"/>
              </w:rPr>
              <w:t>4.0x</w:t>
            </w:r>
          </w:p>
        </w:tc>
        <w:tc>
          <w:tcPr>
            <w:tcW w:w="2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8"/>
              </w:rPr>
              <w:t>4.5x</w:t>
            </w:r>
          </w:p>
        </w:tc>
        <w:tc>
          <w:tcPr>
            <w:tcW w:w="2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2"/>
              </w:rPr>
              <w:t>4.0x</w:t>
            </w:r>
          </w:p>
        </w:tc>
        <w:tc>
          <w:tcPr>
            <w:tcW w:w="2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88"/>
              </w:rPr>
              <w:t>3.</w:t>
            </w:r>
            <w:r>
              <w:rPr>
                <w:rFonts w:ascii="Arial" w:cs="Arial" w:eastAsia="Arial" w:hAnsi="Arial"/>
                <w:sz w:val="18"/>
                <w:szCs w:val="18"/>
                <w:u w:val="single" w:color="auto"/>
                <w:color w:val="auto"/>
                <w:w w:val="88"/>
              </w:rPr>
              <w:t>5x</w:t>
            </w:r>
          </w:p>
        </w:tc>
      </w:tr>
      <w:tr>
        <w:trPr>
          <w:trHeight w:val="20"/>
        </w:trPr>
        <w:tc>
          <w:tcPr>
            <w:tcW w:w="6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920" w:right="120" w:firstLine="397"/>
        <w:spacing w:after="0" w:line="273" w:lineRule="auto"/>
        <w:rPr>
          <w:sz w:val="20"/>
          <w:szCs w:val="20"/>
          <w:color w:val="auto"/>
        </w:rPr>
      </w:pPr>
      <w:r>
        <w:rPr>
          <w:rFonts w:ascii="Arial" w:cs="Arial" w:eastAsia="Arial" w:hAnsi="Arial"/>
          <w:sz w:val="17"/>
          <w:szCs w:val="17"/>
          <w:color w:val="auto"/>
        </w:rPr>
        <w:t>We have computed the ratio of earnings to fixed charges by dividing earnings available for fixed charges by fixed charges. For this purpose, earnings available for fixed charges consist of consolidated earnings before taxes, cumulative effects of changes in accounting principles, losses in equity investments and fixed charges. Fixed charges consist of interest expense, capitalized interest, and the portion of our operating lease rental expense that represents an interest factor, which we refer to as implicit interest in rents. For a calculation of our ratio of earnings to fixed charges, see Exhibit 12.1, “Computation of Ratio of Earnings to Fixed Charges,” to our Annual Report on Form 10-K for the year ended December 31, 2010.</w:t>
      </w:r>
    </w:p>
    <w:p>
      <w:pPr>
        <w:sectPr>
          <w:pgSz w:w="11900" w:h="16838" w:orient="portrait"/>
          <w:cols w:equalWidth="0" w:num="1">
            <w:col w:w="10860"/>
          </w:cols>
          <w:pgMar w:left="240" w:top="419"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459"/>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right="20" w:firstLine="397"/>
        <w:spacing w:after="0" w:line="253" w:lineRule="auto"/>
        <w:rPr>
          <w:sz w:val="20"/>
          <w:szCs w:val="20"/>
          <w:color w:val="auto"/>
        </w:rPr>
      </w:pPr>
      <w:r>
        <w:rPr>
          <w:rFonts w:ascii="Arial" w:cs="Arial" w:eastAsia="Arial" w:hAnsi="Arial"/>
          <w:sz w:val="18"/>
          <w:szCs w:val="18"/>
          <w:i w:val="1"/>
          <w:iCs w:val="1"/>
          <w:color w:val="auto"/>
        </w:rPr>
        <w:t>You should carefully consider the risk factors identified in Part 1, Item 1A, “Risk Factors,” of our Annual Report on Form 10-K for the year ended December 31, 2010 before making an investment in the notes. You should also carefully consider the risks described below, the other information set forth in this prospectus supplement, the accompanying prospectus, any free writing prospectus prepared by or on behalf of us and the documents incorporated by reference in this prospectus supplement before making an investment decision in the notes. Additional risks and uncertainties not presently known to us, or that we currently deem immaterial, may also materially impair our business operations. The events discussed in the risk factors included or incorporated by reference in this prospectus supplement and the accompanying prospectus may occur. If they do, our business, results of operations or financial condition could be materially adversely affected. In such case, the trading price of our securities, including the notes, could decline and you might lose all or part of your investment.</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the Notes</w:t>
      </w:r>
    </w:p>
    <w:p>
      <w:pPr>
        <w:spacing w:after="0" w:line="135" w:lineRule="exact"/>
        <w:rPr>
          <w:sz w:val="20"/>
          <w:szCs w:val="20"/>
          <w:color w:val="auto"/>
        </w:rPr>
      </w:pPr>
    </w:p>
    <w:p>
      <w:pPr>
        <w:ind w:left="900" w:right="400"/>
        <w:spacing w:after="0" w:line="277" w:lineRule="auto"/>
        <w:rPr>
          <w:sz w:val="20"/>
          <w:szCs w:val="20"/>
          <w:color w:val="auto"/>
        </w:rPr>
      </w:pPr>
      <w:r>
        <w:rPr>
          <w:rFonts w:ascii="Arial" w:cs="Arial" w:eastAsia="Arial" w:hAnsi="Arial"/>
          <w:sz w:val="18"/>
          <w:szCs w:val="18"/>
          <w:b w:val="1"/>
          <w:bCs w:val="1"/>
          <w:i w:val="1"/>
          <w:iCs w:val="1"/>
          <w:color w:val="auto"/>
        </w:rPr>
        <w:t>Our substantial indebtedness could impair our financial condition and our ability to fulfill our debt obligations, including our obligations under the notes.</w:t>
      </w:r>
    </w:p>
    <w:p>
      <w:pPr>
        <w:spacing w:after="0" w:line="76"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We have substantial indebtedness. At December 31, 2010, our ratio of total debt to total capitalization was 57.5% and our total consolidated indebtedness was $8.91 billion. In addition, as of December 31, 2010, we had approximately $1.64 billion of letters of credit outstanding under our $2.0 billion revolving credit facility and letter of credit facilities. Our level of indebtedness and the covenants contained in the agreements governing our debt could have important consequences, including:</w:t>
      </w:r>
    </w:p>
    <w:p>
      <w:pPr>
        <w:spacing w:after="0" w:line="77" w:lineRule="exact"/>
        <w:rPr>
          <w:sz w:val="20"/>
          <w:szCs w:val="20"/>
          <w:color w:val="auto"/>
        </w:rPr>
      </w:pPr>
    </w:p>
    <w:p>
      <w:pPr>
        <w:ind w:left="1300" w:right="40" w:hanging="20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the notes and our other indebtedness, which could in turn result in an event of default on such other indebtedness or the notes;</w:t>
      </w:r>
    </w:p>
    <w:p>
      <w:pPr>
        <w:spacing w:after="0" w:line="62" w:lineRule="exact"/>
        <w:rPr>
          <w:rFonts w:ascii="Arial" w:cs="Arial" w:eastAsia="Arial" w:hAnsi="Arial"/>
          <w:sz w:val="18"/>
          <w:szCs w:val="18"/>
          <w:color w:val="auto"/>
        </w:rPr>
      </w:pPr>
    </w:p>
    <w:p>
      <w:pPr>
        <w:ind w:left="1300" w:right="200" w:hanging="20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impairing our ability to obtain additional financing in the future for working capital, capital expenditures, acquisitions, general corporate purposes or other purposes;</w:t>
      </w:r>
    </w:p>
    <w:p>
      <w:pPr>
        <w:spacing w:after="0" w:line="62" w:lineRule="exact"/>
        <w:rPr>
          <w:rFonts w:ascii="Arial" w:cs="Arial" w:eastAsia="Arial" w:hAnsi="Arial"/>
          <w:sz w:val="18"/>
          <w:szCs w:val="18"/>
          <w:color w:val="auto"/>
        </w:rPr>
      </w:pPr>
    </w:p>
    <w:p>
      <w:pPr>
        <w:ind w:left="1300" w:right="320" w:hanging="202"/>
        <w:spacing w:after="0" w:line="342" w:lineRule="auto"/>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requiring us to dedicate a substantial portion of our cash flow from operations to debt service payments, thereby reducing the availability of cash for working capital, capital expenditures, acquisitions, general corporate purposes or other purposes;</w:t>
      </w:r>
    </w:p>
    <w:p>
      <w:pPr>
        <w:spacing w:after="0" w:line="15" w:lineRule="exact"/>
        <w:rPr>
          <w:rFonts w:ascii="Arial" w:cs="Arial" w:eastAsia="Arial" w:hAnsi="Arial"/>
          <w:sz w:val="16"/>
          <w:szCs w:val="16"/>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proportionately less debt; and</w:t>
      </w:r>
    </w:p>
    <w:p>
      <w:pPr>
        <w:spacing w:after="0" w:line="117" w:lineRule="exact"/>
        <w:rPr>
          <w:rFonts w:ascii="Arial" w:cs="Arial" w:eastAsia="Arial" w:hAnsi="Arial"/>
          <w:sz w:val="18"/>
          <w:szCs w:val="18"/>
          <w:color w:val="auto"/>
        </w:rPr>
      </w:pPr>
    </w:p>
    <w:p>
      <w:pPr>
        <w:ind w:left="1300" w:right="580" w:hanging="20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making us vulnerable to increases in interest rates, as $1.8 billion of our total debt as of December 31, 2010 is exposed to changes in market interest rates within the next twelve months.</w:t>
      </w:r>
    </w:p>
    <w:p>
      <w:pPr>
        <w:spacing w:after="0" w:line="76"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We are not prohibited under the indenture governing the notes from incurring additional indebtedness. Although our $2.0 billion revolving credit facility requires us to comply with specified ratios of Total Debt to EBITDA and EBIT to Consolidated Total Interest Expense (each as defined in our revolving credit facility), as of December 31, 2010 and after giving effect to the offering of the notes, we have the ability to incur substantial additional indebtedness while remaining in compliance with these ratios. Our incurrence of significant additional indebtedness would exacerbate the negative consequences mentioned above, and could adversely affect our ability to service and repay the notes.</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We are a holding company and we depend upon cash distributions from our subsidiaries to service our debt.</w:t>
      </w:r>
    </w:p>
    <w:p>
      <w:pPr>
        <w:spacing w:after="0" w:line="131" w:lineRule="exact"/>
        <w:rPr>
          <w:sz w:val="20"/>
          <w:szCs w:val="20"/>
          <w:color w:val="auto"/>
        </w:rPr>
      </w:pPr>
    </w:p>
    <w:p>
      <w:pPr>
        <w:jc w:val="both"/>
        <w:ind w:left="700" w:right="60" w:firstLine="397"/>
        <w:spacing w:after="0" w:line="264" w:lineRule="auto"/>
        <w:rPr>
          <w:sz w:val="20"/>
          <w:szCs w:val="20"/>
          <w:color w:val="auto"/>
        </w:rPr>
      </w:pPr>
      <w:r>
        <w:rPr>
          <w:rFonts w:ascii="Arial" w:cs="Arial" w:eastAsia="Arial" w:hAnsi="Arial"/>
          <w:sz w:val="18"/>
          <w:szCs w:val="18"/>
          <w:color w:val="auto"/>
        </w:rPr>
        <w:t>As a holding company, we conduct our operations through our operating subsidiaries, and our only significant assets are the capital stock of our subsidiaries. Accordingly, our ability to meet our cash obligations, including our obligations under the notes, depends in part upon the ability of our subsidiaries to make cash</w:t>
      </w:r>
    </w:p>
    <w:p>
      <w:pPr>
        <w:spacing w:after="0" w:line="3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76" w:lineRule="auto"/>
        <w:rPr>
          <w:sz w:val="20"/>
          <w:szCs w:val="20"/>
          <w:color w:val="auto"/>
        </w:rPr>
      </w:pPr>
      <w:r>
        <w:rPr>
          <w:rFonts w:ascii="Arial" w:cs="Arial" w:eastAsia="Arial" w:hAnsi="Arial"/>
          <w:sz w:val="17"/>
          <w:szCs w:val="17"/>
          <w:color w:val="auto"/>
        </w:rPr>
        <w:t>distributions to us. Any of our subsidiaries’ declaration of bankruptcy, liquidation or reorganization could materially adversely affect their ability to make cash distributions to us. Additionally, the ability of our subsidiaries to make distributions to us is, and will continue to be, restricted by, among other limitations, applicable provisions of federal and state law and contractual provisions. Any inability of our operating subsidiaries to make dividends or distributions to us, whether by reason of financial difficulties or other restrictions, could have a material adverse effect on our ability to service and repay our debt, including the notes.</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The notes will be effectively subordinated to certain of our subsidiaries’ debt and secured debt.</w:t>
      </w:r>
    </w:p>
    <w:p>
      <w:pPr>
        <w:spacing w:after="0" w:line="131" w:lineRule="exact"/>
        <w:rPr>
          <w:sz w:val="20"/>
          <w:szCs w:val="20"/>
          <w:color w:val="auto"/>
        </w:rPr>
      </w:pPr>
    </w:p>
    <w:p>
      <w:pPr>
        <w:ind w:left="700" w:right="80" w:firstLine="397"/>
        <w:spacing w:after="0" w:line="284" w:lineRule="auto"/>
        <w:rPr>
          <w:sz w:val="20"/>
          <w:szCs w:val="20"/>
          <w:color w:val="auto"/>
        </w:rPr>
      </w:pPr>
      <w:r>
        <w:rPr>
          <w:rFonts w:ascii="Arial" w:cs="Arial" w:eastAsia="Arial" w:hAnsi="Arial"/>
          <w:sz w:val="16"/>
          <w:szCs w:val="16"/>
          <w:color w:val="auto"/>
        </w:rPr>
        <w:t>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governing the notes does not limit the amount of debt our subsidiaries can incur, and it permits us to incur some secured debt. As of December 31, 2010, we had approximately $30 million of outstanding secured indebtedness. As of December 31, 2010, our operating subsidiaries had $3.36 billion of indebtedness and</w:t>
      </w:r>
    </w:p>
    <w:p>
      <w:pPr>
        <w:spacing w:after="0" w:line="3" w:lineRule="exact"/>
        <w:rPr>
          <w:sz w:val="20"/>
          <w:szCs w:val="20"/>
          <w:color w:val="auto"/>
        </w:rPr>
      </w:pPr>
    </w:p>
    <w:p>
      <w:pPr>
        <w:ind w:left="700" w:right="120"/>
        <w:spacing w:after="0" w:line="323" w:lineRule="auto"/>
        <w:rPr>
          <w:sz w:val="20"/>
          <w:szCs w:val="20"/>
          <w:color w:val="auto"/>
        </w:rPr>
      </w:pPr>
      <w:r>
        <w:rPr>
          <w:rFonts w:ascii="Arial" w:cs="Arial" w:eastAsia="Arial" w:hAnsi="Arial"/>
          <w:sz w:val="16"/>
          <w:szCs w:val="16"/>
          <w:color w:val="auto"/>
        </w:rPr>
        <w:t>WM Holdings had $597 million of indebtedness (excluding guarantees of $4.78 billion of our senior debt), in each case excluding intercompany loans. For a description of the ranking of the notes, see “Description of Notes — Ranking” in this prospectus supplement.</w:t>
      </w:r>
    </w:p>
    <w:p>
      <w:pPr>
        <w:spacing w:after="0" w:line="15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Fraudulent transfer statutes may limit your rights under the guarantee of the notes.</w:t>
      </w:r>
    </w:p>
    <w:p>
      <w:pPr>
        <w:spacing w:after="0" w:line="131"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color w:val="auto"/>
        </w:rPr>
        <w:t>Our obligations under the notes will be guaranteed by our wholly owned subsidiary, WM Holdings. The guarantee may be subject to review under various laws for the protection of creditors. It is possible that the creditors of WM Holdings may challenge the guarantee as a fraudulent transfer under relevant federal and state laws. Under certain circumstances, including a finding that WM Holdings was insolvent at the time its guarantee was issued, a court could hold that the obligations of WM Holdings under the guarantee may be voided or are subordinate to other obligations of WM Holdings, or that the amount for which WM Holdings is liable under its guarantee of the notes may be limited. Different jurisdictions define “insolvency” differently, and we cannot assure you as to what standard a court would apply to determine whether WM Holdings was insolvent. If a court determined that WM Holdings was insolvent on the date the guarantee of the notes was issued, or that the guarantee constituted a fraudulent transfer on another ground, the claims of creditors of WM Holdings would effectively have priority with respect to WM Holdings’ assets and earnings over the claims of the holders of the notes.</w:t>
      </w:r>
    </w:p>
    <w:p>
      <w:pPr>
        <w:spacing w:after="0" w:line="208" w:lineRule="exact"/>
        <w:rPr>
          <w:sz w:val="20"/>
          <w:szCs w:val="20"/>
          <w:color w:val="auto"/>
        </w:rPr>
      </w:pPr>
    </w:p>
    <w:p>
      <w:pPr>
        <w:ind w:left="900" w:right="420"/>
        <w:spacing w:after="0" w:line="277" w:lineRule="auto"/>
        <w:rPr>
          <w:sz w:val="20"/>
          <w:szCs w:val="20"/>
          <w:color w:val="auto"/>
        </w:rPr>
      </w:pPr>
      <w:r>
        <w:rPr>
          <w:rFonts w:ascii="Arial" w:cs="Arial" w:eastAsia="Arial" w:hAnsi="Arial"/>
          <w:sz w:val="18"/>
          <w:szCs w:val="18"/>
          <w:b w:val="1"/>
          <w:bCs w:val="1"/>
          <w:i w:val="1"/>
          <w:iCs w:val="1"/>
          <w:color w:val="auto"/>
        </w:rPr>
        <w:t>We may not have sufficient funds to purchase the notes upon a change of control triggering event, and this covenant provides limited protection to investors.</w:t>
      </w:r>
    </w:p>
    <w:p>
      <w:pPr>
        <w:spacing w:after="0" w:line="76" w:lineRule="exact"/>
        <w:rPr>
          <w:sz w:val="20"/>
          <w:szCs w:val="20"/>
          <w:color w:val="auto"/>
        </w:rPr>
      </w:pPr>
    </w:p>
    <w:p>
      <w:pPr>
        <w:ind w:left="700" w:right="360" w:firstLine="397"/>
        <w:spacing w:after="0" w:line="302" w:lineRule="auto"/>
        <w:rPr>
          <w:sz w:val="20"/>
          <w:szCs w:val="20"/>
          <w:color w:val="auto"/>
        </w:rPr>
      </w:pPr>
      <w:r>
        <w:rPr>
          <w:rFonts w:ascii="Arial" w:cs="Arial" w:eastAsia="Arial" w:hAnsi="Arial"/>
          <w:sz w:val="16"/>
          <w:szCs w:val="16"/>
          <w:color w:val="auto"/>
        </w:rPr>
        <w:t>Holders of the notes may require us to purchase their notes upon a “change of control triggering event” as defined under “Description of Notes — Change of Control Offer” in this prospectus supplement. We cannot assure you that we will have sufficient financial resources, or will be able to arrange sufficient financing, to pay the purchase price of the notes, particularly if a change of control event triggers a similar repurchase requirement for, or results in the acceleration of, our other then existing debt.</w:t>
      </w:r>
    </w:p>
    <w:p>
      <w:pPr>
        <w:spacing w:after="0" w:line="60" w:lineRule="exact"/>
        <w:rPr>
          <w:sz w:val="20"/>
          <w:szCs w:val="20"/>
          <w:color w:val="auto"/>
        </w:rPr>
      </w:pPr>
    </w:p>
    <w:p>
      <w:pPr>
        <w:ind w:left="700" w:right="100" w:firstLine="397"/>
        <w:spacing w:after="0" w:line="297" w:lineRule="auto"/>
        <w:rPr>
          <w:sz w:val="20"/>
          <w:szCs w:val="20"/>
          <w:color w:val="auto"/>
        </w:rPr>
      </w:pPr>
      <w:r>
        <w:rPr>
          <w:rFonts w:ascii="Arial" w:cs="Arial" w:eastAsia="Arial" w:hAnsi="Arial"/>
          <w:sz w:val="16"/>
          <w:szCs w:val="16"/>
          <w:color w:val="auto"/>
        </w:rPr>
        <w:t>The change of control offer covenant is limited to the transactions specified in “Description of Notes — 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pacing w:after="0" w:line="34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You may not be able to sell the notes.</w:t>
      </w:r>
    </w:p>
    <w:p>
      <w:pPr>
        <w:spacing w:after="0" w:line="131"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The notes will be a new issue of securities. There is no existing active trading market for the notes, and a market may never develop. We do not currently intend to apply for listing of the notes on any securities exchange. If a market does not develop, you may be unable to resell the notes for a long time, if at all. If the notes are traded after their initial issuance, they may trade at a discount from their respective initial offering prices. Factors that could cause the notes to trade at a discount are:</w:t>
      </w:r>
    </w:p>
    <w:p>
      <w:pPr>
        <w:spacing w:after="0" w:line="77" w:lineRule="exact"/>
        <w:rPr>
          <w:sz w:val="20"/>
          <w:szCs w:val="20"/>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then prevailing interest rates;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decline in our credit worthiness based on our business, operating results or financial condition;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weakness in the markets for similar securities;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declining general economic conditions.</w:t>
      </w: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We expect the net proceeds from the offering of the notes to be $ million, after deducting the underwriting discount and estimated expenses of the offering that we will pay. We intend to use the net proceeds from the offering of the notes to repay the approximately $147 million principal amount of our outstanding 7.65% Senior Notes when they mature in March 2011, plus accrued and unpaid interest of approximately $5.6 million. All remaining proceeds will be used for general corporate purposes, including additions to working capital, capital expenditures and the funding of potential acquisitions and investments in businesses. Pending application of the offering proceeds as described, we may temporarily invest the proceeds in short-term investments.</w:t>
      </w:r>
    </w:p>
    <w:p>
      <w:pPr>
        <w:spacing w:after="0" w:line="36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CAPITALIZATION</w:t>
      </w:r>
    </w:p>
    <w:p>
      <w:pPr>
        <w:spacing w:after="0" w:line="135"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The following table sets forth our consolidated cash and cash equivalents and consolidated capitalization as of December 31, 2010 and as adjusted to give effect to the offering of the notes and the application of the estimated net proceeds as described under “Use of Proceeds” in this prospectus supplement.</w:t>
      </w:r>
    </w:p>
    <w:p>
      <w:pPr>
        <w:spacing w:after="0" w:line="87" w:lineRule="exact"/>
        <w:rPr>
          <w:sz w:val="20"/>
          <w:szCs w:val="20"/>
          <w:color w:val="auto"/>
        </w:rPr>
      </w:pPr>
    </w:p>
    <w:p>
      <w:pPr>
        <w:ind w:left="700" w:right="100" w:firstLine="397"/>
        <w:spacing w:after="0" w:line="312" w:lineRule="auto"/>
        <w:rPr>
          <w:sz w:val="20"/>
          <w:szCs w:val="20"/>
          <w:color w:val="auto"/>
        </w:rPr>
      </w:pPr>
      <w:r>
        <w:rPr>
          <w:rFonts w:ascii="Arial" w:cs="Arial" w:eastAsia="Arial" w:hAnsi="Arial"/>
          <w:sz w:val="16"/>
          <w:szCs w:val="16"/>
          <w:color w:val="auto"/>
        </w:rPr>
        <w:t>It is important that you read the following information along with the consolidated financial statements and notes thereto incorporated by reference in this prospectus supplement and the accompanying prospectus. See “Incorporation of Certain Documents by Reference” in this prospectus supplement and “Where You Can Find More Information” in the accompanying prospectus.</w:t>
      </w:r>
    </w:p>
    <w:p>
      <w:pPr>
        <w:spacing w:after="0" w:line="57"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3"/>
              </w:rPr>
              <w:t>Actual</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As 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w:t>
            </w: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Revolving credit facility(a)</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160"/>
              <w:spacing w:after="0"/>
              <w:rPr>
                <w:sz w:val="20"/>
                <w:szCs w:val="20"/>
                <w:color w:val="auto"/>
              </w:rPr>
            </w:pPr>
            <w:r>
              <w:rPr>
                <w:rFonts w:ascii="Arial" w:cs="Arial" w:eastAsia="Arial" w:hAnsi="Arial"/>
                <w:sz w:val="18"/>
                <w:szCs w:val="18"/>
                <w:color w:val="auto"/>
              </w:rPr>
              <w:t>Letter of credit facilities(a)</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Canadian credit facility, net of discount (weighted average interest rate of 2.2% at December 31, 2010)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160"/>
              <w:spacing w:after="0"/>
              <w:rPr>
                <w:sz w:val="20"/>
                <w:szCs w:val="20"/>
                <w:color w:val="auto"/>
              </w:rPr>
            </w:pPr>
            <w:r>
              <w:rPr>
                <w:rFonts w:ascii="Arial" w:cs="Arial" w:eastAsia="Arial" w:hAnsi="Arial"/>
                <w:sz w:val="18"/>
                <w:szCs w:val="18"/>
                <w:color w:val="auto"/>
              </w:rPr>
              <w:t>Senior notes and debentures —</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Maturing through 2039, interest rates ranging from 4.75% to 7.75% (weighted average interest rate of</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6.5% at December 31, 2010)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5,452</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420"/>
              <w:spacing w:after="0"/>
              <w:rPr>
                <w:sz w:val="20"/>
                <w:szCs w:val="20"/>
                <w:color w:val="auto"/>
              </w:rPr>
            </w:pPr>
            <w:r>
              <w:rPr>
                <w:rFonts w:ascii="Arial" w:cs="Arial" w:eastAsia="Arial" w:hAnsi="Arial"/>
                <w:sz w:val="18"/>
                <w:szCs w:val="18"/>
                <w:color w:val="auto"/>
              </w:rPr>
              <w:t>% Senior Notes due 2021 offered hereby (net of any unamortized discount)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Tax-exempt bonds maturing through 2039, fixed and variable interest rates ranging from 0.3% to 7.4%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(weighted average interest rate of 3.1% at December 31, 2010)(c)</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0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3"/>
              </w:rPr>
              <w:t>Tax-exempt project bonds, principal payable in periodic installments, maturing through 2029, fixed and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340"/>
              <w:spacing w:after="0"/>
              <w:rPr>
                <w:sz w:val="20"/>
                <w:szCs w:val="20"/>
                <w:color w:val="auto"/>
              </w:rPr>
            </w:pPr>
            <w:r>
              <w:rPr>
                <w:rFonts w:ascii="Arial" w:cs="Arial" w:eastAsia="Arial" w:hAnsi="Arial"/>
                <w:sz w:val="18"/>
                <w:szCs w:val="18"/>
                <w:color w:val="auto"/>
              </w:rPr>
              <w:t>variable interest rates ranging from 0.3% to 5.4% (weighted average interest rate of 2.5% at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gridSpan w:val="2"/>
          </w:tcPr>
          <w:p>
            <w:pPr>
              <w:ind w:left="340"/>
              <w:spacing w:after="0"/>
              <w:rPr>
                <w:sz w:val="20"/>
                <w:szCs w:val="20"/>
                <w:color w:val="auto"/>
              </w:rPr>
            </w:pPr>
            <w:r>
              <w:rPr>
                <w:rFonts w:ascii="Arial" w:cs="Arial" w:eastAsia="Arial" w:hAnsi="Arial"/>
                <w:sz w:val="18"/>
                <w:szCs w:val="18"/>
                <w:color w:val="auto"/>
              </w:rPr>
              <w:t>December 31, 2010)(d)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Capital leases and other, maturing through 2050, interest rates up to 12%</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Debt</w:t>
            </w:r>
          </w:p>
        </w:tc>
        <w:tc>
          <w:tcPr>
            <w:tcW w:w="14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160"/>
              <w:spacing w:after="0"/>
              <w:rPr>
                <w:sz w:val="20"/>
                <w:szCs w:val="20"/>
                <w:color w:val="auto"/>
              </w:rPr>
            </w:pPr>
            <w:r>
              <w:rPr>
                <w:rFonts w:ascii="Arial" w:cs="Arial" w:eastAsia="Arial" w:hAnsi="Arial"/>
                <w:sz w:val="18"/>
                <w:szCs w:val="18"/>
                <w:color w:val="auto"/>
              </w:rPr>
              <w:t>Waste Management, Inc. Stockholders’ Equity:</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8"/>
              </w:rPr>
              <w:t>Common stock, $0.01 par value; 1,500,000,000 shares authorized; 630,282,461 shares issued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Treasury stock at cost, 155,235,711 shares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(4,904)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gridSpan w:val="2"/>
          </w:tcPr>
          <w:p>
            <w:pPr>
              <w:ind w:left="340"/>
              <w:spacing w:after="0"/>
              <w:rPr>
                <w:sz w:val="20"/>
                <w:szCs w:val="20"/>
                <w:color w:val="auto"/>
              </w:rPr>
            </w:pPr>
            <w:r>
              <w:rPr>
                <w:rFonts w:ascii="Arial" w:cs="Arial" w:eastAsia="Arial" w:hAnsi="Arial"/>
                <w:sz w:val="18"/>
                <w:szCs w:val="18"/>
                <w:color w:val="auto"/>
              </w:rPr>
              <w:t>Total Waste Management, Inc. stockholders’ equity</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equity</w:t>
            </w: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debt and equity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15,498</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6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0" w:hanging="291"/>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party to a $2.0 billion revolving credit facility that matures on June 22, 2013, that can be used for either cash borrowings or to support letters of credit. Letters of credit are also provided under facilities</w:t>
      </w:r>
    </w:p>
    <w:p>
      <w:pPr>
        <w:spacing w:after="0" w:line="34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right="40"/>
        <w:spacing w:after="0" w:line="305" w:lineRule="auto"/>
        <w:rPr>
          <w:sz w:val="20"/>
          <w:szCs w:val="20"/>
          <w:color w:val="auto"/>
        </w:rPr>
      </w:pPr>
      <w:r>
        <w:rPr>
          <w:rFonts w:ascii="Arial" w:cs="Arial" w:eastAsia="Arial" w:hAnsi="Arial"/>
          <w:sz w:val="16"/>
          <w:szCs w:val="16"/>
          <w:color w:val="auto"/>
        </w:rPr>
        <w:t>with maturities that extend from June 2013 to June 2015. As of December 31, 2010, we had approximately $1.64 billion of letters of credit outstanding under our revolving credit facility and letter of credit facilities and our available capacity under our revolving credit facility was $862 million. We had no available capacity under our letter of credit facilities as of December 31, 2010.</w:t>
      </w:r>
    </w:p>
    <w:p>
      <w:pPr>
        <w:spacing w:after="0" w:line="1" w:lineRule="exact"/>
        <w:rPr>
          <w:sz w:val="20"/>
          <w:szCs w:val="20"/>
          <w:color w:val="auto"/>
        </w:rPr>
      </w:pPr>
    </w:p>
    <w:p>
      <w:pPr>
        <w:ind w:left="1000" w:right="520" w:hanging="301"/>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Waste Management of Canada Corporation, our wholly-owned subsidiary, is party to a Cdn $340 million credit facility with a maturity of November 2012 that is guaranteed by Waste Management, Inc. and WM Holdings.</w:t>
      </w:r>
    </w:p>
    <w:p>
      <w:pPr>
        <w:spacing w:after="0" w:line="8" w:lineRule="exact"/>
        <w:rPr>
          <w:rFonts w:ascii="Arial" w:cs="Arial" w:eastAsia="Arial" w:hAnsi="Arial"/>
          <w:sz w:val="18"/>
          <w:szCs w:val="18"/>
          <w:color w:val="auto"/>
        </w:rPr>
      </w:pPr>
    </w:p>
    <w:p>
      <w:pPr>
        <w:ind w:left="1000" w:hanging="291"/>
        <w:spacing w:after="0" w:line="286" w:lineRule="auto"/>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spacing w:after="0" w:line="3" w:lineRule="exact"/>
        <w:rPr>
          <w:rFonts w:ascii="Arial" w:cs="Arial" w:eastAsia="Arial" w:hAnsi="Arial"/>
          <w:sz w:val="17"/>
          <w:szCs w:val="17"/>
          <w:color w:val="auto"/>
        </w:rPr>
      </w:pPr>
    </w:p>
    <w:p>
      <w:pPr>
        <w:ind w:left="1000" w:right="20" w:hanging="301"/>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Tax-exempt project bonds are used by our Wheelabrator Group, which owns and operates waste-to-energy facilities and independent power production plants, to finance the development of the waste-to-energy facilities.</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NOTES</w:t>
      </w:r>
    </w:p>
    <w:p>
      <w:pPr>
        <w:spacing w:after="0" w:line="135"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The notes will be issued under and pursuant to an Indenture dated as of September 10, 1997, between us and The Bank of New York Mellon Trust Company, N.A. (the current successor to the initial trustee, Texas Commerce Bank National Association), as Trustee. We will issue the notes pursuant to a resolution of our Board of Directors and accompanying officers’ certificate setting forth the specific terms applicable to the notes.</w:t>
      </w:r>
    </w:p>
    <w:p>
      <w:pPr>
        <w:spacing w:after="0" w:line="92"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and the notes, a copy of which is available from us, for a complete description of our obligations and your rights.</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The Notes. </w:t>
      </w:r>
      <w:r>
        <w:rPr>
          <w:rFonts w:ascii="Arial" w:cs="Arial" w:eastAsia="Arial" w:hAnsi="Arial"/>
          <w:sz w:val="18"/>
          <w:szCs w:val="18"/>
          <w:color w:val="auto"/>
        </w:rPr>
        <w:t>The notes will:</w:t>
      </w:r>
    </w:p>
    <w:p>
      <w:pPr>
        <w:spacing w:after="0" w:line="131" w:lineRule="exact"/>
        <w:rPr>
          <w:sz w:val="20"/>
          <w:szCs w:val="20"/>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our general unsecured, senior obligations;</w:t>
      </w:r>
    </w:p>
    <w:p>
      <w:pPr>
        <w:spacing w:after="0" w:line="117" w:lineRule="exact"/>
        <w:rPr>
          <w:rFonts w:ascii="Arial" w:cs="Arial" w:eastAsia="Arial" w:hAnsi="Arial"/>
          <w:sz w:val="18"/>
          <w:szCs w:val="18"/>
          <w:color w:val="auto"/>
        </w:rPr>
      </w:pPr>
    </w:p>
    <w:p>
      <w:pPr>
        <w:ind w:left="1300" w:right="60" w:hanging="202"/>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constitute a new series of debt securities issued under the Indenture and will be initially limited to an aggregate principal amount of $ million;</w:t>
      </w:r>
    </w:p>
    <w:p>
      <w:pPr>
        <w:spacing w:after="0" w:line="62"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  mature on</w:t>
            </w:r>
          </w:p>
        </w:tc>
        <w:tc>
          <w:tcPr>
            <w:tcW w:w="72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94" w:lineRule="exact"/>
        <w:rPr>
          <w:sz w:val="20"/>
          <w:szCs w:val="20"/>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unconditionally guaranteed by our wholly owned subsidiary WM Holdings;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be entitled to the benefit of any sinking fund;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issued in minimum denominations of $2,000 and integral multiples of $1,000 in excess thereof; and</w:t>
      </w:r>
    </w:p>
    <w:p>
      <w:pPr>
        <w:spacing w:after="0" w:line="117" w:lineRule="exact"/>
        <w:rPr>
          <w:rFonts w:ascii="Arial" w:cs="Arial" w:eastAsia="Arial" w:hAnsi="Arial"/>
          <w:sz w:val="18"/>
          <w:szCs w:val="18"/>
          <w:color w:val="auto"/>
        </w:rPr>
      </w:pPr>
    </w:p>
    <w:p>
      <w:pPr>
        <w:ind w:left="1300" w:right="100" w:hanging="202"/>
        <w:spacing w:after="0" w:line="26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issued only in book-entry form represented by global notes registered initially in the name of Cede &amp; Co., as nominee of The Depository Trust Company (“DTC”), or such other name as may be requested by an authorized representative of DTC, and deposited with the Trustee, as custodian for DTC.</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Interest will:</w:t>
      </w:r>
    </w:p>
    <w:p>
      <w:pPr>
        <w:sectPr>
          <w:pgSz w:w="11900" w:h="16838" w:orient="portrait"/>
          <w:cols w:equalWidth="0" w:num="1">
            <w:col w:w="10620"/>
          </w:cols>
          <w:pgMar w:left="240" w:top="419" w:right="1039" w:bottom="1440" w:gutter="0" w:footer="0" w:header="0"/>
        </w:sectPr>
      </w:pPr>
    </w:p>
    <w:p>
      <w:pPr>
        <w:spacing w:after="0" w:line="131" w:lineRule="exact"/>
        <w:rPr>
          <w:sz w:val="20"/>
          <w:szCs w:val="20"/>
          <w:color w:val="auto"/>
        </w:rPr>
      </w:pPr>
    </w:p>
    <w:p>
      <w:pPr>
        <w:ind w:left="110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accrue on the notes at the rate of</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 per annum;</w:t>
      </w:r>
    </w:p>
    <w:p>
      <w:pPr>
        <w:spacing w:after="0" w:line="139" w:lineRule="exact"/>
        <w:rPr>
          <w:sz w:val="20"/>
          <w:szCs w:val="20"/>
          <w:color w:val="auto"/>
        </w:rPr>
      </w:pPr>
    </w:p>
    <w:p>
      <w:pPr>
        <w:sectPr>
          <w:pgSz w:w="11900" w:h="16838" w:orient="portrait"/>
          <w:cols w:equalWidth="0" w:num="2">
            <w:col w:w="3640" w:space="220"/>
            <w:col w:w="6760"/>
          </w:cols>
          <w:pgMar w:left="240" w:top="419" w:right="1039" w:bottom="1440" w:gutter="0" w:footer="0" w:header="0"/>
          <w:type w:val="continuous"/>
        </w:sectPr>
      </w:pPr>
    </w:p>
    <w:p>
      <w:pPr>
        <w:ind w:left="110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accrue from February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2011 or the most recent interest payment date;</w:t>
      </w:r>
    </w:p>
    <w:p>
      <w:pPr>
        <w:spacing w:after="0" w:line="139" w:lineRule="exact"/>
        <w:rPr>
          <w:sz w:val="20"/>
          <w:szCs w:val="20"/>
          <w:color w:val="auto"/>
        </w:rPr>
      </w:pPr>
    </w:p>
    <w:p>
      <w:pPr>
        <w:sectPr>
          <w:pgSz w:w="11900" w:h="16838" w:orient="portrait"/>
          <w:cols w:equalWidth="0" w:num="2">
            <w:col w:w="2860" w:space="140"/>
            <w:col w:w="7620"/>
          </w:cols>
          <w:pgMar w:left="240" w:top="419" w:right="1039" w:bottom="1440" w:gutter="0" w:footer="0" w:header="0"/>
          <w:type w:val="continuous"/>
        </w:sectPr>
      </w:pPr>
    </w:p>
    <w:p>
      <w:pPr>
        <w:ind w:left="110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be payable in cash semi-annually in arrears 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 each year, beginning 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2011;</w:t>
      </w:r>
    </w:p>
    <w:p>
      <w:pPr>
        <w:spacing w:after="0" w:line="139" w:lineRule="exact"/>
        <w:rPr>
          <w:sz w:val="20"/>
          <w:szCs w:val="20"/>
          <w:color w:val="auto"/>
        </w:rPr>
      </w:pPr>
    </w:p>
    <w:p>
      <w:pPr>
        <w:sectPr>
          <w:pgSz w:w="11900" w:h="16838" w:orient="portrait"/>
          <w:cols w:equalWidth="0" w:num="4">
            <w:col w:w="4640" w:space="480"/>
            <w:col w:w="260" w:space="500"/>
            <w:col w:w="1920" w:space="440"/>
            <w:col w:w="2380"/>
          </w:cols>
          <w:pgMar w:left="240" w:top="419" w:right="1039" w:bottom="1440" w:gutter="0" w:footer="0" w:header="0"/>
          <w:type w:val="continuous"/>
        </w:sectPr>
      </w:pPr>
    </w:p>
    <w:p>
      <w:pPr>
        <w:ind w:left="110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be payable to holders of record on the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immediately preceding the related interest payment dates; and</w:t>
      </w:r>
    </w:p>
    <w:p>
      <w:pPr>
        <w:spacing w:after="0" w:line="139" w:lineRule="exact"/>
        <w:rPr>
          <w:sz w:val="20"/>
          <w:szCs w:val="20"/>
          <w:color w:val="auto"/>
        </w:rPr>
      </w:pPr>
    </w:p>
    <w:p>
      <w:pPr>
        <w:sectPr>
          <w:pgSz w:w="11900" w:h="16838" w:orient="portrait"/>
          <w:cols w:equalWidth="0" w:num="3">
            <w:col w:w="4020" w:space="500"/>
            <w:col w:w="260" w:space="500"/>
            <w:col w:w="5340"/>
          </w:cols>
          <w:pgMar w:left="240" w:top="419" w:right="1039" w:bottom="1440" w:gutter="0" w:footer="0" w:header="0"/>
          <w:type w:val="continuous"/>
        </w:sectPr>
      </w:pPr>
    </w:p>
    <w:p>
      <w:pPr>
        <w:ind w:left="110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be computed on the basis of a 360-day year consisting of twelve 30-day months.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Payment and Transfer</w:t>
      </w:r>
    </w:p>
    <w:p>
      <w:pPr>
        <w:spacing w:after="0" w:line="135" w:lineRule="exact"/>
        <w:rPr>
          <w:sz w:val="20"/>
          <w:szCs w:val="20"/>
          <w:color w:val="auto"/>
        </w:rPr>
      </w:pPr>
    </w:p>
    <w:p>
      <w:pPr>
        <w:ind w:left="700" w:right="260" w:firstLine="397"/>
        <w:spacing w:after="0" w:line="302" w:lineRule="auto"/>
        <w:rPr>
          <w:sz w:val="20"/>
          <w:szCs w:val="20"/>
          <w:color w:val="auto"/>
        </w:rPr>
      </w:pPr>
      <w:r>
        <w:rPr>
          <w:rFonts w:ascii="Arial" w:cs="Arial" w:eastAsia="Arial" w:hAnsi="Arial"/>
          <w:sz w:val="16"/>
          <w:szCs w:val="16"/>
          <w:color w:val="auto"/>
        </w:rPr>
        <w:t>Beneficial interests in notes in global form will be shown on, and transfers of interests in notes in global form will be made only through, records maintained by DTC and its direct and indirect participants. Notes in definitive form, if any, may be registered, exchanged or transferred at the office or agency maintained by us for such purpose (which initially will be the corporate trust office of The Bank of New York Mellon, located at 101 Barclay Street, Floor 21 West, New York, New York 10286).</w:t>
      </w:r>
    </w:p>
    <w:p>
      <w:pPr>
        <w:spacing w:after="0" w:line="60" w:lineRule="exact"/>
        <w:rPr>
          <w:sz w:val="20"/>
          <w:szCs w:val="20"/>
          <w:color w:val="auto"/>
        </w:rPr>
      </w:pPr>
    </w:p>
    <w:p>
      <w:pPr>
        <w:ind w:left="700" w:right="100" w:firstLine="397"/>
        <w:spacing w:after="0" w:line="276" w:lineRule="auto"/>
        <w:rPr>
          <w:sz w:val="20"/>
          <w:szCs w:val="20"/>
          <w:color w:val="auto"/>
        </w:rPr>
      </w:pPr>
      <w:r>
        <w:rPr>
          <w:rFonts w:ascii="Arial" w:cs="Arial" w:eastAsia="Arial" w:hAnsi="Arial"/>
          <w:sz w:val="17"/>
          <w:szCs w:val="17"/>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 The Bank of New York Mellon, by check mailed directly to registered holders at their registered addresses or by wire transfer to an account designated by a registered holder.</w:t>
      </w:r>
    </w:p>
    <w:p>
      <w:pPr>
        <w:spacing w:after="0" w:line="3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Optional Redemption</w:t>
      </w:r>
    </w:p>
    <w:p>
      <w:pPr>
        <w:spacing w:after="0" w:line="135"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Before the date that is three months prior to the maturity date, the notes will be redeemable and repayable, at our option, at any time in whole, or from time to time in part, at a price equal to the greater of:</w:t>
      </w:r>
    </w:p>
    <w:p>
      <w:pPr>
        <w:spacing w:after="0" w:line="76" w:lineRule="exact"/>
        <w:rPr>
          <w:sz w:val="20"/>
          <w:szCs w:val="20"/>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(at the rate in effect on the date of</w:t>
      </w:r>
    </w:p>
    <w:p>
      <w:pPr>
        <w:spacing w:after="0" w:line="46" w:lineRule="exact"/>
        <w:rPr>
          <w:sz w:val="20"/>
          <w:szCs w:val="20"/>
          <w:color w:val="auto"/>
        </w:rPr>
      </w:pPr>
    </w:p>
    <w:p>
      <w:pPr>
        <w:ind w:left="1300" w:right="260"/>
        <w:spacing w:after="0" w:line="281" w:lineRule="auto"/>
        <w:rPr>
          <w:sz w:val="20"/>
          <w:szCs w:val="20"/>
          <w:color w:val="auto"/>
        </w:rPr>
      </w:pPr>
      <w:r>
        <w:rPr>
          <w:rFonts w:ascii="Arial" w:cs="Arial" w:eastAsia="Arial" w:hAnsi="Arial"/>
          <w:sz w:val="16"/>
          <w:szCs w:val="16"/>
          <w:color w:val="auto"/>
        </w:rPr>
        <w:t>calculation of the redemption price) on the notes to be redeemed (exclusive of interest accrued to the date of redemption) discounted to the date of redemption on a semi-annual basis (assuming a 360-day year consisting of twelve 30-day months) at</w:t>
      </w:r>
    </w:p>
    <w:p>
      <w:pPr>
        <w:spacing w:after="0" w:line="1" w:lineRule="exact"/>
        <w:rPr>
          <w:sz w:val="20"/>
          <w:szCs w:val="20"/>
          <w:color w:val="auto"/>
        </w:rPr>
      </w:pPr>
    </w:p>
    <w:p>
      <w:pPr>
        <w:ind w:left="1300"/>
        <w:spacing w:after="0"/>
        <w:tabs>
          <w:tab w:leader="none" w:pos="4240" w:val="left"/>
        </w:tabs>
        <w:rPr>
          <w:sz w:val="20"/>
          <w:szCs w:val="20"/>
          <w:color w:val="auto"/>
        </w:rPr>
      </w:pPr>
      <w:r>
        <w:rPr>
          <w:rFonts w:ascii="Arial" w:cs="Arial" w:eastAsia="Arial" w:hAnsi="Arial"/>
          <w:sz w:val="18"/>
          <w:szCs w:val="18"/>
          <w:color w:val="auto"/>
        </w:rPr>
        <w:t>the applicable Treasury Yield plus</w:t>
      </w:r>
      <w:r>
        <w:rPr>
          <w:sz w:val="20"/>
          <w:szCs w:val="20"/>
          <w:color w:val="auto"/>
        </w:rPr>
        <w:tab/>
      </w:r>
      <w:r>
        <w:rPr>
          <w:rFonts w:ascii="Arial" w:cs="Arial" w:eastAsia="Arial" w:hAnsi="Arial"/>
          <w:sz w:val="16"/>
          <w:szCs w:val="16"/>
          <w:color w:val="auto"/>
        </w:rPr>
        <w:t>basis points;</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plus, in either case, accrued interest to the date of redemption.</w:t>
      </w:r>
    </w:p>
    <w:p>
      <w:pPr>
        <w:spacing w:after="0" w:line="131"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On or after the date that is three months prior to the maturity date, the notes will be redeemable and repayable, at our option, at any time in whole, or from time to time in part, at a price equal to 100% of the principal amount of the notes to be redeemed plus accrued interest on the notes to be redeemed to the date of redemption.</w:t>
      </w:r>
    </w:p>
    <w:p>
      <w:pPr>
        <w:spacing w:after="0" w:line="87" w:lineRule="exact"/>
        <w:rPr>
          <w:sz w:val="20"/>
          <w:szCs w:val="20"/>
          <w:color w:val="auto"/>
        </w:rPr>
      </w:pPr>
    </w:p>
    <w:p>
      <w:pPr>
        <w:ind w:left="700" w:right="20" w:firstLine="397"/>
        <w:spacing w:after="0" w:line="290" w:lineRule="auto"/>
        <w:rPr>
          <w:sz w:val="20"/>
          <w:szCs w:val="20"/>
          <w:color w:val="auto"/>
        </w:rPr>
      </w:pPr>
      <w:r>
        <w:rPr>
          <w:rFonts w:ascii="Arial" w:cs="Arial" w:eastAsia="Arial" w:hAnsi="Arial"/>
          <w:sz w:val="16"/>
          <w:szCs w:val="16"/>
          <w:color w:val="auto"/>
        </w:rPr>
        <w:t>Notes called for redemption become due on the date fixed for redemption. Notices of redemption will be mailed at least 30 but not more than 60 days before the redemption date to each holder of record of the notes to be redeemed at its registered address. The notice of redemption for the notes will state, among other things, the amount of notes to be redeemed, the redemption date, the redemption price or, if not ascertainable, the manner of determining the redemption price and the place(s) that payment will be made upon presentation and surrender of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are redeemed at any time, the Trustee will select the notes to be redeemed on a pro rata basis or by any other method the Trustee deems fair and appropriate.</w:t>
      </w:r>
    </w:p>
    <w:p>
      <w:pPr>
        <w:spacing w:after="0" w:line="72"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The factors that we generally consider in determining whether to redeem notes are (1) whether the current rates on new notes would be considerably less than the interest rates on the notes to be redeemed after consideration of any make-whole provision, (2) whether we have excess cash on hand and decide to reduce debt levels and (3) whether we are involved in a substantial merger or acquisition in which it becomes necessary to redeem the notes because of a debt restructuring agreement. However, given the substantial expense we would incur in redeeming the notes due to the calculation of the redemption price described above, we do not believe that we would redeem the notes in the ordinary course of our business before three months prior to the maturity date. We are currently unaware of any circumstances under which we would redeem the notes.</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purposes of determining the optional redemption price, the following definitions are applicable:</w:t>
      </w:r>
    </w:p>
    <w:p>
      <w:pPr>
        <w:spacing w:after="0" w:line="131" w:lineRule="exact"/>
        <w:rPr>
          <w:sz w:val="20"/>
          <w:szCs w:val="20"/>
          <w:color w:val="auto"/>
        </w:rPr>
      </w:pPr>
    </w:p>
    <w:p>
      <w:pPr>
        <w:ind w:left="1080" w:right="20" w:firstLine="3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Yield</w:t>
      </w:r>
      <w:r>
        <w:rPr>
          <w:rFonts w:ascii="Arial" w:cs="Arial" w:eastAsia="Arial" w:hAnsi="Arial"/>
          <w:sz w:val="18"/>
          <w:szCs w:val="18"/>
          <w:color w:val="auto"/>
        </w:rPr>
        <w:t>” means, with respect to any redemption date applicable to the notes, the rate per annum equal to the semi-annual equivalent yield to maturity (computed as of the third business day immediately preceding the redemption date) of the Comparable Treasury Issue, assuming a price for the Comparable Treasury Issue (expressed as a percentage of its principal amount) equal to the applicable Comparable Treasury Price for the redemption date.</w:t>
      </w:r>
    </w:p>
    <w:p>
      <w:pPr>
        <w:spacing w:after="0" w:line="37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00" w:firstLine="3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an Independent Investment Banker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92" w:lineRule="exact"/>
        <w:rPr>
          <w:sz w:val="20"/>
          <w:szCs w:val="20"/>
          <w:color w:val="auto"/>
        </w:rPr>
      </w:pPr>
    </w:p>
    <w:p>
      <w:pPr>
        <w:ind w:left="1080" w:right="60" w:firstLine="38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Independent Investment Banker</w:t>
      </w:r>
      <w:r>
        <w:rPr>
          <w:rFonts w:ascii="Arial" w:cs="Arial" w:eastAsia="Arial" w:hAnsi="Arial"/>
          <w:sz w:val="17"/>
          <w:szCs w:val="17"/>
          <w:color w:val="auto"/>
        </w:rPr>
        <w:t>” means either of Deutsche Bank Securities Inc. and RBS Securities Inc. (and their respective successors), or, if both of such firms are unwilling or unable to select the applicable Comparable Treasury Issue, an independent investment banking institution of national standing appointed by the Trustee and reasonably acceptable to us.</w:t>
      </w:r>
    </w:p>
    <w:p>
      <w:pPr>
        <w:spacing w:after="0" w:line="71" w:lineRule="exact"/>
        <w:rPr>
          <w:sz w:val="20"/>
          <w:szCs w:val="20"/>
          <w:color w:val="auto"/>
        </w:rPr>
      </w:pPr>
    </w:p>
    <w:p>
      <w:pPr>
        <w:ind w:left="1080" w:right="40" w:firstLine="38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Comparable Treasury Price</w:t>
      </w:r>
      <w:r>
        <w:rPr>
          <w:rFonts w:ascii="Arial" w:cs="Arial" w:eastAsia="Arial" w:hAnsi="Arial"/>
          <w:sz w:val="17"/>
          <w:szCs w:val="17"/>
          <w:color w:val="auto"/>
        </w:rPr>
        <w:t>” means, with respect to any redemption date, (a) the bid price for the Comparable Treasury Issue (expressed as a percentage of its principal amount) at 4:00 p.m., New York City time, on the third business day preceding the redemption date, as set forth on “Telerate Page 500” (or such other page as may replace Telerate Page 500), or (b) if such page (or any successor page) is not displayed or does not contain such bid prices at such time (i) the average of the Reference Treasury Dealer Quotations obtained by the Trustee for the redemption date, after excluding the highest and lowest of all Reference Treasury Dealer Quotations obtained, or (ii) if the Trustee obtains fewer than four such Reference Treasury Dealer Quotations, the average of all Reference Treasury Dealer Quotations obtained by the Trustee.</w:t>
      </w:r>
    </w:p>
    <w:p>
      <w:pPr>
        <w:spacing w:after="0" w:line="83" w:lineRule="exact"/>
        <w:rPr>
          <w:sz w:val="20"/>
          <w:szCs w:val="20"/>
          <w:color w:val="auto"/>
        </w:rPr>
      </w:pPr>
    </w:p>
    <w:p>
      <w:pPr>
        <w:ind w:left="1080" w:right="100" w:firstLine="3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(i) each of Deutsche Bank Securities Inc. and RBS Securities Inc. (and their respective successors), unless either of them ceases to be a primary U.S. government securities dealer in New York City (a “Primary Treasury Dealer”), in which case we will substitute therefor another Primary Treasury Dealer, and (ii) any two other Primary Treasury Dealers selected by us.</w:t>
      </w:r>
    </w:p>
    <w:p>
      <w:pPr>
        <w:spacing w:after="0" w:line="92" w:lineRule="exact"/>
        <w:rPr>
          <w:sz w:val="20"/>
          <w:szCs w:val="20"/>
          <w:color w:val="auto"/>
        </w:rPr>
      </w:pPr>
    </w:p>
    <w:p>
      <w:pPr>
        <w:ind w:left="1080" w:firstLine="38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Reference Treasury Dealer Quotations</w:t>
      </w:r>
      <w:r>
        <w:rPr>
          <w:rFonts w:ascii="Arial" w:cs="Arial" w:eastAsia="Arial" w:hAnsi="Arial"/>
          <w:sz w:val="17"/>
          <w:szCs w:val="17"/>
          <w:color w:val="auto"/>
        </w:rPr>
        <w:t>” means, with respect to each Reference Treasury Dealer and any redemption date for the notes, an average, as determined by the Trustee, of the bid and asked prices for the Comparable Treasury Issue for such notes (expressed in each case as a percentage of its principal amount) quoted in writing to the Trustee by the Reference Treasury Dealer at 5:00 p.m., New York City time, on the third business day preceding such redemption date.</w:t>
      </w:r>
    </w:p>
    <w:p>
      <w:pPr>
        <w:spacing w:after="0" w:line="77"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color w:val="auto"/>
        </w:rPr>
        <w:t>Except as set forth above, the notes will not be redeemable by us prior to maturity and will not be entitled to the benefit of any sinking fund.</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Defeasance</w:t>
      </w:r>
    </w:p>
    <w:p>
      <w:pPr>
        <w:spacing w:after="0" w:line="135"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The notes will be subject to legal defeasance and to covenant defeasance as provided under “Description of Debt Securities — Provisions Applicable to Each Indenture — Defeasance” in the accompanying prospectus.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Satisfaction and Discharge</w:t>
      </w:r>
    </w:p>
    <w:p>
      <w:pPr>
        <w:spacing w:after="0" w:line="135" w:lineRule="exact"/>
        <w:rPr>
          <w:sz w:val="20"/>
          <w:szCs w:val="20"/>
          <w:color w:val="auto"/>
        </w:rPr>
      </w:pPr>
    </w:p>
    <w:p>
      <w:pPr>
        <w:jc w:val="both"/>
        <w:ind w:left="700" w:right="340" w:firstLine="397"/>
        <w:spacing w:after="0" w:line="264" w:lineRule="auto"/>
        <w:rPr>
          <w:sz w:val="20"/>
          <w:szCs w:val="20"/>
          <w:color w:val="auto"/>
        </w:rPr>
      </w:pPr>
      <w:r>
        <w:rPr>
          <w:rFonts w:ascii="Arial" w:cs="Arial" w:eastAsia="Arial" w:hAnsi="Arial"/>
          <w:sz w:val="18"/>
          <w:szCs w:val="18"/>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when:</w:t>
      </w:r>
    </w:p>
    <w:p>
      <w:pPr>
        <w:spacing w:after="0" w:line="87" w:lineRule="exact"/>
        <w:rPr>
          <w:sz w:val="20"/>
          <w:szCs w:val="20"/>
          <w:color w:val="auto"/>
        </w:rPr>
      </w:pPr>
    </w:p>
    <w:p>
      <w:pPr>
        <w:ind w:left="1720" w:hanging="249"/>
        <w:spacing w:after="0"/>
        <w:tabs>
          <w:tab w:leader="none" w:pos="1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80" w:right="120" w:firstLine="372"/>
        <w:spacing w:after="0" w:line="312" w:lineRule="auto"/>
        <w:tabs>
          <w:tab w:leader="none" w:pos="209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the notes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52" w:lineRule="exact"/>
        <w:rPr>
          <w:rFonts w:ascii="Arial" w:cs="Arial" w:eastAsia="Arial" w:hAnsi="Arial"/>
          <w:sz w:val="16"/>
          <w:szCs w:val="16"/>
          <w:color w:val="auto"/>
        </w:rPr>
      </w:pPr>
    </w:p>
    <w:p>
      <w:pPr>
        <w:ind w:left="1480" w:right="100" w:firstLine="372"/>
        <w:spacing w:after="0" w:line="257" w:lineRule="auto"/>
        <w:tabs>
          <w:tab w:leader="none" w:pos="21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notes not theretofore delivered to the Trustee for cancellation (i) have become due and payable, (ii) will become due and payable at their stated maturity within one year or (iii) are to be called for redemption within one year under arrangements reasonably satisfactory to the Trustee and at our expense, and we have deposited or caused to be deposited with the Trustee trust funds in an amount sufficient to pay and discharge the entire indebtedness on the notes not theretofore delivered</w:t>
      </w:r>
    </w:p>
    <w:p>
      <w:pPr>
        <w:spacing w:after="0" w:line="37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140"/>
        <w:spacing w:after="0" w:line="308" w:lineRule="auto"/>
        <w:rPr>
          <w:sz w:val="20"/>
          <w:szCs w:val="20"/>
          <w:color w:val="auto"/>
        </w:rPr>
      </w:pPr>
      <w:r>
        <w:rPr>
          <w:rFonts w:ascii="Arial" w:cs="Arial" w:eastAsia="Arial" w:hAnsi="Arial"/>
          <w:sz w:val="17"/>
          <w:szCs w:val="17"/>
          <w:color w:val="auto"/>
        </w:rPr>
        <w:t>to the Trustee for cancellation, for principal of, premium, if any, and interest on, such notes to the date of such deposit (in the case of notes already due and payable) or to the date of stated maturity or redemption, as the case may be;</w:t>
      </w:r>
    </w:p>
    <w:p>
      <w:pPr>
        <w:spacing w:after="0" w:line="52" w:lineRule="exact"/>
        <w:rPr>
          <w:sz w:val="20"/>
          <w:szCs w:val="20"/>
          <w:color w:val="auto"/>
        </w:rPr>
      </w:pPr>
    </w:p>
    <w:p>
      <w:pPr>
        <w:ind w:left="1720" w:hanging="249"/>
        <w:spacing w:after="0"/>
        <w:tabs>
          <w:tab w:leader="none" w:pos="1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paid all other sums payable under the Indenture by us; and</w:t>
      </w:r>
    </w:p>
    <w:p>
      <w:pPr>
        <w:spacing w:after="0" w:line="130" w:lineRule="exact"/>
        <w:rPr>
          <w:rFonts w:ascii="Arial" w:cs="Arial" w:eastAsia="Arial" w:hAnsi="Arial"/>
          <w:sz w:val="18"/>
          <w:szCs w:val="18"/>
          <w:color w:val="auto"/>
        </w:rPr>
      </w:pPr>
    </w:p>
    <w:p>
      <w:pPr>
        <w:ind w:left="1080" w:right="440" w:firstLine="391"/>
        <w:spacing w:after="0" w:line="308" w:lineRule="auto"/>
        <w:tabs>
          <w:tab w:leader="none" w:pos="17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Ranking</w:t>
      </w:r>
    </w:p>
    <w:p>
      <w:pPr>
        <w:spacing w:after="0" w:line="135"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The notes will be our unsecured and unsubordinated obligations, and will rank equally in contractual right of payment with all of our other existing and future senior indebtedness from time to time outstanding.</w:t>
      </w:r>
    </w:p>
    <w:p>
      <w:pPr>
        <w:spacing w:after="0" w:line="76"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The Indenture does not limit the amount of debt securities that we may issue. We have issued multiple series of debt securities under the Indenture, and in the future, from time to time, we may issue additional debt securities under the Indenture in separate series, each up to the aggregate amount authorized for such series, or we may reopen an existing series of debt securities under the Indenture by issuing further debt securities of the same series with substantially the same terms. See “— Further Issuances” in this prospectus supplement.</w:t>
      </w:r>
    </w:p>
    <w:p>
      <w:pPr>
        <w:spacing w:after="0" w:line="94" w:lineRule="exact"/>
        <w:rPr>
          <w:sz w:val="20"/>
          <w:szCs w:val="20"/>
          <w:color w:val="auto"/>
        </w:rPr>
      </w:pPr>
    </w:p>
    <w:p>
      <w:pPr>
        <w:ind w:left="700" w:right="80" w:firstLine="397"/>
        <w:spacing w:after="0" w:line="269" w:lineRule="auto"/>
        <w:rPr>
          <w:sz w:val="20"/>
          <w:szCs w:val="20"/>
          <w:color w:val="auto"/>
        </w:rPr>
      </w:pPr>
      <w:r>
        <w:rPr>
          <w:rFonts w:ascii="Arial" w:cs="Arial" w:eastAsia="Arial" w:hAnsi="Arial"/>
          <w:sz w:val="17"/>
          <w:szCs w:val="17"/>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may incur, to the extent of the value of the assets securing that debt. The Indenture does not limit the amount of debt our subsidiaries can incur, and it permits us to incur some secured debt. For a description of the limitations on our ability to incur secured debt, see “Description of Debt Securities — Provisions Applicable Solely to Senior Debt Securities” in the accompanying prospectus.</w:t>
      </w:r>
    </w:p>
    <w:p>
      <w:pPr>
        <w:spacing w:after="0" w:line="85" w:lineRule="exact"/>
        <w:rPr>
          <w:sz w:val="20"/>
          <w:szCs w:val="20"/>
          <w:color w:val="auto"/>
        </w:rPr>
      </w:pPr>
    </w:p>
    <w:p>
      <w:pPr>
        <w:ind w:left="700" w:right="440" w:firstLine="397"/>
        <w:spacing w:after="0" w:line="308" w:lineRule="auto"/>
        <w:rPr>
          <w:sz w:val="20"/>
          <w:szCs w:val="20"/>
          <w:color w:val="auto"/>
        </w:rPr>
      </w:pPr>
      <w:r>
        <w:rPr>
          <w:rFonts w:ascii="Arial" w:cs="Arial" w:eastAsia="Arial" w:hAnsi="Arial"/>
          <w:sz w:val="17"/>
          <w:szCs w:val="17"/>
          <w:color w:val="auto"/>
        </w:rPr>
        <w:t>As of December 31, 2010, our operating subsidiaries had $3.36 billion of indebtedness and WM Holdings had $597 million of indebtedness (excluding guarantees of $4.78 billion of our senior debt), in each case excluding intercompany loans.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Guarantee</w:t>
      </w:r>
    </w:p>
    <w:p>
      <w:pPr>
        <w:spacing w:after="0" w:line="135"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WM Holdings will unconditionally guarantee our obligations under the notes. The guarantee will be a general, unsecured obligation of WM Holdings and will rank equally in contractual right of payment with all existing and future senior indebtedness of WM Holdings from time to time outstanding. In an attempt to limit the applicability of fraudulent transfer laws, the guarantee limits the amount of the guarantee to the amount that will result in the guarantee not constituting a fraudulent transfer or improper corporate distribution.</w:t>
      </w:r>
    </w:p>
    <w:p>
      <w:pPr>
        <w:spacing w:after="0" w:line="60"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The guarantee of the notes shall be binding on WM Holdings, its successors and assigns, and shall continue in full force and effect for the benefit of holders of the notes until the earliest to occur of:</w:t>
      </w:r>
    </w:p>
    <w:p>
      <w:pPr>
        <w:spacing w:after="0" w:line="76" w:lineRule="exact"/>
        <w:rPr>
          <w:sz w:val="20"/>
          <w:szCs w:val="20"/>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consolidation or merger of WM Holdings into Waste Management or its successor;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consolidation or merger of Waste Management or its successor into WM Holdings;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 in full of all interest and principal due on the notes; or</w:t>
      </w:r>
    </w:p>
    <w:p>
      <w:pPr>
        <w:spacing w:after="0" w:line="117" w:lineRule="exact"/>
        <w:rPr>
          <w:rFonts w:ascii="Arial" w:cs="Arial" w:eastAsia="Arial" w:hAnsi="Arial"/>
          <w:sz w:val="18"/>
          <w:szCs w:val="18"/>
          <w:color w:val="auto"/>
        </w:rPr>
      </w:pPr>
    </w:p>
    <w:p>
      <w:pPr>
        <w:ind w:left="1300" w:hanging="202"/>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release of the guarantees by WM Holdings of obligations of Waste Management under its credit facilities (or any replacement or new principal credit facility). Our credit facilities currently state that</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right="120"/>
        <w:spacing w:after="0" w:line="277" w:lineRule="auto"/>
        <w:rPr>
          <w:sz w:val="20"/>
          <w:szCs w:val="20"/>
          <w:color w:val="auto"/>
        </w:rPr>
      </w:pPr>
      <w:r>
        <w:rPr>
          <w:rFonts w:ascii="Arial" w:cs="Arial" w:eastAsia="Arial" w:hAnsi="Arial"/>
          <w:sz w:val="18"/>
          <w:szCs w:val="18"/>
          <w:color w:val="auto"/>
        </w:rPr>
        <w:t>WM Holdings’ guarantees under the facilities can only be released with the written consent of each of the lenders that is a party thereto.</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 of Control Offer</w:t>
      </w:r>
    </w:p>
    <w:p>
      <w:pPr>
        <w:spacing w:after="0" w:line="135"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If a change of control triggering event occurs, unless we have exercised our option to redeem the notes as described above, we will be required to make an offer (a “change of control offer”) to each holder of the notes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w:t>
      </w:r>
    </w:p>
    <w:p>
      <w:pPr>
        <w:spacing w:after="0" w:line="84" w:lineRule="exact"/>
        <w:rPr>
          <w:sz w:val="20"/>
          <w:szCs w:val="20"/>
          <w:color w:val="auto"/>
        </w:rPr>
      </w:pPr>
    </w:p>
    <w:p>
      <w:pPr>
        <w:ind w:left="700" w:right="160" w:firstLine="397"/>
        <w:spacing w:after="0" w:line="272" w:lineRule="auto"/>
        <w:rPr>
          <w:sz w:val="20"/>
          <w:szCs w:val="20"/>
          <w:color w:val="auto"/>
        </w:rPr>
      </w:pPr>
      <w:r>
        <w:rPr>
          <w:rFonts w:ascii="Arial" w:cs="Arial" w:eastAsia="Arial" w:hAnsi="Arial"/>
          <w:sz w:val="17"/>
          <w:szCs w:val="17"/>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the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Upon the change of control payment date, we will, to the extent lawful:</w:t>
      </w:r>
    </w:p>
    <w:p>
      <w:pPr>
        <w:spacing w:after="0" w:line="131" w:lineRule="exact"/>
        <w:rPr>
          <w:sz w:val="20"/>
          <w:szCs w:val="20"/>
          <w:color w:val="auto"/>
        </w:rPr>
      </w:pPr>
    </w:p>
    <w:p>
      <w:pPr>
        <w:ind w:left="1300" w:hanging="202"/>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accept for payment all notes or portions of notes properly tendered and not withdrawn pursuant to the change of control offer;</w:t>
      </w:r>
    </w:p>
    <w:p>
      <w:pPr>
        <w:spacing w:after="0" w:line="140" w:lineRule="exact"/>
        <w:rPr>
          <w:rFonts w:ascii="Arial" w:cs="Arial" w:eastAsia="Arial" w:hAnsi="Arial"/>
          <w:sz w:val="16"/>
          <w:szCs w:val="16"/>
          <w:color w:val="auto"/>
        </w:rPr>
      </w:pPr>
    </w:p>
    <w:p>
      <w:pPr>
        <w:ind w:left="1300" w:right="520" w:hanging="202"/>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62" w:lineRule="exact"/>
        <w:rPr>
          <w:rFonts w:ascii="Arial" w:cs="Arial" w:eastAsia="Arial" w:hAnsi="Arial"/>
          <w:sz w:val="18"/>
          <w:szCs w:val="18"/>
          <w:color w:val="auto"/>
        </w:rPr>
      </w:pPr>
    </w:p>
    <w:p>
      <w:pPr>
        <w:ind w:left="1300" w:right="600" w:hanging="202"/>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76"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78" w:lineRule="exact"/>
        <w:rPr>
          <w:sz w:val="20"/>
          <w:szCs w:val="20"/>
          <w:color w:val="auto"/>
        </w:rPr>
      </w:pPr>
    </w:p>
    <w:p>
      <w:pPr>
        <w:ind w:left="700" w:right="140" w:firstLine="397"/>
        <w:spacing w:after="0" w:line="255" w:lineRule="auto"/>
        <w:rPr>
          <w:sz w:val="20"/>
          <w:szCs w:val="20"/>
          <w:color w:val="auto"/>
        </w:rPr>
      </w:pPr>
      <w:r>
        <w:rPr>
          <w:rFonts w:ascii="Arial" w:cs="Arial" w:eastAsia="Arial" w:hAnsi="Arial"/>
          <w:sz w:val="18"/>
          <w:szCs w:val="18"/>
          <w:color w:val="auto"/>
        </w:rPr>
        <w:t>We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131" w:lineRule="exact"/>
        <w:rPr>
          <w:sz w:val="20"/>
          <w:szCs w:val="20"/>
          <w:color w:val="auto"/>
        </w:rPr>
      </w:pPr>
    </w:p>
    <w:p>
      <w:pPr>
        <w:ind w:left="1080" w:right="60" w:firstLine="38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w:t>
      </w:r>
      <w:r>
        <w:rPr>
          <w:rFonts w:ascii="Arial" w:cs="Arial" w:eastAsia="Arial" w:hAnsi="Arial"/>
          <w:sz w:val="16"/>
          <w:szCs w:val="16"/>
          <w:color w:val="auto"/>
        </w:rPr>
        <w:t>” means the occurrence of any of the following: (1) the direct or indirect sale, lease, transfer, conveyance or other disposition (other than by way of merger or consolidation), in one or more 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w:t>
      </w:r>
    </w:p>
    <w:p>
      <w:pPr>
        <w:spacing w:after="0" w:line="34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60"/>
        <w:spacing w:after="0" w:line="289" w:lineRule="auto"/>
        <w:rPr>
          <w:sz w:val="20"/>
          <w:szCs w:val="20"/>
          <w:color w:val="auto"/>
        </w:rPr>
      </w:pPr>
      <w:r>
        <w:rPr>
          <w:rFonts w:ascii="Arial" w:cs="Arial" w:eastAsia="Arial" w:hAnsi="Arial"/>
          <w:sz w:val="16"/>
          <w:szCs w:val="16"/>
          <w:color w:val="auto"/>
        </w:rPr>
        <w:t>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(4) the first day on which a majority of the members of our Board of Directors are not continuing directors; or (5) the adoption of a plan relating to our liquidation or dissolution.</w:t>
      </w:r>
    </w:p>
    <w:p>
      <w:pPr>
        <w:spacing w:after="0" w:line="72" w:lineRule="exact"/>
        <w:rPr>
          <w:sz w:val="20"/>
          <w:szCs w:val="20"/>
          <w:color w:val="auto"/>
        </w:rPr>
      </w:pPr>
    </w:p>
    <w:p>
      <w:pPr>
        <w:ind w:left="1080" w:firstLine="381"/>
        <w:spacing w:after="0" w:line="255" w:lineRule="auto"/>
        <w:rPr>
          <w:sz w:val="20"/>
          <w:szCs w:val="20"/>
          <w:color w:val="auto"/>
        </w:rPr>
      </w:pPr>
      <w:r>
        <w:rPr>
          <w:rFonts w:ascii="Arial" w:cs="Arial" w:eastAsia="Arial" w:hAnsi="Arial"/>
          <w:sz w:val="18"/>
          <w:szCs w:val="18"/>
          <w:color w:val="auto"/>
        </w:rPr>
        <w:t>Notwithstanding the preceding, a transaction will not be deemed to involve a change of control under clause (2) above if (i) we become a direct or indirect wholly owned subsidiary of a holding company and (ii)(A)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9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the occurrence of both a change of control and a rating event.</w:t>
      </w:r>
    </w:p>
    <w:p>
      <w:pPr>
        <w:spacing w:after="0" w:line="131" w:lineRule="exact"/>
        <w:rPr>
          <w:sz w:val="20"/>
          <w:szCs w:val="20"/>
          <w:color w:val="auto"/>
        </w:rPr>
      </w:pPr>
    </w:p>
    <w:p>
      <w:pPr>
        <w:ind w:left="1080" w:right="20" w:firstLine="38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continuing directors</w:t>
      </w:r>
      <w:r>
        <w:rPr>
          <w:rFonts w:ascii="Arial" w:cs="Arial" w:eastAsia="Arial" w:hAnsi="Arial"/>
          <w:sz w:val="17"/>
          <w:szCs w:val="17"/>
          <w:color w:val="auto"/>
        </w:rPr>
        <w:t>” means, as of any date of determination, any member of our Board of Directors who (1) was a member of such Board of Directors on the date the notes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our proxy statement in which such member was named as a nominee for election as a director, without objection to such nomination).</w:t>
      </w:r>
    </w:p>
    <w:p>
      <w:pPr>
        <w:spacing w:after="0" w:line="7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Fitch</w:t>
      </w:r>
      <w:r>
        <w:rPr>
          <w:rFonts w:ascii="Arial" w:cs="Arial" w:eastAsia="Arial" w:hAnsi="Arial"/>
          <w:sz w:val="18"/>
          <w:szCs w:val="18"/>
          <w:color w:val="auto"/>
        </w:rPr>
        <w:t>” means Fitch Inc. and its successors.</w:t>
      </w:r>
    </w:p>
    <w:p>
      <w:pPr>
        <w:spacing w:after="0" w:line="131" w:lineRule="exact"/>
        <w:rPr>
          <w:sz w:val="20"/>
          <w:szCs w:val="20"/>
          <w:color w:val="auto"/>
        </w:rPr>
      </w:pPr>
    </w:p>
    <w:p>
      <w:pPr>
        <w:jc w:val="both"/>
        <w:ind w:left="1080" w:right="180" w:firstLine="3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rating</w:t>
      </w:r>
      <w:r>
        <w:rPr>
          <w:rFonts w:ascii="Arial" w:cs="Arial" w:eastAsia="Arial" w:hAnsi="Arial"/>
          <w:sz w:val="18"/>
          <w:szCs w:val="18"/>
          <w:color w:val="auto"/>
        </w:rPr>
        <w:t>” means a rating equal to or higher than BBB- (or the equivalent) by Fitch, Baa3 (or the equivalent) by Moody’s and BBB- (or the equivalent) by S&amp;P, and the equivalent investment grade credit rating from any replacement rating agency or rating agencies selected by us.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131" w:lineRule="exact"/>
        <w:rPr>
          <w:sz w:val="20"/>
          <w:szCs w:val="20"/>
          <w:color w:val="auto"/>
        </w:rPr>
      </w:pPr>
    </w:p>
    <w:p>
      <w:pPr>
        <w:jc w:val="both"/>
        <w:ind w:left="1080" w:right="80" w:firstLine="38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rating agencies</w:t>
      </w:r>
      <w:r>
        <w:rPr>
          <w:rFonts w:ascii="Arial" w:cs="Arial" w:eastAsia="Arial" w:hAnsi="Arial"/>
          <w:sz w:val="17"/>
          <w:szCs w:val="17"/>
          <w:color w:val="auto"/>
        </w:rPr>
        <w:t>” means (1) each of Fitch, Moody’s and S&amp;P and (2) if any of Fitch, Moody’s or S&amp;P ceases to rate the notes or fails to make a rating of the notes publicly available for reasons outside of our control, a “nationally recognized statistical rating organization” within the meaning of Section 3(a)(62) of the Exchange Act selected by us (as certified by a resolution of our Board of Directors) as a replacement agency for Fitch, Moody’s or S&amp;P, or all of them, as the case may be.</w:t>
      </w:r>
    </w:p>
    <w:p>
      <w:pPr>
        <w:spacing w:after="0" w:line="77" w:lineRule="exact"/>
        <w:rPr>
          <w:sz w:val="20"/>
          <w:szCs w:val="20"/>
          <w:color w:val="auto"/>
        </w:rPr>
      </w:pPr>
    </w:p>
    <w:p>
      <w:pPr>
        <w:ind w:left="1080" w:right="280" w:firstLine="38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rating event</w:t>
      </w:r>
      <w:r>
        <w:rPr>
          <w:rFonts w:ascii="Arial" w:cs="Arial" w:eastAsia="Arial" w:hAnsi="Arial"/>
          <w:sz w:val="16"/>
          <w:szCs w:val="16"/>
          <w:color w:val="auto"/>
        </w:rPr>
        <w:t>” means the rating on the notes is lowered by at least two of the three rating agencies and the notes are rated below an investment grade rating by at least two of the three rating agencies, in any case on any day during the period (which period will be extended so long as the rating of the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6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S&amp;P</w:t>
      </w:r>
      <w:r>
        <w:rPr>
          <w:rFonts w:ascii="Arial" w:cs="Arial" w:eastAsia="Arial" w:hAnsi="Arial"/>
          <w:sz w:val="17"/>
          <w:szCs w:val="17"/>
          <w:color w:val="auto"/>
        </w:rPr>
        <w:t>” means Standard &amp; Poor’s Ratings Services, a division of The McGraw-Hill Companies, Inc., and its successors.</w:t>
      </w:r>
    </w:p>
    <w:p>
      <w:pPr>
        <w:spacing w:after="0" w:line="200" w:lineRule="exact"/>
        <w:rPr>
          <w:sz w:val="20"/>
          <w:szCs w:val="20"/>
          <w:color w:val="auto"/>
        </w:rPr>
      </w:pPr>
    </w:p>
    <w:p>
      <w:pPr>
        <w:spacing w:after="0" w:line="22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00" w:firstLine="3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Covenants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Certain covenants in the Indenture limit our ability and the ability of our subsidiaries to:</w:t>
      </w:r>
    </w:p>
    <w:p>
      <w:pPr>
        <w:spacing w:after="0" w:line="131" w:lineRule="exact"/>
        <w:rPr>
          <w:sz w:val="20"/>
          <w:szCs w:val="20"/>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incur or assume debt secured by liens;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pacing w:after="0" w:line="131"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For a description of these covenants, see “Description of Debt Securities — Provisions Applicable to Each Indenture — Consolidation, Merger and Sale of Assets” and “— Provisions Applicable Solely to Senior Debt Securities — Restrictive Covenants” in the accompanying prospectus.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Further Issuances</w:t>
      </w:r>
    </w:p>
    <w:p>
      <w:pPr>
        <w:spacing w:after="0" w:line="135" w:lineRule="exact"/>
        <w:rPr>
          <w:sz w:val="20"/>
          <w:szCs w:val="20"/>
          <w:color w:val="auto"/>
        </w:rPr>
      </w:pPr>
    </w:p>
    <w:p>
      <w:pPr>
        <w:ind w:left="700" w:right="100" w:firstLine="397"/>
        <w:spacing w:after="0" w:line="276" w:lineRule="auto"/>
        <w:rPr>
          <w:sz w:val="20"/>
          <w:szCs w:val="20"/>
          <w:color w:val="auto"/>
        </w:rPr>
      </w:pPr>
      <w:r>
        <w:rPr>
          <w:rFonts w:ascii="Arial" w:cs="Arial" w:eastAsia="Arial" w:hAnsi="Arial"/>
          <w:sz w:val="17"/>
          <w:szCs w:val="17"/>
          <w:color w:val="auto"/>
        </w:rPr>
        <w:t>We may from time to time, without notice or the consent of the registered holders of the notes, create and issue further notes ranking equally and ratably with the notes in all respects (or in all respects except for the issue date, the initial interest payment date, if applicable, and the payment of interest accruing prior to the issue date of such further notes), so that such further notes shall be consolidated and form a single series with the notes and shall have the same terms as to status, redemption or otherwise as the notes. We may at any time purchase notes in the open market or otherwise at any price.</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Book-Entry Systems</w:t>
      </w:r>
    </w:p>
    <w:p>
      <w:pPr>
        <w:spacing w:after="0" w:line="135"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We will issue the notes in the form of one or more fully registered global notes, without coupons, each of which we refer to as a “global note.” Each such global note will be registered in the name of a nominee of The Depository Trust Company, or DTC. Unless and until definitive notes are issued, all references to actions by holders of notes issued in global form refer to actions taken by DTC upon instructions from its participants, and all references to payments and notices to the holders refer to payments and notices to the nominee of DTC as the registered holder of the offered notes.</w:t>
      </w:r>
    </w:p>
    <w:p>
      <w:pPr>
        <w:spacing w:after="0" w:line="94" w:lineRule="exact"/>
        <w:rPr>
          <w:sz w:val="20"/>
          <w:szCs w:val="20"/>
          <w:color w:val="auto"/>
        </w:rPr>
      </w:pPr>
    </w:p>
    <w:p>
      <w:pPr>
        <w:ind w:left="700" w:right="220" w:firstLine="397"/>
        <w:spacing w:after="0" w:line="286" w:lineRule="auto"/>
        <w:rPr>
          <w:sz w:val="20"/>
          <w:szCs w:val="20"/>
          <w:color w:val="auto"/>
        </w:rPr>
      </w:pPr>
      <w:r>
        <w:rPr>
          <w:rFonts w:ascii="Arial" w:cs="Arial" w:eastAsia="Arial" w:hAnsi="Arial"/>
          <w:sz w:val="17"/>
          <w:szCs w:val="17"/>
          <w:color w:val="auto"/>
        </w:rPr>
        <w:t>Where appropriate, links will be established among DTC, Euroclear Bank S.A./N.V., or the Euroclear Operator, as an operator of the Euroclear System, or Euroclear, and Clearstream Banking S.A., or Clearstream, to facilitate the initial issuance of any notes sold outside of the United States and cross-market transfers of the notes associated with secondary market trading.</w:t>
      </w:r>
    </w:p>
    <w:p>
      <w:pPr>
        <w:spacing w:after="0" w:line="71"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99" w:lineRule="exact"/>
        <w:rPr>
          <w:sz w:val="20"/>
          <w:szCs w:val="20"/>
          <w:color w:val="auto"/>
        </w:rPr>
      </w:pPr>
    </w:p>
    <w:p>
      <w:pPr>
        <w:ind w:left="700" w:right="340" w:firstLine="397"/>
        <w:spacing w:after="0" w:line="308" w:lineRule="auto"/>
        <w:rPr>
          <w:sz w:val="20"/>
          <w:szCs w:val="20"/>
          <w:color w:val="auto"/>
        </w:rPr>
      </w:pPr>
      <w:r>
        <w:rPr>
          <w:rFonts w:ascii="Arial" w:cs="Arial" w:eastAsia="Arial" w:hAnsi="Arial"/>
          <w:sz w:val="17"/>
          <w:szCs w:val="17"/>
          <w:color w:val="auto"/>
        </w:rPr>
        <w:t>While the following information concerning DTC, Euroclear and Clearstream and their respective book-entry systems has been obtained from sources that we believe to be reliable, we take no responsibility for the accuracy of that information.</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DTC</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DTC has advised us and the underwriters as follows:</w:t>
      </w:r>
    </w:p>
    <w:p>
      <w:pPr>
        <w:spacing w:after="0" w:line="131" w:lineRule="exact"/>
        <w:rPr>
          <w:sz w:val="20"/>
          <w:szCs w:val="20"/>
          <w:color w:val="auto"/>
        </w:rPr>
      </w:pPr>
    </w:p>
    <w:p>
      <w:pPr>
        <w:ind w:left="1300" w:right="460" w:hanging="20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DTC is a limited-purpose trust company organized under the New York Banking Law, a “banking organization” within the meaning of the New York Banking Law, a member of the Federal Reserve</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right="420"/>
        <w:spacing w:after="0" w:line="308" w:lineRule="auto"/>
        <w:rPr>
          <w:sz w:val="20"/>
          <w:szCs w:val="20"/>
          <w:color w:val="auto"/>
        </w:rPr>
      </w:pPr>
      <w:r>
        <w:rPr>
          <w:rFonts w:ascii="Arial" w:cs="Arial" w:eastAsia="Arial" w:hAnsi="Arial"/>
          <w:sz w:val="17"/>
          <w:szCs w:val="17"/>
          <w:color w:val="auto"/>
        </w:rPr>
        <w:t>System, a “clearing corporation” within the meaning of the New York Uniform Commercial Code, and a “clearing agency” registered pursuant to the provisions of Section 17A of the Securities Exchange Act of 1934, as amended.</w:t>
      </w:r>
    </w:p>
    <w:p>
      <w:pPr>
        <w:spacing w:after="0" w:line="52" w:lineRule="exact"/>
        <w:rPr>
          <w:sz w:val="20"/>
          <w:szCs w:val="20"/>
          <w:color w:val="auto"/>
        </w:rPr>
      </w:pPr>
    </w:p>
    <w:p>
      <w:pPr>
        <w:ind w:left="1300" w:right="20" w:hanging="202"/>
        <w:spacing w:after="0" w:line="259"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DTC holds securities for its participating organizations, referred to as “direct DTC participants,” and facilitates the clearance and settlement of securities transactions, such as transfers and pledges, in deposited securities, through electronic computerized book-entry changes in direct DTC participants’ accounts, thereby eliminating the need for physical movement of securities certificates.</w:t>
      </w:r>
    </w:p>
    <w:p>
      <w:pPr>
        <w:spacing w:after="0" w:line="78" w:lineRule="exact"/>
        <w:rPr>
          <w:rFonts w:ascii="Arial" w:cs="Arial" w:eastAsia="Arial" w:hAnsi="Arial"/>
          <w:sz w:val="18"/>
          <w:szCs w:val="18"/>
          <w:color w:val="auto"/>
        </w:rPr>
      </w:pPr>
    </w:p>
    <w:p>
      <w:pPr>
        <w:ind w:left="1300" w:hanging="202"/>
        <w:spacing w:after="0" w:line="279"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63" w:lineRule="exact"/>
        <w:rPr>
          <w:rFonts w:ascii="Arial" w:cs="Arial" w:eastAsia="Arial" w:hAnsi="Arial"/>
          <w:sz w:val="17"/>
          <w:szCs w:val="17"/>
          <w:color w:val="auto"/>
        </w:rPr>
      </w:pPr>
    </w:p>
    <w:p>
      <w:pPr>
        <w:ind w:left="1300" w:right="220" w:hanging="202"/>
        <w:spacing w:after="0" w:line="308"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DTC is owned by The Depository Trust &amp; Clearing Corporation, which is owned by a number of its direct participants and by The New York Stock Exchange, Inc., NYSE Alternext US LLC and the Financial Industry Regulatory Authority, Inc.</w:t>
      </w:r>
    </w:p>
    <w:p>
      <w:pPr>
        <w:spacing w:after="0" w:line="38" w:lineRule="exact"/>
        <w:rPr>
          <w:rFonts w:ascii="Arial" w:cs="Arial" w:eastAsia="Arial" w:hAnsi="Arial"/>
          <w:sz w:val="17"/>
          <w:szCs w:val="17"/>
          <w:color w:val="auto"/>
        </w:rPr>
      </w:pPr>
    </w:p>
    <w:p>
      <w:pPr>
        <w:ind w:left="1300" w:hanging="202"/>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rules applicable to DTC and its direct and indirect participants are on file with the Securities and Exchange Commission.</w:t>
      </w:r>
    </w:p>
    <w:p>
      <w:pPr>
        <w:spacing w:after="0" w:line="154"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84" w:lineRule="exact"/>
        <w:rPr>
          <w:sz w:val="20"/>
          <w:szCs w:val="20"/>
          <w:color w:val="auto"/>
        </w:rPr>
      </w:pPr>
    </w:p>
    <w:p>
      <w:pPr>
        <w:ind w:left="700" w:right="160" w:firstLine="397"/>
        <w:spacing w:after="0" w:line="273" w:lineRule="auto"/>
        <w:rPr>
          <w:sz w:val="20"/>
          <w:szCs w:val="20"/>
          <w:color w:val="auto"/>
        </w:rPr>
      </w:pPr>
      <w:r>
        <w:rPr>
          <w:rFonts w:ascii="Arial" w:cs="Arial" w:eastAsia="Arial" w:hAnsi="Arial"/>
          <w:sz w:val="17"/>
          <w:szCs w:val="17"/>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effect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84"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87" w:lineRule="exact"/>
        <w:rPr>
          <w:sz w:val="20"/>
          <w:szCs w:val="20"/>
          <w:color w:val="auto"/>
        </w:rPr>
      </w:pPr>
    </w:p>
    <w:p>
      <w:pPr>
        <w:jc w:val="both"/>
        <w:ind w:left="700" w:right="160" w:firstLine="397"/>
        <w:spacing w:after="0" w:line="264" w:lineRule="auto"/>
        <w:rPr>
          <w:sz w:val="20"/>
          <w:szCs w:val="20"/>
          <w:color w:val="auto"/>
        </w:rPr>
      </w:pPr>
      <w:r>
        <w:rPr>
          <w:rFonts w:ascii="Arial" w:cs="Arial" w:eastAsia="Arial" w:hAnsi="Arial"/>
          <w:sz w:val="18"/>
          <w:szCs w:val="18"/>
          <w:color w:val="auto"/>
        </w:rPr>
        <w:t>The laws of some jurisdictions may require that certain persons take physical delivery in definitive form of securities which they own. Consequently, those persons may be prohibited from purchasing beneficial interests in the global notes from any beneficial owner or otherwise.</w:t>
      </w:r>
    </w:p>
    <w:p>
      <w:pPr>
        <w:spacing w:after="0" w:line="87" w:lineRule="exact"/>
        <w:rPr>
          <w:sz w:val="20"/>
          <w:szCs w:val="20"/>
          <w:color w:val="auto"/>
        </w:rPr>
      </w:pPr>
    </w:p>
    <w:p>
      <w:pPr>
        <w:ind w:left="700" w:right="120" w:firstLine="397"/>
        <w:spacing w:after="0" w:line="279" w:lineRule="auto"/>
        <w:rPr>
          <w:sz w:val="20"/>
          <w:szCs w:val="20"/>
          <w:color w:val="auto"/>
        </w:rPr>
      </w:pPr>
      <w:r>
        <w:rPr>
          <w:rFonts w:ascii="Arial" w:cs="Arial" w:eastAsia="Arial" w:hAnsi="Arial"/>
          <w:sz w:val="17"/>
          <w:szCs w:val="17"/>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77" w:lineRule="exact"/>
        <w:rPr>
          <w:sz w:val="20"/>
          <w:szCs w:val="20"/>
          <w:color w:val="auto"/>
        </w:rPr>
      </w:pPr>
    </w:p>
    <w:p>
      <w:pPr>
        <w:ind w:left="700" w:right="740" w:firstLine="397"/>
        <w:spacing w:after="0" w:line="277" w:lineRule="auto"/>
        <w:rPr>
          <w:sz w:val="20"/>
          <w:szCs w:val="20"/>
          <w:color w:val="auto"/>
        </w:rPr>
      </w:pPr>
      <w:r>
        <w:rPr>
          <w:rFonts w:ascii="Arial" w:cs="Arial" w:eastAsia="Arial" w:hAnsi="Arial"/>
          <w:sz w:val="18"/>
          <w:szCs w:val="18"/>
          <w:color w:val="auto"/>
        </w:rPr>
        <w:t>Neither DTC nor Cede &amp; Co. (nor any other DTC nominee) will consent or vote with respect to the notes. Under its usual procedures, DTC mails an omnibus proxy to the issuer as soon as possible after the</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77" w:lineRule="auto"/>
        <w:rPr>
          <w:sz w:val="20"/>
          <w:szCs w:val="20"/>
          <w:color w:val="auto"/>
        </w:rPr>
      </w:pPr>
      <w:r>
        <w:rPr>
          <w:rFonts w:ascii="Arial" w:cs="Arial" w:eastAsia="Arial" w:hAnsi="Arial"/>
          <w:sz w:val="18"/>
          <w:szCs w:val="18"/>
          <w:color w:val="auto"/>
        </w:rPr>
        <w:t>record date. The omnibus proxy assigns Cede &amp; Co.’s consenting or voting rights to those direct DTC participants to whose accounts the notes are credited on the record date (identified in a listing attached to the omnibus proxy).</w:t>
      </w:r>
    </w:p>
    <w:p>
      <w:pPr>
        <w:spacing w:after="0" w:line="76" w:lineRule="exact"/>
        <w:rPr>
          <w:sz w:val="20"/>
          <w:szCs w:val="20"/>
          <w:color w:val="auto"/>
        </w:rPr>
      </w:pPr>
    </w:p>
    <w:p>
      <w:pPr>
        <w:ind w:left="700" w:right="160" w:firstLine="397"/>
        <w:spacing w:after="0" w:line="289" w:lineRule="auto"/>
        <w:rPr>
          <w:sz w:val="20"/>
          <w:szCs w:val="20"/>
          <w:color w:val="auto"/>
        </w:rPr>
      </w:pPr>
      <w:r>
        <w:rPr>
          <w:rFonts w:ascii="Arial" w:cs="Arial" w:eastAsia="Arial" w:hAnsi="Arial"/>
          <w:sz w:val="16"/>
          <w:szCs w:val="16"/>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72"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DTC may discontinue providing its service as securities depositary with respect to the notes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60"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Neither Waste Management, the Trustee nor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92" w:lineRule="exact"/>
        <w:rPr>
          <w:sz w:val="20"/>
          <w:szCs w:val="20"/>
          <w:color w:val="auto"/>
        </w:rPr>
      </w:pPr>
    </w:p>
    <w:p>
      <w:pPr>
        <w:ind w:left="700" w:right="440" w:firstLine="397"/>
        <w:spacing w:after="0" w:line="342" w:lineRule="auto"/>
        <w:rPr>
          <w:sz w:val="20"/>
          <w:szCs w:val="20"/>
          <w:color w:val="auto"/>
        </w:rPr>
      </w:pPr>
      <w:r>
        <w:rPr>
          <w:rFonts w:ascii="Arial" w:cs="Arial" w:eastAsia="Arial" w:hAnsi="Arial"/>
          <w:sz w:val="16"/>
          <w:szCs w:val="16"/>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Euroclear</w:t>
      </w:r>
    </w:p>
    <w:p>
      <w:pPr>
        <w:spacing w:after="0" w:line="135"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Euroclear was created in 1968 to hold securities for participants of Euroclear and to clear and settle transactions between Euroclear participants through simultaneous electronic book-entry delivery against payment, thus eliminating the need for physical movement of certificates and risk from lack of simultaneous transfers of securities and cash. Euroclear provides various other services, including securities lending and borrowing and interfaces with domestic markets in several countries generally similar to the arrangements for cross-market transfers with DTC.</w:t>
      </w:r>
    </w:p>
    <w:p>
      <w:pPr>
        <w:spacing w:after="0" w:line="94"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Euroclear is operated by the Euroclear Operator under a contract with Euroclear Clearance Systems, S.C., a Belgian cooperative, or the “cooperative.” 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83"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The Euroclear Operator is a Belgian bank, which is regulated and examined by the Belgian Banking Commission and the National Bank of Belgium.</w:t>
      </w:r>
    </w:p>
    <w:p>
      <w:pPr>
        <w:spacing w:after="0" w:line="76"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The Terms and Conditions Governing Use of Euroclear, the related Operating Procedures of Euroclear and applicable Belgian law govern securities clearance accounts and cash accounts with the Euroclear Operator.</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spacing w:after="0" w:line="277" w:lineRule="auto"/>
        <w:rPr>
          <w:sz w:val="20"/>
          <w:szCs w:val="20"/>
          <w:color w:val="auto"/>
        </w:rPr>
      </w:pPr>
      <w:r>
        <w:rPr>
          <w:rFonts w:ascii="Arial" w:cs="Arial" w:eastAsia="Arial" w:hAnsi="Arial"/>
          <w:sz w:val="18"/>
          <w:szCs w:val="18"/>
          <w:color w:val="auto"/>
        </w:rPr>
        <w:t>Specifically, these terms and conditions govern transfers of securities and cash within Euroclear, withdrawal of securities and cash from Euroclear and receipts of payments with respect to securities in Euroclear.</w:t>
      </w:r>
    </w:p>
    <w:p>
      <w:pPr>
        <w:spacing w:after="0" w:line="76" w:lineRule="exact"/>
        <w:rPr>
          <w:sz w:val="20"/>
          <w:szCs w:val="20"/>
          <w:color w:val="auto"/>
        </w:rPr>
      </w:pPr>
    </w:p>
    <w:p>
      <w:pPr>
        <w:jc w:val="both"/>
        <w:ind w:left="700" w:right="300" w:firstLine="397"/>
        <w:spacing w:after="0" w:line="264"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87" w:lineRule="exact"/>
        <w:rPr>
          <w:sz w:val="20"/>
          <w:szCs w:val="20"/>
          <w:color w:val="auto"/>
        </w:rPr>
      </w:pPr>
    </w:p>
    <w:p>
      <w:pPr>
        <w:ind w:left="700" w:right="400" w:firstLine="397"/>
        <w:spacing w:after="0" w:line="342" w:lineRule="auto"/>
        <w:rPr>
          <w:sz w:val="20"/>
          <w:szCs w:val="20"/>
          <w:color w:val="auto"/>
        </w:rPr>
      </w:pPr>
      <w:r>
        <w:rPr>
          <w:rFonts w:ascii="Arial" w:cs="Arial" w:eastAsia="Arial" w:hAnsi="Arial"/>
          <w:sz w:val="16"/>
          <w:szCs w:val="16"/>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29"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84" w:lineRule="exact"/>
        <w:rPr>
          <w:sz w:val="20"/>
          <w:szCs w:val="20"/>
          <w:color w:val="auto"/>
        </w:rPr>
      </w:pPr>
    </w:p>
    <w:p>
      <w:pPr>
        <w:ind w:left="700" w:right="140" w:firstLine="397"/>
        <w:spacing w:after="0" w:line="279" w:lineRule="auto"/>
        <w:rPr>
          <w:sz w:val="20"/>
          <w:szCs w:val="20"/>
          <w:color w:val="auto"/>
        </w:rPr>
      </w:pPr>
      <w:r>
        <w:rPr>
          <w:rFonts w:ascii="Arial" w:cs="Arial" w:eastAsia="Arial" w:hAnsi="Arial"/>
          <w:sz w:val="17"/>
          <w:szCs w:val="17"/>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to the direct DTC participant, a cross-market transaction will settle no differently than a trade between two direct DTC participants.</w:t>
      </w:r>
    </w:p>
    <w:p>
      <w:pPr>
        <w:spacing w:after="0" w:line="77" w:lineRule="exact"/>
        <w:rPr>
          <w:sz w:val="20"/>
          <w:szCs w:val="20"/>
          <w:color w:val="auto"/>
        </w:rPr>
      </w:pPr>
    </w:p>
    <w:p>
      <w:pPr>
        <w:ind w:left="700" w:right="60" w:firstLine="397"/>
        <w:spacing w:after="0" w:line="291" w:lineRule="auto"/>
        <w:rPr>
          <w:sz w:val="20"/>
          <w:szCs w:val="20"/>
          <w:color w:val="auto"/>
        </w:rPr>
      </w:pPr>
      <w:r>
        <w:rPr>
          <w:rFonts w:ascii="Arial" w:cs="Arial" w:eastAsia="Arial" w:hAnsi="Arial"/>
          <w:sz w:val="16"/>
          <w:szCs w:val="16"/>
          <w:color w:val="auto"/>
        </w:rPr>
        <w:t>When a Euroclear participant wishes to transfer the notes to a direct DTC participant, the seller will be required to send instructions to Euroclear through a Euroclear participant at least one business day prior to settlement. In these cases, Euroclear will instruct its</w:t>
      </w:r>
    </w:p>
    <w:p>
      <w:pPr>
        <w:ind w:left="700"/>
        <w:spacing w:after="0" w:line="254" w:lineRule="auto"/>
        <w:rPr>
          <w:sz w:val="20"/>
          <w:szCs w:val="20"/>
          <w:color w:val="auto"/>
        </w:rPr>
      </w:pPr>
      <w:r>
        <w:rPr>
          <w:rFonts w:ascii="Arial" w:cs="Arial" w:eastAsia="Arial" w:hAnsi="Arial"/>
          <w:sz w:val="18"/>
          <w:szCs w:val="18"/>
          <w:color w:val="auto"/>
        </w:rPr>
        <w:t>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95" w:lineRule="exact"/>
        <w:rPr>
          <w:sz w:val="20"/>
          <w:szCs w:val="20"/>
          <w:color w:val="auto"/>
        </w:rPr>
      </w:pPr>
    </w:p>
    <w:p>
      <w:pPr>
        <w:ind w:left="700" w:right="180" w:firstLine="397"/>
        <w:spacing w:after="0" w:line="302" w:lineRule="auto"/>
        <w:rPr>
          <w:sz w:val="20"/>
          <w:szCs w:val="20"/>
          <w:color w:val="auto"/>
        </w:rPr>
      </w:pPr>
      <w:r>
        <w:rPr>
          <w:rFonts w:ascii="Arial" w:cs="Arial" w:eastAsia="Arial" w:hAnsi="Arial"/>
          <w:sz w:val="16"/>
          <w:szCs w:val="16"/>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Clearstream</w:t>
      </w:r>
    </w:p>
    <w:p>
      <w:pPr>
        <w:spacing w:after="0" w:line="135"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Clearstream was incorporated as a limited liability company under Luxembourg law. Clearstream is owned by Cedel International, société anonyme, and Deutsche Börse AG. The shareholders of these two entities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84" w:lineRule="exact"/>
        <w:rPr>
          <w:sz w:val="20"/>
          <w:szCs w:val="20"/>
          <w:color w:val="auto"/>
        </w:rPr>
      </w:pPr>
    </w:p>
    <w:p>
      <w:pPr>
        <w:ind w:left="700" w:right="220" w:firstLine="397"/>
        <w:spacing w:after="0" w:line="259" w:lineRule="auto"/>
        <w:rPr>
          <w:sz w:val="20"/>
          <w:szCs w:val="20"/>
          <w:color w:val="auto"/>
        </w:rPr>
      </w:pPr>
      <w:r>
        <w:rPr>
          <w:rFonts w:ascii="Arial" w:cs="Arial" w:eastAsia="Arial" w:hAnsi="Arial"/>
          <w:sz w:val="18"/>
          <w:szCs w:val="18"/>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w:t>
      </w:r>
    </w:p>
    <w:p>
      <w:pPr>
        <w:spacing w:after="0" w:line="37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560"/>
        <w:spacing w:after="0" w:line="264" w:lineRule="auto"/>
        <w:rPr>
          <w:sz w:val="20"/>
          <w:szCs w:val="20"/>
          <w:color w:val="auto"/>
        </w:rPr>
      </w:pPr>
      <w:r>
        <w:rPr>
          <w:rFonts w:ascii="Arial" w:cs="Arial" w:eastAsia="Arial" w:hAnsi="Arial"/>
          <w:sz w:val="18"/>
          <w:szCs w:val="18"/>
          <w:color w:val="auto"/>
        </w:rPr>
        <w:t>banks, and may include the underwriters of the securities offered by means of this prospectus supplement or one or more of their affiliates. Other institutions that maintain a custodial relationship with a Clearstream participant may obtain indirect access to Clearstream. Clearstream is an indirect DTC participant.</w:t>
      </w:r>
    </w:p>
    <w:p>
      <w:pPr>
        <w:spacing w:after="0" w:line="87"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76"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84"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to the direct DTC participant, a cross-market transaction will settle no differently than a trade between two direct DTC participants.</w:t>
      </w:r>
    </w:p>
    <w:p>
      <w:pPr>
        <w:spacing w:after="0" w:line="77"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84" w:lineRule="exact"/>
        <w:rPr>
          <w:sz w:val="20"/>
          <w:szCs w:val="20"/>
          <w:color w:val="auto"/>
        </w:rPr>
      </w:pPr>
    </w:p>
    <w:p>
      <w:pPr>
        <w:jc w:val="both"/>
        <w:ind w:left="700" w:right="80" w:firstLine="397"/>
        <w:spacing w:after="0" w:line="302" w:lineRule="auto"/>
        <w:rPr>
          <w:sz w:val="20"/>
          <w:szCs w:val="20"/>
          <w:color w:val="auto"/>
        </w:rPr>
      </w:pPr>
      <w:r>
        <w:rPr>
          <w:rFonts w:ascii="Arial" w:cs="Arial" w:eastAsia="Arial" w:hAnsi="Arial"/>
          <w:sz w:val="16"/>
          <w:szCs w:val="16"/>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3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UNDERWRITING</w:t>
      </w:r>
    </w:p>
    <w:p>
      <w:pPr>
        <w:spacing w:after="0" w:line="135" w:lineRule="exact"/>
        <w:rPr>
          <w:sz w:val="20"/>
          <w:szCs w:val="20"/>
          <w:color w:val="auto"/>
        </w:rPr>
      </w:pPr>
    </w:p>
    <w:p>
      <w:pPr>
        <w:ind w:left="700" w:right="940" w:firstLine="397"/>
        <w:spacing w:after="0" w:line="277" w:lineRule="auto"/>
        <w:rPr>
          <w:sz w:val="20"/>
          <w:szCs w:val="20"/>
          <w:color w:val="auto"/>
        </w:rPr>
      </w:pPr>
      <w:r>
        <w:rPr>
          <w:rFonts w:ascii="Arial" w:cs="Arial" w:eastAsia="Arial" w:hAnsi="Arial"/>
          <w:sz w:val="18"/>
          <w:szCs w:val="18"/>
          <w:color w:val="auto"/>
        </w:rPr>
        <w:t>Deutsche Bank Securities Inc. and RBS Securities Inc. are acting as joint book-running managers of the offering and as representatives of the underwriters named below.</w:t>
      </w:r>
    </w:p>
    <w:p>
      <w:pPr>
        <w:spacing w:after="0" w:line="76"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Subject to the terms and conditions stated in the underwriting agreement dated the date of this prospectus supplement, the underwriters named below have severally agreed to purchase, and we have agreed to sell to the underwriters, the principal amount of the notes set forth opposite the respective underwriters’ names.</w:t>
      </w:r>
    </w:p>
    <w:p>
      <w:pPr>
        <w:spacing w:after="0" w:line="92"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8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16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Principal Amount</w:t>
            </w:r>
          </w:p>
        </w:tc>
        <w:tc>
          <w:tcPr>
            <w:tcW w:w="0" w:type="dxa"/>
            <w:vAlign w:val="bottom"/>
          </w:tcPr>
          <w:p>
            <w:pPr>
              <w:spacing w:after="0"/>
              <w:rPr>
                <w:sz w:val="1"/>
                <w:szCs w:val="1"/>
                <w:color w:val="auto"/>
              </w:rPr>
            </w:pPr>
          </w:p>
        </w:tc>
      </w:tr>
      <w:tr>
        <w:trPr>
          <w:trHeight w:val="171"/>
        </w:trPr>
        <w:tc>
          <w:tcPr>
            <w:tcW w:w="8280" w:type="dxa"/>
            <w:vAlign w:val="bottom"/>
            <w:gridSpan w:val="3"/>
            <w:vMerge w:val="continue"/>
          </w:tcPr>
          <w:p>
            <w:pPr>
              <w:spacing w:after="0"/>
              <w:rPr>
                <w:sz w:val="14"/>
                <w:szCs w:val="14"/>
                <w:color w:val="auto"/>
              </w:rPr>
            </w:pPr>
          </w:p>
        </w:tc>
        <w:tc>
          <w:tcPr>
            <w:tcW w:w="16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of Notes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2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RBS Securities Inc.</w:t>
            </w:r>
          </w:p>
        </w:tc>
        <w:tc>
          <w:tcPr>
            <w:tcW w:w="5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280" w:firstLine="397"/>
        <w:spacing w:after="0" w:line="264" w:lineRule="auto"/>
        <w:rPr>
          <w:sz w:val="20"/>
          <w:szCs w:val="20"/>
          <w:color w:val="auto"/>
        </w:rPr>
      </w:pPr>
      <w:r>
        <w:rPr>
          <w:rFonts w:ascii="Arial" w:cs="Arial" w:eastAsia="Arial" w:hAnsi="Arial"/>
          <w:sz w:val="18"/>
          <w:szCs w:val="18"/>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87"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The underwriters propose to offer the notes directly to the public at the public offering price set forth on the cover page of this prospectus supplement and may offer the notes to dealers at the public offering price less a concession not to exceed % of the principal amount of the notes. The underwriters may allow, and dealers may reallow, a concession not to exceed % of the principal amount of the notes on sales to other dealers. After the initial offering of the notes to the public, the representatives may change the public offering price and other selling terms applicable to the notes.</w:t>
      </w:r>
    </w:p>
    <w:p>
      <w:pPr>
        <w:spacing w:after="0" w:line="94"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the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the offering is in progress.</w:t>
      </w:r>
    </w:p>
    <w:p>
      <w:pPr>
        <w:spacing w:after="0" w:line="70" w:lineRule="exact"/>
        <w:rPr>
          <w:sz w:val="20"/>
          <w:szCs w:val="20"/>
          <w:color w:val="auto"/>
        </w:rPr>
      </w:pPr>
    </w:p>
    <w:p>
      <w:pPr>
        <w:ind w:left="700" w:right="440" w:firstLine="397"/>
        <w:spacing w:after="0" w:line="264" w:lineRule="auto"/>
        <w:rPr>
          <w:sz w:val="20"/>
          <w:szCs w:val="20"/>
          <w:color w:val="auto"/>
        </w:rPr>
      </w:pPr>
      <w:r>
        <w:rPr>
          <w:rFonts w:ascii="Arial" w:cs="Arial" w:eastAsia="Arial" w:hAnsi="Arial"/>
          <w:sz w:val="18"/>
          <w:szCs w:val="18"/>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87"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estimate that our total expenses for this offering will be $650,000.</w:t>
      </w:r>
    </w:p>
    <w:p>
      <w:pPr>
        <w:spacing w:after="0" w:line="131" w:lineRule="exact"/>
        <w:rPr>
          <w:sz w:val="20"/>
          <w:szCs w:val="20"/>
          <w:color w:val="auto"/>
        </w:rPr>
      </w:pPr>
    </w:p>
    <w:p>
      <w:pPr>
        <w:ind w:left="700" w:right="460" w:firstLine="397"/>
        <w:spacing w:after="0" w:line="342" w:lineRule="auto"/>
        <w:rPr>
          <w:sz w:val="20"/>
          <w:szCs w:val="20"/>
          <w:color w:val="auto"/>
        </w:rPr>
      </w:pPr>
      <w:r>
        <w:rPr>
          <w:rFonts w:ascii="Arial" w:cs="Arial" w:eastAsia="Arial" w:hAnsi="Arial"/>
          <w:sz w:val="16"/>
          <w:szCs w:val="16"/>
          <w:color w:val="auto"/>
        </w:rPr>
        <w:t>We have agreed that we will not offer to sell any of our debt securities (other than the notes, bank borrowings and commercial paper) for a period of 30 days after the date of this prospectus supplement without the prior written consent of the representatives.</w:t>
      </w:r>
    </w:p>
    <w:p>
      <w:pPr>
        <w:spacing w:after="0" w:line="29"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or to contribute to payments the underwriters may be required to make because of any of those liabilities.</w:t>
      </w:r>
    </w:p>
    <w:p>
      <w:pPr>
        <w:spacing w:after="0" w:line="76"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Certain of the underwriters and their respective affiliates have, from time to time, performed, and may in the future perform, various financial advisory, investment banking and commercial services for us, for which they have received or will receive customary fees and expense reimbursements.</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Selling Restrictions</w:t>
      </w:r>
    </w:p>
    <w:p>
      <w:pPr>
        <w:spacing w:after="0" w:line="135" w:lineRule="exact"/>
        <w:rPr>
          <w:sz w:val="20"/>
          <w:szCs w:val="20"/>
          <w:color w:val="auto"/>
        </w:rPr>
      </w:pPr>
    </w:p>
    <w:p>
      <w:pPr>
        <w:ind w:left="700" w:right="140" w:firstLine="397"/>
        <w:spacing w:after="0" w:line="257"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notes which are the subject of the offering contemplated by this prospectus supplement to the public in that Relevant Member State other than:</w:t>
      </w:r>
    </w:p>
    <w:p>
      <w:pPr>
        <w:spacing w:after="0" w:line="94" w:lineRule="exact"/>
        <w:rPr>
          <w:sz w:val="20"/>
          <w:szCs w:val="20"/>
          <w:color w:val="auto"/>
        </w:rPr>
      </w:pPr>
    </w:p>
    <w:p>
      <w:pPr>
        <w:ind w:left="1280" w:hanging="190"/>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jc w:val="both"/>
        <w:ind w:left="700" w:right="60" w:firstLine="390"/>
        <w:spacing w:after="0" w:line="264" w:lineRule="auto"/>
        <w:tabs>
          <w:tab w:leader="none" w:pos="12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subject to obtaining the prior consent of the representative or representatives nominated by us for any such offer; or</w:t>
      </w:r>
    </w:p>
    <w:p>
      <w:pPr>
        <w:spacing w:after="0" w:line="86" w:lineRule="exact"/>
        <w:rPr>
          <w:rFonts w:ascii="Arial" w:cs="Arial" w:eastAsia="Arial" w:hAnsi="Arial"/>
          <w:sz w:val="18"/>
          <w:szCs w:val="18"/>
          <w:color w:val="auto"/>
        </w:rPr>
      </w:pPr>
    </w:p>
    <w:p>
      <w:pPr>
        <w:ind w:left="1280" w:hanging="190"/>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31" w:lineRule="exact"/>
        <w:rPr>
          <w:sz w:val="20"/>
          <w:szCs w:val="20"/>
          <w:color w:val="auto"/>
        </w:rPr>
      </w:pPr>
    </w:p>
    <w:p>
      <w:pPr>
        <w:ind w:left="700" w:right="20"/>
        <w:spacing w:after="0" w:line="271" w:lineRule="auto"/>
        <w:rPr>
          <w:sz w:val="20"/>
          <w:szCs w:val="20"/>
          <w:color w:val="auto"/>
        </w:rPr>
      </w:pPr>
      <w:r>
        <w:rPr>
          <w:rFonts w:ascii="Arial" w:cs="Arial" w:eastAsia="Arial" w:hAnsi="Arial"/>
          <w:sz w:val="17"/>
          <w:szCs w:val="17"/>
          <w:color w:val="auto"/>
        </w:rPr>
        <w:t>provided that no such offer of notes shall require us or any underwriter to publish a prospectus pursuant to Article 3 of the Prospectus Directive. For the purposes of the preceding sentence, the expression “offer of notes to the public” in relation to any notes in any Relevant Member State means the communication in any form and by any means of sufficient information of the terms of the offer and the notes to be offered so as to enable an investor to decide to purchase or subscribe the notes, as the same may be varied in that Relevant Member State by any measure implementing the Prospectus Directive in that Relevant Member State; “Prospectus Directive” means Directive 2003/71/EC (and amendments thereto, including the 2010 PD Amending Directive, to the extent implemented in the Relevant Member State) and includes any relevant implementing measure in each Relevant Member State; and the term “2010 PD Amending Directive” means Directive 2010/73/EU.</w:t>
      </w:r>
    </w:p>
    <w:p>
      <w:pPr>
        <w:spacing w:after="0" w:line="84"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Each underwriter has also agreed that: (i) it has complied and will comply with all applicable provisions of the Financial Services and Markets Act 2000, as amended (“FSMA”), with respect to anything done by it in relation to the notes in, from or otherwise involving the United Kingdom; and (ii) 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w:t>
      </w:r>
    </w:p>
    <w:p>
      <w:pPr>
        <w:spacing w:after="0" w:line="34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Certain legal matters in connection with the notes offered hereby will be passed upon for us by Baker Botts L.L.P., Houston, Texas, and for the underwriters by Vinson &amp; Elkins L.L.P., Houston, Texas. Vinson &amp; Elkins L.L.P. represents us from time to time in matters unrelated to this offering.</w:t>
      </w:r>
    </w:p>
    <w:p>
      <w:pPr>
        <w:spacing w:after="0" w:line="29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consolidated financial statements of Waste Management, Inc. appearing in Waste Management, Inc.’s Annual Report (Form 10-K) for the year ended December 31, 2010, including the schedule appearing therein, and the effectiveness of Waste Management, Inc.’s internal control over financial reporting as of December 31, 2010,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38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31" w:lineRule="exact"/>
        <w:rPr>
          <w:sz w:val="20"/>
          <w:szCs w:val="20"/>
          <w:color w:val="auto"/>
        </w:rPr>
      </w:pPr>
    </w:p>
    <w:p>
      <w:pPr>
        <w:ind w:left="700" w:right="220" w:firstLine="397"/>
        <w:spacing w:after="0" w:line="289" w:lineRule="auto"/>
        <w:rPr>
          <w:sz w:val="20"/>
          <w:szCs w:val="20"/>
          <w:color w:val="auto"/>
        </w:rPr>
      </w:pPr>
      <w:r>
        <w:rPr>
          <w:rFonts w:ascii="Arial" w:cs="Arial" w:eastAsia="Arial" w:hAnsi="Arial"/>
          <w:sz w:val="17"/>
          <w:szCs w:val="17"/>
          <w:b w:val="1"/>
          <w:bCs w:val="1"/>
          <w:color w:val="auto"/>
        </w:rPr>
        <w:t>This prospectus supplement incorporates documents by reference which are not presented in or delivered with this prospectus supplement. We have not authorized anyone to provide you with information that is different from or in addition to the information contained in this document and incorporated by reference into this prospectus supplement.</w:t>
      </w:r>
    </w:p>
    <w:p>
      <w:pPr>
        <w:spacing w:after="0" w:line="68"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We incorporate information into this prospectus supplement by reference, which means that we disclose important information to you by referring you to another document filed separately with the SEC. The information incorporated by reference is deemed to be part of this prospectus supplement, except to the extent superseded by information contained herein or by information contained in documents filed with or furnished to the SEC after the date of this prospectus supplement. This prospectus supplement incorporates by reference the documents set forth below that have been previously filed with the SEC. These documents contain important information about us and our financial condition.</w:t>
      </w:r>
    </w:p>
    <w:p>
      <w:pPr>
        <w:spacing w:after="0" w:line="225"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8260" w:type="dxa"/>
            <w:vAlign w:val="bottom"/>
            <w:gridSpan w:val="2"/>
          </w:tcPr>
          <w:p>
            <w:pPr>
              <w:spacing w:after="0"/>
              <w:rPr>
                <w:sz w:val="20"/>
                <w:szCs w:val="20"/>
                <w:color w:val="auto"/>
              </w:rPr>
            </w:pPr>
            <w:r>
              <w:rPr>
                <w:rFonts w:ascii="Arial" w:cs="Arial" w:eastAsia="Arial" w:hAnsi="Arial"/>
                <w:sz w:val="16"/>
                <w:szCs w:val="16"/>
                <w:color w:val="auto"/>
              </w:rPr>
              <w:t>SEC Filing (Our SEC File Number is 1-12154)</w:t>
            </w:r>
          </w:p>
        </w:tc>
        <w:tc>
          <w:tcPr>
            <w:tcW w:w="1660" w:type="dxa"/>
            <w:vAlign w:val="bottom"/>
          </w:tcPr>
          <w:p>
            <w:pPr>
              <w:jc w:val="right"/>
              <w:ind w:right="32"/>
              <w:spacing w:after="0"/>
              <w:rPr>
                <w:sz w:val="20"/>
                <w:szCs w:val="20"/>
                <w:color w:val="auto"/>
              </w:rPr>
            </w:pPr>
            <w:r>
              <w:rPr>
                <w:rFonts w:ascii="Arial" w:cs="Arial" w:eastAsia="Arial" w:hAnsi="Arial"/>
                <w:sz w:val="16"/>
                <w:szCs w:val="16"/>
                <w:color w:val="auto"/>
              </w:rPr>
              <w:t>Date Filed</w:t>
            </w:r>
          </w:p>
        </w:tc>
      </w:tr>
      <w:tr>
        <w:trPr>
          <w:trHeight w:val="23"/>
        </w:trPr>
        <w:tc>
          <w:tcPr>
            <w:tcW w:w="80" w:type="dxa"/>
            <w:vAlign w:val="bottom"/>
            <w:shd w:val="clear" w:color="auto" w:fill="000000"/>
          </w:tcPr>
          <w:p>
            <w:pPr>
              <w:spacing w:after="0"/>
              <w:rPr>
                <w:sz w:val="2"/>
                <w:szCs w:val="2"/>
                <w:color w:val="auto"/>
              </w:rPr>
            </w:pPr>
          </w:p>
        </w:tc>
        <w:tc>
          <w:tcPr>
            <w:tcW w:w="8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6"/>
        </w:trPr>
        <w:tc>
          <w:tcPr>
            <w:tcW w:w="8260" w:type="dxa"/>
            <w:vAlign w:val="bottom"/>
            <w:gridSpan w:val="2"/>
          </w:tcPr>
          <w:p>
            <w:pPr>
              <w:spacing w:after="0"/>
              <w:rPr>
                <w:sz w:val="20"/>
                <w:szCs w:val="20"/>
                <w:color w:val="auto"/>
              </w:rPr>
            </w:pPr>
            <w:r>
              <w:rPr>
                <w:rFonts w:ascii="Arial" w:cs="Arial" w:eastAsia="Arial" w:hAnsi="Arial"/>
                <w:sz w:val="18"/>
                <w:szCs w:val="18"/>
                <w:color w:val="auto"/>
              </w:rPr>
              <w:t>Annual Report on Form 10-K for the year ended December 31, 2010</w:t>
            </w:r>
          </w:p>
        </w:tc>
        <w:tc>
          <w:tcPr>
            <w:tcW w:w="1660" w:type="dxa"/>
            <w:vAlign w:val="bottom"/>
          </w:tcPr>
          <w:p>
            <w:pPr>
              <w:jc w:val="right"/>
              <w:spacing w:after="0"/>
              <w:rPr>
                <w:sz w:val="20"/>
                <w:szCs w:val="20"/>
                <w:color w:val="auto"/>
              </w:rPr>
            </w:pPr>
            <w:r>
              <w:rPr>
                <w:rFonts w:ascii="Arial" w:cs="Arial" w:eastAsia="Arial" w:hAnsi="Arial"/>
                <w:sz w:val="18"/>
                <w:szCs w:val="18"/>
                <w:color w:val="auto"/>
              </w:rPr>
              <w:t>February 17, 2011</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Amendment No. 1 to Form 10-K for the year ended December 31, 2010</w:t>
            </w:r>
          </w:p>
        </w:tc>
        <w:tc>
          <w:tcPr>
            <w:tcW w:w="1660" w:type="dxa"/>
            <w:vAlign w:val="bottom"/>
          </w:tcPr>
          <w:p>
            <w:pPr>
              <w:jc w:val="right"/>
              <w:spacing w:after="0"/>
              <w:rPr>
                <w:sz w:val="20"/>
                <w:szCs w:val="20"/>
                <w:color w:val="auto"/>
              </w:rPr>
            </w:pPr>
            <w:r>
              <w:rPr>
                <w:rFonts w:ascii="Arial" w:cs="Arial" w:eastAsia="Arial" w:hAnsi="Arial"/>
                <w:sz w:val="18"/>
                <w:szCs w:val="18"/>
                <w:color w:val="auto"/>
              </w:rPr>
              <w:t>February 22, 2011</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w w:val="94"/>
              </w:rPr>
              <w:t>The portions of our proxy statement for our 2010 annual meeting of stockholders incorporated by reference in</w:t>
            </w:r>
          </w:p>
        </w:tc>
        <w:tc>
          <w:tcPr>
            <w:tcW w:w="1660" w:type="dxa"/>
            <w:vAlign w:val="bottom"/>
          </w:tcPr>
          <w:p>
            <w:pPr>
              <w:spacing w:after="0"/>
              <w:rPr>
                <w:sz w:val="18"/>
                <w:szCs w:val="18"/>
                <w:color w:val="auto"/>
              </w:rPr>
            </w:pPr>
          </w:p>
        </w:tc>
      </w:tr>
      <w:tr>
        <w:trPr>
          <w:trHeight w:val="230"/>
        </w:trPr>
        <w:tc>
          <w:tcPr>
            <w:tcW w:w="80" w:type="dxa"/>
            <w:vAlign w:val="bottom"/>
          </w:tcPr>
          <w:p>
            <w:pPr>
              <w:spacing w:after="0"/>
              <w:rPr>
                <w:sz w:val="20"/>
                <w:szCs w:val="20"/>
                <w:color w:val="auto"/>
              </w:rPr>
            </w:pPr>
          </w:p>
        </w:tc>
        <w:tc>
          <w:tcPr>
            <w:tcW w:w="8180" w:type="dxa"/>
            <w:vAlign w:val="bottom"/>
          </w:tcPr>
          <w:p>
            <w:pPr>
              <w:ind w:left="280"/>
              <w:spacing w:after="0"/>
              <w:rPr>
                <w:sz w:val="20"/>
                <w:szCs w:val="20"/>
                <w:color w:val="auto"/>
              </w:rPr>
            </w:pPr>
            <w:r>
              <w:rPr>
                <w:rFonts w:ascii="Arial" w:cs="Arial" w:eastAsia="Arial" w:hAnsi="Arial"/>
                <w:sz w:val="18"/>
                <w:szCs w:val="18"/>
                <w:color w:val="auto"/>
              </w:rPr>
              <w:t>our Annual Report on Form 10-K for the year ended December 31, 2009</w:t>
            </w:r>
          </w:p>
        </w:tc>
        <w:tc>
          <w:tcPr>
            <w:tcW w:w="1660" w:type="dxa"/>
            <w:vAlign w:val="bottom"/>
          </w:tcPr>
          <w:p>
            <w:pPr>
              <w:jc w:val="right"/>
              <w:spacing w:after="0"/>
              <w:rPr>
                <w:sz w:val="20"/>
                <w:szCs w:val="20"/>
                <w:color w:val="auto"/>
              </w:rPr>
            </w:pPr>
            <w:r>
              <w:rPr>
                <w:rFonts w:ascii="Arial" w:cs="Arial" w:eastAsia="Arial" w:hAnsi="Arial"/>
                <w:sz w:val="18"/>
                <w:szCs w:val="18"/>
                <w:color w:val="auto"/>
              </w:rPr>
              <w:t>March 29, 2010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6239510</wp:posOffset>
            </wp:positionH>
            <wp:positionV relativeFrom="paragraph">
              <wp:posOffset>-591185</wp:posOffset>
            </wp:positionV>
            <wp:extent cx="88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95"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We also incorporate by reference into this prospectus supplement additional documents that we may file with the SEC under Section 13(a), 13(c), 14 or 15(d) of the Exchange Act from the date of this prospectus supplement until all of the securities offered by this prospectus supplement have been issued as described in this prospectus supplement. We are not incorporating by reference any information furnished under Items 2.02 or 7.01 (or corresponding information furnished under Item 9.01 or included as an exhibit) in any past or future current report on Form 8-K that we file with the SEC, unless otherwise specified in such current report.</w:t>
      </w:r>
    </w:p>
    <w:p>
      <w:pPr>
        <w:spacing w:after="0" w:line="64" w:lineRule="exact"/>
        <w:rPr>
          <w:sz w:val="20"/>
          <w:szCs w:val="20"/>
          <w:color w:val="auto"/>
        </w:rPr>
      </w:pPr>
    </w:p>
    <w:p>
      <w:pPr>
        <w:ind w:left="700" w:right="240" w:firstLine="397"/>
        <w:spacing w:after="0" w:line="259" w:lineRule="auto"/>
        <w:rPr>
          <w:sz w:val="20"/>
          <w:szCs w:val="20"/>
          <w:color w:val="auto"/>
        </w:rPr>
      </w:pPr>
      <w:r>
        <w:rPr>
          <w:rFonts w:ascii="Arial" w:cs="Arial" w:eastAsia="Arial" w:hAnsi="Arial"/>
          <w:sz w:val="18"/>
          <w:szCs w:val="18"/>
          <w:color w:val="auto"/>
        </w:rPr>
        <w:t>You may obtain copies of any of these filings through Waste Management as described below, or through the SEC or through the SEC’s Internet website as described below. Documents incorporated by reference are available without charge, excluding all exhibits unless an exhibit has been specifically incorporated by reference into this prospectus supplement, by requesting them in writing, by telephone or via the Internet at:</w:t>
      </w:r>
    </w:p>
    <w:p>
      <w:pPr>
        <w:spacing w:after="0" w:line="308"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u w:val="single" w:color="auto"/>
          <w:color w:val="auto"/>
        </w:rPr>
        <w:t>www.wm.com</w:t>
      </w:r>
    </w:p>
    <w:p>
      <w:pPr>
        <w:spacing w:after="0" w:line="40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231775</wp:posOffset>
            </wp:positionV>
            <wp:extent cx="1380490" cy="4718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8049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819"/>
        <w:spacing w:after="0"/>
        <w:rPr>
          <w:sz w:val="20"/>
          <w:szCs w:val="20"/>
          <w:color w:val="auto"/>
        </w:rPr>
      </w:pPr>
      <w:r>
        <w:rPr>
          <w:rFonts w:ascii="Arial" w:cs="Arial" w:eastAsia="Arial" w:hAnsi="Arial"/>
          <w:sz w:val="43"/>
          <w:szCs w:val="43"/>
          <w:b w:val="1"/>
          <w:bCs w:val="1"/>
          <w:color w:val="auto"/>
        </w:rPr>
        <w:t>WASTE MANAGEMENT, INC.</w:t>
      </w:r>
    </w:p>
    <w:p>
      <w:pPr>
        <w:spacing w:after="0" w:line="147"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GUARANTEES</w:t>
      </w:r>
    </w:p>
    <w:p>
      <w:pPr>
        <w:spacing w:after="0" w:line="10"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UNITS</w:t>
      </w:r>
    </w:p>
    <w:p>
      <w:pPr>
        <w:spacing w:after="0" w:line="112"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We or selling securityholders may from time to time offer to sell the securities listed above in one or more classes or series in amounts, at prices and on terms that will be determined at the time of the offering.</w:t>
      </w:r>
    </w:p>
    <w:p>
      <w:pPr>
        <w:spacing w:after="0" w:line="76" w:lineRule="exact"/>
        <w:rPr>
          <w:sz w:val="20"/>
          <w:szCs w:val="20"/>
          <w:color w:val="auto"/>
        </w:rPr>
      </w:pPr>
    </w:p>
    <w:p>
      <w:pPr>
        <w:jc w:val="both"/>
        <w:ind w:left="700" w:firstLine="397"/>
        <w:spacing w:after="0" w:line="264" w:lineRule="auto"/>
        <w:rPr>
          <w:sz w:val="20"/>
          <w:szCs w:val="20"/>
          <w:color w:val="auto"/>
        </w:rPr>
      </w:pPr>
      <w:r>
        <w:rPr>
          <w:rFonts w:ascii="Arial" w:cs="Arial" w:eastAsia="Arial" w:hAnsi="Arial"/>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common stock is listed on the New York Stock Exchange under the symbol “WM.”</w:t>
      </w:r>
    </w:p>
    <w:p>
      <w:pPr>
        <w:spacing w:after="0" w:line="118" w:lineRule="exact"/>
        <w:rPr>
          <w:sz w:val="20"/>
          <w:szCs w:val="20"/>
          <w:color w:val="auto"/>
        </w:rPr>
      </w:pPr>
    </w:p>
    <w:p>
      <w:pPr>
        <w:jc w:val="both"/>
        <w:ind w:left="700" w:right="360" w:firstLine="496"/>
        <w:spacing w:after="0" w:line="301" w:lineRule="auto"/>
        <w:rPr>
          <w:sz w:val="20"/>
          <w:szCs w:val="20"/>
          <w:color w:val="auto"/>
        </w:rPr>
      </w:pPr>
      <w:r>
        <w:rPr>
          <w:rFonts w:ascii="Arial" w:cs="Arial" w:eastAsia="Arial" w:hAnsi="Arial"/>
          <w:sz w:val="19"/>
          <w:szCs w:val="19"/>
          <w:b w:val="1"/>
          <w:bCs w:val="1"/>
          <w:color w:val="auto"/>
        </w:rPr>
        <w:t>Investing in our securities involves risks. See “Risk Factors” on page 5 of this prospectus, the risk factors included in our periodic reports that we file with the Securities Exchange Commission and the applicable prospectus supplement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113030</wp:posOffset>
            </wp:positionV>
            <wp:extent cx="11322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87" w:lineRule="exact"/>
        <w:rPr>
          <w:sz w:val="20"/>
          <w:szCs w:val="20"/>
          <w:color w:val="auto"/>
        </w:rPr>
      </w:pPr>
    </w:p>
    <w:p>
      <w:pPr>
        <w:ind w:left="700" w:right="480" w:firstLine="397"/>
        <w:spacing w:after="0" w:line="342" w:lineRule="auto"/>
        <w:rPr>
          <w:sz w:val="20"/>
          <w:szCs w:val="20"/>
          <w:color w:val="auto"/>
        </w:rPr>
      </w:pPr>
      <w:r>
        <w:rPr>
          <w:rFonts w:ascii="Arial" w:cs="Arial" w:eastAsia="Arial" w:hAnsi="Arial"/>
          <w:sz w:val="16"/>
          <w:szCs w:val="16"/>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96520</wp:posOffset>
            </wp:positionV>
            <wp:extent cx="11322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This prospectus is dated September 22,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9" w:right="1159" w:bottom="1440" w:gutter="0" w:footer="0" w:header="0"/>
        </w:sectPr>
      </w:pPr>
    </w:p>
    <w:bookmarkStart w:id="28" w:name="page29"/>
    <w:bookmarkEnd w:id="28"/>
    <w:p>
      <w:pPr>
        <w:ind w:right="40" w:firstLine="397"/>
        <w:spacing w:after="0" w:line="261" w:lineRule="auto"/>
        <w:rPr>
          <w:sz w:val="20"/>
          <w:szCs w:val="20"/>
          <w:color w:val="auto"/>
        </w:rPr>
      </w:pPr>
      <w:r>
        <w:rPr>
          <w:rFonts w:ascii="Arial" w:cs="Arial" w:eastAsia="Arial" w:hAnsi="Arial"/>
          <w:sz w:val="18"/>
          <w:szCs w:val="18"/>
          <w:b w:val="1"/>
          <w:bCs w:val="1"/>
          <w:color w:val="auto"/>
        </w:rPr>
        <w:t>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40" w:type="dxa"/>
            <w:vAlign w:val="bottom"/>
          </w:tcPr>
          <w:p>
            <w:pPr>
              <w:jc w:val="right"/>
              <w:ind w:right="3850"/>
              <w:spacing w:after="0"/>
              <w:rPr>
                <w:sz w:val="20"/>
                <w:szCs w:val="20"/>
                <w:color w:val="auto"/>
              </w:rPr>
            </w:pPr>
            <w:r>
              <w:rPr>
                <w:rFonts w:ascii="Arial" w:cs="Arial" w:eastAsia="Arial" w:hAnsi="Arial"/>
                <w:sz w:val="18"/>
                <w:szCs w:val="18"/>
                <w:b w:val="1"/>
                <w:bCs w:val="1"/>
                <w:color w:val="auto"/>
              </w:rPr>
              <w:t>TABLE OF CONTENTS</w:t>
            </w:r>
          </w:p>
        </w:tc>
      </w:tr>
      <w:tr>
        <w:trPr>
          <w:trHeight w:val="419"/>
        </w:trPr>
        <w:tc>
          <w:tcPr>
            <w:tcW w:w="342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Forward-Looking Statements</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5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About this Prospectus</w:t>
              </w:r>
            </w:hyperlink>
          </w:p>
        </w:tc>
        <w:tc>
          <w:tcPr>
            <w:tcW w:w="520" w:type="dxa"/>
            <w:vAlign w:val="bottom"/>
            <w:tcBorders>
              <w:top w:val="single" w:sz="8" w:color="0000EE"/>
            </w:tcBorders>
            <w:gridSpan w:val="5"/>
          </w:tcPr>
          <w:p>
            <w:pPr>
              <w:spacing w:after="0"/>
              <w:rPr>
                <w:sz w:val="17"/>
                <w:szCs w:val="17"/>
                <w:color w:val="auto"/>
              </w:rPr>
            </w:pPr>
          </w:p>
        </w:tc>
        <w:tc>
          <w:tcPr>
            <w:tcW w:w="1320" w:type="dxa"/>
            <w:vAlign w:val="bottom"/>
            <w:gridSpan w:val="5"/>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9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Incorporation by Reference</w:t>
              </w:r>
            </w:hyperlink>
          </w:p>
        </w:tc>
        <w:tc>
          <w:tcPr>
            <w:tcW w:w="1440" w:type="dxa"/>
            <w:vAlign w:val="bottom"/>
            <w:gridSpan w:val="7"/>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8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Where You Can Find More Information</w:t>
              </w:r>
            </w:hyperlink>
          </w:p>
        </w:tc>
        <w:tc>
          <w:tcPr>
            <w:tcW w:w="560" w:type="dxa"/>
            <w:vAlign w:val="bottom"/>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The Company</w:t>
              </w:r>
            </w:hyperlink>
          </w:p>
        </w:tc>
        <w:tc>
          <w:tcPr>
            <w:tcW w:w="2400" w:type="dxa"/>
            <w:vAlign w:val="bottom"/>
            <w:gridSpan w:val="13"/>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Risk Factors</w:t>
              </w:r>
            </w:hyperlink>
          </w:p>
        </w:tc>
        <w:tc>
          <w:tcPr>
            <w:tcW w:w="2520" w:type="dxa"/>
            <w:vAlign w:val="bottom"/>
            <w:gridSpan w:val="15"/>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5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Ratio of Earnings to Fixed Charges</w:t>
              </w:r>
            </w:hyperlink>
          </w:p>
        </w:tc>
        <w:tc>
          <w:tcPr>
            <w:tcW w:w="880" w:type="dxa"/>
            <w:vAlign w:val="bottom"/>
            <w:gridSpan w:val="2"/>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420" w:type="dxa"/>
            <w:vAlign w:val="bottom"/>
            <w:gridSpan w:val="1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Use of Proceeds</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Description of Debt Securities</w:t>
              </w:r>
            </w:hyperlink>
          </w:p>
        </w:tc>
        <w:tc>
          <w:tcPr>
            <w:tcW w:w="1240" w:type="dxa"/>
            <w:vAlign w:val="bottom"/>
            <w:gridSpan w:val="4"/>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420" w:type="dxa"/>
            <w:vAlign w:val="bottom"/>
            <w:gridSpan w:val="1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Description of Guarantees</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3420" w:type="dxa"/>
            <w:vAlign w:val="bottom"/>
            <w:gridSpan w:val="1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Description of Capital Stock</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22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Description of Other Securities</w:t>
              </w:r>
            </w:hyperlink>
          </w:p>
        </w:tc>
        <w:tc>
          <w:tcPr>
            <w:tcW w:w="1180" w:type="dxa"/>
            <w:vAlign w:val="bottom"/>
            <w:gridSpan w:val="3"/>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3420" w:type="dxa"/>
            <w:vAlign w:val="bottom"/>
            <w:gridSpan w:val="17"/>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Plan of Distribution</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740" w:type="dxa"/>
            <w:vAlign w:val="bottom"/>
            <w:gridSpan w:val="9"/>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16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Selling Securityholders</w:t>
              </w:r>
            </w:hyperlink>
          </w:p>
        </w:tc>
        <w:tc>
          <w:tcPr>
            <w:tcW w:w="1740" w:type="dxa"/>
            <w:vAlign w:val="bottom"/>
            <w:gridSpan w:val="9"/>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Legal Matters</w:t>
              </w:r>
            </w:hyperlink>
          </w:p>
        </w:tc>
        <w:tc>
          <w:tcPr>
            <w:tcW w:w="2420" w:type="dxa"/>
            <w:vAlign w:val="bottom"/>
            <w:gridSpan w:val="14"/>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420" w:type="dxa"/>
            <w:vAlign w:val="bottom"/>
            <w:gridSpan w:val="17"/>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Experts</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ind w:right="140" w:firstLine="397"/>
        <w:spacing w:after="0" w:line="291" w:lineRule="auto"/>
        <w:rPr>
          <w:sz w:val="20"/>
          <w:szCs w:val="20"/>
          <w:color w:val="auto"/>
        </w:rPr>
      </w:pPr>
      <w:r>
        <w:rPr>
          <w:rFonts w:ascii="Arial" w:cs="Arial" w:eastAsia="Arial" w:hAnsi="Arial"/>
          <w:sz w:val="16"/>
          <w:szCs w:val="16"/>
          <w:color w:val="auto"/>
        </w:rPr>
        <w:t>This prospectus and the documents incorporated by reference into this prospectus contain forward-looking statements within the meaning of Section 27A of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In some cases, you can identify forward-looking statements by terminology such as “anticipates,” “believes,” “estimates,” “expects,” “intends,” “may,” “plans,” “projects,” “will,” “would,” and similar expressions or expressions or the negative of these terms. Such statements are only predictions and, accordingly, are subject to substantial risks, uncertainties and assumptions.</w:t>
      </w:r>
    </w:p>
    <w:p>
      <w:pPr>
        <w:spacing w:after="0" w:line="73" w:lineRule="exact"/>
        <w:rPr>
          <w:sz w:val="20"/>
          <w:szCs w:val="20"/>
          <w:color w:val="auto"/>
        </w:rPr>
      </w:pPr>
    </w:p>
    <w:p>
      <w:pPr>
        <w:ind w:right="80" w:firstLine="397"/>
        <w:spacing w:after="0" w:line="286" w:lineRule="auto"/>
        <w:rPr>
          <w:sz w:val="20"/>
          <w:szCs w:val="20"/>
          <w:color w:val="auto"/>
        </w:rPr>
      </w:pPr>
      <w:r>
        <w:rPr>
          <w:rFonts w:ascii="Arial" w:cs="Arial" w:eastAsia="Arial" w:hAnsi="Arial"/>
          <w:sz w:val="16"/>
          <w:szCs w:val="16"/>
          <w:color w:val="auto"/>
        </w:rPr>
        <w:t>Many factors could affect our actual results, and variances from our current expectations regarding these factors could cause actual results to differ materially from those expressed in our forward-looking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report on</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Form 10-K for the year ended December 31, 2008.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96" w:lineRule="exact"/>
        <w:rPr>
          <w:sz w:val="20"/>
          <w:szCs w:val="20"/>
          <w:color w:val="auto"/>
        </w:rPr>
      </w:pPr>
    </w:p>
    <w:p>
      <w:pPr>
        <w:ind w:left="600" w:hanging="202"/>
        <w:spacing w:after="0" w:line="342" w:lineRule="auto"/>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continued volatility and further deterioration in the credit markets, inflation, higher interest rates and other general and local economic conditions may negatively affect the volumes of waste generated, our liquidity, our financing costs and other expenses;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1" w:right="10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conditions may negatively affect parties with whom we do business, which could result in late payments or the uncollectability of receivables as well as the non-performance of certain agreements, including expected funding under our credit agreement, which could negatively impact our liquidity and results of operations;</w:t>
      </w:r>
    </w:p>
    <w:p>
      <w:pPr>
        <w:spacing w:after="0" w:line="73" w:lineRule="exact"/>
        <w:rPr>
          <w:rFonts w:ascii="Arial" w:cs="Arial" w:eastAsia="Arial" w:hAnsi="Arial"/>
          <w:sz w:val="18"/>
          <w:szCs w:val="18"/>
          <w:color w:val="auto"/>
        </w:rPr>
      </w:pPr>
    </w:p>
    <w:p>
      <w:pPr>
        <w:ind w:left="1300" w:right="80" w:hanging="202"/>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 may negatively affect our profitability or cash flows, our price increases may have negative effects on volumes, and price roll-backs and lower than average pricing to retain and attract customers may negatively affect our average yield on collection and disposal business;</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maintain or expand margins if we are unable to control costs or raise prices;</w:t>
      </w:r>
    </w:p>
    <w:p>
      <w:pPr>
        <w:spacing w:after="0" w:line="117" w:lineRule="exact"/>
        <w:rPr>
          <w:rFonts w:ascii="Arial" w:cs="Arial" w:eastAsia="Arial" w:hAnsi="Arial"/>
          <w:sz w:val="18"/>
          <w:szCs w:val="18"/>
          <w:color w:val="auto"/>
        </w:rPr>
      </w:pPr>
    </w:p>
    <w:p>
      <w:pPr>
        <w:ind w:left="1300" w:right="120" w:hanging="202"/>
        <w:spacing w:after="0" w:line="286"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not be able to successfully execute or continue our operational or other margin improvement plans and programs, including: pricing increases; passing on increased costs to our customers; reducing costs; and divesting under-performing assets and purchasing accretive businesses, any failures of which could negatively affect our revenues and margins;</w:t>
      </w:r>
    </w:p>
    <w:p>
      <w:pPr>
        <w:spacing w:after="0" w:line="57" w:lineRule="exact"/>
        <w:rPr>
          <w:rFonts w:ascii="Arial" w:cs="Arial" w:eastAsia="Arial" w:hAnsi="Arial"/>
          <w:sz w:val="17"/>
          <w:szCs w:val="17"/>
          <w:color w:val="auto"/>
        </w:rPr>
      </w:pPr>
    </w:p>
    <w:p>
      <w:pPr>
        <w:ind w:left="1300" w:right="54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weather conditions cause our quarter-to-quarter results to fluctuate, and harsh weather or natural disasters may cause us to temporarily shut down operations;</w:t>
      </w:r>
    </w:p>
    <w:p>
      <w:pPr>
        <w:spacing w:after="0" w:line="62" w:lineRule="exact"/>
        <w:rPr>
          <w:rFonts w:ascii="Arial" w:cs="Arial" w:eastAsia="Arial" w:hAnsi="Arial"/>
          <w:sz w:val="18"/>
          <w:szCs w:val="18"/>
          <w:color w:val="auto"/>
        </w:rPr>
      </w:pPr>
    </w:p>
    <w:p>
      <w:pPr>
        <w:ind w:left="1300" w:right="12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w:t>
      </w:r>
    </w:p>
    <w:p>
      <w:pPr>
        <w:spacing w:after="0" w:line="62" w:lineRule="exact"/>
        <w:rPr>
          <w:rFonts w:ascii="Arial" w:cs="Arial" w:eastAsia="Arial" w:hAnsi="Arial"/>
          <w:sz w:val="18"/>
          <w:szCs w:val="18"/>
          <w:color w:val="auto"/>
        </w:rPr>
      </w:pPr>
    </w:p>
    <w:p>
      <w:pPr>
        <w:ind w:left="1300" w:right="8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regulations may negatively impact our business by, among other things, restricting our operations, increasing costs of operations or requiring additional capital expenditures;</w:t>
      </w:r>
    </w:p>
    <w:p>
      <w:pPr>
        <w:spacing w:after="0" w:line="62" w:lineRule="exact"/>
        <w:rPr>
          <w:rFonts w:ascii="Arial" w:cs="Arial" w:eastAsia="Arial" w:hAnsi="Arial"/>
          <w:sz w:val="18"/>
          <w:szCs w:val="18"/>
          <w:color w:val="auto"/>
        </w:rPr>
      </w:pPr>
    </w:p>
    <w:p>
      <w:pPr>
        <w:jc w:val="both"/>
        <w:ind w:left="1300" w:right="280" w:hanging="202"/>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climate change legislation, including possible limits on carbon emissions, may negatively impact our results of operations by increasing expenses related to tracking, measuring and reporting our greenhouse gas emissions and increasing operating costs and capital expenditures that may be required to comply with any such legislation;</w:t>
      </w:r>
    </w:p>
    <w:p>
      <w:pPr>
        <w:spacing w:after="0" w:line="73" w:lineRule="exact"/>
        <w:rPr>
          <w:rFonts w:ascii="Arial" w:cs="Arial" w:eastAsia="Arial" w:hAnsi="Arial"/>
          <w:sz w:val="18"/>
          <w:szCs w:val="18"/>
          <w:color w:val="auto"/>
        </w:rPr>
      </w:pPr>
    </w:p>
    <w:p>
      <w:pPr>
        <w:ind w:left="1300" w:right="26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62" w:lineRule="exact"/>
        <w:rPr>
          <w:rFonts w:ascii="Arial" w:cs="Arial" w:eastAsia="Arial" w:hAnsi="Arial"/>
          <w:sz w:val="18"/>
          <w:szCs w:val="18"/>
          <w:color w:val="auto"/>
        </w:rPr>
      </w:pPr>
    </w:p>
    <w:p>
      <w:pPr>
        <w:ind w:left="1300" w:right="12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or bans on disposal or transportation of out-of-state, cross-border, or certain categories of waste, as well as mandates on the disposal of waste, can increase our expenses and reduce our revenue;</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fuel price increases or fuel supply shortages may increase our expenses or restrict our ability to operate;</w:t>
      </w:r>
    </w:p>
    <w:p>
      <w:pPr>
        <w:spacing w:after="0" w:line="117" w:lineRule="exact"/>
        <w:rPr>
          <w:rFonts w:ascii="Arial" w:cs="Arial" w:eastAsia="Arial" w:hAnsi="Arial"/>
          <w:sz w:val="18"/>
          <w:szCs w:val="18"/>
          <w:color w:val="auto"/>
        </w:rPr>
      </w:pPr>
    </w:p>
    <w:p>
      <w:pPr>
        <w:ind w:left="1300" w:right="48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costs or the inability to obtain financial assurance or the inadequacy of our insurance coverages could negatively impact our liquidity and increase our liabilities;</w:t>
      </w:r>
    </w:p>
    <w:p>
      <w:pPr>
        <w:spacing w:after="0" w:line="62" w:lineRule="exact"/>
        <w:rPr>
          <w:rFonts w:ascii="Arial" w:cs="Arial" w:eastAsia="Arial" w:hAnsi="Arial"/>
          <w:sz w:val="18"/>
          <w:szCs w:val="18"/>
          <w:color w:val="auto"/>
        </w:rPr>
      </w:pPr>
    </w:p>
    <w:p>
      <w:pPr>
        <w:ind w:left="1300" w:right="54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possible charges as a result of shut-down operations, uncompleted development or expansion projects or other events may negatively affect earnings;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commodity prices may have negative effects on our operating results;</w:t>
      </w:r>
    </w:p>
    <w:p>
      <w:pPr>
        <w:spacing w:after="0" w:line="117" w:lineRule="exact"/>
        <w:rPr>
          <w:rFonts w:ascii="Arial" w:cs="Arial" w:eastAsia="Arial" w:hAnsi="Arial"/>
          <w:sz w:val="18"/>
          <w:szCs w:val="18"/>
          <w:color w:val="auto"/>
        </w:rPr>
      </w:pPr>
    </w:p>
    <w:p>
      <w:pPr>
        <w:ind w:left="1300" w:right="60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trends requiring recycling, waste reduction at the source and prohibiting the disposal of certain types of waste could have negative effects on volumes of waste going to landfills and waste-to-energy facilities;</w:t>
      </w:r>
    </w:p>
    <w:p>
      <w:pPr>
        <w:spacing w:after="0" w:line="62" w:lineRule="exact"/>
        <w:rPr>
          <w:rFonts w:ascii="Arial" w:cs="Arial" w:eastAsia="Arial" w:hAnsi="Arial"/>
          <w:sz w:val="18"/>
          <w:szCs w:val="18"/>
          <w:color w:val="auto"/>
        </w:rPr>
      </w:pPr>
    </w:p>
    <w:p>
      <w:pPr>
        <w:ind w:left="1300" w:right="120" w:hanging="202"/>
        <w:spacing w:after="0" w:line="286"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57" w:lineRule="exact"/>
        <w:rPr>
          <w:rFonts w:ascii="Arial" w:cs="Arial" w:eastAsia="Arial" w:hAnsi="Arial"/>
          <w:sz w:val="17"/>
          <w:szCs w:val="17"/>
          <w:color w:val="auto"/>
        </w:rPr>
      </w:pPr>
    </w:p>
    <w:p>
      <w:pPr>
        <w:ind w:left="1300" w:right="18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62"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problems with the operation of our current information technology or the development and deployment of new information systems could decrease our efficiencies and increase our costs;</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40" w:hanging="20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 and</w:t>
      </w:r>
    </w:p>
    <w:p>
      <w:pPr>
        <w:spacing w:after="0" w:line="62" w:lineRule="exact"/>
        <w:rPr>
          <w:rFonts w:ascii="Arial" w:cs="Arial" w:eastAsia="Arial" w:hAnsi="Arial"/>
          <w:sz w:val="18"/>
          <w:szCs w:val="18"/>
          <w:color w:val="auto"/>
        </w:rPr>
      </w:pPr>
    </w:p>
    <w:p>
      <w:pPr>
        <w:ind w:left="1300" w:right="80" w:hanging="202"/>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reduce or permanently eliminate our dividend or share repurchase program, reduce capital spending or cease acquisitions if cash flows are less than we expect and we are not able to obtain capital needed to refinance our debt obligations, including near-term maturities, on acceptable terms.</w:t>
      </w:r>
    </w:p>
    <w:p>
      <w:pPr>
        <w:spacing w:after="0" w:line="87"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Unless required by law, we undertake no obligation to publicly update or revise any forward-looking statements to reflect events or developments after the date of this prospectus.</w:t>
      </w:r>
    </w:p>
    <w:p>
      <w:pPr>
        <w:spacing w:after="0" w:line="288"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ABOUT THIS PROSPECTUS</w:t>
      </w:r>
    </w:p>
    <w:p>
      <w:pPr>
        <w:spacing w:after="0" w:line="135"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types of securities that we or selling securityholders may offer and sell from time to time pursuant to this prospectus are:</w:t>
      </w:r>
    </w:p>
    <w:p>
      <w:pPr>
        <w:spacing w:after="0" w:line="264" w:lineRule="exact"/>
        <w:rPr>
          <w:sz w:val="20"/>
          <w:szCs w:val="20"/>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warrants;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guarantees;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units consisting of any of the securities listed above.</w:t>
      </w:r>
    </w:p>
    <w:p>
      <w:pPr>
        <w:spacing w:after="0" w:line="131"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87" w:lineRule="exact"/>
        <w:rPr>
          <w:sz w:val="20"/>
          <w:szCs w:val="20"/>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type and amount of securities that we or selling securityholders propose to sell;</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names of any underwriters or agents through or to which we or selling securityholders will sell the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compensation of those underwriters or agents;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information about any securities exchanges or automated quotation systems on which the securities will be listed or traded.</w:t>
      </w:r>
    </w:p>
    <w:p>
      <w:pPr>
        <w:spacing w:after="0" w:line="154" w:lineRule="exact"/>
        <w:rPr>
          <w:sz w:val="20"/>
          <w:szCs w:val="20"/>
          <w:color w:val="auto"/>
        </w:rPr>
      </w:pPr>
    </w:p>
    <w:p>
      <w:pPr>
        <w:jc w:val="both"/>
        <w:ind w:left="700" w:right="240" w:firstLine="397"/>
        <w:spacing w:after="0" w:line="286" w:lineRule="auto"/>
        <w:rPr>
          <w:sz w:val="20"/>
          <w:szCs w:val="20"/>
          <w:color w:val="auto"/>
        </w:rPr>
      </w:pPr>
      <w:r>
        <w:rPr>
          <w:rFonts w:ascii="Arial" w:cs="Arial" w:eastAsia="Arial" w:hAnsi="Arial"/>
          <w:sz w:val="17"/>
          <w:szCs w:val="17"/>
          <w:color w:val="auto"/>
        </w:rPr>
        <w:t>In addition, the prospectus supplement may also add, update or change the information contained in this prospectus. You should read this prospectus and the applicable prospectus supplement together with the additional information described under the headings “Documents Incorporated by Reference” and “Where You Can Find More Information.”</w:t>
      </w:r>
    </w:p>
    <w:p>
      <w:pPr>
        <w:spacing w:after="0" w:line="71" w:lineRule="exact"/>
        <w:rPr>
          <w:sz w:val="20"/>
          <w:szCs w:val="20"/>
          <w:color w:val="auto"/>
        </w:rPr>
      </w:pPr>
    </w:p>
    <w:p>
      <w:pPr>
        <w:ind w:left="700" w:right="140" w:firstLine="397"/>
        <w:spacing w:after="0" w:line="288" w:lineRule="auto"/>
        <w:rPr>
          <w:sz w:val="20"/>
          <w:szCs w:val="20"/>
          <w:color w:val="auto"/>
        </w:rPr>
      </w:pPr>
      <w:r>
        <w:rPr>
          <w:rFonts w:ascii="Arial" w:cs="Arial" w:eastAsia="Arial" w:hAnsi="Arial"/>
          <w:sz w:val="16"/>
          <w:szCs w:val="16"/>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w:t>
      </w:r>
    </w:p>
    <w:p>
      <w:pPr>
        <w:ind w:left="700" w:right="260" w:hanging="7"/>
        <w:spacing w:after="0" w:line="261" w:lineRule="auto"/>
        <w:tabs>
          <w:tab w:leader="none" w:pos="9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filings we make with the SEC that are incorporated by reference into this prospectus; or (iii) by any other method as may then be permitted under applicable law, rules or regulations.</w:t>
      </w:r>
    </w:p>
    <w:p>
      <w:pPr>
        <w:spacing w:after="0" w:line="37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35"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THIS PROSPECTUS INCORPORATES DOCUMENTS BY REFERENCE WHICH ARE NOT PRESENTED IN OR DELIVERED WITH THIS PROSPECTUS. WE HAVE NOT AUTHORIZED ANYONE TO PROVIDE YOU WITH INFORMATION THAT IS DIFFERENT FROM OR IN ADDITION TO THE INFORMATION CONTAINED IN THIS DOCUMENT AND INCORPORATED BY REFERENCE INTO THIS PROSPECTUS.</w:t>
      </w:r>
    </w:p>
    <w:p>
      <w:pPr>
        <w:spacing w:after="0" w:line="92" w:lineRule="exact"/>
        <w:rPr>
          <w:sz w:val="20"/>
          <w:szCs w:val="20"/>
          <w:color w:val="auto"/>
        </w:rPr>
      </w:pPr>
    </w:p>
    <w:p>
      <w:pPr>
        <w:ind w:left="700" w:right="120" w:firstLine="397"/>
        <w:spacing w:after="0" w:line="297" w:lineRule="auto"/>
        <w:rPr>
          <w:sz w:val="20"/>
          <w:szCs w:val="20"/>
          <w:color w:val="auto"/>
        </w:rPr>
      </w:pPr>
      <w:r>
        <w:rPr>
          <w:rFonts w:ascii="Arial" w:cs="Arial" w:eastAsia="Arial" w:hAnsi="Arial"/>
          <w:sz w:val="16"/>
          <w:szCs w:val="16"/>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205"/>
        </w:trPr>
        <w:tc>
          <w:tcPr>
            <w:tcW w:w="8080" w:type="dxa"/>
            <w:vAlign w:val="bottom"/>
            <w:gridSpan w:val="2"/>
          </w:tcPr>
          <w:p>
            <w:pPr>
              <w:spacing w:after="0"/>
              <w:rPr>
                <w:sz w:val="20"/>
                <w:szCs w:val="20"/>
                <w:color w:val="auto"/>
              </w:rPr>
            </w:pPr>
            <w:r>
              <w:rPr>
                <w:rFonts w:ascii="Arial" w:cs="Arial" w:eastAsia="Arial" w:hAnsi="Arial"/>
                <w:sz w:val="14"/>
                <w:szCs w:val="14"/>
                <w:b w:val="1"/>
                <w:bCs w:val="1"/>
                <w:color w:val="auto"/>
              </w:rPr>
              <w:t>SEC Filing (Our SEC File Number is 1-1254)</w:t>
            </w:r>
          </w:p>
        </w:tc>
        <w:tc>
          <w:tcPr>
            <w:tcW w:w="1840" w:type="dxa"/>
            <w:vAlign w:val="bottom"/>
          </w:tcPr>
          <w:p>
            <w:pPr>
              <w:ind w:left="94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0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60" w:type="dxa"/>
            <w:vAlign w:val="bottom"/>
            <w:tcBorders>
              <w:lef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5"/>
              </w:rPr>
              <w:t>Annual Report on Form 10-K (including the portions of our proxy statement for our 2009 annual meeting of</w:t>
            </w: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Borders>
              <w:lef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stockholders incorporated by reference therein) for the year ended December 31, 2008</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February 17,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Quarterly report on Form 10-Q for the quarter ended March 31, 2009</w:t>
            </w:r>
          </w:p>
        </w:tc>
        <w:tc>
          <w:tcPr>
            <w:tcW w:w="1840" w:type="dxa"/>
            <w:vAlign w:val="bottom"/>
          </w:tcPr>
          <w:p>
            <w:pPr>
              <w:jc w:val="center"/>
              <w:spacing w:after="0"/>
              <w:rPr>
                <w:sz w:val="20"/>
                <w:szCs w:val="20"/>
                <w:color w:val="auto"/>
              </w:rPr>
            </w:pPr>
            <w:r>
              <w:rPr>
                <w:rFonts w:ascii="Arial" w:cs="Arial" w:eastAsia="Arial" w:hAnsi="Arial"/>
                <w:sz w:val="18"/>
                <w:szCs w:val="18"/>
                <w:color w:val="auto"/>
                <w:w w:val="95"/>
              </w:rPr>
              <w:t>April 29,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Quarterly Report on Form 10-Q for the quarter ended June 30, 2009</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30,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Current Report on Form 8-K</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February 26,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February 27,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Current Report on Form 8-K</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March 2,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12, 2009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Description of our Common Stock on Form 8-B</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July 13, 1995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-1286510</wp:posOffset>
            </wp:positionV>
            <wp:extent cx="88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We also incorporate by reference into this prospectus additional documents that we may file with the SEC under Section 13(a),</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13(c), 14 or 15(d) of the Exchange Act from the date of this prospectus until all of the securities offered by this prospectus have been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issued as described in this prospectus. These documents may include annual reports on Form 10-K, quarterly reports on Form 10-Q and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current reports on Form 8-K, as well as proxy statements. We are not incorporating by reference any information furnished under</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items 2.02 or 7.01 (or corresponding information furnished under item 9.01 or included as an exhibit) in any past or future current report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 Form 8-K that we may file with the SEC, unless otherwise specified in such current report.</w:t>
      </w:r>
    </w:p>
    <w:p>
      <w:pPr>
        <w:spacing w:after="0" w:line="116"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You may obtain copies of any of these filings through Waste Management as described below, or through the SEC or through the SEC’s Internet website as described below. Documents incorporated by reference are available without charge, excluding all exhibits unless an exhibit has been specifically incorporated by reference into this prospectus, by requesting them in writing, by telephone or via the Internet at:</w:t>
      </w:r>
    </w:p>
    <w:p>
      <w:pPr>
        <w:spacing w:after="0" w:line="308"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u w:val="single" w:color="auto"/>
          <w:color w:val="auto"/>
        </w:rPr>
        <w:t>www.wm.com</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INFORMATION CONTAINED ON OUR WEBSITE DOES NOT CONSTITUTE A PART OF THIS PROSPECTUS.</w:t>
      </w:r>
    </w:p>
    <w:p>
      <w:pPr>
        <w:spacing w:after="0" w:line="200" w:lineRule="exact"/>
        <w:rPr>
          <w:sz w:val="20"/>
          <w:szCs w:val="20"/>
          <w:color w:val="auto"/>
        </w:rPr>
      </w:pP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35" w:lineRule="exact"/>
        <w:rPr>
          <w:sz w:val="20"/>
          <w:szCs w:val="20"/>
          <w:color w:val="auto"/>
        </w:rPr>
      </w:pPr>
    </w:p>
    <w:p>
      <w:pPr>
        <w:ind w:left="700" w:right="180" w:firstLine="397"/>
        <w:spacing w:after="0" w:line="297" w:lineRule="auto"/>
        <w:rPr>
          <w:sz w:val="20"/>
          <w:szCs w:val="20"/>
          <w:color w:val="auto"/>
        </w:rPr>
      </w:pPr>
      <w:r>
        <w:rPr>
          <w:rFonts w:ascii="Arial" w:cs="Arial" w:eastAsia="Arial" w:hAnsi="Arial"/>
          <w:sz w:val="16"/>
          <w:szCs w:val="16"/>
          <w:color w:val="auto"/>
        </w:rPr>
        <w:t xml:space="preserve">We file annual, quarterly and current reports, proxy statements and other information with the SEC. You can read and copy these materials at the SEC’s public reference room at 100 F Street, N.E., Washington, D.C. 20549. You can obtain information about the operation of the SEC’s public reference room by calling the SEC at 1-800-SEC-0330. The SEC also maintains an Internet site that contains information we have filed electronically with the SEC, which you can access over the Internet at </w:t>
      </w:r>
      <w:r>
        <w:rPr>
          <w:rFonts w:ascii="Arial" w:cs="Arial" w:eastAsia="Arial" w:hAnsi="Arial"/>
          <w:sz w:val="16"/>
          <w:szCs w:val="16"/>
          <w:i w:val="1"/>
          <w:iCs w:val="1"/>
          <w:color w:val="auto"/>
        </w:rPr>
        <w:t>http://www.sec.gov</w:t>
      </w:r>
      <w:r>
        <w:rPr>
          <w:rFonts w:ascii="Arial" w:cs="Arial" w:eastAsia="Arial" w:hAnsi="Arial"/>
          <w:sz w:val="16"/>
          <w:szCs w:val="16"/>
          <w:color w:val="auto"/>
        </w:rPr>
        <w:t>. You can also obtain information about us at the offices of the New York Stock Exchange, 20 Broad Street, New York, New York 10005.</w:t>
      </w:r>
    </w:p>
    <w:p>
      <w:pPr>
        <w:spacing w:after="0" w:line="64"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at the SEC’s public reference room or through its Internet site.</w:t>
      </w:r>
    </w:p>
    <w:p>
      <w:pPr>
        <w:spacing w:after="0" w:line="30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THE COMPANY</w:t>
      </w:r>
    </w:p>
    <w:p>
      <w:pPr>
        <w:spacing w:after="0" w:line="135" w:lineRule="exact"/>
        <w:rPr>
          <w:sz w:val="20"/>
          <w:szCs w:val="20"/>
          <w:color w:val="auto"/>
        </w:rPr>
      </w:pPr>
    </w:p>
    <w:p>
      <w:pPr>
        <w:ind w:left="700" w:right="140" w:firstLine="397"/>
        <w:spacing w:after="0" w:line="273" w:lineRule="auto"/>
        <w:rPr>
          <w:sz w:val="20"/>
          <w:szCs w:val="20"/>
          <w:color w:val="auto"/>
        </w:rPr>
      </w:pPr>
      <w:r>
        <w:rPr>
          <w:rFonts w:ascii="Arial" w:cs="Arial" w:eastAsia="Arial" w:hAnsi="Arial"/>
          <w:sz w:val="17"/>
          <w:szCs w:val="17"/>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84"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Our principal executive offices are located at 1001 Fannin Street, Suite 4000, Houston, Texas 77002 and our telephone number is (713) 512-6200.</w:t>
      </w:r>
    </w:p>
    <w:p>
      <w:pPr>
        <w:spacing w:after="0" w:line="288"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w:t>
      </w:r>
    </w:p>
    <w:p>
      <w:pPr>
        <w:spacing w:after="0" w:line="272"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RATIO OF EARNINGS TO FIXED CHARGES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sets forth our ratio of earnings to fixed charges for the periods indicated:</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For the</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Six Months</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100" w:type="dxa"/>
            <w:vAlign w:val="bottom"/>
          </w:tcPr>
          <w:p>
            <w:pPr>
              <w:spacing w:after="0"/>
              <w:rPr>
                <w:sz w:val="13"/>
                <w:szCs w:val="13"/>
                <w:color w:val="auto"/>
              </w:rPr>
            </w:pPr>
          </w:p>
        </w:tc>
        <w:tc>
          <w:tcPr>
            <w:tcW w:w="13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3"/>
              </w:rPr>
              <w:t>Ended</w:t>
            </w:r>
          </w:p>
        </w:tc>
        <w:tc>
          <w:tcPr>
            <w:tcW w:w="3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6"/>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June 30, 2009</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264"/>
        </w:trPr>
        <w:tc>
          <w:tcPr>
            <w:tcW w:w="510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1340" w:type="dxa"/>
            <w:vAlign w:val="bottom"/>
            <w:gridSpan w:val="2"/>
          </w:tcPr>
          <w:p>
            <w:pPr>
              <w:ind w:left="740"/>
              <w:spacing w:after="0"/>
              <w:rPr>
                <w:sz w:val="20"/>
                <w:szCs w:val="20"/>
                <w:color w:val="auto"/>
              </w:rPr>
            </w:pPr>
            <w:r>
              <w:rPr>
                <w:rFonts w:ascii="Arial" w:cs="Arial" w:eastAsia="Arial" w:hAnsi="Arial"/>
                <w:sz w:val="18"/>
                <w:szCs w:val="18"/>
                <w:color w:val="auto"/>
              </w:rPr>
              <w:t>3.9x</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4.5x</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4.0x</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3.5x</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3.2x</w:t>
            </w:r>
          </w:p>
        </w:tc>
        <w:tc>
          <w:tcPr>
            <w:tcW w:w="420" w:type="dxa"/>
            <w:vAlign w:val="bottom"/>
          </w:tcPr>
          <w:p>
            <w:pPr>
              <w:jc w:val="right"/>
              <w:spacing w:after="0"/>
              <w:rPr>
                <w:sz w:val="20"/>
                <w:szCs w:val="20"/>
                <w:color w:val="auto"/>
              </w:rPr>
            </w:pPr>
            <w:r>
              <w:rPr>
                <w:rFonts w:ascii="Arial" w:cs="Arial" w:eastAsia="Arial" w:hAnsi="Arial"/>
                <w:sz w:val="18"/>
                <w:szCs w:val="18"/>
                <w:color w:val="auto"/>
              </w:rPr>
              <w:t>3.5x</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700" w:right="60" w:firstLine="397"/>
        <w:spacing w:after="0" w:line="264" w:lineRule="auto"/>
        <w:rPr>
          <w:sz w:val="20"/>
          <w:szCs w:val="20"/>
          <w:color w:val="auto"/>
        </w:rPr>
      </w:pPr>
      <w:r>
        <w:rPr>
          <w:rFonts w:ascii="Arial" w:cs="Arial" w:eastAsia="Arial" w:hAnsi="Arial"/>
          <w:sz w:val="18"/>
          <w:szCs w:val="18"/>
          <w:color w:val="auto"/>
        </w:rPr>
        <w:t>For the purposes of computing these ratios, earnings represents income before income taxes and losses in equity investments plus interest expense and implicit interest in rent expense. Fixed charges consists of interest expense, capitalized interest and implicit interest in rent expense.</w:t>
      </w:r>
    </w:p>
    <w:p>
      <w:pPr>
        <w:spacing w:after="0" w:line="299"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Unless otherwise indicated in an accompanying prospectus supplement, we intend to use the net proceeds we receive from the sale of securities by us for general corporate purposes, which may include additions to working capital, refinancing existing indebtedness, capital expenditures and possible acquisitions. Unless</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80"/>
        <w:spacing w:after="0" w:line="277" w:lineRule="auto"/>
        <w:rPr>
          <w:sz w:val="20"/>
          <w:szCs w:val="20"/>
          <w:color w:val="auto"/>
        </w:rPr>
      </w:pPr>
      <w:r>
        <w:rPr>
          <w:rFonts w:ascii="Arial" w:cs="Arial" w:eastAsia="Arial" w:hAnsi="Arial"/>
          <w:sz w:val="18"/>
          <w:szCs w:val="18"/>
          <w:color w:val="auto"/>
        </w:rPr>
        <w:t>otherwise specified in the applicable prospectus supplement, we will not receive any proceeds from the sale of securities by selling securityholders.</w:t>
      </w:r>
    </w:p>
    <w:p>
      <w:pPr>
        <w:spacing w:after="0" w:line="28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DESCRIPTION OF THE DEBT SECURITIES</w:t>
      </w:r>
    </w:p>
    <w:p>
      <w:pPr>
        <w:spacing w:after="0" w:line="135" w:lineRule="exact"/>
        <w:rPr>
          <w:sz w:val="20"/>
          <w:szCs w:val="20"/>
          <w:color w:val="auto"/>
        </w:rPr>
      </w:pPr>
    </w:p>
    <w:p>
      <w:pPr>
        <w:ind w:left="700" w:right="140" w:firstLine="397"/>
        <w:spacing w:after="0" w:line="305" w:lineRule="auto"/>
        <w:rPr>
          <w:sz w:val="20"/>
          <w:szCs w:val="20"/>
          <w:color w:val="auto"/>
        </w:rPr>
      </w:pPr>
      <w:r>
        <w:rPr>
          <w:rFonts w:ascii="Arial" w:cs="Arial" w:eastAsia="Arial" w:hAnsi="Arial"/>
          <w:sz w:val="15"/>
          <w:szCs w:val="15"/>
          <w:color w:val="auto"/>
        </w:rPr>
        <w:t>The debt securities covered by this prospectus will be our general unsecured obligations. We will issue senior debt securities on a senior unsecured basis under an indenture, dated as of September 10, 1997, among Waste Management, as issuer, and Texas Commerce Bank National Association (now known as The Bank of New York Trust Company, N.A.), as trustee. We will issue subordinated debt securities under an indenture dated as of February 1, 1997, among Waste Management, as issuer, and The Bank of New York</w:t>
      </w:r>
    </w:p>
    <w:p>
      <w:pPr>
        <w:spacing w:after="0" w:line="2" w:lineRule="exact"/>
        <w:rPr>
          <w:sz w:val="20"/>
          <w:szCs w:val="20"/>
          <w:color w:val="auto"/>
        </w:rPr>
      </w:pPr>
    </w:p>
    <w:p>
      <w:pPr>
        <w:jc w:val="center"/>
        <w:ind w:right="-699"/>
        <w:spacing w:after="0"/>
        <w:rPr>
          <w:sz w:val="20"/>
          <w:szCs w:val="20"/>
          <w:color w:val="auto"/>
        </w:rPr>
      </w:pPr>
      <w:r>
        <w:rPr>
          <w:rFonts w:ascii="Arial" w:cs="Arial" w:eastAsia="Arial" w:hAnsi="Arial"/>
          <w:sz w:val="16"/>
          <w:szCs w:val="16"/>
          <w:color w:val="auto"/>
        </w:rPr>
        <w:t>Trust Company, N.A., as trustee. The indentures are substantially identical, except for provisions relating to subordination and covenants.</w:t>
      </w:r>
    </w:p>
    <w:p>
      <w:pPr>
        <w:spacing w:after="0" w:line="139" w:lineRule="exact"/>
        <w:rPr>
          <w:sz w:val="20"/>
          <w:szCs w:val="20"/>
          <w:color w:val="auto"/>
        </w:rPr>
      </w:pPr>
    </w:p>
    <w:p>
      <w:pPr>
        <w:ind w:left="700" w:right="180" w:firstLine="397"/>
        <w:spacing w:after="0" w:line="255" w:lineRule="auto"/>
        <w:rPr>
          <w:sz w:val="20"/>
          <w:szCs w:val="20"/>
          <w:color w:val="auto"/>
        </w:rPr>
      </w:pPr>
      <w:r>
        <w:rPr>
          <w:rFonts w:ascii="Arial" w:cs="Arial" w:eastAsia="Arial" w:hAnsi="Arial"/>
          <w:sz w:val="18"/>
          <w:szCs w:val="18"/>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Applicable to Each Indenture</w:t>
      </w:r>
    </w:p>
    <w:p>
      <w:pPr>
        <w:spacing w:after="0" w:line="135"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Neither indenture limits the amount of debt securities that may be issued under that indenture, and neither limits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other unsecured debt or securities that we may issue. We may issue debt securities under the indentures from time to time in one or more series, each in an amount authorized prior to issuance.</w:t>
      </w:r>
    </w:p>
    <w:p>
      <w:pPr>
        <w:spacing w:after="0" w:line="87"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i w:val="1"/>
          <w:iCs w:val="1"/>
          <w:color w:val="auto"/>
        </w:rPr>
        <w:t xml:space="preserve">Terms. </w:t>
      </w:r>
      <w:r>
        <w:rPr>
          <w:rFonts w:ascii="Arial" w:cs="Arial" w:eastAsia="Arial" w:hAnsi="Arial"/>
          <w:sz w:val="18"/>
          <w:szCs w:val="18"/>
          <w:color w:val="auto"/>
        </w:rPr>
        <w:t>The prospectus supplement relating to any series of debt securities being offered will include specific terms relating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These terms will include some or all of the following:</w:t>
      </w:r>
    </w:p>
    <w:p>
      <w:pPr>
        <w:spacing w:after="0" w:line="76" w:lineRule="exact"/>
        <w:rPr>
          <w:sz w:val="20"/>
          <w:szCs w:val="20"/>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117"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debt securities will be issued in individual certificates to each holder or in the form of temporary or permanent global securities held by a depositary on behalf of holders;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or dates on which the principal of and any premium on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interest rate, the date from which interest will accrue, interest payment dates and record dates for interest payments;</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right to extend or defer the interest payment periods and the duration of the extension;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and under what circumstances any additional amounts with respect to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for optional redemption or early repayment;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that would require the redemption, purchase or repayment of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117" w:lineRule="exact"/>
        <w:rPr>
          <w:rFonts w:ascii="Arial" w:cs="Arial" w:eastAsia="Arial" w:hAnsi="Arial"/>
          <w:sz w:val="18"/>
          <w:szCs w:val="18"/>
          <w:color w:val="auto"/>
        </w:rPr>
      </w:pPr>
    </w:p>
    <w:p>
      <w:pPr>
        <w:ind w:left="1300" w:right="480" w:hanging="20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payments on the debt securities will be payable in foreign currency or currency units or another form and whether payments will be payable by reference to any index or formula;</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28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portion of the principal amount of debt securities that will be payable if the maturity is accelerated, if other than the entire principal amount;</w:t>
      </w:r>
    </w:p>
    <w:p>
      <w:pPr>
        <w:spacing w:after="0" w:line="62"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additional means of defeasance of the debt securities, any additional conditions or limitations to defeasance of the debt securities or any changes to those conditions or limitations;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changes or additions to the events of default or covenants described in this prospectus;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restrictions or other provisions relating to the transfer or exchange of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terms for the conversion or exchange of the debt securities for other securities of Waste Management or any other entity;</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with respect to the subordinated indenture, any changes to the subordination provisions for the subordinated debt securities; and</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applicable indenture.</w:t>
      </w:r>
    </w:p>
    <w:p>
      <w:pPr>
        <w:spacing w:after="0" w:line="131" w:lineRule="exact"/>
        <w:rPr>
          <w:sz w:val="20"/>
          <w:szCs w:val="20"/>
          <w:color w:val="auto"/>
        </w:rPr>
      </w:pPr>
    </w:p>
    <w:p>
      <w:pPr>
        <w:ind w:left="700" w:firstLine="397"/>
        <w:spacing w:after="0" w:line="312" w:lineRule="auto"/>
        <w:rPr>
          <w:sz w:val="20"/>
          <w:szCs w:val="20"/>
          <w:color w:val="auto"/>
        </w:rPr>
      </w:pPr>
      <w:r>
        <w:rPr>
          <w:rFonts w:ascii="Arial" w:cs="Arial" w:eastAsia="Arial" w:hAnsi="Arial"/>
          <w:sz w:val="16"/>
          <w:szCs w:val="16"/>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52" w:lineRule="exact"/>
        <w:rPr>
          <w:sz w:val="20"/>
          <w:szCs w:val="20"/>
          <w:color w:val="auto"/>
        </w:rPr>
      </w:pPr>
    </w:p>
    <w:p>
      <w:pPr>
        <w:ind w:left="700" w:firstLine="397"/>
        <w:spacing w:after="0" w:line="286" w:lineRule="auto"/>
        <w:rPr>
          <w:sz w:val="20"/>
          <w:szCs w:val="20"/>
          <w:color w:val="auto"/>
        </w:rPr>
      </w:pPr>
      <w:r>
        <w:rPr>
          <w:rFonts w:ascii="Arial" w:cs="Arial" w:eastAsia="Arial" w:hAnsi="Arial"/>
          <w:sz w:val="17"/>
          <w:szCs w:val="17"/>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71" w:lineRule="exact"/>
        <w:rPr>
          <w:sz w:val="20"/>
          <w:szCs w:val="20"/>
          <w:color w:val="auto"/>
        </w:rPr>
      </w:pPr>
    </w:p>
    <w:p>
      <w:pPr>
        <w:ind w:left="700" w:right="140" w:firstLine="397"/>
        <w:spacing w:after="0" w:line="342" w:lineRule="auto"/>
        <w:rPr>
          <w:sz w:val="20"/>
          <w:szCs w:val="20"/>
          <w:color w:val="auto"/>
        </w:rPr>
      </w:pPr>
      <w:r>
        <w:rPr>
          <w:rFonts w:ascii="Arial" w:cs="Arial" w:eastAsia="Arial" w:hAnsi="Arial"/>
          <w:sz w:val="16"/>
          <w:szCs w:val="16"/>
          <w:i w:val="1"/>
          <w:iCs w:val="1"/>
          <w:color w:val="auto"/>
        </w:rPr>
        <w:t xml:space="preserve">Consolidation, Merger and Sale of Assets. </w:t>
      </w:r>
      <w:r>
        <w:rPr>
          <w:rFonts w:ascii="Arial" w:cs="Arial" w:eastAsia="Arial" w:hAnsi="Arial"/>
          <w:sz w:val="16"/>
          <w:szCs w:val="16"/>
          <w:color w:val="auto"/>
        </w:rPr>
        <w:t>The indentures generally prohibit a consolidation or merger of Waste Management into</w:t>
      </w:r>
      <w:r>
        <w:rPr>
          <w:rFonts w:ascii="Arial" w:cs="Arial" w:eastAsia="Arial" w:hAnsi="Arial"/>
          <w:sz w:val="16"/>
          <w:szCs w:val="16"/>
          <w:i w:val="1"/>
          <w:iCs w:val="1"/>
          <w:color w:val="auto"/>
        </w:rPr>
        <w:t xml:space="preserve"> </w:t>
      </w:r>
      <w:r>
        <w:rPr>
          <w:rFonts w:ascii="Arial" w:cs="Arial" w:eastAsia="Arial" w:hAnsi="Arial"/>
          <w:sz w:val="16"/>
          <w:szCs w:val="16"/>
          <w:color w:val="auto"/>
        </w:rPr>
        <w:t>another person, or a lease, transfer or disposition of all or substantially all of our assets to another person unless:</w:t>
      </w:r>
    </w:p>
    <w:p>
      <w:pPr>
        <w:spacing w:after="0" w:line="29" w:lineRule="exact"/>
        <w:rPr>
          <w:sz w:val="20"/>
          <w:szCs w:val="20"/>
          <w:color w:val="auto"/>
        </w:rPr>
      </w:pPr>
    </w:p>
    <w:p>
      <w:pPr>
        <w:ind w:left="1300" w:right="60" w:hanging="202"/>
        <w:spacing w:after="0" w:line="264"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resulting person formed or into which Waste Management is merged or the person which acquires all or substantially all of our assets assumes the performance of the covenants and obligations under the indentures and the due and punctual payments on the debt securities; and</w:t>
      </w:r>
    </w:p>
    <w:p>
      <w:pPr>
        <w:spacing w:after="0" w:line="73" w:lineRule="exact"/>
        <w:rPr>
          <w:rFonts w:ascii="Arial" w:cs="Arial" w:eastAsia="Arial" w:hAnsi="Arial"/>
          <w:sz w:val="18"/>
          <w:szCs w:val="18"/>
          <w:color w:val="auto"/>
        </w:rPr>
      </w:pPr>
    </w:p>
    <w:p>
      <w:pPr>
        <w:ind w:left="1300" w:right="220" w:hanging="202"/>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would occur and be continuing or would result from the transaction.</w:t>
      </w:r>
    </w:p>
    <w:p>
      <w:pPr>
        <w:spacing w:after="0" w:line="76" w:lineRule="exact"/>
        <w:rPr>
          <w:sz w:val="20"/>
          <w:szCs w:val="20"/>
          <w:color w:val="auto"/>
        </w:rPr>
      </w:pPr>
    </w:p>
    <w:p>
      <w:pPr>
        <w:jc w:val="both"/>
        <w:ind w:left="700" w:right="100" w:firstLine="397"/>
        <w:spacing w:after="0" w:line="264" w:lineRule="auto"/>
        <w:rPr>
          <w:sz w:val="20"/>
          <w:szCs w:val="20"/>
          <w:color w:val="auto"/>
        </w:rPr>
      </w:pPr>
      <w:r>
        <w:rPr>
          <w:rFonts w:ascii="Arial" w:cs="Arial" w:eastAsia="Arial" w:hAnsi="Arial"/>
          <w:sz w:val="18"/>
          <w:szCs w:val="18"/>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87"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inform you otherwise in the applicable prospectus supplement, the following are events of default</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a series of debt securities:</w:t>
      </w:r>
    </w:p>
    <w:p>
      <w:pPr>
        <w:spacing w:after="0" w:line="76" w:lineRule="exact"/>
        <w:rPr>
          <w:sz w:val="20"/>
          <w:szCs w:val="20"/>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pay interest on that series of debt securities for 30 days when due;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pay principal of or any premium on that series of debt securities when due;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deposit into any sinking fund when due;</w:t>
      </w:r>
    </w:p>
    <w:p>
      <w:pPr>
        <w:spacing w:after="0" w:line="117" w:lineRule="exact"/>
        <w:rPr>
          <w:rFonts w:ascii="Arial" w:cs="Arial" w:eastAsia="Arial" w:hAnsi="Arial"/>
          <w:sz w:val="18"/>
          <w:szCs w:val="18"/>
          <w:color w:val="auto"/>
        </w:rPr>
      </w:pPr>
    </w:p>
    <w:p>
      <w:pPr>
        <w:ind w:left="1300" w:right="60" w:hanging="202"/>
        <w:spacing w:after="0" w:line="25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80"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specified events involving bankruptcy, insolvency or reorganization;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event of default provided for that series of debt securities.</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60" w:firstLine="397"/>
        <w:spacing w:after="0" w:line="279" w:lineRule="auto"/>
        <w:rPr>
          <w:sz w:val="20"/>
          <w:szCs w:val="20"/>
          <w:color w:val="auto"/>
        </w:rPr>
      </w:pPr>
      <w:r>
        <w:rPr>
          <w:rFonts w:ascii="Arial" w:cs="Arial" w:eastAsia="Arial" w:hAnsi="Arial"/>
          <w:sz w:val="17"/>
          <w:szCs w:val="17"/>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holder of a debt security of any series issued under an indenture may pursue any remedy under that indenture only if:</w:t>
      </w:r>
    </w:p>
    <w:p>
      <w:pPr>
        <w:spacing w:after="0" w:line="131" w:lineRule="exact"/>
        <w:rPr>
          <w:sz w:val="20"/>
          <w:szCs w:val="20"/>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that series;</w:t>
      </w:r>
    </w:p>
    <w:p>
      <w:pPr>
        <w:spacing w:after="0" w:line="117" w:lineRule="exact"/>
        <w:rPr>
          <w:rFonts w:ascii="Arial" w:cs="Arial" w:eastAsia="Arial" w:hAnsi="Arial"/>
          <w:sz w:val="18"/>
          <w:szCs w:val="18"/>
          <w:color w:val="auto"/>
        </w:rPr>
      </w:pPr>
    </w:p>
    <w:p>
      <w:pPr>
        <w:ind w:left="1300" w:right="440" w:hanging="202"/>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make a written request to the trustee to pursue the remedy;</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offer to the trustee indemnity satisfactory to the trustee;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the request and offer of indemnity; and</w:t>
      </w:r>
    </w:p>
    <w:p>
      <w:pPr>
        <w:spacing w:after="0" w:line="117"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7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This provision does not, however, affect the right of a holder of a debt security to sue for enforcement of any overdue payment.</w:t>
      </w:r>
    </w:p>
    <w:p>
      <w:pPr>
        <w:spacing w:after="0" w:line="131" w:lineRule="exact"/>
        <w:rPr>
          <w:sz w:val="20"/>
          <w:szCs w:val="20"/>
          <w:color w:val="auto"/>
        </w:rPr>
      </w:pPr>
    </w:p>
    <w:p>
      <w:pPr>
        <w:ind w:left="700" w:right="60" w:firstLine="397"/>
        <w:spacing w:after="0" w:line="308" w:lineRule="auto"/>
        <w:rPr>
          <w:sz w:val="20"/>
          <w:szCs w:val="20"/>
          <w:color w:val="auto"/>
        </w:rPr>
      </w:pPr>
      <w:r>
        <w:rPr>
          <w:rFonts w:ascii="Arial" w:cs="Arial" w:eastAsia="Arial" w:hAnsi="Arial"/>
          <w:sz w:val="17"/>
          <w:szCs w:val="17"/>
          <w:color w:val="auto"/>
        </w:rPr>
        <w:t>In most cases, holders of a majority in principal amount of the outstanding debt securities of a series (or of all debt securities issued under the applicable indenture that are affected, voting as one class) may direct the time, method and place of:</w:t>
      </w:r>
    </w:p>
    <w:p>
      <w:pPr>
        <w:spacing w:after="0" w:line="52" w:lineRule="exact"/>
        <w:rPr>
          <w:sz w:val="20"/>
          <w:szCs w:val="20"/>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relating to or arising as a result of an event of default.</w:t>
      </w:r>
    </w:p>
    <w:p>
      <w:pPr>
        <w:spacing w:after="0" w:line="131"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The indentures require us to file each year with the trustee a written statement as to our compliance with the covenants contained in the applicable indenture.</w:t>
      </w:r>
    </w:p>
    <w:p>
      <w:pPr>
        <w:spacing w:after="0" w:line="76"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i w:val="1"/>
          <w:iCs w:val="1"/>
          <w:color w:val="auto"/>
        </w:rPr>
        <w:t xml:space="preserve">Modification and Waiver. </w:t>
      </w:r>
      <w:r>
        <w:rPr>
          <w:rFonts w:ascii="Arial" w:cs="Arial" w:eastAsia="Arial" w:hAnsi="Arial"/>
          <w:sz w:val="17"/>
          <w:szCs w:val="17"/>
          <w:color w:val="auto"/>
        </w:rPr>
        <w:t>Each indenture may be amended or supplemented if the majority in principal amount of the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debt securities of all 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78" w:lineRule="exact"/>
        <w:rPr>
          <w:sz w:val="20"/>
          <w:szCs w:val="20"/>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principal of the debt security or change its stated maturity;</w:t>
      </w:r>
    </w:p>
    <w:p>
      <w:pPr>
        <w:spacing w:after="0" w:line="117"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any premium payable on the redemption of the debt security or change the time at which the debt security may or must be redeemed;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any obligation for us to maintain a paying agency;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payments on the debt security payable in currency other than as originally stated in the debt security;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or with respect to the debt security;</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80" w:hanging="202"/>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adversely affect the right to convert subordinated debt securities, if applicable.</w:t>
      </w:r>
    </w:p>
    <w:p>
      <w:pPr>
        <w:spacing w:after="0" w:line="131" w:lineRule="exact"/>
        <w:rPr>
          <w:sz w:val="20"/>
          <w:szCs w:val="20"/>
          <w:color w:val="auto"/>
        </w:rPr>
      </w:pPr>
    </w:p>
    <w:p>
      <w:pPr>
        <w:ind w:left="700" w:right="460" w:firstLine="397"/>
        <w:spacing w:after="0" w:line="264" w:lineRule="auto"/>
        <w:rPr>
          <w:sz w:val="20"/>
          <w:szCs w:val="20"/>
          <w:color w:val="auto"/>
        </w:rPr>
      </w:pPr>
      <w:r>
        <w:rPr>
          <w:rFonts w:ascii="Arial" w:cs="Arial" w:eastAsia="Arial" w:hAnsi="Arial"/>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87" w:lineRule="exact"/>
        <w:rPr>
          <w:sz w:val="20"/>
          <w:szCs w:val="20"/>
          <w:color w:val="auto"/>
        </w:rPr>
      </w:pPr>
    </w:p>
    <w:p>
      <w:pPr>
        <w:ind w:left="1300" w:hanging="20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default or event of default in any payment on any debt security;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compliance with a provision that cannot be amended or supplemented without the consent of each holder affected.</w:t>
      </w:r>
    </w:p>
    <w:p>
      <w:pPr>
        <w:spacing w:after="0" w:line="131"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i w:val="1"/>
          <w:iCs w:val="1"/>
          <w:color w:val="auto"/>
        </w:rPr>
        <w:t xml:space="preserve">Defeasance. </w:t>
      </w:r>
      <w:r>
        <w:rPr>
          <w:rFonts w:ascii="Arial" w:cs="Arial" w:eastAsia="Arial" w:hAnsi="Arial"/>
          <w:sz w:val="18"/>
          <w:szCs w:val="18"/>
          <w:color w:val="auto"/>
        </w:rPr>
        <w:t>When we use the term defeasance, we mean discharge from some or all of our obligations under the indentures. If any</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of funds 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92" w:lineRule="exact"/>
        <w:rPr>
          <w:sz w:val="20"/>
          <w:szCs w:val="20"/>
          <w:color w:val="auto"/>
        </w:rPr>
      </w:pPr>
    </w:p>
    <w:p>
      <w:pPr>
        <w:ind w:left="1300" w:right="680" w:hanging="202"/>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that series and, if applicable, the related guarantees (“legal defeasance”); or</w:t>
      </w:r>
    </w:p>
    <w:p>
      <w:pPr>
        <w:spacing w:after="0" w:line="62" w:lineRule="exact"/>
        <w:rPr>
          <w:rFonts w:ascii="Arial" w:cs="Arial" w:eastAsia="Arial" w:hAnsi="Arial"/>
          <w:sz w:val="18"/>
          <w:szCs w:val="18"/>
          <w:color w:val="auto"/>
        </w:rPr>
      </w:pPr>
    </w:p>
    <w:p>
      <w:pPr>
        <w:ind w:left="1300" w:right="620" w:hanging="202"/>
        <w:spacing w:after="0" w:line="342" w:lineRule="auto"/>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will no longer have any obligation to comply with the restrictive covenants, the merger covenant and other specified covenants under the applicable indenture, and the related events of default will no longer apply (“covenant defeasance”).</w:t>
      </w:r>
    </w:p>
    <w:p>
      <w:pPr>
        <w:spacing w:after="0" w:line="29" w:lineRule="exact"/>
        <w:rPr>
          <w:sz w:val="20"/>
          <w:szCs w:val="20"/>
          <w:color w:val="auto"/>
        </w:rPr>
      </w:pPr>
    </w:p>
    <w:p>
      <w:pPr>
        <w:ind w:left="700" w:right="20"/>
        <w:spacing w:after="0" w:line="276" w:lineRule="auto"/>
        <w:rPr>
          <w:sz w:val="20"/>
          <w:szCs w:val="20"/>
          <w:color w:val="auto"/>
        </w:rPr>
      </w:pPr>
      <w:r>
        <w:rPr>
          <w:rFonts w:ascii="Arial" w:cs="Arial" w:eastAsia="Arial" w:hAnsi="Arial"/>
          <w:sz w:val="17"/>
          <w:szCs w:val="17"/>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78" w:lineRule="exact"/>
        <w:rPr>
          <w:sz w:val="20"/>
          <w:szCs w:val="20"/>
          <w:color w:val="auto"/>
        </w:rPr>
      </w:pPr>
    </w:p>
    <w:p>
      <w:pPr>
        <w:ind w:left="700" w:right="260" w:firstLine="397"/>
        <w:spacing w:after="0" w:line="291" w:lineRule="auto"/>
        <w:rPr>
          <w:sz w:val="20"/>
          <w:szCs w:val="20"/>
          <w:color w:val="auto"/>
        </w:rPr>
      </w:pPr>
      <w:r>
        <w:rPr>
          <w:rFonts w:ascii="Arial" w:cs="Arial" w:eastAsia="Arial" w:hAnsi="Arial"/>
          <w:sz w:val="16"/>
          <w:szCs w:val="16"/>
          <w:color w:val="auto"/>
        </w:rPr>
        <w:t>Unless we inform you otherwise in the prospectus supplement, we will be required to deliver to the trustee an opinion of counsel that the deposit and related defeasance would not cause the holders of the debt securities to recognize income, gain or loss for</w:t>
      </w:r>
    </w:p>
    <w:p>
      <w:pPr>
        <w:ind w:left="700" w:right="20"/>
        <w:spacing w:after="0" w:line="261" w:lineRule="auto"/>
        <w:rPr>
          <w:sz w:val="20"/>
          <w:szCs w:val="20"/>
          <w:color w:val="auto"/>
        </w:rPr>
      </w:pPr>
      <w:r>
        <w:rPr>
          <w:rFonts w:ascii="Arial" w:cs="Arial" w:eastAsia="Arial" w:hAnsi="Arial"/>
          <w:sz w:val="18"/>
          <w:szCs w:val="18"/>
          <w:color w:val="auto"/>
        </w:rPr>
        <w:t>U.S. federal income tax purposes. If we elect legal defeasance, that opinion of counsel must be based upon a ruling from the U.S. Internal Revenue Service or a change in law to that effect.</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New York law will govern the indentures and the debt securities.</w:t>
      </w:r>
    </w:p>
    <w:p>
      <w:pPr>
        <w:spacing w:after="0" w:line="131"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i w:val="1"/>
          <w:iCs w:val="1"/>
          <w:color w:val="auto"/>
        </w:rPr>
        <w:t xml:space="preserve">Trustee. </w:t>
      </w:r>
      <w:r>
        <w:rPr>
          <w:rFonts w:ascii="Arial" w:cs="Arial" w:eastAsia="Arial" w:hAnsi="Arial"/>
          <w:sz w:val="16"/>
          <w:szCs w:val="16"/>
          <w:color w:val="auto"/>
        </w:rPr>
        <w:t>The Bank of New York Mellon Trust Company, N.A. is the trustee under the senior indenture and the subordinated</w:t>
      </w:r>
      <w:r>
        <w:rPr>
          <w:rFonts w:ascii="Arial" w:cs="Arial" w:eastAsia="Arial" w:hAnsi="Arial"/>
          <w:sz w:val="16"/>
          <w:szCs w:val="16"/>
          <w:i w:val="1"/>
          <w:iCs w:val="1"/>
          <w:color w:val="auto"/>
        </w:rPr>
        <w:t xml:space="preserve"> </w:t>
      </w:r>
      <w:r>
        <w:rPr>
          <w:rFonts w:ascii="Arial" w:cs="Arial" w:eastAsia="Arial" w:hAnsi="Arial"/>
          <w:sz w:val="16"/>
          <w:szCs w:val="16"/>
          <w:color w:val="auto"/>
        </w:rPr>
        <w:t>indenture. The Bank of New York Trust Company, N.A. serves as trustee or custodian relating to a number of series of debt obligations of Waste Management as of December 31, 2008. Certain of The Bank of New York Trust Company, N.A.’s affiliates perform certain commercial banking services for us for which they receive customary fees and act as a lender under our current credit facility.</w:t>
      </w:r>
    </w:p>
    <w:p>
      <w:pPr>
        <w:spacing w:after="0" w:line="60"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92"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140" w:firstLine="397"/>
        <w:spacing w:after="0" w:line="259" w:lineRule="auto"/>
        <w:rPr>
          <w:sz w:val="20"/>
          <w:szCs w:val="20"/>
          <w:color w:val="auto"/>
        </w:rPr>
      </w:pPr>
      <w:r>
        <w:rPr>
          <w:rFonts w:ascii="Arial" w:cs="Arial" w:eastAsia="Arial" w:hAnsi="Arial"/>
          <w:sz w:val="18"/>
          <w:szCs w:val="18"/>
          <w:i w:val="1"/>
          <w:iCs w:val="1"/>
          <w:color w:val="auto"/>
        </w:rPr>
        <w:t xml:space="preserve">Form, Exchange, Registration and Transfer. </w:t>
      </w:r>
      <w:r>
        <w:rPr>
          <w:rFonts w:ascii="Arial" w:cs="Arial" w:eastAsia="Arial" w:hAnsi="Arial"/>
          <w:sz w:val="18"/>
          <w:szCs w:val="18"/>
          <w:color w:val="auto"/>
        </w:rPr>
        <w:t>The debt securities may be issued in registered form, without interest coupons, or in</w:t>
      </w:r>
      <w:r>
        <w:rPr>
          <w:rFonts w:ascii="Arial" w:cs="Arial" w:eastAsia="Arial" w:hAnsi="Arial"/>
          <w:sz w:val="18"/>
          <w:szCs w:val="18"/>
          <w:i w:val="1"/>
          <w:iCs w:val="1"/>
          <w:color w:val="auto"/>
        </w:rPr>
        <w:t xml:space="preserve"> </w:t>
      </w:r>
      <w:r>
        <w:rPr>
          <w:rFonts w:ascii="Arial" w:cs="Arial" w:eastAsia="Arial" w:hAnsi="Arial"/>
          <w:sz w:val="18"/>
          <w:szCs w:val="18"/>
          <w:color w:val="auto"/>
        </w:rPr>
        <w:t>bearer form, with 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pacing w:after="0" w:line="92" w:lineRule="exact"/>
        <w:rPr>
          <w:sz w:val="20"/>
          <w:szCs w:val="20"/>
          <w:color w:val="auto"/>
        </w:rPr>
      </w:pPr>
    </w:p>
    <w:p>
      <w:pPr>
        <w:ind w:left="700" w:right="200" w:firstLine="397"/>
        <w:spacing w:after="0" w:line="302" w:lineRule="auto"/>
        <w:rPr>
          <w:sz w:val="20"/>
          <w:szCs w:val="20"/>
          <w:color w:val="auto"/>
        </w:rPr>
      </w:pPr>
      <w:r>
        <w:rPr>
          <w:rFonts w:ascii="Arial" w:cs="Arial" w:eastAsia="Arial" w:hAnsi="Arial"/>
          <w:sz w:val="16"/>
          <w:szCs w:val="16"/>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60"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the case of any redemption, we will not be required to register the transfer or exchange of:</w:t>
      </w:r>
    </w:p>
    <w:p>
      <w:pPr>
        <w:spacing w:after="0" w:line="131" w:lineRule="exact"/>
        <w:rPr>
          <w:sz w:val="20"/>
          <w:szCs w:val="20"/>
          <w:color w:val="auto"/>
        </w:rPr>
      </w:pPr>
    </w:p>
    <w:p>
      <w:pPr>
        <w:ind w:left="1300" w:right="660" w:hanging="202"/>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62" w:lineRule="exact"/>
        <w:rPr>
          <w:rFonts w:ascii="Arial" w:cs="Arial" w:eastAsia="Arial" w:hAnsi="Arial"/>
          <w:sz w:val="18"/>
          <w:szCs w:val="18"/>
          <w:color w:val="auto"/>
        </w:rPr>
      </w:pPr>
    </w:p>
    <w:p>
      <w:pPr>
        <w:ind w:left="1300" w:right="360" w:hanging="202"/>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debt security that has been called for redemption in whole or in part, except the unredeemed portion of any debt security being redeemed in part.</w:t>
      </w:r>
    </w:p>
    <w:p>
      <w:pPr>
        <w:spacing w:after="0" w:line="76"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i w:val="1"/>
          <w:iCs w:val="1"/>
          <w:color w:val="auto"/>
        </w:rPr>
        <w:t xml:space="preserve">Payment and Paying Agents. </w:t>
      </w:r>
      <w:r>
        <w:rPr>
          <w:rFonts w:ascii="Arial" w:cs="Arial" w:eastAsia="Arial" w:hAnsi="Arial"/>
          <w:sz w:val="17"/>
          <w:szCs w:val="17"/>
          <w:color w:val="auto"/>
        </w:rPr>
        <w:t>Unless we inform you otherwise in a prospectus supplement, payments on the debt securities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made in U.S. dollars 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78" w:lineRule="exact"/>
        <w:rPr>
          <w:sz w:val="20"/>
          <w:szCs w:val="20"/>
          <w:color w:val="auto"/>
        </w:rPr>
      </w:pPr>
    </w:p>
    <w:p>
      <w:pPr>
        <w:ind w:left="700" w:right="320" w:firstLine="397"/>
        <w:spacing w:after="0" w:line="312" w:lineRule="auto"/>
        <w:rPr>
          <w:sz w:val="20"/>
          <w:szCs w:val="20"/>
          <w:color w:val="auto"/>
        </w:rPr>
      </w:pPr>
      <w:r>
        <w:rPr>
          <w:rFonts w:ascii="Arial" w:cs="Arial" w:eastAsia="Arial" w:hAnsi="Arial"/>
          <w:sz w:val="16"/>
          <w:szCs w:val="16"/>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52"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94"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92" w:lineRule="exact"/>
        <w:rPr>
          <w:sz w:val="20"/>
          <w:szCs w:val="20"/>
          <w:color w:val="auto"/>
        </w:rPr>
      </w:pPr>
    </w:p>
    <w:p>
      <w:pPr>
        <w:jc w:val="both"/>
        <w:ind w:left="700" w:right="380" w:firstLine="397"/>
        <w:spacing w:after="0" w:line="279" w:lineRule="auto"/>
        <w:rPr>
          <w:sz w:val="20"/>
          <w:szCs w:val="20"/>
          <w:color w:val="auto"/>
        </w:rPr>
      </w:pPr>
      <w:r>
        <w:rPr>
          <w:rFonts w:ascii="Arial" w:cs="Arial" w:eastAsia="Arial" w:hAnsi="Arial"/>
          <w:sz w:val="17"/>
          <w:szCs w:val="17"/>
          <w:i w:val="1"/>
          <w:iCs w:val="1"/>
          <w:color w:val="auto"/>
        </w:rPr>
        <w:t xml:space="preserve">Book-Entry Debt Securities. </w:t>
      </w:r>
      <w:r>
        <w:rPr>
          <w:rFonts w:ascii="Arial" w:cs="Arial" w:eastAsia="Arial" w:hAnsi="Arial"/>
          <w:sz w:val="17"/>
          <w:szCs w:val="17"/>
          <w:color w:val="auto"/>
        </w:rPr>
        <w:t>The debt securities of a series may be issued in the form of one or more global debt securities that</w:t>
      </w:r>
      <w:r>
        <w:rPr>
          <w:rFonts w:ascii="Arial" w:cs="Arial" w:eastAsia="Arial" w:hAnsi="Arial"/>
          <w:sz w:val="17"/>
          <w:szCs w:val="17"/>
          <w:i w:val="1"/>
          <w:iCs w:val="1"/>
          <w:color w:val="auto"/>
        </w:rPr>
        <w:t xml:space="preserve"> </w:t>
      </w:r>
      <w:r>
        <w:rPr>
          <w:rFonts w:ascii="Arial" w:cs="Arial" w:eastAsia="Arial" w:hAnsi="Arial"/>
          <w:sz w:val="17"/>
          <w:szCs w:val="17"/>
          <w:color w:val="auto"/>
        </w:rPr>
        <w:t>would be deposited with 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Applicable Solely to Senior Debt Securities</w:t>
      </w:r>
    </w:p>
    <w:p>
      <w:pPr>
        <w:spacing w:after="0" w:line="135"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i w:val="1"/>
          <w:iCs w:val="1"/>
          <w:color w:val="auto"/>
        </w:rPr>
        <w:t xml:space="preserve">Ranking and Guarantee. </w:t>
      </w:r>
      <w:r>
        <w:rPr>
          <w:rFonts w:ascii="Arial" w:cs="Arial" w:eastAsia="Arial" w:hAnsi="Arial"/>
          <w:sz w:val="17"/>
          <w:szCs w:val="17"/>
          <w:color w:val="auto"/>
        </w:rPr>
        <w:t>The senior debt securities will constitute senior debt of Waste Management and will rank equally with all</w:t>
      </w:r>
      <w:r>
        <w:rPr>
          <w:rFonts w:ascii="Arial" w:cs="Arial" w:eastAsia="Arial" w:hAnsi="Arial"/>
          <w:sz w:val="17"/>
          <w:szCs w:val="17"/>
          <w:i w:val="1"/>
          <w:iCs w:val="1"/>
          <w:color w:val="auto"/>
        </w:rPr>
        <w:t xml:space="preserve"> </w:t>
      </w:r>
      <w:r>
        <w:rPr>
          <w:rFonts w:ascii="Arial" w:cs="Arial" w:eastAsia="Arial" w:hAnsi="Arial"/>
          <w:sz w:val="17"/>
          <w:szCs w:val="17"/>
          <w:color w:val="auto"/>
        </w:rPr>
        <w:t>of the other series of 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 basis the full and prompt payment of the principal of and any premium and interest on the senior debt securities issued by Waste Management when and as the payment becomes due and payable, whether at maturity or otherwise.</w:t>
      </w:r>
    </w:p>
    <w:p>
      <w:pPr>
        <w:spacing w:after="0" w:line="83"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i w:val="1"/>
          <w:iCs w:val="1"/>
          <w:color w:val="auto"/>
        </w:rPr>
        <w:t xml:space="preserve">Restrictive Covenants. </w:t>
      </w:r>
      <w:r>
        <w:rPr>
          <w:rFonts w:ascii="Arial" w:cs="Arial" w:eastAsia="Arial" w:hAnsi="Arial"/>
          <w:sz w:val="17"/>
          <w:szCs w:val="17"/>
          <w:color w:val="auto"/>
        </w:rPr>
        <w:t>We have agreed to two principal restrictions on our activities for the benefit of holders of the senior debt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The restrictive 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“Glossary.”</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31"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87" w:lineRule="exact"/>
        <w:rPr>
          <w:sz w:val="20"/>
          <w:szCs w:val="20"/>
          <w:color w:val="auto"/>
        </w:rPr>
      </w:pPr>
    </w:p>
    <w:p>
      <w:pPr>
        <w:ind w:left="1080" w:right="100" w:firstLine="391"/>
        <w:spacing w:after="0" w:line="277" w:lineRule="auto"/>
        <w:tabs>
          <w:tab w:leader="none" w:pos="1706"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on the property or assets existing at the time of acquisition which secure obligations assumed by us or our Restricted Subsidiaries;</w:t>
      </w:r>
    </w:p>
    <w:p>
      <w:pPr>
        <w:spacing w:after="0" w:line="75" w:lineRule="exact"/>
        <w:rPr>
          <w:rFonts w:ascii="Arial" w:cs="Arial" w:eastAsia="Arial" w:hAnsi="Arial"/>
          <w:sz w:val="18"/>
          <w:szCs w:val="18"/>
          <w:color w:val="auto"/>
        </w:rPr>
      </w:pPr>
    </w:p>
    <w:p>
      <w:pPr>
        <w:ind w:left="1720" w:hanging="249"/>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conditional sales agreements with respect to any property or assets acquired by us or a Restricted Subsidiary;</w:t>
      </w:r>
    </w:p>
    <w:p>
      <w:pPr>
        <w:spacing w:after="0" w:line="130" w:lineRule="exact"/>
        <w:rPr>
          <w:rFonts w:ascii="Arial" w:cs="Arial" w:eastAsia="Arial" w:hAnsi="Arial"/>
          <w:sz w:val="18"/>
          <w:szCs w:val="18"/>
          <w:color w:val="auto"/>
        </w:rPr>
      </w:pPr>
    </w:p>
    <w:p>
      <w:pPr>
        <w:ind w:left="1080" w:firstLine="391"/>
        <w:spacing w:after="0" w:line="277" w:lineRule="auto"/>
        <w:tabs>
          <w:tab w:leader="none" w:pos="1706"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75" w:lineRule="exact"/>
        <w:rPr>
          <w:rFonts w:ascii="Arial" w:cs="Arial" w:eastAsia="Arial" w:hAnsi="Arial"/>
          <w:sz w:val="18"/>
          <w:szCs w:val="18"/>
          <w:color w:val="auto"/>
        </w:rPr>
      </w:pPr>
    </w:p>
    <w:p>
      <w:pPr>
        <w:ind w:left="1080" w:right="500" w:firstLine="391"/>
        <w:spacing w:after="0" w:line="277" w:lineRule="auto"/>
        <w:tabs>
          <w:tab w:leader="none" w:pos="1716"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liens on the property, assets or stock of an entity that becomes us in accordance with </w:t>
      </w:r>
      <w:r>
        <w:rPr>
          <w:rFonts w:ascii="Arial" w:cs="Arial" w:eastAsia="Arial" w:hAnsi="Arial"/>
          <w:sz w:val="18"/>
          <w:szCs w:val="18"/>
          <w:i w:val="1"/>
          <w:iCs w:val="1"/>
          <w:color w:val="auto"/>
        </w:rPr>
        <w:t>“Provisions Applicable to Debt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Securities — Consolidation, Merger and Sale of Assets,” </w:t>
      </w:r>
      <w:r>
        <w:rPr>
          <w:rFonts w:ascii="Arial" w:cs="Arial" w:eastAsia="Arial" w:hAnsi="Arial"/>
          <w:sz w:val="18"/>
          <w:szCs w:val="18"/>
          <w:color w:val="auto"/>
        </w:rPr>
        <w:t>above;</w:t>
      </w:r>
    </w:p>
    <w:p>
      <w:pPr>
        <w:spacing w:after="0" w:line="75" w:lineRule="exact"/>
        <w:rPr>
          <w:rFonts w:ascii="Arial" w:cs="Arial" w:eastAsia="Arial" w:hAnsi="Arial"/>
          <w:sz w:val="18"/>
          <w:szCs w:val="18"/>
          <w:color w:val="auto"/>
        </w:rPr>
      </w:pPr>
    </w:p>
    <w:p>
      <w:pPr>
        <w:ind w:left="1720" w:hanging="249"/>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on assets either:</w:t>
      </w:r>
    </w:p>
    <w:p>
      <w:pPr>
        <w:spacing w:after="0" w:line="130" w:lineRule="exact"/>
        <w:rPr>
          <w:rFonts w:ascii="Arial" w:cs="Arial" w:eastAsia="Arial" w:hAnsi="Arial"/>
          <w:sz w:val="18"/>
          <w:szCs w:val="18"/>
          <w:color w:val="auto"/>
        </w:rPr>
      </w:pPr>
    </w:p>
    <w:p>
      <w:pPr>
        <w:ind w:left="1700" w:hanging="211"/>
        <w:spacing w:after="0"/>
        <w:tabs>
          <w:tab w:leader="none" w:pos="17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existing at the time of, or created within 360 days after, the acquisition of the assets, or</w:t>
      </w:r>
    </w:p>
    <w:p>
      <w:pPr>
        <w:spacing w:after="0" w:line="117" w:lineRule="exact"/>
        <w:rPr>
          <w:rFonts w:ascii="Arial" w:cs="Arial" w:eastAsia="Arial" w:hAnsi="Arial"/>
          <w:sz w:val="18"/>
          <w:szCs w:val="18"/>
          <w:color w:val="auto"/>
        </w:rPr>
      </w:pPr>
    </w:p>
    <w:p>
      <w:pPr>
        <w:ind w:left="1700" w:right="40" w:hanging="211"/>
        <w:spacing w:after="0" w:line="259" w:lineRule="auto"/>
        <w:tabs>
          <w:tab w:leader="none" w:pos="17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92" w:lineRule="exact"/>
        <w:rPr>
          <w:rFonts w:ascii="Arial" w:cs="Arial" w:eastAsia="Arial" w:hAnsi="Arial"/>
          <w:sz w:val="18"/>
          <w:szCs w:val="18"/>
          <w:color w:val="auto"/>
        </w:rPr>
      </w:pPr>
    </w:p>
    <w:p>
      <w:pPr>
        <w:ind w:left="1700" w:hanging="229"/>
        <w:spacing w:after="0"/>
        <w:tabs>
          <w:tab w:leader="none" w:pos="1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intercompany liens;</w:t>
      </w:r>
    </w:p>
    <w:p>
      <w:pPr>
        <w:spacing w:after="0" w:line="130" w:lineRule="exact"/>
        <w:rPr>
          <w:rFonts w:ascii="Arial" w:cs="Arial" w:eastAsia="Arial" w:hAnsi="Arial"/>
          <w:sz w:val="18"/>
          <w:szCs w:val="18"/>
          <w:color w:val="auto"/>
        </w:rPr>
      </w:pPr>
    </w:p>
    <w:p>
      <w:pPr>
        <w:ind w:left="1720" w:hanging="249"/>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mechanics’, materialmen’s and like liens incurred in the ordinary course of business;</w:t>
      </w:r>
    </w:p>
    <w:p>
      <w:pPr>
        <w:spacing w:after="0" w:line="130" w:lineRule="exact"/>
        <w:rPr>
          <w:rFonts w:ascii="Arial" w:cs="Arial" w:eastAsia="Arial" w:hAnsi="Arial"/>
          <w:sz w:val="18"/>
          <w:szCs w:val="18"/>
          <w:color w:val="auto"/>
        </w:rPr>
      </w:pPr>
    </w:p>
    <w:p>
      <w:pPr>
        <w:ind w:left="1720" w:hanging="249"/>
        <w:spacing w:after="0"/>
        <w:tabs>
          <w:tab w:leader="none" w:pos="1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liens arising by deposits or security given to governmental agencies required in order to do business with the government;</w:t>
      </w:r>
    </w:p>
    <w:p>
      <w:pPr>
        <w:spacing w:after="0" w:line="153" w:lineRule="exact"/>
        <w:rPr>
          <w:rFonts w:ascii="Arial" w:cs="Arial" w:eastAsia="Arial" w:hAnsi="Arial"/>
          <w:sz w:val="16"/>
          <w:szCs w:val="16"/>
          <w:color w:val="auto"/>
        </w:rPr>
      </w:pPr>
    </w:p>
    <w:p>
      <w:pPr>
        <w:ind w:left="1680" w:hanging="209"/>
        <w:spacing w:after="0"/>
        <w:tabs>
          <w:tab w:leader="none" w:pos="1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not yet delinquent or being contested in good faith;</w:t>
      </w:r>
    </w:p>
    <w:p>
      <w:pPr>
        <w:spacing w:after="0" w:line="130" w:lineRule="exact"/>
        <w:rPr>
          <w:rFonts w:ascii="Arial" w:cs="Arial" w:eastAsia="Arial" w:hAnsi="Arial"/>
          <w:sz w:val="18"/>
          <w:szCs w:val="18"/>
          <w:color w:val="auto"/>
        </w:rPr>
      </w:pPr>
    </w:p>
    <w:p>
      <w:pPr>
        <w:ind w:left="1680" w:hanging="209"/>
        <w:spacing w:after="0"/>
        <w:tabs>
          <w:tab w:leader="none" w:pos="16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liens in connection with legal proceedings so long as the proceeding is being contested in good faith or execution thereon is</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stayed;</w:t>
      </w:r>
    </w:p>
    <w:p>
      <w:pPr>
        <w:spacing w:after="0" w:line="116" w:lineRule="exact"/>
        <w:rPr>
          <w:rFonts w:ascii="Arial" w:cs="Arial" w:eastAsia="Arial" w:hAnsi="Arial"/>
          <w:sz w:val="16"/>
          <w:szCs w:val="16"/>
          <w:color w:val="auto"/>
        </w:rPr>
      </w:pPr>
    </w:p>
    <w:p>
      <w:pPr>
        <w:ind w:left="1720" w:hanging="249"/>
        <w:spacing w:after="0"/>
        <w:tabs>
          <w:tab w:leader="none" w:pos="1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landlord’s liens on fixtures located on property leased by us or Restricted Subsidiaries in the ordinary course of business;</w:t>
      </w:r>
    </w:p>
    <w:p>
      <w:pPr>
        <w:spacing w:after="0" w:line="200" w:lineRule="exact"/>
        <w:rPr>
          <w:sz w:val="20"/>
          <w:szCs w:val="20"/>
          <w:color w:val="auto"/>
        </w:rPr>
      </w:pPr>
    </w:p>
    <w:p>
      <w:pPr>
        <w:spacing w:after="0" w:line="23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0" w:firstLine="391"/>
        <w:spacing w:after="0" w:line="277" w:lineRule="auto"/>
        <w:tabs>
          <w:tab w:leader="none" w:pos="1676"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in favor of any governmental authority in connection with the financing of the cost of construction or acquisition of property;</w:t>
      </w:r>
    </w:p>
    <w:p>
      <w:pPr>
        <w:spacing w:after="0" w:line="75" w:lineRule="exact"/>
        <w:rPr>
          <w:rFonts w:ascii="Arial" w:cs="Arial" w:eastAsia="Arial" w:hAnsi="Arial"/>
          <w:sz w:val="18"/>
          <w:szCs w:val="18"/>
          <w:color w:val="auto"/>
        </w:rPr>
      </w:pPr>
    </w:p>
    <w:p>
      <w:pPr>
        <w:ind w:left="1080" w:right="160" w:firstLine="391"/>
        <w:spacing w:after="0" w:line="277" w:lineRule="auto"/>
        <w:tabs>
          <w:tab w:leader="none" w:pos="1766"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arising due to deposits to qualify us or a Restricted Subsidiary to do business, maintain self-insurance or obtain the benefit of or comply with laws;</w:t>
      </w:r>
    </w:p>
    <w:p>
      <w:pPr>
        <w:spacing w:after="0" w:line="75" w:lineRule="exact"/>
        <w:rPr>
          <w:rFonts w:ascii="Arial" w:cs="Arial" w:eastAsia="Arial" w:hAnsi="Arial"/>
          <w:sz w:val="18"/>
          <w:szCs w:val="18"/>
          <w:color w:val="auto"/>
        </w:rPr>
      </w:pPr>
    </w:p>
    <w:p>
      <w:pPr>
        <w:ind w:left="1720" w:hanging="249"/>
        <w:spacing w:after="0"/>
        <w:tabs>
          <w:tab w:leader="none" w:pos="17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liens securing industrial development, pollution control or other revenue bonds of a domestic government entity;</w:t>
      </w:r>
    </w:p>
    <w:p>
      <w:pPr>
        <w:spacing w:after="0" w:line="142" w:lineRule="exact"/>
        <w:rPr>
          <w:rFonts w:ascii="Arial" w:cs="Arial" w:eastAsia="Arial" w:hAnsi="Arial"/>
          <w:sz w:val="17"/>
          <w:szCs w:val="17"/>
          <w:color w:val="auto"/>
        </w:rPr>
      </w:pPr>
    </w:p>
    <w:p>
      <w:pPr>
        <w:ind w:left="1720" w:hanging="249"/>
        <w:spacing w:after="0"/>
        <w:tabs>
          <w:tab w:leader="none" w:pos="1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arising in connection with the sale of accounts receivable; and</w:t>
      </w:r>
    </w:p>
    <w:p>
      <w:pPr>
        <w:spacing w:after="0" w:line="130" w:lineRule="exact"/>
        <w:rPr>
          <w:rFonts w:ascii="Arial" w:cs="Arial" w:eastAsia="Arial" w:hAnsi="Arial"/>
          <w:sz w:val="18"/>
          <w:szCs w:val="18"/>
          <w:color w:val="auto"/>
        </w:rPr>
      </w:pPr>
    </w:p>
    <w:p>
      <w:pPr>
        <w:ind w:left="1080" w:right="80" w:firstLine="391"/>
        <w:spacing w:after="0" w:line="277" w:lineRule="auto"/>
        <w:tabs>
          <w:tab w:leader="none" w:pos="171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76" w:lineRule="exact"/>
        <w:rPr>
          <w:sz w:val="20"/>
          <w:szCs w:val="20"/>
          <w:color w:val="auto"/>
        </w:rPr>
      </w:pPr>
    </w:p>
    <w:p>
      <w:pPr>
        <w:ind w:left="700" w:right="80"/>
        <w:spacing w:after="0" w:line="293" w:lineRule="auto"/>
        <w:rPr>
          <w:sz w:val="20"/>
          <w:szCs w:val="20"/>
          <w:color w:val="auto"/>
        </w:rPr>
      </w:pPr>
      <w:r>
        <w:rPr>
          <w:rFonts w:ascii="Arial" w:cs="Arial" w:eastAsia="Arial" w:hAnsi="Arial"/>
          <w:sz w:val="16"/>
          <w:szCs w:val="16"/>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“Limitation on Sale/Leaseback Transactions.”</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Limitation on Sale/Leaseback Transactions</w:t>
      </w:r>
    </w:p>
    <w:p>
      <w:pPr>
        <w:spacing w:after="0" w:line="131" w:lineRule="exact"/>
        <w:rPr>
          <w:sz w:val="20"/>
          <w:szCs w:val="20"/>
          <w:color w:val="auto"/>
        </w:rPr>
      </w:pPr>
    </w:p>
    <w:p>
      <w:pPr>
        <w:ind w:left="700" w:right="360" w:firstLine="397"/>
        <w:spacing w:after="0" w:line="277" w:lineRule="auto"/>
        <w:rPr>
          <w:sz w:val="20"/>
          <w:szCs w:val="20"/>
          <w:color w:val="auto"/>
        </w:rPr>
      </w:pPr>
      <w:r>
        <w:rPr>
          <w:rFonts w:ascii="Arial" w:cs="Arial" w:eastAsia="Arial" w:hAnsi="Arial"/>
          <w:sz w:val="18"/>
          <w:szCs w:val="18"/>
          <w:color w:val="auto"/>
        </w:rPr>
        <w:t>Unless provided otherwise in a prospectus supplement, we and our Restricted Subsidiaries will not enter into a Sale/Leaseback Transaction unless at least one of the following applies:</w:t>
      </w:r>
    </w:p>
    <w:p>
      <w:pPr>
        <w:spacing w:after="0" w:line="76" w:lineRule="exact"/>
        <w:rPr>
          <w:sz w:val="20"/>
          <w:szCs w:val="20"/>
          <w:color w:val="auto"/>
        </w:rPr>
      </w:pPr>
    </w:p>
    <w:p>
      <w:pPr>
        <w:ind w:left="1080" w:right="360" w:firstLine="391"/>
        <w:spacing w:after="0" w:line="264" w:lineRule="auto"/>
        <w:tabs>
          <w:tab w:leader="none" w:pos="1706"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that Restricted Subsidiary could incur Indebtedness in a principal amount equal to the Attributable Debt for that Sale/Leaseback Transaction and, without violating the “Limitation on Liens” covenant, could secure that debt by a lien on the property to be leased without equally and ratably securing the senior debt securities;</w:t>
      </w:r>
    </w:p>
    <w:p>
      <w:pPr>
        <w:spacing w:after="0" w:line="86" w:lineRule="exact"/>
        <w:rPr>
          <w:rFonts w:ascii="Arial" w:cs="Arial" w:eastAsia="Arial" w:hAnsi="Arial"/>
          <w:sz w:val="18"/>
          <w:szCs w:val="18"/>
          <w:color w:val="auto"/>
        </w:rPr>
      </w:pPr>
    </w:p>
    <w:p>
      <w:pPr>
        <w:ind w:left="1080" w:firstLine="391"/>
        <w:spacing w:after="0" w:line="264" w:lineRule="auto"/>
        <w:tabs>
          <w:tab w:leader="none" w:pos="1716"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within 180 days after the effective date of any Sale/Leaseback Transaction, we will apply the net proceeds of the Sale/Leaseback Transaction to the voluntary defeasance or retirement of any senior debt securities issued under the senior indenture or to the acquisition or capital improvement of a Principal Property; or</w:t>
      </w:r>
    </w:p>
    <w:p>
      <w:pPr>
        <w:spacing w:after="0" w:line="86" w:lineRule="exact"/>
        <w:rPr>
          <w:rFonts w:ascii="Arial" w:cs="Arial" w:eastAsia="Arial" w:hAnsi="Arial"/>
          <w:sz w:val="18"/>
          <w:szCs w:val="18"/>
          <w:color w:val="auto"/>
        </w:rPr>
      </w:pPr>
    </w:p>
    <w:p>
      <w:pPr>
        <w:ind w:left="1080" w:right="120" w:firstLine="391"/>
        <w:spacing w:after="0" w:line="264" w:lineRule="auto"/>
        <w:tabs>
          <w:tab w:leader="none" w:pos="1706"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87" w:lineRule="exact"/>
        <w:rPr>
          <w:sz w:val="20"/>
          <w:szCs w:val="20"/>
          <w:color w:val="auto"/>
        </w:rPr>
      </w:pPr>
    </w:p>
    <w:p>
      <w:pPr>
        <w:ind w:left="1080" w:right="20"/>
        <w:spacing w:after="0" w:line="259" w:lineRule="auto"/>
        <w:rPr>
          <w:sz w:val="20"/>
          <w:szCs w:val="20"/>
          <w:color w:val="auto"/>
        </w:rPr>
      </w:pPr>
      <w:r>
        <w:rPr>
          <w:rFonts w:ascii="Arial" w:cs="Arial" w:eastAsia="Arial" w:hAnsi="Arial"/>
          <w:sz w:val="18"/>
          <w:szCs w:val="18"/>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under the “Limitation on Liens” covenant, do not exceed 15% of Consolidated Net Tangible Assets.</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Glossary</w:t>
      </w:r>
    </w:p>
    <w:p>
      <w:pPr>
        <w:spacing w:after="0" w:line="131"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6"/>
          <w:szCs w:val="16"/>
          <w:i w:val="1"/>
          <w:iCs w:val="1"/>
          <w:color w:val="auto"/>
        </w:rPr>
        <w:t xml:space="preserve">“Attributable Debt” </w:t>
      </w:r>
      <w:r>
        <w:rPr>
          <w:rFonts w:ascii="Arial" w:cs="Arial" w:eastAsia="Arial" w:hAnsi="Arial"/>
          <w:sz w:val="16"/>
          <w:szCs w:val="16"/>
          <w:color w:val="auto"/>
        </w:rPr>
        <w:t>means the present value of the rental payments during the remaining term of the lease included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Sale/Leaseback Transaction. To determine that present value, we use a discount rate equal to the lease rate of the Sale/Leaseback Transaction.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reduced if the lessee terminated the lease on the first date that it could be terminated, then this lower net amount will be used.</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 xml:space="preserve">“Consolidated Net Tangible Assets” </w:t>
      </w:r>
      <w:r>
        <w:rPr>
          <w:rFonts w:ascii="Arial" w:cs="Arial" w:eastAsia="Arial" w:hAnsi="Arial"/>
          <w:sz w:val="16"/>
          <w:szCs w:val="16"/>
          <w:color w:val="auto"/>
        </w:rPr>
        <w:t>means the total amount of assets of Waste Management, Inc. and its consolidated subsidiaries</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less:</w:t>
      </w:r>
    </w:p>
    <w:p>
      <w:pPr>
        <w:spacing w:after="0" w:line="116" w:lineRule="exact"/>
        <w:rPr>
          <w:sz w:val="20"/>
          <w:szCs w:val="20"/>
          <w:color w:val="auto"/>
        </w:rPr>
      </w:pPr>
    </w:p>
    <w:p>
      <w:pPr>
        <w:ind w:left="1300" w:right="120" w:hanging="202"/>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value of all intangible assets.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will calculate Consolidated Net Tangible Assets based on our most recent quarterly balance sheet.</w:t>
      </w:r>
    </w:p>
    <w:p>
      <w:pPr>
        <w:spacing w:after="0" w:line="131"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means (a) all obligations for borrowed money or on which interest charges are customarily paid, all as shown on</w:t>
      </w:r>
      <w:r>
        <w:rPr>
          <w:rFonts w:ascii="Arial" w:cs="Arial" w:eastAsia="Arial" w:hAnsi="Arial"/>
          <w:sz w:val="18"/>
          <w:szCs w:val="18"/>
          <w:i w:val="1"/>
          <w:iCs w:val="1"/>
          <w:color w:val="auto"/>
        </w:rPr>
        <w:t xml:space="preserve"> </w:t>
      </w:r>
      <w:r>
        <w:rPr>
          <w:rFonts w:ascii="Arial" w:cs="Arial" w:eastAsia="Arial" w:hAnsi="Arial"/>
          <w:sz w:val="18"/>
          <w:szCs w:val="18"/>
          <w:color w:val="auto"/>
        </w:rPr>
        <w:t>the balance sheet of the indebted party and (b) all guarantees of Indebtedness.</w:t>
      </w:r>
    </w:p>
    <w:p>
      <w:pPr>
        <w:spacing w:after="0" w:line="76" w:lineRule="exact"/>
        <w:rPr>
          <w:sz w:val="20"/>
          <w:szCs w:val="20"/>
          <w:color w:val="auto"/>
        </w:rPr>
      </w:pPr>
    </w:p>
    <w:p>
      <w:pPr>
        <w:ind w:left="700" w:right="160" w:firstLine="397"/>
        <w:spacing w:after="0" w:line="286" w:lineRule="auto"/>
        <w:rPr>
          <w:sz w:val="20"/>
          <w:szCs w:val="20"/>
          <w:color w:val="auto"/>
        </w:rPr>
      </w:pPr>
      <w:r>
        <w:rPr>
          <w:rFonts w:ascii="Arial" w:cs="Arial" w:eastAsia="Arial" w:hAnsi="Arial"/>
          <w:sz w:val="17"/>
          <w:szCs w:val="17"/>
          <w:i w:val="1"/>
          <w:iCs w:val="1"/>
          <w:color w:val="auto"/>
        </w:rPr>
        <w:t xml:space="preserve">“Restricted Subsidiary” </w:t>
      </w:r>
      <w:r>
        <w:rPr>
          <w:rFonts w:ascii="Arial" w:cs="Arial" w:eastAsia="Arial" w:hAnsi="Arial"/>
          <w:sz w:val="17"/>
          <w:szCs w:val="17"/>
          <w:color w:val="auto"/>
        </w:rPr>
        <w:t>means any Subsidiary (a) principally engaged in, or whose principal assets consist of property used by us</w:t>
      </w:r>
      <w:r>
        <w:rPr>
          <w:rFonts w:ascii="Arial" w:cs="Arial" w:eastAsia="Arial" w:hAnsi="Arial"/>
          <w:sz w:val="17"/>
          <w:szCs w:val="17"/>
          <w:i w:val="1"/>
          <w:iCs w:val="1"/>
          <w:color w:val="auto"/>
        </w:rPr>
        <w:t xml:space="preserve"> </w:t>
      </w:r>
      <w:r>
        <w:rPr>
          <w:rFonts w:ascii="Arial" w:cs="Arial" w:eastAsia="Arial" w:hAnsi="Arial"/>
          <w:sz w:val="17"/>
          <w:szCs w:val="17"/>
          <w:color w:val="auto"/>
        </w:rPr>
        <w:t>or any Restricted Subsidiary in the storage, collection, transfer, interim processing or disposal of waste within the United States or Canada or (b) which we designate as a Restricted Subsidiary in an officer’s certificate delivered to the trustee.</w:t>
      </w:r>
    </w:p>
    <w:p>
      <w:pPr>
        <w:spacing w:after="0" w:line="71" w:lineRule="exact"/>
        <w:rPr>
          <w:sz w:val="20"/>
          <w:szCs w:val="20"/>
          <w:color w:val="auto"/>
        </w:rPr>
      </w:pPr>
    </w:p>
    <w:p>
      <w:pPr>
        <w:ind w:left="700" w:right="200" w:firstLine="397"/>
        <w:spacing w:after="0" w:line="255" w:lineRule="auto"/>
        <w:rPr>
          <w:sz w:val="20"/>
          <w:szCs w:val="20"/>
          <w:color w:val="auto"/>
        </w:rPr>
      </w:pPr>
      <w:r>
        <w:rPr>
          <w:rFonts w:ascii="Arial" w:cs="Arial" w:eastAsia="Arial" w:hAnsi="Arial"/>
          <w:sz w:val="18"/>
          <w:szCs w:val="18"/>
          <w:i w:val="1"/>
          <w:iCs w:val="1"/>
          <w:color w:val="auto"/>
        </w:rPr>
        <w:t xml:space="preserve">“Principal Property” </w:t>
      </w:r>
      <w:r>
        <w:rPr>
          <w:rFonts w:ascii="Arial" w:cs="Arial" w:eastAsia="Arial" w:hAnsi="Arial"/>
          <w:sz w:val="18"/>
          <w:szCs w:val="18"/>
          <w:color w:val="auto"/>
        </w:rPr>
        <w:t>means any waste processing, waste disposal or resource recovery plant or similar facility located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or 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99"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i w:val="1"/>
          <w:iCs w:val="1"/>
          <w:color w:val="auto"/>
        </w:rPr>
        <w:t xml:space="preserve">“Sale/Leaseback Transaction” </w:t>
      </w:r>
      <w:r>
        <w:rPr>
          <w:rFonts w:ascii="Arial" w:cs="Arial" w:eastAsia="Arial" w:hAnsi="Arial"/>
          <w:sz w:val="18"/>
          <w:szCs w:val="18"/>
          <w:color w:val="auto"/>
        </w:rPr>
        <w:t>means any arrangement with anyone under which we or our Restricted Subsidiaries lease any</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Property that we or such Restricted Subsidiary has sold or transferred or will sell or transfer to that person. This term excludes the following:</w:t>
      </w:r>
    </w:p>
    <w:p>
      <w:pPr>
        <w:spacing w:after="0" w:line="87" w:lineRule="exact"/>
        <w:rPr>
          <w:sz w:val="20"/>
          <w:szCs w:val="20"/>
          <w:color w:val="auto"/>
        </w:rPr>
      </w:pPr>
    </w:p>
    <w:p>
      <w:pPr>
        <w:ind w:left="1300" w:hanging="20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temporary leases for a term of not more than three years;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intercompany leases.</w:t>
      </w:r>
    </w:p>
    <w:p>
      <w:pPr>
        <w:spacing w:after="0" w:line="131"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 entity at least a majority of the outstanding voting stock of which is owned, directly or indirectly, by us or</w:t>
      </w:r>
      <w:r>
        <w:rPr>
          <w:rFonts w:ascii="Arial" w:cs="Arial" w:eastAsia="Arial" w:hAnsi="Arial"/>
          <w:sz w:val="18"/>
          <w:szCs w:val="18"/>
          <w:i w:val="1"/>
          <w:iCs w:val="1"/>
          <w:color w:val="auto"/>
        </w:rPr>
        <w:t xml:space="preserve"> </w:t>
      </w:r>
      <w:r>
        <w:rPr>
          <w:rFonts w:ascii="Arial" w:cs="Arial" w:eastAsia="Arial" w:hAnsi="Arial"/>
          <w:sz w:val="18"/>
          <w:szCs w:val="18"/>
          <w:color w:val="auto"/>
        </w:rPr>
        <w:t>by one or more other Subsidiaries, or by us and one or more other Subsidiaries.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Applicable Solely to Subordinated Debt Securities</w:t>
      </w:r>
    </w:p>
    <w:p>
      <w:pPr>
        <w:spacing w:after="0" w:line="135"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The subordinated debt securities will rank junior to all of our senior debt and may rank equally with or senior to our other</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subordinated debt that may be outstanding from time to time.</w:t>
      </w:r>
    </w:p>
    <w:p>
      <w:pPr>
        <w:spacing w:after="0" w:line="76"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i w:val="1"/>
          <w:iCs w:val="1"/>
          <w:color w:val="auto"/>
        </w:rPr>
        <w:t xml:space="preserve">Subordination. </w:t>
      </w:r>
      <w:r>
        <w:rPr>
          <w:rFonts w:ascii="Arial" w:cs="Arial" w:eastAsia="Arial" w:hAnsi="Arial"/>
          <w:sz w:val="18"/>
          <w:szCs w:val="18"/>
          <w:color w:val="auto"/>
        </w:rPr>
        <w:t>Under the subordinated indenture, payment of the principal of and any premium and interest on the subordinated</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 will 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99"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GUARANTEES</w:t>
      </w:r>
    </w:p>
    <w:p>
      <w:pPr>
        <w:spacing w:after="0" w:line="135"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9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92" w:lineRule="exact"/>
        <w:rPr>
          <w:sz w:val="20"/>
          <w:szCs w:val="20"/>
          <w:color w:val="auto"/>
        </w:rPr>
      </w:pPr>
    </w:p>
    <w:p>
      <w:pPr>
        <w:jc w:val="both"/>
        <w:ind w:left="700" w:right="160" w:firstLine="397"/>
        <w:spacing w:after="0" w:line="264" w:lineRule="auto"/>
        <w:rPr>
          <w:sz w:val="20"/>
          <w:szCs w:val="20"/>
          <w:color w:val="auto"/>
        </w:rPr>
      </w:pPr>
      <w:r>
        <w:rPr>
          <w:rFonts w:ascii="Arial" w:cs="Arial" w:eastAsia="Arial" w:hAnsi="Arial"/>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29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DESCRIPTION OF CAPITAL STOCK</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700" w:right="220" w:firstLine="397"/>
        <w:spacing w:after="0" w:line="264" w:lineRule="auto"/>
        <w:rPr>
          <w:sz w:val="20"/>
          <w:szCs w:val="20"/>
          <w:color w:val="auto"/>
        </w:rPr>
      </w:pPr>
      <w:r>
        <w:rPr>
          <w:rFonts w:ascii="Arial" w:cs="Arial" w:eastAsia="Arial" w:hAnsi="Arial"/>
          <w:sz w:val="18"/>
          <w:szCs w:val="18"/>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87"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color w:val="auto"/>
        </w:rPr>
        <w:t>We are authorized to issue 1,500,000,000 shares of common stock, of which 490,957,915 shares were outstanding at September 18, 2009. We are also authorized to issue 10,000,000 shares of preferred stock, none of which were outstanding on that date.</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Common stock</w:t>
      </w:r>
    </w:p>
    <w:p>
      <w:pPr>
        <w:spacing w:after="0" w:line="135" w:lineRule="exact"/>
        <w:rPr>
          <w:sz w:val="20"/>
          <w:szCs w:val="20"/>
          <w:color w:val="auto"/>
        </w:rPr>
      </w:pPr>
    </w:p>
    <w:p>
      <w:pPr>
        <w:ind w:left="700" w:right="220" w:firstLine="397"/>
        <w:spacing w:after="0" w:line="308"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Holders of common stock are entitled to receive dividends when declared by our Board of Directors. In certain cases,</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stockholders may not receive dividends until we satisfy our obligations to any preferred stockholders.</w:t>
      </w:r>
    </w:p>
    <w:p>
      <w:pPr>
        <w:spacing w:after="0" w:line="52"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Each share of common stock is entitled to one vote in the election of directors and in each other matter we may ask</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to vote on. Common stockholders do not have cumulative voting rights. Accordingly, the holders of a majority of shares voting for the election of directors can elect all of the directors standing for election.</w:t>
      </w:r>
    </w:p>
    <w:p>
      <w:pPr>
        <w:spacing w:after="0" w:line="87"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i w:val="1"/>
          <w:iCs w:val="1"/>
          <w:color w:val="auto"/>
        </w:rPr>
        <w:t xml:space="preserve">Fully Paid Status. </w:t>
      </w:r>
      <w:r>
        <w:rPr>
          <w:rFonts w:ascii="Arial" w:cs="Arial" w:eastAsia="Arial" w:hAnsi="Arial"/>
          <w:sz w:val="18"/>
          <w:szCs w:val="18"/>
          <w:color w:val="auto"/>
        </w:rPr>
        <w:t>All outstanding shares of our common stock are validly issued, fully paid and non-assessable. The shares offered</w:t>
      </w:r>
      <w:r>
        <w:rPr>
          <w:rFonts w:ascii="Arial" w:cs="Arial" w:eastAsia="Arial" w:hAnsi="Arial"/>
          <w:sz w:val="18"/>
          <w:szCs w:val="18"/>
          <w:i w:val="1"/>
          <w:iCs w:val="1"/>
          <w:color w:val="auto"/>
        </w:rPr>
        <w:t xml:space="preserve"> </w:t>
      </w:r>
      <w:r>
        <w:rPr>
          <w:rFonts w:ascii="Arial" w:cs="Arial" w:eastAsia="Arial" w:hAnsi="Arial"/>
          <w:sz w:val="18"/>
          <w:szCs w:val="18"/>
          <w:color w:val="auto"/>
        </w:rPr>
        <w:t>hereby will also be, upon issuance and sale, validly issued, fully paid and non-assessable.</w:t>
      </w:r>
    </w:p>
    <w:p>
      <w:pPr>
        <w:spacing w:after="0" w:line="76"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i w:val="1"/>
          <w:iCs w:val="1"/>
          <w:color w:val="auto"/>
        </w:rPr>
        <w:t xml:space="preserve">Liquidation or Dissolution. </w:t>
      </w:r>
      <w:r>
        <w:rPr>
          <w:rFonts w:ascii="Arial" w:cs="Arial" w:eastAsia="Arial" w:hAnsi="Arial"/>
          <w:sz w:val="18"/>
          <w:szCs w:val="18"/>
          <w:color w:val="auto"/>
        </w:rPr>
        <w:t>If we liquidate, dissolve or wind up our business, whether or not voluntarily, common stockholders will</w:t>
      </w:r>
      <w:r>
        <w:rPr>
          <w:rFonts w:ascii="Arial" w:cs="Arial" w:eastAsia="Arial" w:hAnsi="Arial"/>
          <w:sz w:val="18"/>
          <w:szCs w:val="18"/>
          <w:i w:val="1"/>
          <w:iCs w:val="1"/>
          <w:color w:val="auto"/>
        </w:rPr>
        <w:t xml:space="preserve"> </w:t>
      </w:r>
      <w:r>
        <w:rPr>
          <w:rFonts w:ascii="Arial" w:cs="Arial" w:eastAsia="Arial" w:hAnsi="Arial"/>
          <w:sz w:val="18"/>
          <w:szCs w:val="18"/>
          <w:color w:val="auto"/>
        </w:rPr>
        <w:t>share ratably in the assets remaining after we pay our creditors and any preferred stockholders.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Our common stock is listed on the New York Stock Exchange under the trading symbol “WM.”</w:t>
      </w:r>
    </w:p>
    <w:p>
      <w:pPr>
        <w:spacing w:after="0" w:line="131"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The transfer agent and registrar for our common stock is BNY Mellon Shareowner Services in Jersey</w:t>
      </w:r>
      <w:r>
        <w:rPr>
          <w:rFonts w:ascii="Arial" w:cs="Arial" w:eastAsia="Arial" w:hAnsi="Arial"/>
          <w:sz w:val="18"/>
          <w:szCs w:val="18"/>
          <w:i w:val="1"/>
          <w:iCs w:val="1"/>
          <w:color w:val="auto"/>
        </w:rPr>
        <w:t xml:space="preserve"> </w:t>
      </w:r>
      <w:r>
        <w:rPr>
          <w:rFonts w:ascii="Arial" w:cs="Arial" w:eastAsia="Arial" w:hAnsi="Arial"/>
          <w:sz w:val="18"/>
          <w:szCs w:val="18"/>
          <w:color w:val="auto"/>
        </w:rPr>
        <w:t>City, New Jersey.</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Preferred stock</w:t>
      </w:r>
    </w:p>
    <w:p>
      <w:pPr>
        <w:spacing w:after="0" w:line="135"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13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Authorized but unissued shares</w:t>
      </w:r>
    </w:p>
    <w:p>
      <w:pPr>
        <w:spacing w:after="0" w:line="135" w:lineRule="exact"/>
        <w:rPr>
          <w:sz w:val="20"/>
          <w:szCs w:val="20"/>
          <w:color w:val="auto"/>
        </w:rPr>
      </w:pPr>
    </w:p>
    <w:p>
      <w:pPr>
        <w:ind w:left="700" w:right="300" w:firstLine="397"/>
        <w:spacing w:after="0" w:line="312" w:lineRule="auto"/>
        <w:rPr>
          <w:sz w:val="20"/>
          <w:szCs w:val="20"/>
          <w:color w:val="auto"/>
        </w:rPr>
      </w:pPr>
      <w:r>
        <w:rPr>
          <w:rFonts w:ascii="Arial" w:cs="Arial" w:eastAsia="Arial" w:hAnsi="Arial"/>
          <w:sz w:val="16"/>
          <w:szCs w:val="16"/>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10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Delaware law and certain provisions of our Certificate of Incorporation</w:t>
      </w:r>
    </w:p>
    <w:p>
      <w:pPr>
        <w:spacing w:after="0" w:line="135"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color w:val="auto"/>
        </w:rPr>
        <w:t>We are a Delaware corporation and are governed by the Delaware General Corporation Law, in addition to our Certificate of Incorporation and Bylaws, certain provisions of which are summarized below. You should read the actual provisions of these documents.</w:t>
      </w:r>
    </w:p>
    <w:p>
      <w:pPr>
        <w:spacing w:after="0" w:line="29"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Section 203 of the Delaware law provides that an “Interested Stockholder,” which is generally defined to mean any beneficial owner of 15% to 85% of the corporation’s voting stock, may not engage in any “business combination” with the corporation for a period of three years after the date on which the person became an Interested Stockholder, unless:</w:t>
      </w:r>
    </w:p>
    <w:p>
      <w:pPr>
        <w:spacing w:after="0" w:line="87" w:lineRule="exact"/>
        <w:rPr>
          <w:sz w:val="20"/>
          <w:szCs w:val="20"/>
          <w:color w:val="auto"/>
        </w:rPr>
      </w:pPr>
    </w:p>
    <w:p>
      <w:pPr>
        <w:ind w:left="1300" w:right="180" w:hanging="202"/>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prior to such date, the corporation’s board of directors approved either the business combination or the transaction in which the stockholder became an Interested Stockholder; or</w:t>
      </w:r>
    </w:p>
    <w:p>
      <w:pPr>
        <w:spacing w:after="0" w:line="62" w:lineRule="exact"/>
        <w:rPr>
          <w:rFonts w:ascii="Arial" w:cs="Arial" w:eastAsia="Arial" w:hAnsi="Arial"/>
          <w:sz w:val="18"/>
          <w:szCs w:val="18"/>
          <w:color w:val="auto"/>
        </w:rPr>
      </w:pPr>
    </w:p>
    <w:p>
      <w:pPr>
        <w:ind w:left="1300" w:right="180" w:hanging="202"/>
        <w:spacing w:after="0" w:line="264"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subsequent to such date, the business combination is approved by the corporation’s board of directors and authorized at a stockholders’ meeting by a vote of at least two-thirds of the corporation’s outstanding voting stock not owned by the Interested Stockholder.</w:t>
      </w:r>
    </w:p>
    <w:p>
      <w:pPr>
        <w:spacing w:after="0" w:line="87"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Section 203 defines the term “business combination” to include mergers, asset sales and other transactions resulting in a financial benefit to the Interested Stockholder.</w:t>
      </w:r>
    </w:p>
    <w:p>
      <w:pPr>
        <w:spacing w:after="0" w:line="76"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The provisions of Section 203, combined with the Board of Directors’ authority to issue preferred stock without further stockholder action, could delay or frustrate a change in control or discourage, impede or prevent a merger, tender offer or proxy contest involving us, even if such an event would be favorable to the interests of our stockholders. Our stockholders, by adopting an amendment to the Certificate of Incorporation, may elect not to be governed by Section 203. Such an election would be effective 12 months after its adoption.</w:t>
      </w:r>
    </w:p>
    <w:p>
      <w:pPr>
        <w:spacing w:after="0" w:line="14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35" w:lineRule="exact"/>
        <w:rPr>
          <w:sz w:val="20"/>
          <w:szCs w:val="20"/>
          <w:color w:val="auto"/>
        </w:rPr>
      </w:pPr>
    </w:p>
    <w:p>
      <w:pPr>
        <w:jc w:val="both"/>
        <w:ind w:left="700" w:right="40" w:firstLine="397"/>
        <w:spacing w:after="0" w:line="286" w:lineRule="auto"/>
        <w:rPr>
          <w:sz w:val="20"/>
          <w:szCs w:val="20"/>
          <w:color w:val="auto"/>
        </w:rPr>
      </w:pPr>
      <w:r>
        <w:rPr>
          <w:rFonts w:ascii="Arial" w:cs="Arial" w:eastAsia="Arial" w:hAnsi="Arial"/>
          <w:sz w:val="17"/>
          <w:szCs w:val="17"/>
          <w:color w:val="auto"/>
        </w:rPr>
        <w:t>Our Certificate of Incorporation provides that our directors are not liable for monetary damages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w:t>
      </w:r>
    </w:p>
    <w:p>
      <w:pPr>
        <w:spacing w:after="0" w:line="71"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Our Bylaws provide for indemnification of each officer and director to the fullest extent permitted by Delaware law. Section 145 of the Delaware General Corporation Law grants us the power to indemnify each officer and director against liabilities and expenses incurred by reason of the fact that he is or was an officer or director if the individual (1) acted in good faith and in a manner he reasonably believed to be in or not opposed to the best interests of the company, and (2) with respect to any criminal action or proceeding, he had no reasonable cause to believe his conduct was unlawful. In addition, we have entered into indemnification agreements with each of our directors as well as certain of our executive officers. These agreements generally provide that the individuals will be indemnified to the fullest extent of Delaware law.</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We have also purchased directors’ and officers’ liability insurance. Section 145 of the Delaware General Corporation Law allows us to purchase such insurance whether or not we would have the power to indemnify an officer or director under the provisions of Section 145.</w:t>
      </w:r>
    </w:p>
    <w:p>
      <w:pPr>
        <w:spacing w:after="0" w:line="87" w:lineRule="exact"/>
        <w:rPr>
          <w:sz w:val="20"/>
          <w:szCs w:val="20"/>
          <w:color w:val="auto"/>
        </w:rPr>
      </w:pPr>
    </w:p>
    <w:p>
      <w:pPr>
        <w:ind w:left="700" w:right="460" w:firstLine="397"/>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our directors, officers or controlling persons pursuant to the foregoing provisions, we have been informed that in the opinion of the Commission such indemnification is against public policy as expressed in the Securities Act and is therefore unenforceable.</w:t>
      </w:r>
    </w:p>
    <w:p>
      <w:pPr>
        <w:spacing w:after="0" w:line="175"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DESCRIPTION OF OTHER SECURITIES</w:t>
      </w:r>
    </w:p>
    <w:p>
      <w:pPr>
        <w:spacing w:after="0" w:line="135"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We will set forth in the applicable prospectus supplement a description of any warrants or units that may be offered pursuant to this prospectus.</w:t>
      </w:r>
    </w:p>
    <w:p>
      <w:pPr>
        <w:spacing w:after="0" w:line="18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PLAN OF DISTRIBUTION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securities being offered by this prospectus may be sold by us or by a selling securityholder:</w:t>
      </w:r>
    </w:p>
    <w:p>
      <w:pPr>
        <w:spacing w:after="0" w:line="131" w:lineRule="exact"/>
        <w:rPr>
          <w:sz w:val="20"/>
          <w:szCs w:val="20"/>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directly by us or a selling securityholder to purchasers, through a specific bidding or auction process or otherwise,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131"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87"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94" w:lineRule="exact"/>
        <w:rPr>
          <w:sz w:val="20"/>
          <w:szCs w:val="20"/>
          <w:color w:val="auto"/>
        </w:rPr>
      </w:pPr>
    </w:p>
    <w:p>
      <w:pPr>
        <w:ind w:left="700" w:right="20" w:firstLine="397"/>
        <w:spacing w:after="0" w:line="253" w:lineRule="auto"/>
        <w:rPr>
          <w:sz w:val="20"/>
          <w:szCs w:val="20"/>
          <w:color w:val="auto"/>
        </w:rPr>
      </w:pPr>
      <w:r>
        <w:rPr>
          <w:rFonts w:ascii="Arial" w:cs="Arial" w:eastAsia="Arial" w:hAnsi="Arial"/>
          <w:sz w:val="18"/>
          <w:szCs w:val="18"/>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3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120" w:firstLine="397"/>
        <w:spacing w:after="0" w:line="312" w:lineRule="auto"/>
        <w:rPr>
          <w:sz w:val="20"/>
          <w:szCs w:val="20"/>
          <w:color w:val="auto"/>
        </w:rPr>
      </w:pPr>
      <w:r>
        <w:rPr>
          <w:rFonts w:ascii="Arial" w:cs="Arial" w:eastAsia="Arial" w:hAnsi="Arial"/>
          <w:sz w:val="16"/>
          <w:szCs w:val="16"/>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5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92" w:lineRule="exact"/>
        <w:rPr>
          <w:sz w:val="20"/>
          <w:szCs w:val="20"/>
          <w:color w:val="auto"/>
        </w:rPr>
      </w:pPr>
    </w:p>
    <w:p>
      <w:pPr>
        <w:ind w:left="700" w:right="480" w:firstLine="397"/>
        <w:spacing w:after="0" w:line="276" w:lineRule="auto"/>
        <w:rPr>
          <w:sz w:val="20"/>
          <w:szCs w:val="20"/>
          <w:color w:val="auto"/>
        </w:rPr>
      </w:pPr>
      <w:r>
        <w:rPr>
          <w:rFonts w:ascii="Arial" w:cs="Arial" w:eastAsia="Arial" w:hAnsi="Arial"/>
          <w:sz w:val="17"/>
          <w:szCs w:val="17"/>
          <w:color w:val="auto"/>
        </w:rPr>
        <w:t>Agents, underwriters and dealers may be entitled under agreements that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78"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76"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84" w:lineRule="exact"/>
        <w:rPr>
          <w:sz w:val="20"/>
          <w:szCs w:val="20"/>
          <w:color w:val="auto"/>
        </w:rPr>
      </w:pPr>
    </w:p>
    <w:p>
      <w:pPr>
        <w:jc w:val="both"/>
        <w:ind w:left="700" w:right="60" w:firstLine="397"/>
        <w:spacing w:after="0" w:line="286" w:lineRule="auto"/>
        <w:rPr>
          <w:sz w:val="20"/>
          <w:szCs w:val="20"/>
          <w:color w:val="auto"/>
        </w:rPr>
      </w:pPr>
      <w:r>
        <w:rPr>
          <w:rFonts w:ascii="Arial" w:cs="Arial" w:eastAsia="Arial" w:hAnsi="Arial"/>
          <w:sz w:val="17"/>
          <w:szCs w:val="17"/>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17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SELLING SECURITYHOLDERS</w:t>
      </w:r>
    </w:p>
    <w:p>
      <w:pPr>
        <w:spacing w:after="0" w:line="135" w:lineRule="exact"/>
        <w:rPr>
          <w:sz w:val="20"/>
          <w:szCs w:val="20"/>
          <w:color w:val="auto"/>
        </w:rPr>
      </w:pPr>
    </w:p>
    <w:p>
      <w:pPr>
        <w:ind w:left="700" w:right="640" w:firstLine="397"/>
        <w:spacing w:after="0" w:line="308" w:lineRule="auto"/>
        <w:rPr>
          <w:sz w:val="20"/>
          <w:szCs w:val="20"/>
          <w:color w:val="auto"/>
        </w:rPr>
      </w:pPr>
      <w:r>
        <w:rPr>
          <w:rFonts w:ascii="Arial" w:cs="Arial" w:eastAsia="Arial" w:hAnsi="Arial"/>
          <w:sz w:val="17"/>
          <w:szCs w:val="17"/>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15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380" w:firstLine="397"/>
        <w:spacing w:after="0" w:line="342" w:lineRule="auto"/>
        <w:rPr>
          <w:sz w:val="20"/>
          <w:szCs w:val="20"/>
          <w:color w:val="auto"/>
        </w:rPr>
      </w:pPr>
      <w:r>
        <w:rPr>
          <w:rFonts w:ascii="Arial" w:cs="Arial" w:eastAsia="Arial" w:hAnsi="Arial"/>
          <w:sz w:val="16"/>
          <w:szCs w:val="16"/>
          <w:color w:val="auto"/>
        </w:rPr>
        <w:t>In connection with particular offerings of the securities in the future, and if stated in the applicable prospectus supplements, the validity of those securities will be passed upon for us by counsel named in the applicable prospectus supplement.</w:t>
      </w:r>
    </w:p>
    <w:p>
      <w:pPr>
        <w:spacing w:after="0" w:line="1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The consolidated financial statements of Waste Management, Inc. appearing in Waste Management, Inc.’s Annual Report (Form 10-K) for the year ended December 31, 2008 including the schedule appearing therein, and the effectiveness of Waste Management, Inc.’s internal control over financial reporting as of December 31, 2008,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205740</wp:posOffset>
            </wp:positionV>
            <wp:extent cx="630301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03010" cy="342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140"/>
        <w:spacing w:after="0"/>
        <w:rPr>
          <w:sz w:val="20"/>
          <w:szCs w:val="20"/>
          <w:color w:val="auto"/>
        </w:rPr>
      </w:pPr>
      <w:r>
        <w:rPr>
          <w:rFonts w:ascii="Arial" w:cs="Arial" w:eastAsia="Arial" w:hAnsi="Arial"/>
          <w:sz w:val="25"/>
          <w:szCs w:val="2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63500</wp:posOffset>
            </wp:positionV>
            <wp:extent cx="1269365" cy="4457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6936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620"/>
        <w:spacing w:after="0"/>
        <w:rPr>
          <w:sz w:val="20"/>
          <w:szCs w:val="20"/>
          <w:color w:val="auto"/>
        </w:rPr>
      </w:pPr>
      <w:r>
        <w:rPr>
          <w:rFonts w:ascii="Arial" w:cs="Arial" w:eastAsia="Arial" w:hAnsi="Arial"/>
          <w:sz w:val="24"/>
          <w:szCs w:val="24"/>
          <w:b w:val="1"/>
          <w:bCs w:val="1"/>
          <w:color w:val="auto"/>
        </w:rPr>
        <w:t>% Senior Notes due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156845</wp:posOffset>
            </wp:positionV>
            <wp:extent cx="11322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43" w:lineRule="exact"/>
        <w:rPr>
          <w:sz w:val="20"/>
          <w:szCs w:val="20"/>
          <w:color w:val="auto"/>
        </w:rPr>
      </w:pPr>
    </w:p>
    <w:p>
      <w:pPr>
        <w:jc w:val="right"/>
        <w:ind w:right="2659"/>
        <w:spacing w:after="0"/>
        <w:rPr>
          <w:sz w:val="20"/>
          <w:szCs w:val="20"/>
          <w:color w:val="auto"/>
        </w:rPr>
      </w:pPr>
      <w:r>
        <w:rPr>
          <w:rFonts w:ascii="Arial" w:cs="Arial" w:eastAsia="Arial" w:hAnsi="Arial"/>
          <w:sz w:val="18"/>
          <w:szCs w:val="18"/>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94615</wp:posOffset>
            </wp:positionV>
            <wp:extent cx="11322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63" w:lineRule="exact"/>
        <w:rPr>
          <w:sz w:val="20"/>
          <w:szCs w:val="20"/>
          <w:color w:val="auto"/>
        </w:rPr>
      </w:pPr>
    </w:p>
    <w:p>
      <w:pPr>
        <w:ind w:left="3980"/>
        <w:spacing w:after="0"/>
        <w:rPr>
          <w:sz w:val="20"/>
          <w:szCs w:val="20"/>
          <w:color w:val="auto"/>
        </w:rPr>
      </w:pPr>
      <w:r>
        <w:rPr>
          <w:rFonts w:ascii="Arial" w:cs="Arial" w:eastAsia="Arial" w:hAnsi="Arial"/>
          <w:sz w:val="17"/>
          <w:szCs w:val="17"/>
          <w:i w:val="1"/>
          <w:iCs w:val="1"/>
          <w:color w:val="auto"/>
        </w:rPr>
        <w:t>Joint Book-Running and Joint Lead Managers</w:t>
      </w:r>
    </w:p>
    <w:p>
      <w:pPr>
        <w:spacing w:after="0" w:line="156" w:lineRule="exact"/>
        <w:rPr>
          <w:sz w:val="20"/>
          <w:szCs w:val="20"/>
          <w:color w:val="auto"/>
        </w:rPr>
      </w:pPr>
    </w:p>
    <w:p>
      <w:pPr>
        <w:jc w:val="center"/>
        <w:ind w:right="-1080"/>
        <w:spacing w:after="0"/>
        <w:rPr>
          <w:sz w:val="20"/>
          <w:szCs w:val="20"/>
          <w:color w:val="auto"/>
        </w:rPr>
      </w:pPr>
      <w:r>
        <w:rPr>
          <w:rFonts w:ascii="Arial" w:cs="Arial" w:eastAsia="Arial" w:hAnsi="Arial"/>
          <w:sz w:val="31"/>
          <w:szCs w:val="31"/>
          <w:b w:val="1"/>
          <w:bCs w:val="1"/>
          <w:color w:val="auto"/>
        </w:rPr>
        <w:t>Deutsche Bank Securities</w:t>
      </w:r>
    </w:p>
    <w:p>
      <w:pPr>
        <w:spacing w:after="0" w:line="44" w:lineRule="exact"/>
        <w:rPr>
          <w:sz w:val="20"/>
          <w:szCs w:val="20"/>
          <w:color w:val="auto"/>
        </w:rPr>
      </w:pPr>
    </w:p>
    <w:p>
      <w:pPr>
        <w:jc w:val="center"/>
        <w:ind w:right="-1080"/>
        <w:spacing w:after="0"/>
        <w:rPr>
          <w:sz w:val="20"/>
          <w:szCs w:val="20"/>
          <w:color w:val="auto"/>
        </w:rPr>
      </w:pPr>
      <w:r>
        <w:rPr>
          <w:rFonts w:ascii="Arial" w:cs="Arial" w:eastAsia="Arial" w:hAnsi="Arial"/>
          <w:sz w:val="32"/>
          <w:szCs w:val="32"/>
          <w:b w:val="1"/>
          <w:bCs w:val="1"/>
          <w:color w:val="auto"/>
        </w:rPr>
        <w:t>RBS</w:t>
      </w:r>
    </w:p>
    <w:p>
      <w:pPr>
        <w:spacing w:after="0" w:line="38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February  ,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163195</wp:posOffset>
            </wp:positionV>
            <wp:extent cx="630301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03010" cy="26035"/>
                    </a:xfrm>
                    <a:prstGeom prst="rect">
                      <a:avLst/>
                    </a:prstGeom>
                    <a:noFill/>
                  </pic:spPr>
                </pic:pic>
              </a:graphicData>
            </a:graphic>
          </wp:anchor>
        </w:drawing>
      </w:r>
    </w:p>
    <w:sectPr>
      <w:pgSz w:w="11900" w:h="16838" w:orient="portrait"/>
      <w:cols w:equalWidth="0" w:num="1">
        <w:col w:w="10219"/>
      </w:cols>
      <w:pgMar w:left="240" w:top="4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713"/>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lowerLetter"/>
      <w:start w:val="1"/>
    </w:lvl>
  </w:abstractNum>
  <w:abstractNum w:abstractNumId="5">
    <w:nsid w:val="6763845E"/>
    <w:multiLevelType w:val="hybridMultilevel"/>
    <w:lvl w:ilvl="0">
      <w:lvlJc w:val="left"/>
      <w:lvlText w:val="(%1)"/>
      <w:numFmt w:val="lowerLetter"/>
      <w:start w:val="2"/>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decimal"/>
      <w:start w:val="1"/>
    </w:lvl>
    <w:lvl w:ilvl="1">
      <w:lvlJc w:val="left"/>
      <w:lvlText w:val="(%2)"/>
      <w:numFmt w:val="lowerLetter"/>
      <w:start w:val="1"/>
    </w:lvl>
  </w:abstractNum>
  <w:abstractNum w:abstractNumId="10">
    <w:nsid w:val="B03E0C6"/>
    <w:multiLevelType w:val="hybridMultilevel"/>
    <w:lvl w:ilvl="0">
      <w:lvlJc w:val="left"/>
      <w:lvlText w:val="(%1)"/>
      <w:numFmt w:val="decimal"/>
      <w:start w:val="2"/>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lowerRoman"/>
      <w:start w:val="2"/>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1)"/>
      <w:numFmt w:val="lowerLetter"/>
      <w:start w:val="1"/>
    </w:lvl>
    <w:lvl w:ilvl="1">
      <w:lvlJc w:val="left"/>
      <w:lvlText w:val="•"/>
      <w:numFmt w:val="bullet"/>
      <w:start w:val="1"/>
    </w:lvl>
  </w:abstractNum>
  <w:abstractNum w:abstractNumId="35">
    <w:nsid w:val="2463B9EA"/>
    <w:multiLevelType w:val="hybridMultilevel"/>
    <w:lvl w:ilvl="0">
      <w:lvlJc w:val="left"/>
      <w:lvlText w:val="(%1)"/>
      <w:numFmt w:val="lowerLetter"/>
      <w:start w:val="12"/>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2019-12-16T14:32:55Z</dcterms:created>
  <dcterms:modified xsi:type="dcterms:W3CDTF">2019-12-16T14:32:55Z</dcterms:modified>
</cp:coreProperties>
</file>