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333-207628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78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40" w:type="dxa"/>
            <w:vAlign w:val="bottom"/>
            <w:tcBorders>
              <w:right w:val="single" w:sz="8" w:color="auto"/>
            </w:tcBorders>
          </w:tcPr>
          <w:p>
            <w:pPr>
              <w:jc w:val="center"/>
              <w:ind w:right="362"/>
              <w:spacing w:after="0" w:line="106" w:lineRule="exact"/>
              <w:rPr>
                <w:sz w:val="20"/>
                <w:szCs w:val="20"/>
                <w:color w:val="auto"/>
              </w:rPr>
            </w:pPr>
            <w:r>
              <w:rPr>
                <w:rFonts w:ascii="Arial" w:cs="Arial" w:eastAsia="Arial" w:hAnsi="Arial"/>
                <w:sz w:val="12"/>
                <w:szCs w:val="12"/>
                <w:b w:val="1"/>
                <w:bCs w:val="1"/>
                <w:color w:val="auto"/>
              </w:rPr>
              <w:t>Title of Each Class of</w:t>
            </w:r>
          </w:p>
        </w:tc>
        <w:tc>
          <w:tcPr>
            <w:tcW w:w="1600" w:type="dxa"/>
            <w:vAlign w:val="bottom"/>
            <w:tcBorders>
              <w:right w:val="single" w:sz="8" w:color="auto"/>
            </w:tcBorders>
          </w:tcPr>
          <w:p>
            <w:pPr>
              <w:spacing w:after="0"/>
              <w:rPr>
                <w:sz w:val="9"/>
                <w:szCs w:val="9"/>
                <w:color w:val="auto"/>
              </w:rPr>
            </w:pPr>
          </w:p>
        </w:tc>
        <w:tc>
          <w:tcPr>
            <w:tcW w:w="1560" w:type="dxa"/>
            <w:vAlign w:val="bottom"/>
          </w:tcPr>
          <w:p>
            <w:pPr>
              <w:spacing w:after="0"/>
              <w:rPr>
                <w:sz w:val="9"/>
                <w:szCs w:val="9"/>
                <w:color w:val="auto"/>
              </w:rPr>
            </w:pPr>
          </w:p>
        </w:tc>
      </w:tr>
      <w:tr>
        <w:trPr>
          <w:trHeight w:val="185"/>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40" w:type="dxa"/>
            <w:vAlign w:val="bottom"/>
            <w:tcBorders>
              <w:bottom w:val="single" w:sz="8" w:color="auto"/>
              <w:right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4"/>
                <w:szCs w:val="14"/>
                <w:b w:val="1"/>
                <w:bCs w:val="1"/>
                <w:color w:val="auto"/>
              </w:rPr>
              <w:t>Offering Price</w:t>
            </w:r>
          </w:p>
        </w:tc>
        <w:tc>
          <w:tcPr>
            <w:tcW w:w="15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Registration Fee(1)</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2.400% Senior Notes due 2023</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9"/>
              </w:rPr>
              <w:t>$50,350</w:t>
            </w:r>
          </w:p>
        </w:tc>
      </w:tr>
      <w:tr>
        <w:trPr>
          <w:trHeight w:val="210"/>
        </w:trPr>
        <w:tc>
          <w:tcPr>
            <w:tcW w:w="8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Guarantee of 2023 Notes(2)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99"/>
              </w:rPr>
              <w:t>—</w:t>
            </w:r>
          </w:p>
        </w:tc>
      </w:tr>
      <w:tr>
        <w:trPr>
          <w:trHeight w:val="210"/>
        </w:trPr>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Total</w:t>
            </w:r>
          </w:p>
        </w:tc>
        <w:tc>
          <w:tcPr>
            <w:tcW w:w="78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8"/>
                <w:szCs w:val="18"/>
                <w:color w:val="auto"/>
                <w:w w:val="89"/>
              </w:rPr>
              <w:t>$50,350</w:t>
            </w: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17"/>
        </w:trPr>
        <w:tc>
          <w:tcPr>
            <w:tcW w:w="420" w:type="dxa"/>
            <w:vAlign w:val="bottom"/>
            <w:gridSpan w:val="2"/>
          </w:tcPr>
          <w:p>
            <w:pPr>
              <w:spacing w:after="0"/>
              <w:rPr>
                <w:sz w:val="20"/>
                <w:szCs w:val="20"/>
                <w:color w:val="auto"/>
              </w:rPr>
            </w:pPr>
            <w:r>
              <w:rPr>
                <w:rFonts w:ascii="Arial" w:cs="Arial" w:eastAsia="Arial" w:hAnsi="Arial"/>
                <w:sz w:val="18"/>
                <w:szCs w:val="18"/>
                <w:color w:val="auto"/>
              </w:rPr>
              <w:t>(1)</w:t>
            </w:r>
          </w:p>
        </w:tc>
        <w:tc>
          <w:tcPr>
            <w:tcW w:w="7840" w:type="dxa"/>
            <w:vAlign w:val="bottom"/>
          </w:tcPr>
          <w:p>
            <w:pPr>
              <w:ind w:left="40"/>
              <w:spacing w:after="0"/>
              <w:rPr>
                <w:sz w:val="20"/>
                <w:szCs w:val="20"/>
                <w:color w:val="auto"/>
              </w:rPr>
            </w:pPr>
            <w:r>
              <w:rPr>
                <w:rFonts w:ascii="Arial" w:cs="Arial" w:eastAsia="Arial" w:hAnsi="Arial"/>
                <w:sz w:val="18"/>
                <w:szCs w:val="18"/>
                <w:color w:val="auto"/>
              </w:rPr>
              <w:t>Calculated in accordance with Rule 457(r) of the Securities Act of 1933, as amended.</w:t>
            </w:r>
          </w:p>
        </w:tc>
        <w:tc>
          <w:tcPr>
            <w:tcW w:w="16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(2)</w:t>
            </w:r>
          </w:p>
        </w:tc>
        <w:tc>
          <w:tcPr>
            <w:tcW w:w="7840" w:type="dxa"/>
            <w:vAlign w:val="bottom"/>
          </w:tcPr>
          <w:p>
            <w:pPr>
              <w:ind w:left="40"/>
              <w:spacing w:after="0"/>
              <w:rPr>
                <w:sz w:val="20"/>
                <w:szCs w:val="20"/>
                <w:color w:val="auto"/>
              </w:rPr>
            </w:pPr>
            <w:r>
              <w:rPr>
                <w:rFonts w:ascii="Arial" w:cs="Arial" w:eastAsia="Arial" w:hAnsi="Arial"/>
                <w:sz w:val="18"/>
                <w:szCs w:val="18"/>
                <w:color w:val="auto"/>
              </w:rPr>
              <w:t>Pursuant to Rule 457(n), no separate fee for the guarantee is payable.</w:t>
            </w:r>
          </w:p>
        </w:tc>
        <w:tc>
          <w:tcPr>
            <w:tcW w:w="16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Prospectus</w:t>
      </w:r>
      <w:r>
        <w:rPr>
          <w:sz w:val="20"/>
          <w:szCs w:val="20"/>
          <w:color w:val="auto"/>
        </w:rPr>
        <w:tab/>
      </w:r>
      <w:r>
        <w:rPr>
          <w:rFonts w:ascii="Arial" w:cs="Arial" w:eastAsia="Arial" w:hAnsi="Arial"/>
          <w:sz w:val="16"/>
          <w:szCs w:val="16"/>
          <w:u w:val="single" w:color="auto"/>
          <w:color w:val="auto"/>
        </w:rPr>
        <w:t>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October 27, 2015)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118110</wp:posOffset>
            </wp:positionV>
            <wp:extent cx="1414780"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2.400%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243840</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320" w:firstLine="799"/>
        <w:spacing w:after="0" w:line="277" w:lineRule="auto"/>
        <w:rPr>
          <w:sz w:val="20"/>
          <w:szCs w:val="20"/>
          <w:color w:val="auto"/>
        </w:rPr>
      </w:pPr>
      <w:r>
        <w:rPr>
          <w:rFonts w:ascii="Arial" w:cs="Arial" w:eastAsia="Arial" w:hAnsi="Arial"/>
          <w:sz w:val="18"/>
          <w:szCs w:val="18"/>
          <w:color w:val="auto"/>
        </w:rPr>
        <w:t>We are offering $500 million of our 2.400% senior notes due 2023. Interest on the notes will accrue from May 16, 2016 and will be payable on May 15 and November 15 of each year, beginning November 15, 2016. The notes will mature on May 15, 2023.</w:t>
      </w:r>
    </w:p>
    <w:p>
      <w:pPr>
        <w:spacing w:after="0" w:line="170"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81" w:lineRule="exact"/>
        <w:rPr>
          <w:sz w:val="20"/>
          <w:szCs w:val="20"/>
          <w:color w:val="auto"/>
        </w:rPr>
      </w:pPr>
    </w:p>
    <w:p>
      <w:pPr>
        <w:ind w:right="540" w:firstLine="799"/>
        <w:spacing w:after="0" w:line="308" w:lineRule="auto"/>
        <w:rPr>
          <w:sz w:val="20"/>
          <w:szCs w:val="20"/>
          <w:color w:val="auto"/>
        </w:rPr>
      </w:pPr>
      <w:r>
        <w:rPr>
          <w:rFonts w:ascii="Arial" w:cs="Arial" w:eastAsia="Arial" w:hAnsi="Arial"/>
          <w:sz w:val="17"/>
          <w:szCs w:val="17"/>
          <w:color w:val="auto"/>
        </w:rPr>
        <w:t>We may redeem the notes, in whole or in part, at any time at the redemption prices described beginning on page S-13. If a change of control triggering event as described beginning on page S-16 occurs, we may be required to offer to purchase the notes from holders.</w:t>
      </w:r>
    </w:p>
    <w:p>
      <w:pPr>
        <w:spacing w:after="0" w:line="133" w:lineRule="exact"/>
        <w:rPr>
          <w:sz w:val="20"/>
          <w:szCs w:val="20"/>
          <w:color w:val="auto"/>
        </w:rPr>
      </w:pPr>
    </w:p>
    <w:p>
      <w:pPr>
        <w:ind w:right="200" w:firstLine="79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 of this prospectus supplement and page 6 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206375</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180" w:firstLine="79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209550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Total</w:t>
            </w:r>
          </w:p>
        </w:tc>
        <w:tc>
          <w:tcPr>
            <w:tcW w:w="540" w:type="dxa"/>
            <w:vAlign w:val="bottom"/>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0"/>
              </w:rPr>
              <w:t>99.898%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499,490,000</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Underwriting Discount</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0.625%</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3,125,000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(excluding expenses)</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0"/>
              </w:rPr>
              <w:t>99.273%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496,365,000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85725</wp:posOffset>
            </wp:positionV>
            <wp:extent cx="943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55" w:lineRule="exact"/>
        <w:rPr>
          <w:sz w:val="20"/>
          <w:szCs w:val="20"/>
          <w:color w:val="auto"/>
        </w:rPr>
      </w:pPr>
    </w:p>
    <w:p>
      <w:pPr>
        <w:ind w:left="1380" w:hanging="575"/>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from May 16, 2016 if delivery occurs after that date.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225" w:lineRule="exact"/>
        <w:rPr>
          <w:sz w:val="20"/>
          <w:szCs w:val="20"/>
          <w:color w:val="auto"/>
        </w:rPr>
      </w:pPr>
    </w:p>
    <w:p>
      <w:pPr>
        <w:ind w:right="600" w:firstLine="799"/>
        <w:spacing w:after="0" w:line="342" w:lineRule="auto"/>
        <w:rPr>
          <w:sz w:val="20"/>
          <w:szCs w:val="20"/>
          <w:color w:val="auto"/>
        </w:rPr>
      </w:pPr>
      <w:r>
        <w:rPr>
          <w:rFonts w:ascii="Arial" w:cs="Arial" w:eastAsia="Arial" w:hAnsi="Arial"/>
          <w:sz w:val="16"/>
          <w:szCs w:val="16"/>
          <w:color w:val="auto"/>
        </w:rPr>
        <w:t>The underwriters expect to deliver the notes to investors on or about May 16, 2016 only in book-entry form through the facilities of The Depository Trust Company and its participants, including Clearstream Banking S.A. and Euroclear Bank SA/NV, as operator of the Euroclear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173355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3680" w:type="dxa"/>
            <w:vAlign w:val="bottom"/>
            <w:gridSpan w:val="3"/>
          </w:tcPr>
          <w:p>
            <w:pPr>
              <w:jc w:val="center"/>
              <w:ind w:left="1312"/>
              <w:spacing w:after="0"/>
              <w:rPr>
                <w:sz w:val="20"/>
                <w:szCs w:val="20"/>
                <w:color w:val="auto"/>
              </w:rPr>
            </w:pPr>
            <w:r>
              <w:rPr>
                <w:rFonts w:ascii="Arial" w:cs="Arial" w:eastAsia="Arial" w:hAnsi="Arial"/>
                <w:sz w:val="18"/>
                <w:szCs w:val="18"/>
                <w:i w:val="1"/>
                <w:iCs w:val="1"/>
                <w:color w:val="auto"/>
                <w:w w:val="91"/>
              </w:rPr>
              <w:t>Joint Book-Running Managers</w:t>
            </w:r>
          </w:p>
        </w:tc>
        <w:tc>
          <w:tcPr>
            <w:tcW w:w="4580" w:type="dxa"/>
            <w:vAlign w:val="bottom"/>
          </w:tcPr>
          <w:p>
            <w:pPr>
              <w:spacing w:after="0"/>
              <w:rPr>
                <w:sz w:val="20"/>
                <w:szCs w:val="20"/>
                <w:color w:val="auto"/>
              </w:rPr>
            </w:pPr>
          </w:p>
        </w:tc>
      </w:tr>
      <w:tr>
        <w:trPr>
          <w:trHeight w:val="623"/>
        </w:trPr>
        <w:tc>
          <w:tcPr>
            <w:tcW w:w="3160" w:type="dxa"/>
            <w:vAlign w:val="bottom"/>
          </w:tcPr>
          <w:p>
            <w:pPr>
              <w:spacing w:after="0"/>
              <w:rPr>
                <w:sz w:val="20"/>
                <w:szCs w:val="20"/>
                <w:color w:val="auto"/>
              </w:rPr>
            </w:pPr>
            <w:r>
              <w:rPr>
                <w:rFonts w:ascii="Arial" w:cs="Arial" w:eastAsia="Arial" w:hAnsi="Arial"/>
                <w:sz w:val="32"/>
                <w:szCs w:val="32"/>
                <w:b w:val="1"/>
                <w:bCs w:val="1"/>
                <w:color w:val="auto"/>
              </w:rPr>
              <w:t>BofA Merrill Lynch</w:t>
            </w:r>
          </w:p>
        </w:tc>
        <w:tc>
          <w:tcPr>
            <w:tcW w:w="1460" w:type="dxa"/>
            <w:vAlign w:val="bottom"/>
          </w:tcPr>
          <w:p>
            <w:pPr>
              <w:spacing w:after="0"/>
              <w:rPr>
                <w:sz w:val="24"/>
                <w:szCs w:val="24"/>
                <w:color w:val="auto"/>
              </w:rPr>
            </w:pPr>
          </w:p>
        </w:tc>
        <w:tc>
          <w:tcPr>
            <w:tcW w:w="2220" w:type="dxa"/>
            <w:vAlign w:val="bottom"/>
            <w:gridSpan w:val="2"/>
          </w:tcPr>
          <w:p>
            <w:pPr>
              <w:ind w:left="720"/>
              <w:spacing w:after="0"/>
              <w:rPr>
                <w:sz w:val="20"/>
                <w:szCs w:val="20"/>
                <w:color w:val="auto"/>
              </w:rPr>
            </w:pPr>
            <w:r>
              <w:rPr>
                <w:rFonts w:ascii="Arial" w:cs="Arial" w:eastAsia="Arial" w:hAnsi="Arial"/>
                <w:sz w:val="32"/>
                <w:szCs w:val="32"/>
                <w:b w:val="1"/>
                <w:bCs w:val="1"/>
                <w:color w:val="auto"/>
              </w:rPr>
              <w:t>Citigroup</w:t>
            </w:r>
          </w:p>
        </w:tc>
        <w:tc>
          <w:tcPr>
            <w:tcW w:w="4580" w:type="dxa"/>
            <w:vAlign w:val="bottom"/>
          </w:tcPr>
          <w:p>
            <w:pPr>
              <w:ind w:left="2080"/>
              <w:spacing w:after="0"/>
              <w:rPr>
                <w:sz w:val="20"/>
                <w:szCs w:val="20"/>
                <w:color w:val="auto"/>
              </w:rPr>
            </w:pPr>
            <w:r>
              <w:rPr>
                <w:rFonts w:ascii="Arial" w:cs="Arial" w:eastAsia="Arial" w:hAnsi="Arial"/>
                <w:sz w:val="32"/>
                <w:szCs w:val="32"/>
                <w:b w:val="1"/>
                <w:bCs w:val="1"/>
                <w:color w:val="auto"/>
                <w:w w:val="91"/>
              </w:rPr>
              <w:t>Mizuho Securities</w:t>
            </w:r>
          </w:p>
        </w:tc>
      </w:tr>
      <w:tr>
        <w:trPr>
          <w:trHeight w:val="417"/>
        </w:trPr>
        <w:tc>
          <w:tcPr>
            <w:tcW w:w="3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1"/>
              </w:rPr>
              <w:t>Co-Managers</w:t>
            </w:r>
          </w:p>
        </w:tc>
        <w:tc>
          <w:tcPr>
            <w:tcW w:w="4580" w:type="dxa"/>
            <w:vAlign w:val="bottom"/>
          </w:tcPr>
          <w:p>
            <w:pPr>
              <w:spacing w:after="0"/>
              <w:rPr>
                <w:sz w:val="24"/>
                <w:szCs w:val="24"/>
                <w:color w:val="auto"/>
              </w:rPr>
            </w:pPr>
          </w:p>
        </w:tc>
      </w:tr>
      <w:tr>
        <w:trPr>
          <w:trHeight w:val="396"/>
        </w:trPr>
        <w:tc>
          <w:tcPr>
            <w:tcW w:w="3160" w:type="dxa"/>
            <w:vAlign w:val="bottom"/>
          </w:tcPr>
          <w:p>
            <w:pPr>
              <w:spacing w:after="0"/>
              <w:rPr>
                <w:sz w:val="20"/>
                <w:szCs w:val="20"/>
                <w:color w:val="auto"/>
              </w:rPr>
            </w:pPr>
            <w:r>
              <w:rPr>
                <w:rFonts w:ascii="Arial" w:cs="Arial" w:eastAsia="Arial" w:hAnsi="Arial"/>
                <w:sz w:val="25"/>
                <w:szCs w:val="25"/>
                <w:b w:val="1"/>
                <w:bCs w:val="1"/>
                <w:color w:val="auto"/>
              </w:rPr>
              <w:t>Scotiabank</w:t>
            </w:r>
          </w:p>
        </w:tc>
        <w:tc>
          <w:tcPr>
            <w:tcW w:w="1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tcPr>
          <w:p>
            <w:pPr>
              <w:jc w:val="center"/>
              <w:ind w:right="1442"/>
              <w:spacing w:after="0"/>
              <w:rPr>
                <w:sz w:val="20"/>
                <w:szCs w:val="20"/>
                <w:color w:val="auto"/>
              </w:rPr>
            </w:pPr>
            <w:r>
              <w:rPr>
                <w:rFonts w:ascii="Arial" w:cs="Arial" w:eastAsia="Arial" w:hAnsi="Arial"/>
                <w:sz w:val="25"/>
                <w:szCs w:val="25"/>
                <w:b w:val="1"/>
                <w:bCs w:val="1"/>
                <w:color w:val="auto"/>
                <w:w w:val="97"/>
              </w:rPr>
              <w:t>PNC Capital Markets LLC</w:t>
            </w:r>
          </w:p>
        </w:tc>
      </w:tr>
      <w:tr>
        <w:trPr>
          <w:trHeight w:val="297"/>
        </w:trPr>
        <w:tc>
          <w:tcPr>
            <w:tcW w:w="3160" w:type="dxa"/>
            <w:vAlign w:val="bottom"/>
          </w:tcPr>
          <w:p>
            <w:pPr>
              <w:spacing w:after="0"/>
              <w:rPr>
                <w:sz w:val="20"/>
                <w:szCs w:val="20"/>
                <w:color w:val="auto"/>
              </w:rPr>
            </w:pPr>
            <w:r>
              <w:rPr>
                <w:rFonts w:ascii="Arial" w:cs="Arial" w:eastAsia="Arial" w:hAnsi="Arial"/>
                <w:sz w:val="25"/>
                <w:szCs w:val="25"/>
                <w:b w:val="1"/>
                <w:bCs w:val="1"/>
                <w:color w:val="auto"/>
              </w:rPr>
              <w:t>Comerica Securities</w:t>
            </w:r>
          </w:p>
        </w:tc>
        <w:tc>
          <w:tcPr>
            <w:tcW w:w="14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tcPr>
          <w:p>
            <w:pPr>
              <w:jc w:val="center"/>
              <w:ind w:right="1442"/>
              <w:spacing w:after="0"/>
              <w:rPr>
                <w:sz w:val="20"/>
                <w:szCs w:val="20"/>
                <w:color w:val="auto"/>
              </w:rPr>
            </w:pPr>
            <w:r>
              <w:rPr>
                <w:rFonts w:ascii="Arial" w:cs="Arial" w:eastAsia="Arial" w:hAnsi="Arial"/>
                <w:sz w:val="25"/>
                <w:szCs w:val="25"/>
                <w:b w:val="1"/>
                <w:bCs w:val="1"/>
                <w:color w:val="auto"/>
                <w:w w:val="94"/>
              </w:rPr>
              <w:t>Drexel Hamilton</w:t>
            </w:r>
          </w:p>
        </w:tc>
      </w:tr>
      <w:tr>
        <w:trPr>
          <w:trHeight w:val="329"/>
        </w:trPr>
        <w:tc>
          <w:tcPr>
            <w:tcW w:w="3160" w:type="dxa"/>
            <w:vAlign w:val="bottom"/>
          </w:tcPr>
          <w:p>
            <w:pPr>
              <w:spacing w:after="0"/>
              <w:rPr>
                <w:sz w:val="24"/>
                <w:szCs w:val="24"/>
                <w:color w:val="auto"/>
              </w:rPr>
            </w:pPr>
          </w:p>
        </w:tc>
        <w:tc>
          <w:tcPr>
            <w:tcW w:w="8260" w:type="dxa"/>
            <w:vAlign w:val="bottom"/>
            <w:gridSpan w:val="4"/>
          </w:tcPr>
          <w:p>
            <w:pPr>
              <w:jc w:val="center"/>
              <w:ind w:right="3022"/>
              <w:spacing w:after="0"/>
              <w:rPr>
                <w:sz w:val="20"/>
                <w:szCs w:val="20"/>
                <w:color w:val="auto"/>
              </w:rPr>
            </w:pPr>
            <w:r>
              <w:rPr>
                <w:rFonts w:ascii="Arial" w:cs="Arial" w:eastAsia="Arial" w:hAnsi="Arial"/>
                <w:sz w:val="25"/>
                <w:szCs w:val="25"/>
                <w:b w:val="1"/>
                <w:bCs w:val="1"/>
                <w:color w:val="auto"/>
                <w:w w:val="94"/>
              </w:rPr>
              <w:t>Siebert Brandford Shank &amp; Co., L.L.C.</w:t>
            </w:r>
          </w:p>
        </w:tc>
      </w:tr>
      <w:tr>
        <w:trPr>
          <w:trHeight w:val="100"/>
        </w:trPr>
        <w:tc>
          <w:tcPr>
            <w:tcW w:w="3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580" w:type="dxa"/>
            <w:vAlign w:val="bottom"/>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May 9, 2016</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198755</wp:posOffset>
            </wp:positionV>
            <wp:extent cx="13804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b w:val="1"/>
                <w:bCs w:val="1"/>
                <w:color w:val="auto"/>
              </w:rPr>
              <w:t>Prospectus Supplement</w:t>
            </w:r>
          </w:p>
        </w:tc>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Page</w:t>
            </w:r>
          </w:p>
        </w:tc>
        <w:tc>
          <w:tcPr>
            <w:tcW w:w="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00" w:type="dxa"/>
            <w:vAlign w:val="bottom"/>
            <w:gridSpan w:val="2"/>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S</w:t>
              </w:r>
              <w:r>
                <w:rPr>
                  <w:rFonts w:ascii="Arial" w:cs="Arial" w:eastAsia="Arial" w:hAnsi="Arial"/>
                  <w:sz w:val="15"/>
                  <w:szCs w:val="15"/>
                  <w:color w:val="0000EE"/>
                  <w:w w:val="99"/>
                </w:rPr>
                <w:t>UMMARY</w:t>
              </w:r>
            </w:hyperlink>
          </w:p>
        </w:tc>
        <w:tc>
          <w:tcPr>
            <w:tcW w:w="10180" w:type="dxa"/>
            <w:vAlign w:val="bottom"/>
            <w:gridSpan w:val="22"/>
            <w:vMerge w:val="restart"/>
          </w:tcPr>
          <w:p>
            <w:pPr>
              <w:spacing w:after="0"/>
              <w:rPr>
                <w:sz w:val="12"/>
                <w:szCs w:val="12"/>
                <w:color w:val="auto"/>
              </w:rPr>
            </w:pPr>
          </w:p>
        </w:tc>
        <w:tc>
          <w:tcPr>
            <w:tcW w:w="300" w:type="dxa"/>
            <w:vAlign w:val="bottom"/>
            <w:tcBorders>
              <w:bottom w:val="single" w:sz="8" w:color="auto"/>
            </w:tcBorders>
            <w:gridSpan w:val="2"/>
            <w:vMerge w:val="continue"/>
          </w:tcPr>
          <w:p>
            <w:pPr>
              <w:spacing w:after="0"/>
              <w:rPr>
                <w:sz w:val="12"/>
                <w:szCs w:val="12"/>
                <w:color w:val="auto"/>
              </w:rPr>
            </w:pPr>
          </w:p>
        </w:tc>
        <w:tc>
          <w:tcPr>
            <w:tcW w:w="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00" w:type="dxa"/>
            <w:vAlign w:val="bottom"/>
            <w:tcBorders>
              <w:bottom w:val="single" w:sz="8" w:color="0000EE"/>
            </w:tcBorders>
            <w:gridSpan w:val="2"/>
            <w:vMerge w:val="continue"/>
          </w:tcPr>
          <w:p>
            <w:pPr>
              <w:spacing w:after="0"/>
              <w:rPr>
                <w:sz w:val="14"/>
                <w:szCs w:val="14"/>
                <w:color w:val="auto"/>
              </w:rPr>
            </w:pPr>
          </w:p>
        </w:tc>
        <w:tc>
          <w:tcPr>
            <w:tcW w:w="10180" w:type="dxa"/>
            <w:vAlign w:val="bottom"/>
            <w:gridSpan w:val="22"/>
            <w:vMerge w:val="continue"/>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3"/>
          </w:tcPr>
          <w:p>
            <w:pPr>
              <w:jc w:val="right"/>
              <w:ind w:right="20"/>
              <w:spacing w:after="0" w:line="170"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4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60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S-10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N</w:t>
              </w:r>
              <w:r>
                <w:rPr>
                  <w:rFonts w:ascii="Arial" w:cs="Arial" w:eastAsia="Arial" w:hAnsi="Arial"/>
                  <w:sz w:val="15"/>
                  <w:szCs w:val="15"/>
                  <w:color w:val="0000EE"/>
                  <w:w w:val="94"/>
                </w:rPr>
                <w:t>OTES</w:t>
              </w:r>
            </w:hyperlink>
          </w:p>
        </w:tc>
        <w:tc>
          <w:tcPr>
            <w:tcW w:w="9180" w:type="dxa"/>
            <w:vAlign w:val="bottom"/>
            <w:gridSpan w:val="15"/>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S-12</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C</w:t>
              </w:r>
              <w:r>
                <w:rPr>
                  <w:rFonts w:ascii="Arial" w:cs="Arial" w:eastAsia="Arial" w:hAnsi="Arial"/>
                  <w:sz w:val="15"/>
                  <w:szCs w:val="15"/>
                  <w:color w:val="0000EE"/>
                  <w:w w:val="95"/>
                </w:rPr>
                <w:t>ERTAIN</w:t>
              </w:r>
              <w:r>
                <w:rPr>
                  <w:rFonts w:ascii="Arial" w:cs="Arial" w:eastAsia="Arial" w:hAnsi="Arial"/>
                  <w:sz w:val="18"/>
                  <w:szCs w:val="18"/>
                  <w:color w:val="0000EE"/>
                  <w:w w:val="95"/>
                </w:rPr>
                <w:t xml:space="preserve"> U.S. F</w:t>
              </w:r>
              <w:r>
                <w:rPr>
                  <w:rFonts w:ascii="Arial" w:cs="Arial" w:eastAsia="Arial" w:hAnsi="Arial"/>
                  <w:sz w:val="15"/>
                  <w:szCs w:val="15"/>
                  <w:color w:val="0000EE"/>
                  <w:w w:val="95"/>
                </w:rPr>
                <w:t>EDERAL</w:t>
              </w:r>
              <w:r>
                <w:rPr>
                  <w:rFonts w:ascii="Arial" w:cs="Arial" w:eastAsia="Arial" w:hAnsi="Arial"/>
                  <w:sz w:val="18"/>
                  <w:szCs w:val="18"/>
                  <w:color w:val="0000EE"/>
                  <w:w w:val="95"/>
                </w:rPr>
                <w:t xml:space="preserve"> T</w:t>
              </w:r>
              <w:r>
                <w:rPr>
                  <w:rFonts w:ascii="Arial" w:cs="Arial" w:eastAsia="Arial" w:hAnsi="Arial"/>
                  <w:sz w:val="15"/>
                  <w:szCs w:val="15"/>
                  <w:color w:val="0000EE"/>
                  <w:w w:val="95"/>
                </w:rPr>
                <w:t>AX</w:t>
              </w:r>
              <w:r>
                <w:rPr>
                  <w:rFonts w:ascii="Arial" w:cs="Arial" w:eastAsia="Arial" w:hAnsi="Arial"/>
                  <w:sz w:val="18"/>
                  <w:szCs w:val="18"/>
                  <w:color w:val="0000EE"/>
                  <w:w w:val="95"/>
                </w:rPr>
                <w:t xml:space="preserve"> C</w:t>
              </w:r>
              <w:r>
                <w:rPr>
                  <w:rFonts w:ascii="Arial" w:cs="Arial" w:eastAsia="Arial" w:hAnsi="Arial"/>
                  <w:sz w:val="15"/>
                  <w:szCs w:val="15"/>
                  <w:color w:val="0000EE"/>
                  <w:w w:val="95"/>
                </w:rPr>
                <w:t>ONSIDERATIONS FOR</w:t>
              </w:r>
              <w:r>
                <w:rPr>
                  <w:rFonts w:ascii="Arial" w:cs="Arial" w:eastAsia="Arial" w:hAnsi="Arial"/>
                  <w:sz w:val="18"/>
                  <w:szCs w:val="18"/>
                  <w:color w:val="0000EE"/>
                  <w:w w:val="95"/>
                </w:rPr>
                <w:t xml:space="preserve"> N</w:t>
              </w:r>
              <w:r>
                <w:rPr>
                  <w:rFonts w:ascii="Arial" w:cs="Arial" w:eastAsia="Arial" w:hAnsi="Arial"/>
                  <w:sz w:val="15"/>
                  <w:szCs w:val="15"/>
                  <w:color w:val="0000EE"/>
                  <w:w w:val="95"/>
                </w:rPr>
                <w:t>ON</w:t>
              </w:r>
              <w:r>
                <w:rPr>
                  <w:rFonts w:ascii="Arial" w:cs="Arial" w:eastAsia="Arial" w:hAnsi="Arial"/>
                  <w:sz w:val="18"/>
                  <w:szCs w:val="18"/>
                  <w:color w:val="0000EE"/>
                  <w:w w:val="95"/>
                </w:rPr>
                <w:t>-U.S. H</w:t>
              </w:r>
              <w:r>
                <w:rPr>
                  <w:rFonts w:ascii="Arial" w:cs="Arial" w:eastAsia="Arial" w:hAnsi="Arial"/>
                  <w:sz w:val="15"/>
                  <w:szCs w:val="15"/>
                  <w:color w:val="0000EE"/>
                  <w:w w:val="95"/>
                </w:rPr>
                <w:t>OLDERS</w:t>
              </w:r>
            </w:hyperlink>
          </w:p>
        </w:tc>
        <w:tc>
          <w:tcPr>
            <w:tcW w:w="5640" w:type="dxa"/>
            <w:vAlign w:val="bottom"/>
            <w:gridSpan w:val="2"/>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S-24</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w:t>
              </w:r>
              <w:r>
                <w:rPr>
                  <w:rFonts w:ascii="Arial" w:cs="Arial" w:eastAsia="Arial" w:hAnsi="Arial"/>
                  <w:sz w:val="15"/>
                  <w:szCs w:val="15"/>
                  <w:color w:val="0000EE"/>
                </w:rPr>
                <w:t>NDERWRITING</w:t>
              </w:r>
              <w:r>
                <w:rPr>
                  <w:rFonts w:ascii="Arial" w:cs="Arial" w:eastAsia="Arial" w:hAnsi="Arial"/>
                  <w:sz w:val="18"/>
                  <w:szCs w:val="18"/>
                  <w:color w:val="0000EE"/>
                </w:rPr>
                <w:t xml:space="preserve"> (C</w:t>
              </w:r>
              <w:r>
                <w:rPr>
                  <w:rFonts w:ascii="Arial" w:cs="Arial" w:eastAsia="Arial" w:hAnsi="Arial"/>
                  <w:sz w:val="15"/>
                  <w:szCs w:val="15"/>
                  <w:color w:val="0000EE"/>
                </w:rPr>
                <w:t>ONFLICTS OF</w:t>
              </w:r>
              <w:r>
                <w:rPr>
                  <w:rFonts w:ascii="Arial" w:cs="Arial" w:eastAsia="Arial" w:hAnsi="Arial"/>
                  <w:sz w:val="18"/>
                  <w:szCs w:val="18"/>
                  <w:color w:val="0000EE"/>
                </w:rPr>
                <w:t xml:space="preserve"> I</w:t>
              </w:r>
              <w:r>
                <w:rPr>
                  <w:rFonts w:ascii="Arial" w:cs="Arial" w:eastAsia="Arial" w:hAnsi="Arial"/>
                  <w:sz w:val="15"/>
                  <w:szCs w:val="15"/>
                  <w:color w:val="0000EE"/>
                </w:rPr>
                <w:t>NTEREST</w:t>
              </w:r>
              <w:r>
                <w:rPr>
                  <w:rFonts w:ascii="Arial" w:cs="Arial" w:eastAsia="Arial" w:hAnsi="Arial"/>
                  <w:sz w:val="18"/>
                  <w:szCs w:val="18"/>
                  <w:color w:val="0000EE"/>
                </w:rPr>
                <w:t xml:space="preserve"> )</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S-28</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1940" w:type="dxa"/>
            <w:vAlign w:val="bottom"/>
            <w:tcBorders>
              <w:top w:val="single" w:sz="8" w:color="0000EE"/>
            </w:tcBorders>
            <w:gridSpan w:val="12"/>
          </w:tcPr>
          <w:p>
            <w:pPr>
              <w:spacing w:after="0"/>
              <w:rPr>
                <w:sz w:val="17"/>
                <w:szCs w:val="17"/>
                <w:color w:val="auto"/>
              </w:rPr>
            </w:pPr>
          </w:p>
        </w:tc>
        <w:tc>
          <w:tcPr>
            <w:tcW w:w="7760" w:type="dxa"/>
            <w:vAlign w:val="bottom"/>
            <w:gridSpan w:val="6"/>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S-32</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S-32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6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w:t>
              </w:r>
              <w:r>
                <w:rPr>
                  <w:rFonts w:ascii="Arial" w:cs="Arial" w:eastAsia="Arial" w:hAnsi="Arial"/>
                  <w:sz w:val="15"/>
                  <w:szCs w:val="15"/>
                  <w:color w:val="0000EE"/>
                </w:rPr>
                <w:t>NCORPORATION OF</w:t>
              </w:r>
              <w:r>
                <w:rPr>
                  <w:rFonts w:ascii="Arial" w:cs="Arial" w:eastAsia="Arial" w:hAnsi="Arial"/>
                  <w:sz w:val="18"/>
                  <w:szCs w:val="18"/>
                  <w:color w:val="0000EE"/>
                </w:rPr>
                <w:t xml:space="preserve"> C</w:t>
              </w:r>
              <w:r>
                <w:rPr>
                  <w:rFonts w:ascii="Arial" w:cs="Arial" w:eastAsia="Arial" w:hAnsi="Arial"/>
                  <w:sz w:val="15"/>
                  <w:szCs w:val="15"/>
                  <w:color w:val="0000EE"/>
                </w:rPr>
                <w:t>ERTAIN</w:t>
              </w:r>
              <w:r>
                <w:rPr>
                  <w:rFonts w:ascii="Arial" w:cs="Arial" w:eastAsia="Arial" w:hAnsi="Arial"/>
                  <w:sz w:val="18"/>
                  <w:szCs w:val="18"/>
                  <w:color w:val="0000EE"/>
                </w:rPr>
                <w:t xml:space="preserve"> D</w:t>
              </w:r>
              <w:r>
                <w:rPr>
                  <w:rFonts w:ascii="Arial" w:cs="Arial" w:eastAsia="Arial" w:hAnsi="Arial"/>
                  <w:sz w:val="15"/>
                  <w:szCs w:val="15"/>
                  <w:color w:val="0000EE"/>
                </w:rPr>
                <w:t>OCUMENTS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w w:val="84"/>
              </w:rPr>
              <w:t>S-33</w:t>
            </w:r>
          </w:p>
        </w:tc>
        <w:tc>
          <w:tcPr>
            <w:tcW w:w="0" w:type="dxa"/>
            <w:vAlign w:val="bottom"/>
          </w:tcPr>
          <w:p>
            <w:pPr>
              <w:spacing w:after="0"/>
              <w:rPr>
                <w:sz w:val="1"/>
                <w:szCs w:val="1"/>
                <w:color w:val="auto"/>
              </w:rPr>
            </w:pPr>
          </w:p>
        </w:tc>
      </w:tr>
      <w:tr>
        <w:trPr>
          <w:trHeight w:val="480"/>
        </w:trPr>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360" w:type="dxa"/>
            <w:vAlign w:val="bottom"/>
            <w:gridSpan w:val="3"/>
          </w:tcPr>
          <w:p>
            <w:pPr>
              <w:ind w:left="620"/>
              <w:spacing w:after="0"/>
              <w:rPr>
                <w:sz w:val="20"/>
                <w:szCs w:val="20"/>
                <w:color w:val="auto"/>
              </w:rPr>
            </w:pPr>
            <w:r>
              <w:rPr>
                <w:rFonts w:ascii="Arial" w:cs="Arial" w:eastAsia="Arial" w:hAnsi="Arial"/>
                <w:sz w:val="18"/>
                <w:szCs w:val="18"/>
                <w:b w:val="1"/>
                <w:bCs w:val="1"/>
                <w:color w:val="auto"/>
              </w:rPr>
              <w:t>Prospectus</w:t>
            </w:r>
          </w:p>
        </w:tc>
        <w:tc>
          <w:tcPr>
            <w:tcW w:w="40" w:type="dxa"/>
            <w:vAlign w:val="bottom"/>
          </w:tcPr>
          <w:p>
            <w:pPr>
              <w:spacing w:after="0"/>
              <w:rPr>
                <w:sz w:val="24"/>
                <w:szCs w:val="24"/>
                <w:color w:val="auto"/>
              </w:rPr>
            </w:pP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49"/>
        </w:trPr>
        <w:tc>
          <w:tcPr>
            <w:tcW w:w="2520" w:type="dxa"/>
            <w:vAlign w:val="bottom"/>
            <w:gridSpan w:val="14"/>
            <w:vMerge w:val="restart"/>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F</w:t>
              </w:r>
              <w:r>
                <w:rPr>
                  <w:rFonts w:ascii="Arial" w:cs="Arial" w:eastAsia="Arial" w:hAnsi="Arial"/>
                  <w:sz w:val="15"/>
                  <w:szCs w:val="15"/>
                  <w:color w:val="0000EE"/>
                  <w:w w:val="94"/>
                </w:rPr>
                <w:t>ORWARD</w:t>
              </w:r>
              <w:r>
                <w:rPr>
                  <w:rFonts w:ascii="Arial" w:cs="Arial" w:eastAsia="Arial" w:hAnsi="Arial"/>
                  <w:sz w:val="18"/>
                  <w:szCs w:val="18"/>
                  <w:color w:val="0000EE"/>
                  <w:w w:val="94"/>
                </w:rPr>
                <w:t>-L</w:t>
              </w:r>
              <w:r>
                <w:rPr>
                  <w:rFonts w:ascii="Arial" w:cs="Arial" w:eastAsia="Arial" w:hAnsi="Arial"/>
                  <w:sz w:val="15"/>
                  <w:szCs w:val="15"/>
                  <w:color w:val="0000EE"/>
                  <w:w w:val="94"/>
                </w:rPr>
                <w:t>OOKING</w:t>
              </w:r>
              <w:r>
                <w:rPr>
                  <w:rFonts w:ascii="Arial" w:cs="Arial" w:eastAsia="Arial" w:hAnsi="Arial"/>
                  <w:sz w:val="18"/>
                  <w:szCs w:val="18"/>
                  <w:color w:val="0000EE"/>
                  <w:w w:val="94"/>
                </w:rPr>
                <w:t xml:space="preserve"> S</w:t>
              </w:r>
              <w:r>
                <w:rPr>
                  <w:rFonts w:ascii="Arial" w:cs="Arial" w:eastAsia="Arial" w:hAnsi="Arial"/>
                  <w:sz w:val="15"/>
                  <w:szCs w:val="15"/>
                  <w:color w:val="0000EE"/>
                  <w:w w:val="94"/>
                </w:rPr>
                <w:t>TATEMENTS</w:t>
              </w:r>
            </w:hyperlink>
          </w:p>
        </w:tc>
        <w:tc>
          <w:tcPr>
            <w:tcW w:w="8460" w:type="dxa"/>
            <w:vAlign w:val="bottom"/>
            <w:gridSpan w:val="10"/>
            <w:vMerge w:val="restart"/>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20" w:type="dxa"/>
            <w:vAlign w:val="bottom"/>
            <w:tcBorders>
              <w:bottom w:val="single" w:sz="8" w:color="0000EE"/>
            </w:tcBorders>
            <w:gridSpan w:val="14"/>
            <w:vMerge w:val="continue"/>
          </w:tcPr>
          <w:p>
            <w:pPr>
              <w:spacing w:after="0"/>
              <w:rPr>
                <w:sz w:val="14"/>
                <w:szCs w:val="14"/>
                <w:color w:val="auto"/>
              </w:rPr>
            </w:pPr>
          </w:p>
        </w:tc>
        <w:tc>
          <w:tcPr>
            <w:tcW w:w="8460" w:type="dxa"/>
            <w:vAlign w:val="bottom"/>
            <w:gridSpan w:val="10"/>
            <w:vMerge w:val="continue"/>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9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A</w:t>
              </w:r>
              <w:r>
                <w:rPr>
                  <w:rFonts w:ascii="Arial" w:cs="Arial" w:eastAsia="Arial" w:hAnsi="Arial"/>
                  <w:sz w:val="15"/>
                  <w:szCs w:val="15"/>
                  <w:color w:val="0000EE"/>
                  <w:w w:val="93"/>
                </w:rPr>
                <w:t>BOUT</w:t>
              </w:r>
              <w:r>
                <w:rPr>
                  <w:rFonts w:ascii="Arial" w:cs="Arial" w:eastAsia="Arial" w:hAnsi="Arial"/>
                  <w:sz w:val="18"/>
                  <w:szCs w:val="18"/>
                  <w:color w:val="0000EE"/>
                  <w:w w:val="93"/>
                </w:rPr>
                <w:t xml:space="preserve"> T</w:t>
              </w:r>
              <w:r>
                <w:rPr>
                  <w:rFonts w:ascii="Arial" w:cs="Arial" w:eastAsia="Arial" w:hAnsi="Arial"/>
                  <w:sz w:val="15"/>
                  <w:szCs w:val="15"/>
                  <w:color w:val="0000EE"/>
                  <w:w w:val="93"/>
                </w:rPr>
                <w:t>HIS</w:t>
              </w:r>
              <w:r>
                <w:rPr>
                  <w:rFonts w:ascii="Arial" w:cs="Arial" w:eastAsia="Arial" w:hAnsi="Arial"/>
                  <w:sz w:val="18"/>
                  <w:szCs w:val="18"/>
                  <w:color w:val="0000EE"/>
                  <w:w w:val="93"/>
                </w:rPr>
                <w:t xml:space="preserve"> P</w:t>
              </w:r>
              <w:r>
                <w:rPr>
                  <w:rFonts w:ascii="Arial" w:cs="Arial" w:eastAsia="Arial" w:hAnsi="Arial"/>
                  <w:sz w:val="15"/>
                  <w:szCs w:val="15"/>
                  <w:color w:val="0000EE"/>
                  <w:w w:val="93"/>
                </w:rPr>
                <w:t>ROSPECTUS</w:t>
              </w:r>
            </w:hyperlink>
          </w:p>
        </w:tc>
        <w:tc>
          <w:tcPr>
            <w:tcW w:w="9040" w:type="dxa"/>
            <w:vAlign w:val="bottom"/>
            <w:gridSpan w:val="14"/>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w:t>
              </w:r>
              <w:r>
                <w:rPr>
                  <w:rFonts w:ascii="Arial" w:cs="Arial" w:eastAsia="Arial" w:hAnsi="Arial"/>
                  <w:sz w:val="15"/>
                  <w:szCs w:val="15"/>
                  <w:color w:val="0000EE"/>
                </w:rPr>
                <w:t>NCORPORATION OF</w:t>
              </w:r>
              <w:r>
                <w:rPr>
                  <w:rFonts w:ascii="Arial" w:cs="Arial" w:eastAsia="Arial" w:hAnsi="Arial"/>
                  <w:sz w:val="18"/>
                  <w:szCs w:val="18"/>
                  <w:color w:val="0000EE"/>
                </w:rPr>
                <w:t xml:space="preserve"> C</w:t>
              </w:r>
              <w:r>
                <w:rPr>
                  <w:rFonts w:ascii="Arial" w:cs="Arial" w:eastAsia="Arial" w:hAnsi="Arial"/>
                  <w:sz w:val="15"/>
                  <w:szCs w:val="15"/>
                  <w:color w:val="0000EE"/>
                </w:rPr>
                <w:t>ERTAIN</w:t>
              </w:r>
              <w:r>
                <w:rPr>
                  <w:rFonts w:ascii="Arial" w:cs="Arial" w:eastAsia="Arial" w:hAnsi="Arial"/>
                  <w:sz w:val="18"/>
                  <w:szCs w:val="18"/>
                  <w:color w:val="0000EE"/>
                </w:rPr>
                <w:t xml:space="preserve"> D</w:t>
              </w:r>
              <w:r>
                <w:rPr>
                  <w:rFonts w:ascii="Arial" w:cs="Arial" w:eastAsia="Arial" w:hAnsi="Arial"/>
                  <w:sz w:val="15"/>
                  <w:szCs w:val="15"/>
                  <w:color w:val="0000EE"/>
                </w:rPr>
                <w:t>OCUMENTS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W</w:t>
              </w:r>
              <w:r>
                <w:rPr>
                  <w:rFonts w:ascii="Arial" w:cs="Arial" w:eastAsia="Arial" w:hAnsi="Arial"/>
                  <w:sz w:val="15"/>
                  <w:szCs w:val="15"/>
                  <w:color w:val="0000EE"/>
                  <w:w w:val="97"/>
                </w:rPr>
                <w:t>HERE</w:t>
              </w:r>
              <w:r>
                <w:rPr>
                  <w:rFonts w:ascii="Arial" w:cs="Arial" w:eastAsia="Arial" w:hAnsi="Arial"/>
                  <w:sz w:val="18"/>
                  <w:szCs w:val="18"/>
                  <w:color w:val="0000EE"/>
                  <w:w w:val="97"/>
                </w:rPr>
                <w:t xml:space="preserve"> Y</w:t>
              </w:r>
              <w:r>
                <w:rPr>
                  <w:rFonts w:ascii="Arial" w:cs="Arial" w:eastAsia="Arial" w:hAnsi="Arial"/>
                  <w:sz w:val="15"/>
                  <w:szCs w:val="15"/>
                  <w:color w:val="0000EE"/>
                  <w:w w:val="97"/>
                </w:rPr>
                <w:t>OU</w:t>
              </w:r>
              <w:r>
                <w:rPr>
                  <w:rFonts w:ascii="Arial" w:cs="Arial" w:eastAsia="Arial" w:hAnsi="Arial"/>
                  <w:sz w:val="18"/>
                  <w:szCs w:val="18"/>
                  <w:color w:val="0000EE"/>
                  <w:w w:val="97"/>
                </w:rPr>
                <w:t xml:space="preserve"> C</w:t>
              </w:r>
              <w:r>
                <w:rPr>
                  <w:rFonts w:ascii="Arial" w:cs="Arial" w:eastAsia="Arial" w:hAnsi="Arial"/>
                  <w:sz w:val="15"/>
                  <w:szCs w:val="15"/>
                  <w:color w:val="0000EE"/>
                  <w:w w:val="97"/>
                </w:rPr>
                <w:t>AN</w:t>
              </w:r>
              <w:r>
                <w:rPr>
                  <w:rFonts w:ascii="Arial" w:cs="Arial" w:eastAsia="Arial" w:hAnsi="Arial"/>
                  <w:sz w:val="18"/>
                  <w:szCs w:val="18"/>
                  <w:color w:val="0000EE"/>
                  <w:w w:val="97"/>
                </w:rPr>
                <w:t xml:space="preserve"> F</w:t>
              </w:r>
              <w:r>
                <w:rPr>
                  <w:rFonts w:ascii="Arial" w:cs="Arial" w:eastAsia="Arial" w:hAnsi="Arial"/>
                  <w:sz w:val="15"/>
                  <w:szCs w:val="15"/>
                  <w:color w:val="0000EE"/>
                  <w:w w:val="97"/>
                </w:rPr>
                <w:t>IND</w:t>
              </w:r>
              <w:r>
                <w:rPr>
                  <w:rFonts w:ascii="Arial" w:cs="Arial" w:eastAsia="Arial" w:hAnsi="Arial"/>
                  <w:sz w:val="18"/>
                  <w:szCs w:val="18"/>
                  <w:color w:val="0000EE"/>
                  <w:w w:val="97"/>
                </w:rPr>
                <w:t xml:space="preserve"> M</w:t>
              </w:r>
              <w:r>
                <w:rPr>
                  <w:rFonts w:ascii="Arial" w:cs="Arial" w:eastAsia="Arial" w:hAnsi="Arial"/>
                  <w:sz w:val="15"/>
                  <w:szCs w:val="15"/>
                  <w:color w:val="0000EE"/>
                  <w:w w:val="97"/>
                </w:rPr>
                <w:t>ORE</w:t>
              </w:r>
              <w:r>
                <w:rPr>
                  <w:rFonts w:ascii="Arial" w:cs="Arial" w:eastAsia="Arial" w:hAnsi="Arial"/>
                  <w:sz w:val="18"/>
                  <w:szCs w:val="18"/>
                  <w:color w:val="0000EE"/>
                  <w:w w:val="97"/>
                </w:rPr>
                <w:t xml:space="preserve"> I</w:t>
              </w:r>
              <w:r>
                <w:rPr>
                  <w:rFonts w:ascii="Arial" w:cs="Arial" w:eastAsia="Arial" w:hAnsi="Arial"/>
                  <w:sz w:val="15"/>
                  <w:szCs w:val="15"/>
                  <w:color w:val="0000EE"/>
                  <w:w w:val="97"/>
                </w:rPr>
                <w:t>NFORMATION</w:t>
              </w:r>
            </w:hyperlink>
          </w:p>
        </w:tc>
        <w:tc>
          <w:tcPr>
            <w:tcW w:w="980" w:type="dxa"/>
            <w:vAlign w:val="bottom"/>
            <w:tcBorders>
              <w:top w:val="single" w:sz="8" w:color="0000EE"/>
            </w:tcBorders>
          </w:tcPr>
          <w:p>
            <w:pPr>
              <w:spacing w:after="0"/>
              <w:rPr>
                <w:sz w:val="17"/>
                <w:szCs w:val="17"/>
                <w:color w:val="auto"/>
              </w:rPr>
            </w:pPr>
          </w:p>
        </w:tc>
        <w:tc>
          <w:tcPr>
            <w:tcW w:w="6660" w:type="dxa"/>
            <w:vAlign w:val="bottom"/>
            <w:gridSpan w:val="4"/>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T</w:t>
              </w:r>
              <w:r>
                <w:rPr>
                  <w:rFonts w:ascii="Arial" w:cs="Arial" w:eastAsia="Arial" w:hAnsi="Arial"/>
                  <w:sz w:val="15"/>
                  <w:szCs w:val="15"/>
                  <w:color w:val="0000EE"/>
                  <w:w w:val="95"/>
                </w:rPr>
                <w:t>HE</w:t>
              </w:r>
              <w:r>
                <w:rPr>
                  <w:rFonts w:ascii="Arial" w:cs="Arial" w:eastAsia="Arial" w:hAnsi="Arial"/>
                  <w:sz w:val="18"/>
                  <w:szCs w:val="18"/>
                  <w:color w:val="0000EE"/>
                  <w:w w:val="95"/>
                </w:rPr>
                <w:t xml:space="preserve"> C</w:t>
              </w:r>
              <w:r>
                <w:rPr>
                  <w:rFonts w:ascii="Arial" w:cs="Arial" w:eastAsia="Arial" w:hAnsi="Arial"/>
                  <w:sz w:val="15"/>
                  <w:szCs w:val="15"/>
                  <w:color w:val="0000EE"/>
                  <w:w w:val="95"/>
                </w:rPr>
                <w:t>OMPANY</w:t>
              </w:r>
            </w:hyperlink>
          </w:p>
        </w:tc>
        <w:tc>
          <w:tcPr>
            <w:tcW w:w="9860" w:type="dxa"/>
            <w:vAlign w:val="bottom"/>
            <w:gridSpan w:val="20"/>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R</w:t>
              </w:r>
              <w:r>
                <w:rPr>
                  <w:rFonts w:ascii="Arial" w:cs="Arial" w:eastAsia="Arial" w:hAnsi="Arial"/>
                  <w:sz w:val="15"/>
                  <w:szCs w:val="15"/>
                  <w:color w:val="0000EE"/>
                  <w:w w:val="95"/>
                </w:rPr>
                <w:t>ATIO OF</w:t>
              </w:r>
              <w:r>
                <w:rPr>
                  <w:rFonts w:ascii="Arial" w:cs="Arial" w:eastAsia="Arial" w:hAnsi="Arial"/>
                  <w:sz w:val="18"/>
                  <w:szCs w:val="18"/>
                  <w:color w:val="0000EE"/>
                  <w:w w:val="95"/>
                </w:rPr>
                <w:t xml:space="preserve"> E</w:t>
              </w:r>
              <w:r>
                <w:rPr>
                  <w:rFonts w:ascii="Arial" w:cs="Arial" w:eastAsia="Arial" w:hAnsi="Arial"/>
                  <w:sz w:val="15"/>
                  <w:szCs w:val="15"/>
                  <w:color w:val="0000EE"/>
                  <w:w w:val="95"/>
                </w:rPr>
                <w:t>ARNINGS TO</w:t>
              </w:r>
              <w:r>
                <w:rPr>
                  <w:rFonts w:ascii="Arial" w:cs="Arial" w:eastAsia="Arial" w:hAnsi="Arial"/>
                  <w:sz w:val="18"/>
                  <w:szCs w:val="18"/>
                  <w:color w:val="0000EE"/>
                  <w:w w:val="95"/>
                </w:rPr>
                <w:t xml:space="preserve"> F</w:t>
              </w:r>
              <w:r>
                <w:rPr>
                  <w:rFonts w:ascii="Arial" w:cs="Arial" w:eastAsia="Arial" w:hAnsi="Arial"/>
                  <w:sz w:val="15"/>
                  <w:szCs w:val="15"/>
                  <w:color w:val="0000EE"/>
                  <w:w w:val="95"/>
                </w:rPr>
                <w:t>IXED</w:t>
              </w:r>
              <w:r>
                <w:rPr>
                  <w:rFonts w:ascii="Arial" w:cs="Arial" w:eastAsia="Arial" w:hAnsi="Arial"/>
                  <w:sz w:val="18"/>
                  <w:szCs w:val="18"/>
                  <w:color w:val="0000EE"/>
                  <w:w w:val="95"/>
                </w:rPr>
                <w:t xml:space="preserve"> C</w:t>
              </w:r>
              <w:r>
                <w:rPr>
                  <w:rFonts w:ascii="Arial" w:cs="Arial" w:eastAsia="Arial" w:hAnsi="Arial"/>
                  <w:sz w:val="15"/>
                  <w:szCs w:val="15"/>
                  <w:color w:val="0000EE"/>
                  <w:w w:val="95"/>
                </w:rPr>
                <w:t>HARGES</w:t>
              </w:r>
            </w:hyperlink>
          </w:p>
        </w:tc>
        <w:tc>
          <w:tcPr>
            <w:tcW w:w="7940" w:type="dxa"/>
            <w:vAlign w:val="bottom"/>
            <w:gridSpan w:val="7"/>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600" w:type="dxa"/>
            <w:vAlign w:val="bottom"/>
            <w:gridSpan w:val="17"/>
          </w:tcPr>
          <w:p>
            <w:pPr>
              <w:spacing w:after="0"/>
              <w:rPr>
                <w:sz w:val="17"/>
                <w:szCs w:val="17"/>
                <w:color w:val="auto"/>
              </w:rPr>
            </w:pPr>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w:t>
              </w:r>
              <w:r>
                <w:rPr>
                  <w:rFonts w:ascii="Arial" w:cs="Arial" w:eastAsia="Arial" w:hAnsi="Arial"/>
                  <w:sz w:val="15"/>
                  <w:szCs w:val="15"/>
                  <w:color w:val="0000EE"/>
                </w:rPr>
                <w:t>ESCRIPTION OF THE</w:t>
              </w:r>
              <w:r>
                <w:rPr>
                  <w:rFonts w:ascii="Arial" w:cs="Arial" w:eastAsia="Arial" w:hAnsi="Arial"/>
                  <w:sz w:val="18"/>
                  <w:szCs w:val="18"/>
                  <w:color w:val="0000EE"/>
                </w:rPr>
                <w:t xml:space="preserve"> D</w:t>
              </w:r>
              <w:r>
                <w:rPr>
                  <w:rFonts w:ascii="Arial" w:cs="Arial" w:eastAsia="Arial" w:hAnsi="Arial"/>
                  <w:sz w:val="15"/>
                  <w:szCs w:val="15"/>
                  <w:color w:val="0000EE"/>
                </w:rPr>
                <w:t>EBT</w:t>
              </w:r>
              <w:r>
                <w:rPr>
                  <w:rFonts w:ascii="Arial" w:cs="Arial" w:eastAsia="Arial" w:hAnsi="Arial"/>
                  <w:sz w:val="18"/>
                  <w:szCs w:val="18"/>
                  <w:color w:val="0000EE"/>
                </w:rPr>
                <w:t xml:space="preserve"> S</w:t>
              </w:r>
              <w:r>
                <w:rPr>
                  <w:rFonts w:ascii="Arial" w:cs="Arial" w:eastAsia="Arial" w:hAnsi="Arial"/>
                  <w:sz w:val="15"/>
                  <w:szCs w:val="15"/>
                  <w:color w:val="0000EE"/>
                </w:rPr>
                <w:t>ECURITIES</w:t>
              </w:r>
            </w:hyperlink>
          </w:p>
        </w:tc>
        <w:tc>
          <w:tcPr>
            <w:tcW w:w="36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G</w:t>
              </w:r>
              <w:r>
                <w:rPr>
                  <w:rFonts w:ascii="Arial" w:cs="Arial" w:eastAsia="Arial" w:hAnsi="Arial"/>
                  <w:sz w:val="15"/>
                  <w:szCs w:val="15"/>
                  <w:color w:val="0000EE"/>
                </w:rPr>
                <w:t>UARANTEES</w:t>
              </w:r>
            </w:hyperlink>
          </w:p>
        </w:tc>
        <w:tc>
          <w:tcPr>
            <w:tcW w:w="8040" w:type="dxa"/>
            <w:vAlign w:val="bottom"/>
            <w:gridSpan w:val="8"/>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8500" w:type="dxa"/>
            <w:vAlign w:val="bottom"/>
            <w:gridSpan w:val="11"/>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D</w:t>
              </w:r>
              <w:r>
                <w:rPr>
                  <w:rFonts w:ascii="Arial" w:cs="Arial" w:eastAsia="Arial" w:hAnsi="Arial"/>
                  <w:sz w:val="15"/>
                  <w:szCs w:val="15"/>
                  <w:color w:val="0000EE"/>
                  <w:w w:val="94"/>
                </w:rPr>
                <w:t>ESCRIPTION OF</w:t>
              </w:r>
              <w:r>
                <w:rPr>
                  <w:rFonts w:ascii="Arial" w:cs="Arial" w:eastAsia="Arial" w:hAnsi="Arial"/>
                  <w:sz w:val="18"/>
                  <w:szCs w:val="18"/>
                  <w:color w:val="0000EE"/>
                  <w:w w:val="94"/>
                </w:rPr>
                <w:t xml:space="preserve"> O</w:t>
              </w:r>
              <w:r>
                <w:rPr>
                  <w:rFonts w:ascii="Arial" w:cs="Arial" w:eastAsia="Arial" w:hAnsi="Arial"/>
                  <w:sz w:val="15"/>
                  <w:szCs w:val="15"/>
                  <w:color w:val="0000EE"/>
                  <w:w w:val="94"/>
                </w:rPr>
                <w:t>THER</w:t>
              </w:r>
              <w:r>
                <w:rPr>
                  <w:rFonts w:ascii="Arial" w:cs="Arial" w:eastAsia="Arial" w:hAnsi="Arial"/>
                  <w:sz w:val="18"/>
                  <w:szCs w:val="18"/>
                  <w:color w:val="0000EE"/>
                  <w:w w:val="94"/>
                </w:rPr>
                <w:t xml:space="preserve"> S</w:t>
              </w:r>
              <w:r>
                <w:rPr>
                  <w:rFonts w:ascii="Arial" w:cs="Arial" w:eastAsia="Arial" w:hAnsi="Arial"/>
                  <w:sz w:val="15"/>
                  <w:szCs w:val="15"/>
                  <w:color w:val="0000EE"/>
                  <w:w w:val="94"/>
                </w:rPr>
                <w:t>ECURITIES</w:t>
              </w:r>
            </w:hyperlink>
          </w:p>
        </w:tc>
        <w:tc>
          <w:tcPr>
            <w:tcW w:w="8260" w:type="dxa"/>
            <w:vAlign w:val="bottom"/>
            <w:gridSpan w:val="9"/>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w:t>
              </w:r>
              <w:r>
                <w:rPr>
                  <w:rFonts w:ascii="Arial" w:cs="Arial" w:eastAsia="Arial" w:hAnsi="Arial"/>
                  <w:sz w:val="15"/>
                  <w:szCs w:val="15"/>
                  <w:color w:val="0000EE"/>
                </w:rPr>
                <w:t>LAN OF</w:t>
              </w:r>
              <w:r>
                <w:rPr>
                  <w:rFonts w:ascii="Arial" w:cs="Arial" w:eastAsia="Arial" w:hAnsi="Arial"/>
                  <w:sz w:val="18"/>
                  <w:szCs w:val="18"/>
                  <w:color w:val="0000EE"/>
                </w:rPr>
                <w:t xml:space="preserve"> D</w:t>
              </w:r>
              <w:r>
                <w:rPr>
                  <w:rFonts w:ascii="Arial" w:cs="Arial" w:eastAsia="Arial" w:hAnsi="Arial"/>
                  <w:sz w:val="15"/>
                  <w:szCs w:val="15"/>
                  <w:color w:val="0000EE"/>
                </w:rPr>
                <w:t>ISTRIBUTION</w:t>
              </w:r>
            </w:hyperlink>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840" w:type="dxa"/>
            <w:vAlign w:val="bottom"/>
            <w:gridSpan w:val="1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S</w:t>
              </w:r>
              <w:r>
                <w:rPr>
                  <w:rFonts w:ascii="Arial" w:cs="Arial" w:eastAsia="Arial" w:hAnsi="Arial"/>
                  <w:sz w:val="15"/>
                  <w:szCs w:val="15"/>
                  <w:color w:val="0000EE"/>
                  <w:w w:val="96"/>
                </w:rPr>
                <w:t>ELLING</w:t>
              </w:r>
              <w:r>
                <w:rPr>
                  <w:rFonts w:ascii="Arial" w:cs="Arial" w:eastAsia="Arial" w:hAnsi="Arial"/>
                  <w:sz w:val="18"/>
                  <w:szCs w:val="18"/>
                  <w:color w:val="0000EE"/>
                  <w:w w:val="96"/>
                </w:rPr>
                <w:t xml:space="preserve"> S</w:t>
              </w:r>
              <w:r>
                <w:rPr>
                  <w:rFonts w:ascii="Arial" w:cs="Arial" w:eastAsia="Arial" w:hAnsi="Arial"/>
                  <w:sz w:val="15"/>
                  <w:szCs w:val="15"/>
                  <w:color w:val="0000EE"/>
                  <w:w w:val="96"/>
                </w:rPr>
                <w:t>ECURITYHOLDERS</w:t>
              </w:r>
            </w:hyperlink>
          </w:p>
        </w:tc>
        <w:tc>
          <w:tcPr>
            <w:tcW w:w="8840" w:type="dxa"/>
            <w:vAlign w:val="bottom"/>
            <w:gridSpan w:val="13"/>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9700" w:type="dxa"/>
            <w:vAlign w:val="bottom"/>
            <w:gridSpan w:val="18"/>
          </w:tcPr>
          <w:p>
            <w:pPr>
              <w:spacing w:after="0"/>
              <w:rPr>
                <w:sz w:val="17"/>
                <w:szCs w:val="17"/>
                <w:color w:val="auto"/>
              </w:rPr>
            </w:pPr>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3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32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4232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320" w:firstLine="775"/>
        <w:spacing w:after="0" w:line="279" w:lineRule="auto"/>
        <w:rPr>
          <w:sz w:val="20"/>
          <w:szCs w:val="20"/>
          <w:color w:val="auto"/>
        </w:rPr>
      </w:pPr>
      <w:r>
        <w:rPr>
          <w:rFonts w:ascii="Arial" w:cs="Arial" w:eastAsia="Arial" w:hAnsi="Arial"/>
          <w:sz w:val="17"/>
          <w:szCs w:val="17"/>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the documents incorporated by reference, in their entirety before making an investment decision.</w:t>
      </w:r>
    </w:p>
    <w:p>
      <w:pPr>
        <w:spacing w:after="0" w:line="171" w:lineRule="exact"/>
        <w:rPr>
          <w:sz w:val="20"/>
          <w:szCs w:val="20"/>
          <w:color w:val="auto"/>
        </w:rPr>
      </w:pPr>
    </w:p>
    <w:p>
      <w:pPr>
        <w:ind w:left="200" w:right="560" w:firstLine="775"/>
        <w:spacing w:after="0" w:line="277"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consolidated subsidiaries, taken as a whole, unless the context clearly indicates otherwise.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200" w:firstLine="775"/>
        <w:spacing w:after="0" w:line="276"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3" w:lineRule="exact"/>
        <w:rPr>
          <w:sz w:val="20"/>
          <w:szCs w:val="20"/>
          <w:color w:val="auto"/>
        </w:rPr>
      </w:pPr>
    </w:p>
    <w:p>
      <w:pPr>
        <w:ind w:left="200" w:right="160" w:firstLine="775"/>
        <w:spacing w:after="0" w:line="257" w:lineRule="auto"/>
        <w:rPr>
          <w:sz w:val="20"/>
          <w:szCs w:val="20"/>
          <w:color w:val="auto"/>
        </w:rPr>
      </w:pPr>
      <w:r>
        <w:rPr>
          <w:rFonts w:ascii="Arial" w:cs="Arial" w:eastAsia="Arial" w:hAnsi="Arial"/>
          <w:sz w:val="18"/>
          <w:szCs w:val="18"/>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Waste Management Holdings, Inc.</w:t>
      </w:r>
    </w:p>
    <w:p>
      <w:pPr>
        <w:spacing w:after="0" w:line="229" w:lineRule="exact"/>
        <w:rPr>
          <w:sz w:val="20"/>
          <w:szCs w:val="20"/>
          <w:color w:val="auto"/>
        </w:rPr>
      </w:pPr>
    </w:p>
    <w:p>
      <w:pPr>
        <w:ind w:left="200" w:right="160" w:firstLine="775"/>
        <w:spacing w:after="0" w:line="277"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80" w:firstLine="775"/>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ectPr>
          <w:pgSz w:w="11900" w:h="16838" w:orient="portrait"/>
          <w:cols w:equalWidth="0" w:num="1">
            <w:col w:w="11240"/>
          </w:cols>
          <w:pgMar w:left="240" w:top="459" w:right="419" w:bottom="1440" w:gutter="0" w:footer="0" w:header="0"/>
        </w:sectPr>
      </w:pPr>
    </w:p>
    <w:p>
      <w:pPr>
        <w:spacing w:after="0" w:line="20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Waste Management, Inc.</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2.400% Senior Notes due 2023</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Subsidiary Guarantee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WM Holdings will fully and unconditionally guarantee, on a senior unsecured basis, the full and prompt payment of the principal and any premium and interest on the notes, when and as they become due and payable, whether at maturity or otherwise.</w:t>
      </w:r>
    </w:p>
    <w:p>
      <w:pPr>
        <w:spacing w:after="0" w:line="19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15, 2023</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2.400% per year</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May 15 and November 15 of each year, beginning November 15, 2016</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may elect to redeem and repay any or all of the notes at any time in minimum principal amounts of $2,000 or any integral multiple of $1,000 in excess thereof. If we elect to redeem and repay the notes before March 15, 2023, we will pay an amount equal to the greater of 100% of the principal amount of the notes redeemed and repaid, or the sum of the present values of the remaining scheduled payments of principal and interest on the notes to be redeemed and repaid that would be due if the notes matured on March 15, 2023. If we elect to redeem and repay the notes on or after March 15, 2023, we will pay an amount equal to 100% of the principal amount of the notes redeemed and repaid.</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 w:lineRule="exact"/>
        <w:rPr>
          <w:sz w:val="20"/>
          <w:szCs w:val="20"/>
          <w:color w:val="auto"/>
        </w:rPr>
      </w:pPr>
    </w:p>
    <w:p>
      <w:pPr>
        <w:ind w:left="4400" w:right="160"/>
        <w:spacing w:after="0" w:line="277" w:lineRule="auto"/>
        <w:rPr>
          <w:sz w:val="20"/>
          <w:szCs w:val="20"/>
          <w:color w:val="auto"/>
        </w:rPr>
      </w:pPr>
      <w:r>
        <w:rPr>
          <w:rFonts w:ascii="Arial" w:cs="Arial" w:eastAsia="Arial" w:hAnsi="Arial"/>
          <w:sz w:val="18"/>
          <w:szCs w:val="18"/>
          <w:color w:val="auto"/>
        </w:rPr>
        <w:t>We will pay accrued interest on the notes redeemed to the redemption date. See “Description of Notes—Optional Redemption” in this prospectus supplement.</w:t>
      </w:r>
    </w:p>
    <w:p>
      <w:pPr>
        <w:sectPr>
          <w:pgSz w:w="11900" w:h="16838" w:orient="portrait"/>
          <w:cols w:equalWidth="0" w:num="1">
            <w:col w:w="11240"/>
          </w:cols>
          <w:pgMar w:left="240" w:top="459" w:right="419" w:bottom="1440" w:gutter="0" w:footer="0" w:header="0"/>
          <w:type w:val="continuous"/>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of Control Offer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 change of control triggering event occurs, holders of the notes may require us to purchase all or a portion of such holders’ notes at a price equal to 101% of the principal amount, plus accrued interest, if any, to the date of purchase. See “Description of Notes—Change of Control Offer” in this prospectus supplement.</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The notes and the guarantee will constitute the senior unsecured debt of Waste Management, Inc. and WM Holdings, respectively, and will rank equally with all of our and its other existing and future senior obligations from time to time outstanding.</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1240"/>
          </w:cols>
          <w:pgMar w:left="240" w:top="459" w:right="41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887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Covenants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will issue the notes under an indenture containing covenants for your benefit. These covenants restrict our ability, with certain exceptions, to:</w:t>
      </w:r>
    </w:p>
    <w:p>
      <w:pPr>
        <w:spacing w:after="0" w:line="19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660"/>
        <w:spacing w:after="0"/>
        <w:rPr>
          <w:sz w:val="20"/>
          <w:szCs w:val="20"/>
          <w:color w:val="auto"/>
        </w:rPr>
      </w:pPr>
      <w:r>
        <w:rPr>
          <w:rFonts w:ascii="Arial" w:cs="Arial" w:eastAsia="Arial" w:hAnsi="Arial"/>
          <w:sz w:val="18"/>
          <w:szCs w:val="18"/>
          <w:color w:val="auto"/>
        </w:rPr>
        <w:t>• create, incur or assume debt secured by liens;</w:t>
      </w:r>
    </w:p>
    <w:p>
      <w:pPr>
        <w:spacing w:after="0" w:line="25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 engage in sale and leaseback transactions; and</w:t>
      </w:r>
    </w:p>
    <w:p>
      <w:pPr>
        <w:spacing w:after="0" w:line="252"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 merge, consolidate or transfer all or substantially all of our assets.</w:t>
      </w:r>
    </w:p>
    <w:p>
      <w:pPr>
        <w:sectPr>
          <w:pgSz w:w="11900" w:h="16838" w:orient="portrait"/>
          <w:cols w:equalWidth="0" w:num="1">
            <w:col w:w="11260"/>
          </w:cols>
          <w:pgMar w:left="240" w:top="459" w:right="399" w:bottom="1440" w:gutter="0" w:footer="0" w:header="0"/>
          <w:type w:val="continuous"/>
        </w:sect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expect the net proceeds from the offering of the notes to be $495.6 million, after deducting the underwriting discount and estimated expenses of the offering that we will pay. We intend to use the net proceeds from the offering of the notes, together with cash on hand, to repay $500 million principal amount of our outstanding 2.6% Senior Notes when they mature in September 2016, plus accrued and unpaid interest of $6.5 million. Pending application of the net proceeds as described immediately above, we anticipate that we may temporarily pay down short-term borrowings under our U.S. revolving credit facility (referred to herein as our “$2.25 billion revolving credit facility”) used for working capital, and we may temporarily invest in short-term investments. See “Use of Proceeds” in this prospectus supplement.</w:t>
      </w:r>
    </w:p>
    <w:p>
      <w:pPr>
        <w:spacing w:after="0" w:line="194"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40"/>
        <w:spacing w:after="0" w:line="290" w:lineRule="auto"/>
        <w:rPr>
          <w:sz w:val="20"/>
          <w:szCs w:val="20"/>
          <w:color w:val="auto"/>
        </w:rPr>
      </w:pPr>
      <w:r>
        <w:rPr>
          <w:rFonts w:ascii="Arial" w:cs="Arial" w:eastAsia="Arial" w:hAnsi="Arial"/>
          <w:sz w:val="16"/>
          <w:szCs w:val="16"/>
          <w:color w:val="auto"/>
        </w:rPr>
        <w:t>Certain affiliates of some of the underwriters in this offering are lenders to us under our $2.25 billion revolving credit facility and may receive 5% or more of the net proceeds of this offering by reason of the repayment of amounts outstanding under such credit facility, pending application of the net proceeds as described in the initial paragraph under “Use of Proceeds” in this prospectus supplement. Accordingly, such underwriters are deemed to have a “conflict of interest” within the meaning of Rule 5121, and this offering will be conducted in accordance with Rule 5121. No underwriter with a “conflict of interest” will confirm sales to any account over which it exercises discretion without the specific written approval of the account holder.</w:t>
      </w:r>
    </w:p>
    <w:p>
      <w:pPr>
        <w:sectPr>
          <w:pgSz w:w="11900" w:h="16838" w:orient="portrait"/>
          <w:cols w:equalWidth="0" w:num="1">
            <w:col w:w="11260"/>
          </w:cols>
          <w:pgMar w:left="240" w:top="459" w:right="399" w:bottom="1440" w:gutter="0" w:footer="0" w:header="0"/>
          <w:type w:val="continuous"/>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Bank of New York Mellon Trust Company, N.A.</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Additional Issues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create and issue additional notes ranking equally and ratably with the notes offered by this prospectus supplement in all respects, so that such additional notes will be consolidated and form a single series with the notes offered by this prospectus supplement and will have the same terms, as to status, redemption or otherwise except for the issue date, the initial interest payment date, if applicable, and the payment of interest accruing prior to the issue date of such additional notes.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60"/>
        <w:spacing w:after="0" w:line="342" w:lineRule="auto"/>
        <w:rPr>
          <w:sz w:val="20"/>
          <w:szCs w:val="20"/>
          <w:color w:val="auto"/>
        </w:rPr>
      </w:pPr>
      <w:r>
        <w:rPr>
          <w:rFonts w:ascii="Arial" w:cs="Arial" w:eastAsia="Arial" w:hAnsi="Arial"/>
          <w:sz w:val="16"/>
          <w:szCs w:val="16"/>
          <w:color w:val="auto"/>
        </w:rPr>
        <w:t>See page S-6 of this prospectus supplement and page 6 of the accompanying prospectus for a discussion of the risks you should consider before investing in the notes.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260"/>
          </w:cols>
          <w:pgMar w:left="240" w:top="459" w:right="3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03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403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200" w:right="40" w:firstLine="775"/>
        <w:spacing w:after="0" w:line="257" w:lineRule="auto"/>
        <w:rPr>
          <w:sz w:val="20"/>
          <w:szCs w:val="20"/>
          <w:color w:val="auto"/>
        </w:rPr>
      </w:pPr>
      <w:r>
        <w:rPr>
          <w:rFonts w:ascii="Arial" w:cs="Arial" w:eastAsia="Arial" w:hAnsi="Arial"/>
          <w:sz w:val="18"/>
          <w:szCs w:val="18"/>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9"/>
            <w:vMerge w:val="restart"/>
          </w:tcPr>
          <w:p>
            <w:pPr>
              <w:jc w:val="center"/>
              <w:ind w:right="480"/>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4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3"/>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gridSpan w:val="9"/>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110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2015</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2013</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5"/>
              </w:rPr>
              <w:t>(Unaudited)</w:t>
            </w:r>
          </w:p>
        </w:tc>
        <w:tc>
          <w:tcPr>
            <w:tcW w:w="40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 (a)</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1,557</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Implicit interest in rents</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Earnings available for fixed charges (a)</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1,546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2,329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540" w:type="dxa"/>
            <w:vAlign w:val="bottom"/>
            <w:gridSpan w:val="2"/>
          </w:tcPr>
          <w:p>
            <w:pPr>
              <w:ind w:left="720"/>
              <w:spacing w:after="0"/>
              <w:rPr>
                <w:sz w:val="20"/>
                <w:szCs w:val="20"/>
                <w:color w:val="auto"/>
              </w:rPr>
            </w:pPr>
            <w:r>
              <w:rPr>
                <w:rFonts w:ascii="Arial" w:cs="Arial" w:eastAsia="Arial" w:hAnsi="Arial"/>
                <w:sz w:val="18"/>
                <w:szCs w:val="18"/>
                <w:color w:val="auto"/>
              </w:rPr>
              <w:t>Total fixed charges (a)</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4.7x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3.4x</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1.9x</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3.8x</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Adjusted ratio of earnings to fixed charges (b)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4.7x</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4.9x</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4.2x</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3.7x</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3.6x</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80" w:hanging="423"/>
        <w:spacing w:after="0" w:line="259"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43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37433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80" w:hanging="423"/>
        <w:spacing w:after="0" w:line="26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divestitures and losses on early extinguishment of debt. A reconciliation showing the effect of these items on our “Income before income taxes and losses in equity investments” used to calculate our earnings available for fixed charges is as follows (in millions):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5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gridSpan w:val="8"/>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5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4"/>
                <w:szCs w:val="4"/>
                <w:color w:val="auto"/>
              </w:rPr>
            </w:pPr>
          </w:p>
        </w:tc>
        <w:tc>
          <w:tcPr>
            <w:tcW w:w="68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4"/>
                <w:szCs w:val="4"/>
                <w:color w:val="auto"/>
              </w:rPr>
            </w:pP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2012</w:t>
            </w:r>
          </w:p>
        </w:tc>
        <w:tc>
          <w:tcPr>
            <w:tcW w:w="9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March 31, 2016</w:t>
            </w:r>
          </w:p>
        </w:tc>
        <w:tc>
          <w:tcPr>
            <w:tcW w:w="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7"/>
              </w:rPr>
              <w:t>(Unaudited)</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As reported Income before income taxes and losses in equity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2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1,109</w:t>
            </w:r>
          </w:p>
        </w:tc>
        <w:tc>
          <w:tcPr>
            <w:tcW w:w="2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1,805</w:t>
            </w:r>
          </w:p>
        </w:tc>
        <w:tc>
          <w:tcPr>
            <w:tcW w:w="1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auto"/>
                <w:w w:val="97"/>
              </w:rPr>
              <w:t>Adjustments to Income before income taxes and losses in equity</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Goodwill impairments</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(other than goodwill)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(Income) expense from divestitures</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5040" w:type="dxa"/>
            <w:vAlign w:val="bottom"/>
          </w:tcPr>
          <w:p>
            <w:pPr>
              <w:spacing w:after="0" w:line="205" w:lineRule="exact"/>
              <w:rPr>
                <w:sz w:val="20"/>
                <w:szCs w:val="20"/>
                <w:color w:val="auto"/>
              </w:rPr>
            </w:pPr>
            <w:r>
              <w:rPr>
                <w:rFonts w:ascii="Arial" w:cs="Arial" w:eastAsia="Arial" w:hAnsi="Arial"/>
                <w:sz w:val="18"/>
                <w:szCs w:val="18"/>
                <w:b w:val="1"/>
                <w:bCs w:val="1"/>
                <w:color w:val="auto"/>
              </w:rPr>
              <w:t>Adjusted income before income taxes and losses in equity</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180"/>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2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1,761</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1,727</w:t>
            </w:r>
          </w:p>
        </w:tc>
        <w:tc>
          <w:tcPr>
            <w:tcW w:w="1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1,526</w:t>
            </w:r>
          </w:p>
        </w:tc>
        <w:tc>
          <w:tcPr>
            <w:tcW w:w="2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1,500</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right="120"/>
        <w:spacing w:after="0" w:line="276" w:lineRule="auto"/>
        <w:rPr>
          <w:sz w:val="20"/>
          <w:szCs w:val="20"/>
          <w:color w:val="auto"/>
        </w:rPr>
      </w:pPr>
      <w:r>
        <w:rPr>
          <w:rFonts w:ascii="Arial" w:cs="Arial" w:eastAsia="Arial" w:hAnsi="Arial"/>
          <w:sz w:val="17"/>
          <w:szCs w:val="17"/>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U.S. Generally Accepted Accounting Principles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80"/>
          </w:cols>
          <w:pgMar w:left="24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i w:val="1"/>
          <w:iCs w:val="1"/>
          <w:color w:val="auto"/>
        </w:rPr>
        <w:t>You should carefully consider the risk factors identified in Part 1, Item 1A, “Risk Factors,” of our Annual Report on Form 10-K for the year ended December 31, 2015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substantial indebtedness could impair our financial condition and our ability to fulfill our debt obligations, including our obligations under the notes.</w:t>
      </w:r>
    </w:p>
    <w:p>
      <w:pPr>
        <w:spacing w:after="0" w:line="166"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We have substantial indebtedness. At March 31, 2016, our ratio of total debt to total capitalization was 64.4% and we had $9.6 billion of total debt. In addition, as of March 31, 2016, we had approximately $965 million of letters of credit outstanding under our $2.25 billion revolving credit facility and other letter of credit facilities. Our indebtedness makes us vulnerable to changes in interest rates. As of March 31, 2016, we had $1.14 billion of debt with stated maturities within 12 months and $381 million of tax-exempt bonds with term interest rate periods scheduled to expire within the next 12 months. Our level of indebtedness and the covenants contained in the agreements governing our debt could have important consequences, including:</w:t>
      </w:r>
    </w:p>
    <w:p>
      <w:pPr>
        <w:spacing w:after="0" w:line="200" w:lineRule="exact"/>
        <w:rPr>
          <w:sz w:val="20"/>
          <w:szCs w:val="20"/>
          <w:color w:val="auto"/>
        </w:rPr>
      </w:pPr>
    </w:p>
    <w:p>
      <w:pPr>
        <w:ind w:left="1240" w:right="60" w:hanging="327"/>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197" w:lineRule="exact"/>
        <w:rPr>
          <w:rFonts w:ascii="Arial" w:cs="Arial" w:eastAsia="Arial" w:hAnsi="Arial"/>
          <w:sz w:val="18"/>
          <w:szCs w:val="18"/>
          <w:color w:val="auto"/>
        </w:rPr>
      </w:pPr>
    </w:p>
    <w:p>
      <w:pPr>
        <w:ind w:left="1240" w:right="340" w:hanging="327"/>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197" w:lineRule="exact"/>
        <w:rPr>
          <w:rFonts w:ascii="Arial" w:cs="Arial" w:eastAsia="Arial" w:hAnsi="Arial"/>
          <w:sz w:val="18"/>
          <w:szCs w:val="18"/>
          <w:color w:val="auto"/>
        </w:rPr>
      </w:pPr>
    </w:p>
    <w:p>
      <w:pPr>
        <w:ind w:left="1240" w:right="120" w:hanging="327"/>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225" w:lineRule="exact"/>
        <w:rPr>
          <w:sz w:val="20"/>
          <w:szCs w:val="20"/>
          <w:color w:val="auto"/>
        </w:rPr>
      </w:pPr>
    </w:p>
    <w:p>
      <w:pPr>
        <w:ind w:right="40" w:firstLine="799"/>
        <w:spacing w:after="0" w:line="276" w:lineRule="auto"/>
        <w:rPr>
          <w:sz w:val="20"/>
          <w:szCs w:val="20"/>
          <w:color w:val="auto"/>
        </w:rPr>
      </w:pPr>
      <w:r>
        <w:rPr>
          <w:rFonts w:ascii="Arial" w:cs="Arial" w:eastAsia="Arial" w:hAnsi="Arial"/>
          <w:sz w:val="17"/>
          <w:szCs w:val="17"/>
          <w:color w:val="auto"/>
        </w:rPr>
        <w:t>We are not prohibited under the indenture governing the notes from incurring additional indebtedness. Although our $2.25 billion revolving credit facility requires us to comply with specified ratios of Total Debt to EBITDA and EBIT to Consolidated Total Interest Expense (each as defined in our $2.25 billion revolving credit facility), as of March 31, 2016 and after giving effect to the offering of the notes and the use of proceeds contemplated hereby,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and we depend upon cash distributions from our subsidiaries to service our debt.</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effectively subordinated to certain of our subsidiaries’ debt and our secured debt.</w:t>
      </w:r>
    </w:p>
    <w:p>
      <w:pPr>
        <w:spacing w:after="0" w:line="229" w:lineRule="exact"/>
        <w:rPr>
          <w:sz w:val="20"/>
          <w:szCs w:val="20"/>
          <w:color w:val="auto"/>
        </w:rPr>
      </w:pPr>
    </w:p>
    <w:p>
      <w:pPr>
        <w:ind w:right="60" w:firstLine="799"/>
        <w:spacing w:after="0" w:line="270" w:lineRule="auto"/>
        <w:rPr>
          <w:sz w:val="20"/>
          <w:szCs w:val="20"/>
          <w:color w:val="auto"/>
        </w:rPr>
      </w:pPr>
      <w:r>
        <w:rPr>
          <w:rFonts w:ascii="Arial" w:cs="Arial" w:eastAsia="Arial" w:hAnsi="Arial"/>
          <w:sz w:val="17"/>
          <w:szCs w:val="17"/>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March 31, 2016 was $74 million. As of March 31, 2016, our operating subsidiaries had $3.024 billion of indebtedness and WM Holdings had $304 million of indebtedness (excluding guarantees of $5.7 billion of our senior debt), in each case excluding intercompany loans. For a description of the ranking of the notes, see “Description of Notes—Ranking” in this prospectus supplement.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Fraudulent transfer statutes may limit your rights under the guarantee of the notes.</w:t>
      </w:r>
    </w:p>
    <w:p>
      <w:pPr>
        <w:spacing w:after="0" w:line="229" w:lineRule="exact"/>
        <w:rPr>
          <w:sz w:val="20"/>
          <w:szCs w:val="20"/>
          <w:color w:val="auto"/>
        </w:rPr>
      </w:pPr>
    </w:p>
    <w:p>
      <w:pPr>
        <w:ind w:right="40" w:firstLine="799"/>
        <w:spacing w:after="0" w:line="290"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may not have sufficient funds to purchase the notes upon a change of control triggering event, and this covenant provides limited protection to investors.</w:t>
      </w:r>
    </w:p>
    <w:p>
      <w:pPr>
        <w:spacing w:after="0" w:line="166"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not be able to sell the notes.</w:t>
      </w:r>
    </w:p>
    <w:p>
      <w:pPr>
        <w:spacing w:after="0" w:line="229"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214" w:lineRule="exact"/>
        <w:rPr>
          <w:sz w:val="20"/>
          <w:szCs w:val="20"/>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80"/>
          </w:cols>
          <w:pgMar w:left="24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40" w:firstLine="799"/>
        <w:spacing w:after="0" w:line="286" w:lineRule="auto"/>
        <w:rPr>
          <w:sz w:val="20"/>
          <w:szCs w:val="20"/>
          <w:color w:val="auto"/>
        </w:rPr>
      </w:pPr>
      <w:r>
        <w:rPr>
          <w:rFonts w:ascii="Arial" w:cs="Arial" w:eastAsia="Arial" w:hAnsi="Arial"/>
          <w:sz w:val="17"/>
          <w:szCs w:val="17"/>
          <w:color w:val="auto"/>
        </w:rPr>
        <w:t>We expect the net proceeds from the offering of the notes to be $495.6 million, after deducting the underwriting discount and estimated expenses of the offering that we will pay. We intend to use the net proceeds from the offering of the notes, together with cash on hand, to repay $500 million principal amount of our outstanding 2.6% Senior Notes when they mature in September 2016, plus accrued and unpaid interest of $6.5 million.</w:t>
      </w:r>
    </w:p>
    <w:p>
      <w:pPr>
        <w:spacing w:after="0" w:line="166"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Pending application of the net proceeds as described immediately above, we anticipate that we may temporarily pay down short-term borrowings under our $2.25 billion revolving credit facility used for working capital, and we may temporarily invest in short-term investments. As of March 31, 2016, the outstanding balance on our $2.25 billion revolving credit facility was $458 million and had a weighted average interest rate of 1.4%. The $2.25 billion revolving credit facility matures in July 2020.</w:t>
      </w:r>
    </w:p>
    <w:p>
      <w:pPr>
        <w:spacing w:after="0" w:line="187" w:lineRule="exact"/>
        <w:rPr>
          <w:sz w:val="20"/>
          <w:szCs w:val="20"/>
          <w:color w:val="auto"/>
        </w:rPr>
      </w:pPr>
    </w:p>
    <w:p>
      <w:pPr>
        <w:ind w:right="60" w:firstLine="799"/>
        <w:spacing w:after="0" w:line="276" w:lineRule="auto"/>
        <w:rPr>
          <w:sz w:val="20"/>
          <w:szCs w:val="20"/>
          <w:color w:val="auto"/>
        </w:rPr>
      </w:pPr>
      <w:r>
        <w:rPr>
          <w:rFonts w:ascii="Arial" w:cs="Arial" w:eastAsia="Arial" w:hAnsi="Arial"/>
          <w:sz w:val="17"/>
          <w:szCs w:val="17"/>
          <w:color w:val="auto"/>
        </w:rPr>
        <w:t>Certain affiliates of some of the underwriters in this offering are lenders to us under our $2.25 billion revolving credit facility and may receive 5% or more of the net proceeds of this offering by reason of the repayment of amounts outstanding under such credit facility, pending application of the net proceeds as described above. Accordingly, such underwriters are deemed to have a “conflict of interest” within the meaning of Rule 5121, and this offering will be conducted in accordance with Rule 5121. No underwriter with a “conflict of interest” will confirm sales to any account over which it exercises discretion without the specific written approval of the account holder. See “Underwriting (Conflicts of Interest)” in this prospectus supplement.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The following table sets forth our consolidated cash and cash equivalents and consolidated capitalization as of March 31, 2016 on an actual basis and as adjusted to give effect to the offering of the notes and the application of the estimated net proceeds as described in the initial paragraph under “Use of Proceeds” in this prospectus supplement. 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8"/>
          </w:tcPr>
          <w:p>
            <w:pPr>
              <w:jc w:val="center"/>
              <w:ind w:right="720"/>
              <w:spacing w:after="0"/>
              <w:rPr>
                <w:sz w:val="20"/>
                <w:szCs w:val="20"/>
                <w:color w:val="auto"/>
              </w:rPr>
            </w:pPr>
            <w:r>
              <w:rPr>
                <w:rFonts w:ascii="Arial" w:cs="Arial" w:eastAsia="Arial" w:hAnsi="Arial"/>
                <w:sz w:val="14"/>
                <w:szCs w:val="14"/>
                <w:b w:val="1"/>
                <w:bCs w:val="1"/>
                <w:color w:val="auto"/>
                <w:w w:val="96"/>
              </w:rPr>
              <w:t>March 31, 2016</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Actual</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As</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3"/>
              </w:rPr>
              <w:t>Adjusted</w:t>
            </w:r>
          </w:p>
        </w:tc>
        <w:tc>
          <w:tcPr>
            <w:tcW w:w="2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9"/>
          </w:tcPr>
          <w:p>
            <w:pPr>
              <w:jc w:val="center"/>
              <w:ind w:right="340"/>
              <w:spacing w:after="0" w:line="119" w:lineRule="exact"/>
              <w:rPr>
                <w:sz w:val="20"/>
                <w:szCs w:val="20"/>
                <w:color w:val="auto"/>
              </w:rPr>
            </w:pPr>
            <w:r>
              <w:rPr>
                <w:rFonts w:ascii="Arial" w:cs="Arial" w:eastAsia="Arial" w:hAnsi="Arial"/>
                <w:sz w:val="13"/>
                <w:szCs w:val="13"/>
                <w:b w:val="1"/>
                <w:bCs w:val="1"/>
                <w:color w:val="auto"/>
              </w:rPr>
              <w:t>(Unaudited, Dollars in</w:t>
            </w: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millions)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100(d)</w:t>
            </w:r>
          </w:p>
        </w:tc>
      </w:tr>
      <w:tr>
        <w:trPr>
          <w:trHeight w:val="223"/>
        </w:trPr>
        <w:tc>
          <w:tcPr>
            <w:tcW w:w="8940" w:type="dxa"/>
            <w:vAlign w:val="bottom"/>
            <w:gridSpan w:val="3"/>
          </w:tcPr>
          <w:p>
            <w:pPr>
              <w:spacing w:after="0"/>
              <w:rPr>
                <w:sz w:val="20"/>
                <w:szCs w:val="20"/>
                <w:color w:val="auto"/>
              </w:rPr>
            </w:pPr>
            <w:r>
              <w:rPr>
                <w:rFonts w:ascii="Arial" w:cs="Arial" w:eastAsia="Arial" w:hAnsi="Arial"/>
                <w:sz w:val="18"/>
                <w:szCs w:val="18"/>
                <w:b w:val="1"/>
                <w:bCs w:val="1"/>
                <w:color w:val="auto"/>
              </w:rPr>
              <w:t>Debt:</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$2.25 billion revolving credit facility (weighted average interest rate of 1.4% at March 31, 2016) (a)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458</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458</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Letter of credit facilities (a)</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Canadian credit facility and term loan (weighted average effective interest rate of 2.0% at March 31, 2016) (b)</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353</w:t>
            </w:r>
          </w:p>
        </w:tc>
      </w:tr>
      <w:tr>
        <w:trPr>
          <w:trHeight w:val="202"/>
        </w:trPr>
        <w:tc>
          <w:tcPr>
            <w:tcW w:w="20" w:type="dxa"/>
            <w:vAlign w:val="bottom"/>
          </w:tcPr>
          <w:p>
            <w:pPr>
              <w:spacing w:after="0"/>
              <w:rPr>
                <w:sz w:val="17"/>
                <w:szCs w:val="17"/>
                <w:color w:val="auto"/>
              </w:rPr>
            </w:pPr>
          </w:p>
        </w:tc>
        <w:tc>
          <w:tcPr>
            <w:tcW w:w="89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3"/>
              </w:rPr>
              <w:t>Senior notes maturing through 2045, interest rates ranging from 2.60% to 7.75% (weighted average interest rate of</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520"/>
              <w:spacing w:after="0"/>
              <w:rPr>
                <w:sz w:val="20"/>
                <w:szCs w:val="20"/>
                <w:color w:val="auto"/>
              </w:rPr>
            </w:pPr>
            <w:r>
              <w:rPr>
                <w:rFonts w:ascii="Arial" w:cs="Arial" w:eastAsia="Arial" w:hAnsi="Arial"/>
                <w:sz w:val="18"/>
                <w:szCs w:val="18"/>
                <w:color w:val="auto"/>
              </w:rPr>
              <w:t>4.7% at March 31, 2016)</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6,039</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5,539</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2.400% Senior Notes due 2023 offered hereby (including unamortized discount)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r>
      <w:tr>
        <w:trPr>
          <w:trHeight w:val="202"/>
        </w:trPr>
        <w:tc>
          <w:tcPr>
            <w:tcW w:w="20" w:type="dxa"/>
            <w:vAlign w:val="bottom"/>
          </w:tcPr>
          <w:p>
            <w:pPr>
              <w:spacing w:after="0"/>
              <w:rPr>
                <w:sz w:val="17"/>
                <w:szCs w:val="17"/>
                <w:color w:val="auto"/>
              </w:rPr>
            </w:pPr>
          </w:p>
        </w:tc>
        <w:tc>
          <w:tcPr>
            <w:tcW w:w="89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5"/>
              </w:rPr>
              <w:t>Tax-exempt bonds maturing through 2045, fixed and variable interest rates ranging from 0.4% to 5.7% (weighted</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520"/>
              <w:spacing w:after="0"/>
              <w:rPr>
                <w:sz w:val="20"/>
                <w:szCs w:val="20"/>
                <w:color w:val="auto"/>
              </w:rPr>
            </w:pPr>
            <w:r>
              <w:rPr>
                <w:rFonts w:ascii="Arial" w:cs="Arial" w:eastAsia="Arial" w:hAnsi="Arial"/>
                <w:sz w:val="18"/>
                <w:szCs w:val="18"/>
                <w:color w:val="auto"/>
              </w:rPr>
              <w:t>average interest rate of 2.0% at March 31, 2016) (c)</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2,418</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2,418</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r>
      <w:tr>
        <w:trPr>
          <w:trHeight w:val="230"/>
        </w:trPr>
        <w:tc>
          <w:tcPr>
            <w:tcW w:w="20" w:type="dxa"/>
            <w:vAlign w:val="bottom"/>
          </w:tcPr>
          <w:p>
            <w:pPr>
              <w:spacing w:after="0"/>
              <w:rPr>
                <w:sz w:val="20"/>
                <w:szCs w:val="20"/>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9,596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9,596</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Waste Management, Inc. Stockholders’ Equity:</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4,795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rPr>
              <w:t>4,795</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7,012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7,012</w:t>
            </w:r>
          </w:p>
        </w:tc>
      </w:tr>
      <w:tr>
        <w:trPr>
          <w:trHeight w:val="216"/>
        </w:trPr>
        <w:tc>
          <w:tcPr>
            <w:tcW w:w="20" w:type="dxa"/>
            <w:vAlign w:val="bottom"/>
          </w:tcPr>
          <w:p>
            <w:pPr>
              <w:spacing w:after="0"/>
              <w:rPr>
                <w:sz w:val="18"/>
                <w:szCs w:val="18"/>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cost, 185,558,853 shares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(6,465)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(6,465)</w:t>
            </w:r>
          </w:p>
        </w:tc>
      </w:tr>
      <w:tr>
        <w:trPr>
          <w:trHeight w:val="223"/>
        </w:trPr>
        <w:tc>
          <w:tcPr>
            <w:tcW w:w="20" w:type="dxa"/>
            <w:vAlign w:val="bottom"/>
          </w:tcPr>
          <w:p>
            <w:pPr>
              <w:spacing w:after="0"/>
              <w:rPr>
                <w:sz w:val="19"/>
                <w:szCs w:val="19"/>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Total Waste Management, Inc. stockholders’ equity</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5,290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5,290</w:t>
            </w:r>
          </w:p>
        </w:tc>
        <w:tc>
          <w:tcPr>
            <w:tcW w:w="2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20"/>
                <w:szCs w:val="20"/>
                <w:color w:val="auto"/>
              </w:rPr>
            </w:pPr>
          </w:p>
        </w:tc>
        <w:tc>
          <w:tcPr>
            <w:tcW w:w="8920" w:type="dxa"/>
            <w:vAlign w:val="bottom"/>
            <w:gridSpan w:val="2"/>
          </w:tcPr>
          <w:p>
            <w:pPr>
              <w:ind w:left="34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5,310</w:t>
            </w:r>
          </w:p>
        </w:tc>
        <w:tc>
          <w:tcPr>
            <w:tcW w:w="2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debt and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14,906</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14,906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r>
    </w:tbl>
    <w:p>
      <w:pPr>
        <w:spacing w:after="0" w:line="26" w:lineRule="exact"/>
        <w:rPr>
          <w:sz w:val="20"/>
          <w:szCs w:val="20"/>
          <w:color w:val="auto"/>
        </w:rPr>
      </w:pPr>
    </w:p>
    <w:p>
      <w:pPr>
        <w:ind w:left="460" w:right="40" w:hanging="452"/>
        <w:spacing w:after="0" w:line="29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March 31, 2016, we had an aggregate committed capacity of $2.4 billion for letters of credit under various U.S. credit facilities. Our $2.25 billion revolving credit facility expires in July 2020 and is our primary source of letter of credit capacity. Our remaining committed letter of credit capacity is provided under facilities with terms extending through December 2018. As of March 31, 2016, we had an aggregate of $965 million of letters of credit outstanding under various credit facilities. As of March 31, 2016, we had $458 million of outstanding borrowings under our $2.25 billion revolving credit facility and $815 million of letters of credit issued and supported by the facility, leaving $977 million of unused and available capacity. We supplement the letter of credit capacity we have through these committed facilities with stand-alone letters of credit with various banking partners.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Waste Management of Canada Corporation and WM Quebec Inc., wholly owned subsidiaries of Waste Management, Inc., are borrowers under a Canadian credit agreement that was amended and restated in March 2016 and matures in March 2019. The amended and restated credit agreement provides (i) C$50 million of revolving credit capacity, which can be used for borrowings or letters of credit and (ii) C$460 million of non-revolving term credit that was fully drawn at closing and is prepayable without penalty. Waste Management, Inc. and WM Holdings guarantee all subsidiary obligations outstanding under the credit agreement. As of March 31, 2016, we had no revolving borrowings or letters of credit outstanding under the facility.</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Does not reflect payment of accrued interest of $6.5 million upon repayment of our 2.6% Senior Notes when they mature in September 2016.</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We are offering $500 million of our 2.400% senior notes due 2023. The notes will be issued under and pursuant to an Indenture dated as 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The Notes</w:t>
      </w:r>
      <w:r>
        <w:rPr>
          <w:rFonts w:ascii="Arial" w:cs="Arial" w:eastAsia="Arial" w:hAnsi="Arial"/>
          <w:sz w:val="18"/>
          <w:szCs w:val="18"/>
          <w:color w:val="auto"/>
        </w:rPr>
        <w:t>. The notes will:</w:t>
      </w:r>
    </w:p>
    <w:p>
      <w:pPr>
        <w:spacing w:after="0" w:line="252" w:lineRule="exact"/>
        <w:rPr>
          <w:sz w:val="20"/>
          <w:szCs w:val="20"/>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252" w:lineRule="exact"/>
        <w:rPr>
          <w:rFonts w:ascii="Arial" w:cs="Arial" w:eastAsia="Arial" w:hAnsi="Arial"/>
          <w:sz w:val="18"/>
          <w:szCs w:val="18"/>
          <w:color w:val="auto"/>
        </w:rPr>
      </w:pPr>
    </w:p>
    <w:p>
      <w:pPr>
        <w:ind w:left="1240" w:right="520" w:hanging="327"/>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constitute a new and separate series of debt securities issued under the Indenture and will be initially limited to an aggregate principal amount of $500 million;</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mature on May 15, 2023;</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252" w:lineRule="exact"/>
        <w:rPr>
          <w:rFonts w:ascii="Arial" w:cs="Arial" w:eastAsia="Arial" w:hAnsi="Arial"/>
          <w:sz w:val="18"/>
          <w:szCs w:val="18"/>
          <w:color w:val="auto"/>
        </w:rPr>
      </w:pPr>
    </w:p>
    <w:p>
      <w:pPr>
        <w:ind w:left="1240" w:hanging="327"/>
        <w:spacing w:after="0" w:line="264"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Interest will:</w:t>
      </w:r>
    </w:p>
    <w:p>
      <w:pPr>
        <w:spacing w:after="0" w:line="252" w:lineRule="exact"/>
        <w:rPr>
          <w:sz w:val="20"/>
          <w:szCs w:val="20"/>
          <w:color w:val="auto"/>
        </w:rPr>
      </w:pPr>
    </w:p>
    <w:p>
      <w:pPr>
        <w:ind w:left="1240" w:hanging="327"/>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 on the notes at the rate of 2.400% per annum;</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 from May 16, 2016 or the most recent interest payment date;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payable in cash semi-annually in arrears on May 15 and November 15 of each year, beginning on November 15, 2016;</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payable to holders of record on the May 1 and November 1 immediately preceding the related interest payment dates;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and Transfer</w:t>
      </w:r>
    </w:p>
    <w:p>
      <w:pPr>
        <w:spacing w:after="0" w:line="229"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87" w:lineRule="exact"/>
        <w:rPr>
          <w:sz w:val="20"/>
          <w:szCs w:val="20"/>
          <w:color w:val="auto"/>
        </w:rPr>
      </w:pPr>
    </w:p>
    <w:p>
      <w:pPr>
        <w:ind w:right="80" w:firstLine="799"/>
        <w:spacing w:after="0" w:line="302"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54" w:lineRule="exact"/>
        <w:rPr>
          <w:sz w:val="20"/>
          <w:szCs w:val="20"/>
          <w:color w:val="auto"/>
        </w:rPr>
      </w:pPr>
    </w:p>
    <w:p>
      <w:pPr>
        <w:jc w:val="both"/>
        <w:ind w:right="80" w:firstLine="799"/>
        <w:spacing w:after="0" w:line="286" w:lineRule="auto"/>
        <w:rPr>
          <w:sz w:val="20"/>
          <w:szCs w:val="20"/>
          <w:color w:val="auto"/>
        </w:rPr>
      </w:pPr>
      <w:r>
        <w:rPr>
          <w:rFonts w:ascii="Arial" w:cs="Arial" w:eastAsia="Arial" w:hAnsi="Arial"/>
          <w:sz w:val="17"/>
          <w:szCs w:val="17"/>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Before the Par Call Date, the notes will be redeemable and repayable, at our option, at any time in whole, or from time to time in part, at a price equal to the greater of:</w:t>
      </w:r>
    </w:p>
    <w:p>
      <w:pPr>
        <w:spacing w:after="0" w:line="197" w:lineRule="exact"/>
        <w:rPr>
          <w:sz w:val="20"/>
          <w:szCs w:val="20"/>
          <w:color w:val="auto"/>
        </w:rPr>
      </w:pPr>
    </w:p>
    <w:p>
      <w:pPr>
        <w:ind w:left="1240" w:hanging="32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52" w:lineRule="exact"/>
        <w:rPr>
          <w:rFonts w:ascii="Arial" w:cs="Arial" w:eastAsia="Arial" w:hAnsi="Arial"/>
          <w:sz w:val="18"/>
          <w:szCs w:val="18"/>
          <w:color w:val="auto"/>
        </w:rPr>
      </w:pPr>
    </w:p>
    <w:p>
      <w:pPr>
        <w:ind w:left="1240" w:hanging="327"/>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as calculated by us, of the present values of the remaining scheduled payments of principal and interest on the notes to be redeemed that would be due if such notes matured on the Par Call Date (exclusive of interest accrued to the date of redemption) discounted to the date of redemption on a semi-annual basis (assuming a 360-day year consisting of twelve 30-day months) at the applicable Treasury Yield plus 15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25" w:lineRule="exact"/>
        <w:rPr>
          <w:sz w:val="20"/>
          <w:szCs w:val="20"/>
          <w:color w:val="auto"/>
        </w:rPr>
      </w:pPr>
    </w:p>
    <w:p>
      <w:pPr>
        <w:ind w:right="380" w:firstLine="799"/>
        <w:spacing w:after="0" w:line="342" w:lineRule="auto"/>
        <w:rPr>
          <w:sz w:val="20"/>
          <w:szCs w:val="20"/>
          <w:color w:val="auto"/>
        </w:rPr>
      </w:pPr>
      <w:r>
        <w:rPr>
          <w:rFonts w:ascii="Arial" w:cs="Arial" w:eastAsia="Arial" w:hAnsi="Arial"/>
          <w:sz w:val="16"/>
          <w:szCs w:val="16"/>
          <w:color w:val="auto"/>
        </w:rPr>
        <w:t>On or after the Par Call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124" w:lineRule="exact"/>
        <w:rPr>
          <w:sz w:val="20"/>
          <w:szCs w:val="20"/>
          <w:color w:val="auto"/>
        </w:rPr>
      </w:pPr>
    </w:p>
    <w:p>
      <w:pPr>
        <w:ind w:right="100" w:firstLine="799"/>
        <w:spacing w:after="0" w:line="291"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799"/>
        <w:spacing w:after="0" w:line="302" w:lineRule="auto"/>
        <w:rPr>
          <w:sz w:val="20"/>
          <w:szCs w:val="20"/>
          <w:color w:val="auto"/>
        </w:rPr>
      </w:pPr>
      <w:r>
        <w:rPr>
          <w:rFonts w:ascii="Arial" w:cs="Arial" w:eastAsia="Arial" w:hAnsi="Arial"/>
          <w:sz w:val="16"/>
          <w:szCs w:val="16"/>
          <w:color w:val="auto"/>
        </w:rPr>
        <w:t>The factors that we generally consider in determining whether to redeem the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We are currently unaware of any circumstances under which we would redeem the notes.</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225" w:lineRule="exact"/>
        <w:rPr>
          <w:sz w:val="20"/>
          <w:szCs w:val="20"/>
          <w:color w:val="auto"/>
        </w:rPr>
      </w:pPr>
    </w:p>
    <w:p>
      <w:pPr>
        <w:ind w:left="800" w:right="2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87" w:lineRule="exact"/>
        <w:rPr>
          <w:sz w:val="20"/>
          <w:szCs w:val="20"/>
          <w:color w:val="auto"/>
        </w:rPr>
      </w:pPr>
    </w:p>
    <w:p>
      <w:pPr>
        <w:ind w:left="800" w:right="4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Banker as having a maturity comparable to the remaining term of the notes to be redeemed,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87" w:lineRule="exact"/>
        <w:rPr>
          <w:sz w:val="20"/>
          <w:szCs w:val="20"/>
          <w:color w:val="auto"/>
        </w:rPr>
      </w:pPr>
    </w:p>
    <w:p>
      <w:pPr>
        <w:ind w:left="800" w:right="20" w:firstLine="74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Independent Investment Banker</w:t>
      </w:r>
      <w:r>
        <w:rPr>
          <w:rFonts w:ascii="Arial" w:cs="Arial" w:eastAsia="Arial" w:hAnsi="Arial"/>
          <w:sz w:val="17"/>
          <w:szCs w:val="17"/>
          <w:color w:val="auto"/>
        </w:rPr>
        <w:t>” means any of Citigroup Global Markets Inc., Merrill Lynch, Pierce, Fenner &amp; Smith Incorporated and Mizuho Securities USA Inc. (and their respective successors), or, if all of such firms are unwilling or unable to select the applicable Comparable Treasury Issue, an independent investment banking institution of national standing appointed by us.</w:t>
      </w:r>
    </w:p>
    <w:p>
      <w:pPr>
        <w:spacing w:after="0" w:line="166" w:lineRule="exact"/>
        <w:rPr>
          <w:sz w:val="20"/>
          <w:szCs w:val="20"/>
          <w:color w:val="auto"/>
        </w:rPr>
      </w:pPr>
    </w:p>
    <w:p>
      <w:pPr>
        <w:ind w:left="800" w:right="100" w:firstLine="74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(i) the average of the Reference Treasury Dealer Quotations obtained by the Trustee for the redemption date, after excluding the highest and lowest of all Reference Treasury Dealer Quotations obtained, or</w:t>
      </w:r>
    </w:p>
    <w:p>
      <w:pPr>
        <w:ind w:left="800" w:right="320" w:firstLine="7"/>
        <w:spacing w:after="0" w:line="261" w:lineRule="auto"/>
        <w:tabs>
          <w:tab w:leader="none" w:pos="10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Trustee obtains fewer than four such Reference Treasury Dealer Quotations, the average of all Reference Treasury Dealer Quotations obtained by the Trustee.</w:t>
      </w:r>
    </w:p>
    <w:p>
      <w:pPr>
        <w:spacing w:after="0" w:line="18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March 15, 2023 (two months prior to the maturity date).</w:t>
      </w:r>
    </w:p>
    <w:p>
      <w:pPr>
        <w:spacing w:after="0" w:line="225" w:lineRule="exact"/>
        <w:rPr>
          <w:sz w:val="20"/>
          <w:szCs w:val="20"/>
          <w:color w:val="auto"/>
        </w:rPr>
      </w:pPr>
    </w:p>
    <w:p>
      <w:pPr>
        <w:ind w:left="800" w:right="4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Citigroup Global Markets Inc., Merrill Lynch, Pierce, Fenner &amp; Smith Incorporated and Mizuho Securities USA Inc.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87" w:lineRule="exact"/>
        <w:rPr>
          <w:sz w:val="20"/>
          <w:szCs w:val="20"/>
          <w:color w:val="auto"/>
        </w:rPr>
      </w:pPr>
    </w:p>
    <w:p>
      <w:pPr>
        <w:ind w:left="80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187" w:lineRule="exact"/>
        <w:rPr>
          <w:sz w:val="20"/>
          <w:szCs w:val="20"/>
          <w:color w:val="auto"/>
        </w:rPr>
      </w:pPr>
    </w:p>
    <w:p>
      <w:pPr>
        <w:jc w:val="center"/>
        <w:ind w:left="540" w:right="500"/>
        <w:spacing w:after="0" w:line="449"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 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ind w:right="520" w:firstLine="799"/>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the Debt Securities—Provisions Applicable to Each Indenture—Defeasance” in the accompanying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340" w:firstLine="799"/>
        <w:spacing w:after="0" w:line="308" w:lineRule="auto"/>
        <w:rPr>
          <w:sz w:val="20"/>
          <w:szCs w:val="20"/>
          <w:color w:val="auto"/>
        </w:rPr>
      </w:pPr>
      <w:r>
        <w:rPr>
          <w:rFonts w:ascii="Arial" w:cs="Arial" w:eastAsia="Arial" w:hAnsi="Arial"/>
          <w:sz w:val="17"/>
          <w:szCs w:val="17"/>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 either:</w:t>
      </w:r>
    </w:p>
    <w:p>
      <w:pPr>
        <w:spacing w:after="0" w:line="225" w:lineRule="exact"/>
        <w:rPr>
          <w:sz w:val="20"/>
          <w:szCs w:val="20"/>
          <w:color w:val="auto"/>
        </w:rPr>
      </w:pPr>
    </w:p>
    <w:p>
      <w:pPr>
        <w:ind w:left="800" w:right="340" w:firstLine="750"/>
        <w:spacing w:after="0" w:line="264" w:lineRule="auto"/>
        <w:tabs>
          <w:tab w:leader="none" w:pos="178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81" w:lineRule="exact"/>
        <w:rPr>
          <w:rFonts w:ascii="Arial" w:cs="Arial" w:eastAsia="Arial" w:hAnsi="Arial"/>
          <w:sz w:val="18"/>
          <w:szCs w:val="18"/>
          <w:color w:val="auto"/>
        </w:rPr>
      </w:pPr>
    </w:p>
    <w:p>
      <w:pPr>
        <w:ind w:left="800" w:right="100" w:firstLine="750"/>
        <w:spacing w:after="0" w:line="255" w:lineRule="auto"/>
        <w:tabs>
          <w:tab w:leader="none" w:pos="17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193" w:lineRule="exact"/>
        <w:rPr>
          <w:rFonts w:ascii="Arial" w:cs="Arial" w:eastAsia="Arial" w:hAnsi="Arial"/>
          <w:sz w:val="18"/>
          <w:szCs w:val="18"/>
          <w:color w:val="auto"/>
        </w:rPr>
      </w:pPr>
    </w:p>
    <w:p>
      <w:pPr>
        <w:ind w:left="1060" w:hanging="25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and</w:t>
      </w:r>
    </w:p>
    <w:p>
      <w:pPr>
        <w:spacing w:after="0" w:line="225" w:lineRule="exact"/>
        <w:rPr>
          <w:rFonts w:ascii="Arial" w:cs="Arial" w:eastAsia="Arial" w:hAnsi="Arial"/>
          <w:sz w:val="18"/>
          <w:szCs w:val="18"/>
          <w:color w:val="auto"/>
        </w:rPr>
      </w:pPr>
    </w:p>
    <w:p>
      <w:pPr>
        <w:ind w:right="400" w:firstLine="807"/>
        <w:spacing w:after="0" w:line="277" w:lineRule="auto"/>
        <w:tabs>
          <w:tab w:leader="none" w:pos="10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87"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Securities—Provisions Applicable Solely to Senior Debt Securities” in the accompanying prospectus.</w:t>
      </w:r>
    </w:p>
    <w:p>
      <w:pPr>
        <w:spacing w:after="0" w:line="188" w:lineRule="exact"/>
        <w:rPr>
          <w:sz w:val="20"/>
          <w:szCs w:val="20"/>
          <w:color w:val="auto"/>
        </w:rPr>
      </w:pPr>
    </w:p>
    <w:p>
      <w:pPr>
        <w:ind w:right="720" w:firstLine="799"/>
        <w:spacing w:after="0" w:line="277" w:lineRule="auto"/>
        <w:rPr>
          <w:sz w:val="20"/>
          <w:szCs w:val="20"/>
          <w:color w:val="auto"/>
        </w:rPr>
      </w:pPr>
      <w:r>
        <w:rPr>
          <w:rFonts w:ascii="Arial" w:cs="Arial" w:eastAsia="Arial" w:hAnsi="Arial"/>
          <w:sz w:val="18"/>
          <w:szCs w:val="18"/>
          <w:color w:val="auto"/>
        </w:rPr>
        <w:t>As of March 31, 2016, our operating subsidiaries had $3.024 billion of indebtedness and WM Holdings had $304 million of indebtedness (excluding guarantees of $5.7 billion of our senior debt), in each case excluding intercompany loans.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Guarantee</w:t>
      </w:r>
    </w:p>
    <w:p>
      <w:pPr>
        <w:spacing w:after="0" w:line="229"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87"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197" w:lineRule="exact"/>
        <w:rPr>
          <w:sz w:val="20"/>
          <w:szCs w:val="20"/>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252" w:lineRule="exact"/>
        <w:rPr>
          <w:rFonts w:ascii="Arial" w:cs="Arial" w:eastAsia="Arial" w:hAnsi="Arial"/>
          <w:sz w:val="18"/>
          <w:szCs w:val="18"/>
          <w:color w:val="auto"/>
        </w:rPr>
      </w:pPr>
    </w:p>
    <w:p>
      <w:pPr>
        <w:ind w:left="1240" w:right="120" w:hanging="327"/>
        <w:spacing w:after="0" w:line="264"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of Control Offer</w:t>
      </w:r>
    </w:p>
    <w:p>
      <w:pPr>
        <w:spacing w:after="0" w:line="229"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58"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252" w:lineRule="exact"/>
        <w:rPr>
          <w:sz w:val="20"/>
          <w:szCs w:val="20"/>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252" w:lineRule="exact"/>
        <w:rPr>
          <w:rFonts w:ascii="Arial" w:cs="Arial" w:eastAsia="Arial" w:hAnsi="Arial"/>
          <w:sz w:val="18"/>
          <w:szCs w:val="18"/>
          <w:color w:val="auto"/>
        </w:rPr>
      </w:pPr>
    </w:p>
    <w:p>
      <w:pPr>
        <w:ind w:left="1240" w:hanging="327"/>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97" w:lineRule="exact"/>
        <w:rPr>
          <w:rFonts w:ascii="Arial" w:cs="Arial" w:eastAsia="Arial" w:hAnsi="Arial"/>
          <w:sz w:val="18"/>
          <w:szCs w:val="18"/>
          <w:color w:val="auto"/>
        </w:rPr>
      </w:pPr>
    </w:p>
    <w:p>
      <w:pPr>
        <w:ind w:left="1240" w:right="40" w:hanging="327"/>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ind w:right="180" w:firstLine="799"/>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of control</w:t>
      </w:r>
      <w:r>
        <w:rPr>
          <w:rFonts w:ascii="Arial" w:cs="Arial" w:eastAsia="Arial" w:hAnsi="Arial"/>
          <w:sz w:val="17"/>
          <w:szCs w:val="17"/>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180"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8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ind w:left="800" w:right="260" w:firstLine="74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18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225" w:lineRule="exact"/>
        <w:rPr>
          <w:sz w:val="20"/>
          <w:szCs w:val="20"/>
          <w:color w:val="auto"/>
        </w:rPr>
      </w:pPr>
    </w:p>
    <w:p>
      <w:pPr>
        <w:ind w:left="800" w:right="320" w:firstLine="74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18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800" w:firstLine="74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87" w:lineRule="exact"/>
        <w:rPr>
          <w:sz w:val="20"/>
          <w:szCs w:val="20"/>
          <w:color w:val="auto"/>
        </w:rPr>
      </w:pPr>
    </w:p>
    <w:p>
      <w:pPr>
        <w:ind w:left="800" w:right="160" w:firstLine="74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8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25" w:lineRule="exact"/>
        <w:rPr>
          <w:sz w:val="20"/>
          <w:szCs w:val="20"/>
          <w:color w:val="auto"/>
        </w:rPr>
      </w:pPr>
    </w:p>
    <w:p>
      <w:pPr>
        <w:ind w:left="800" w:right="340" w:firstLine="74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voting stock</w:t>
      </w:r>
      <w:r>
        <w:rPr>
          <w:rFonts w:ascii="Arial" w:cs="Arial" w:eastAsia="Arial" w:hAnsi="Arial"/>
          <w:sz w:val="16"/>
          <w:szCs w:val="16"/>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252" w:lineRule="exact"/>
        <w:rPr>
          <w:sz w:val="20"/>
          <w:szCs w:val="20"/>
          <w:color w:val="auto"/>
        </w:rPr>
      </w:pPr>
    </w:p>
    <w:p>
      <w:pPr>
        <w:ind w:left="1240" w:hanging="32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252" w:lineRule="exact"/>
        <w:rPr>
          <w:rFonts w:ascii="Arial" w:cs="Arial" w:eastAsia="Arial" w:hAnsi="Arial"/>
          <w:sz w:val="18"/>
          <w:szCs w:val="18"/>
          <w:color w:val="auto"/>
        </w:rPr>
      </w:pPr>
    </w:p>
    <w:p>
      <w:pPr>
        <w:ind w:left="5540" w:right="5440" w:hanging="4627"/>
        <w:spacing w:after="0" w:line="536" w:lineRule="auto"/>
        <w:tabs>
          <w:tab w:leader="none" w:pos="12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 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799"/>
        <w:spacing w:after="0" w:line="308" w:lineRule="auto"/>
        <w:rPr>
          <w:sz w:val="20"/>
          <w:szCs w:val="20"/>
          <w:color w:val="auto"/>
        </w:rPr>
      </w:pPr>
      <w:r>
        <w:rPr>
          <w:rFonts w:ascii="Arial" w:cs="Arial" w:eastAsia="Arial" w:hAnsi="Arial"/>
          <w:sz w:val="17"/>
          <w:szCs w:val="17"/>
          <w:color w:val="auto"/>
        </w:rPr>
        <w:t>For a description of these covenants, see “Description of the Debt Securities—Provisions Applicable to Each Indenture—Consolidation, Merger and Sale of Assets” and “—Provisions Applicable Solely to Senior Debt Securities—Restrictive Covenants” in the accompanying prospectus.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Issuances</w:t>
      </w:r>
    </w:p>
    <w:p>
      <w:pPr>
        <w:spacing w:after="0" w:line="229" w:lineRule="exact"/>
        <w:rPr>
          <w:sz w:val="20"/>
          <w:szCs w:val="20"/>
          <w:color w:val="auto"/>
        </w:rPr>
      </w:pPr>
    </w:p>
    <w:p>
      <w:pPr>
        <w:jc w:val="both"/>
        <w:ind w:firstLine="799"/>
        <w:spacing w:after="0" w:line="302" w:lineRule="auto"/>
        <w:rPr>
          <w:sz w:val="20"/>
          <w:szCs w:val="20"/>
          <w:color w:val="auto"/>
        </w:rPr>
      </w:pPr>
      <w:r>
        <w:rPr>
          <w:rFonts w:ascii="Arial" w:cs="Arial" w:eastAsia="Arial" w:hAnsi="Arial"/>
          <w:sz w:val="16"/>
          <w:szCs w:val="16"/>
          <w:color w:val="auto"/>
        </w:rPr>
        <w:t>We may from time to time, without notice or the consent of the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Systems</w:t>
      </w:r>
    </w:p>
    <w:p>
      <w:pPr>
        <w:spacing w:after="0" w:line="229"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71"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81"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88" w:lineRule="exact"/>
        <w:rPr>
          <w:sz w:val="20"/>
          <w:szCs w:val="20"/>
          <w:color w:val="auto"/>
        </w:rPr>
      </w:pPr>
    </w:p>
    <w:p>
      <w:pPr>
        <w:ind w:right="380" w:firstLine="799"/>
        <w:spacing w:after="0" w:line="277"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DTC</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DTC has advised us and the underwriters as follows:</w:t>
      </w:r>
    </w:p>
    <w:p>
      <w:pPr>
        <w:spacing w:after="0" w:line="252" w:lineRule="exact"/>
        <w:rPr>
          <w:sz w:val="20"/>
          <w:szCs w:val="20"/>
          <w:color w:val="auto"/>
        </w:rPr>
      </w:pPr>
    </w:p>
    <w:p>
      <w:pPr>
        <w:jc w:val="both"/>
        <w:ind w:left="1240" w:right="220" w:hanging="327"/>
        <w:spacing w:after="0" w:line="28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192" w:lineRule="exact"/>
        <w:rPr>
          <w:rFonts w:ascii="Arial" w:cs="Arial" w:eastAsia="Arial" w:hAnsi="Arial"/>
          <w:sz w:val="17"/>
          <w:szCs w:val="17"/>
          <w:color w:val="auto"/>
        </w:rPr>
      </w:pPr>
    </w:p>
    <w:p>
      <w:pPr>
        <w:ind w:left="1240" w:hanging="327"/>
        <w:spacing w:after="0" w:line="28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300" w:hanging="327"/>
        <w:spacing w:after="0" w:line="259"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213" w:lineRule="exact"/>
        <w:rPr>
          <w:rFonts w:ascii="Arial" w:cs="Arial" w:eastAsia="Arial" w:hAnsi="Arial"/>
          <w:sz w:val="18"/>
          <w:szCs w:val="18"/>
          <w:color w:val="auto"/>
        </w:rPr>
      </w:pPr>
    </w:p>
    <w:p>
      <w:pPr>
        <w:ind w:left="1240" w:hanging="327"/>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225" w:lineRule="exact"/>
        <w:rPr>
          <w:sz w:val="20"/>
          <w:szCs w:val="20"/>
          <w:color w:val="auto"/>
        </w:rPr>
      </w:pPr>
    </w:p>
    <w:p>
      <w:pPr>
        <w:ind w:right="120" w:firstLine="799"/>
        <w:spacing w:after="0" w:line="272"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78"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58"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Consequently, those persons may be prohibited from purchasing beneficial interests in the global notes from any beneficial owner or otherwise.</w:t>
      </w:r>
    </w:p>
    <w:p>
      <w:pPr>
        <w:spacing w:after="0" w:line="211"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87" w:lineRule="exact"/>
        <w:rPr>
          <w:sz w:val="20"/>
          <w:szCs w:val="20"/>
          <w:color w:val="auto"/>
        </w:rPr>
      </w:pPr>
    </w:p>
    <w:p>
      <w:pPr>
        <w:jc w:val="both"/>
        <w:ind w:right="100" w:firstLine="799"/>
        <w:spacing w:after="0" w:line="286" w:lineRule="auto"/>
        <w:rPr>
          <w:sz w:val="20"/>
          <w:szCs w:val="20"/>
          <w:color w:val="auto"/>
        </w:rPr>
      </w:pPr>
      <w:r>
        <w:rPr>
          <w:rFonts w:ascii="Arial" w:cs="Arial" w:eastAsia="Arial" w:hAnsi="Arial"/>
          <w:sz w:val="17"/>
          <w:szCs w:val="17"/>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66" w:lineRule="exact"/>
        <w:rPr>
          <w:sz w:val="20"/>
          <w:szCs w:val="20"/>
          <w:color w:val="auto"/>
        </w:rPr>
      </w:pPr>
    </w:p>
    <w:p>
      <w:pPr>
        <w:ind w:right="20" w:firstLine="799"/>
        <w:spacing w:after="0" w:line="286" w:lineRule="auto"/>
        <w:rPr>
          <w:sz w:val="20"/>
          <w:szCs w:val="20"/>
          <w:color w:val="auto"/>
        </w:rPr>
      </w:pPr>
      <w:r>
        <w:rPr>
          <w:rFonts w:ascii="Arial" w:cs="Arial" w:eastAsia="Arial" w:hAnsi="Arial"/>
          <w:sz w:val="17"/>
          <w:szCs w:val="17"/>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58"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87" w:lineRule="exact"/>
        <w:rPr>
          <w:sz w:val="20"/>
          <w:szCs w:val="20"/>
          <w:color w:val="auto"/>
        </w:rPr>
      </w:pPr>
    </w:p>
    <w:p>
      <w:pPr>
        <w:jc w:val="both"/>
        <w:ind w:right="80" w:firstLine="799"/>
        <w:spacing w:after="0" w:line="264"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81"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Euroclear</w:t>
      </w:r>
    </w:p>
    <w:p>
      <w:pPr>
        <w:spacing w:after="0" w:line="229" w:lineRule="exact"/>
        <w:rPr>
          <w:sz w:val="20"/>
          <w:szCs w:val="20"/>
          <w:color w:val="auto"/>
        </w:rPr>
      </w:pPr>
    </w:p>
    <w:p>
      <w:pPr>
        <w:ind w:right="160" w:firstLine="799"/>
        <w:spacing w:after="0" w:line="279" w:lineRule="auto"/>
        <w:rPr>
          <w:sz w:val="20"/>
          <w:szCs w:val="20"/>
          <w:color w:val="auto"/>
        </w:rPr>
      </w:pPr>
      <w:r>
        <w:rPr>
          <w:rFonts w:ascii="Arial" w:cs="Arial" w:eastAsia="Arial" w:hAnsi="Arial"/>
          <w:sz w:val="17"/>
          <w:szCs w:val="17"/>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71"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Euroclear Operator is a Belgian bank, which is regulated and examined by the Belgian Banking Commission and the National Bank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11" w:lineRule="exact"/>
        <w:rPr>
          <w:sz w:val="20"/>
          <w:szCs w:val="20"/>
          <w:color w:val="auto"/>
        </w:rPr>
      </w:pPr>
    </w:p>
    <w:p>
      <w:pPr>
        <w:ind w:right="140" w:firstLine="799"/>
        <w:spacing w:after="0" w:line="286" w:lineRule="auto"/>
        <w:rPr>
          <w:sz w:val="20"/>
          <w:szCs w:val="20"/>
          <w:color w:val="auto"/>
        </w:rPr>
      </w:pPr>
      <w:r>
        <w:rPr>
          <w:rFonts w:ascii="Arial" w:cs="Arial" w:eastAsia="Arial" w:hAnsi="Arial"/>
          <w:sz w:val="17"/>
          <w:szCs w:val="17"/>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66" w:lineRule="exact"/>
        <w:rPr>
          <w:sz w:val="20"/>
          <w:szCs w:val="20"/>
          <w:color w:val="auto"/>
        </w:rPr>
      </w:pPr>
    </w:p>
    <w:p>
      <w:pPr>
        <w:jc w:val="both"/>
        <w:ind w:right="320" w:firstLine="799"/>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799"/>
        <w:spacing w:after="0" w:line="277"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70" w:lineRule="exact"/>
        <w:rPr>
          <w:sz w:val="20"/>
          <w:szCs w:val="20"/>
          <w:color w:val="auto"/>
        </w:rPr>
      </w:pPr>
    </w:p>
    <w:p>
      <w:pPr>
        <w:ind w:right="40" w:firstLine="799"/>
        <w:spacing w:after="0" w:line="276"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73"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87"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58"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Clearstream</w:t>
      </w:r>
    </w:p>
    <w:p>
      <w:pPr>
        <w:spacing w:after="0" w:line="229" w:lineRule="exact"/>
        <w:rPr>
          <w:sz w:val="20"/>
          <w:szCs w:val="20"/>
          <w:color w:val="auto"/>
        </w:rPr>
      </w:pPr>
    </w:p>
    <w:p>
      <w:pPr>
        <w:ind w:right="240" w:firstLine="799"/>
        <w:spacing w:after="0" w:line="272"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78"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799"/>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70"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58"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87" w:lineRule="exact"/>
        <w:rPr>
          <w:sz w:val="20"/>
          <w:szCs w:val="20"/>
          <w:color w:val="auto"/>
        </w:rPr>
      </w:pPr>
    </w:p>
    <w:p>
      <w:pPr>
        <w:ind w:right="140" w:firstLine="799"/>
        <w:spacing w:after="0" w:line="297"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58"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Discussion</w:t>
      </w:r>
    </w:p>
    <w:p>
      <w:pPr>
        <w:spacing w:after="0" w:line="229" w:lineRule="exact"/>
        <w:rPr>
          <w:sz w:val="20"/>
          <w:szCs w:val="20"/>
          <w:color w:val="auto"/>
        </w:rPr>
      </w:pPr>
    </w:p>
    <w:p>
      <w:pPr>
        <w:ind w:right="220" w:firstLine="799"/>
        <w:spacing w:after="0" w:line="291" w:lineRule="auto"/>
        <w:rPr>
          <w:sz w:val="20"/>
          <w:szCs w:val="20"/>
          <w:color w:val="auto"/>
        </w:rPr>
      </w:pPr>
      <w:r>
        <w:rPr>
          <w:rFonts w:ascii="Arial" w:cs="Arial" w:eastAsia="Arial" w:hAnsi="Arial"/>
          <w:sz w:val="16"/>
          <w:szCs w:val="16"/>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67"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In addition, this discussion does not address any aspect of non-income taxation (such as estate and gift tax considerations) or state, local or foreign taxation.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93" w:lineRule="exact"/>
        <w:rPr>
          <w:sz w:val="20"/>
          <w:szCs w:val="20"/>
          <w:color w:val="auto"/>
        </w:rPr>
      </w:pPr>
    </w:p>
    <w:p>
      <w:pPr>
        <w:jc w:val="both"/>
        <w:ind w:right="100" w:firstLine="799"/>
        <w:spacing w:after="0" w:line="264" w:lineRule="auto"/>
        <w:rPr>
          <w:sz w:val="20"/>
          <w:szCs w:val="20"/>
          <w:color w:val="auto"/>
        </w:rPr>
      </w:pPr>
      <w:r>
        <w:rPr>
          <w:rFonts w:ascii="Arial" w:cs="Arial" w:eastAsia="Arial" w:hAnsi="Arial"/>
          <w:sz w:val="18"/>
          <w:szCs w:val="18"/>
          <w:color w:val="auto"/>
        </w:rPr>
        <w:t>If an entity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w:t>
      </w:r>
    </w:p>
    <w:p>
      <w:pPr>
        <w:spacing w:after="0" w:line="181"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87" w:lineRule="exact"/>
        <w:rPr>
          <w:sz w:val="20"/>
          <w:szCs w:val="20"/>
          <w:color w:val="auto"/>
        </w:rPr>
      </w:pPr>
    </w:p>
    <w:p>
      <w:pPr>
        <w:ind w:right="640" w:firstLine="799"/>
        <w:spacing w:after="0" w:line="277"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classified as a partnership for U.S. federal income tax purposes) and you are not:</w:t>
      </w:r>
    </w:p>
    <w:p>
      <w:pPr>
        <w:spacing w:after="0" w:line="197" w:lineRule="exact"/>
        <w:rPr>
          <w:sz w:val="20"/>
          <w:szCs w:val="20"/>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w:t>
      </w:r>
    </w:p>
    <w:p>
      <w:pPr>
        <w:spacing w:after="0" w:line="252" w:lineRule="exact"/>
        <w:rPr>
          <w:rFonts w:ascii="Arial" w:cs="Arial" w:eastAsia="Arial" w:hAnsi="Arial"/>
          <w:sz w:val="18"/>
          <w:szCs w:val="18"/>
          <w:color w:val="auto"/>
        </w:rPr>
      </w:pPr>
    </w:p>
    <w:p>
      <w:pPr>
        <w:ind w:left="1240" w:hanging="327"/>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52" w:lineRule="exact"/>
        <w:rPr>
          <w:rFonts w:ascii="Arial" w:cs="Arial" w:eastAsia="Arial" w:hAnsi="Arial"/>
          <w:sz w:val="18"/>
          <w:szCs w:val="18"/>
          <w:color w:val="auto"/>
        </w:rPr>
      </w:pPr>
    </w:p>
    <w:p>
      <w:pPr>
        <w:ind w:left="1240" w:right="20" w:hanging="327"/>
        <w:spacing w:after="0" w:line="264"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Payments of Additional Amounts</w:t>
      </w:r>
    </w:p>
    <w:p>
      <w:pPr>
        <w:spacing w:after="0" w:line="229" w:lineRule="exact"/>
        <w:rPr>
          <w:sz w:val="20"/>
          <w:szCs w:val="20"/>
          <w:color w:val="auto"/>
        </w:rPr>
      </w:pPr>
    </w:p>
    <w:p>
      <w:pPr>
        <w:ind w:right="60" w:firstLine="799"/>
        <w:spacing w:after="0" w:line="254" w:lineRule="auto"/>
        <w:rPr>
          <w:sz w:val="20"/>
          <w:szCs w:val="20"/>
          <w:color w:val="auto"/>
        </w:rPr>
      </w:pPr>
      <w:r>
        <w:rPr>
          <w:rFonts w:ascii="Arial" w:cs="Arial" w:eastAsia="Arial" w:hAnsi="Arial"/>
          <w:sz w:val="18"/>
          <w:szCs w:val="18"/>
          <w:color w:val="auto"/>
        </w:rPr>
        <w:t>We may be required to make payments of additional amounts to holders of the notes under certain circumstances, including those described under “Description of Notes—Optional Redemption” or “Description of Notes—Change of Control Offer” above. We intend to take the position that the possibility of any such payment does not result in the notes being treated as “contingent payment debt instruments” under the applicable Treasury regulations. Our position is binding on you unless you disclose your contrary position in the manner required by applicable Treasury regulations. It is possible that the IRS may take a different position, in which case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Interest on the Notes</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Subject to the discussion of backup withholding and FATCA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208" w:lineRule="exact"/>
        <w:rPr>
          <w:sz w:val="20"/>
          <w:szCs w:val="20"/>
          <w:color w:val="auto"/>
        </w:rPr>
      </w:pPr>
    </w:p>
    <w:p>
      <w:pPr>
        <w:ind w:left="1240" w:hanging="32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252" w:lineRule="exact"/>
        <w:rPr>
          <w:rFonts w:ascii="Arial" w:cs="Arial" w:eastAsia="Arial" w:hAnsi="Arial"/>
          <w:sz w:val="18"/>
          <w:szCs w:val="18"/>
          <w:color w:val="auto"/>
        </w:rPr>
      </w:pPr>
    </w:p>
    <w:p>
      <w:pPr>
        <w:ind w:left="1240" w:right="400" w:hanging="327"/>
        <w:spacing w:after="0" w:line="277"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do not own, actually or constructively, 10% or more of the total combined voting power of all classes of our stock entitled to vote; and</w:t>
      </w:r>
    </w:p>
    <w:p>
      <w:pPr>
        <w:spacing w:after="0" w:line="275" w:lineRule="exact"/>
        <w:rPr>
          <w:rFonts w:ascii="Arial" w:cs="Arial" w:eastAsia="Arial" w:hAnsi="Arial"/>
          <w:sz w:val="16"/>
          <w:szCs w:val="16"/>
          <w:color w:val="auto"/>
        </w:rPr>
      </w:pPr>
    </w:p>
    <w:p>
      <w:pPr>
        <w:ind w:left="1240" w:hanging="327"/>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within the meaning of the Code.</w:t>
      </w:r>
    </w:p>
    <w:p>
      <w:pPr>
        <w:spacing w:after="0" w:line="225" w:lineRule="exact"/>
        <w:rPr>
          <w:sz w:val="20"/>
          <w:szCs w:val="20"/>
          <w:color w:val="auto"/>
        </w:rPr>
      </w:pPr>
    </w:p>
    <w:p>
      <w:pPr>
        <w:ind w:right="80" w:firstLine="799"/>
        <w:spacing w:after="0" w:line="271" w:lineRule="auto"/>
        <w:rPr>
          <w:sz w:val="20"/>
          <w:szCs w:val="20"/>
          <w:color w:val="auto"/>
        </w:rPr>
      </w:pPr>
      <w:r>
        <w:rPr>
          <w:rFonts w:ascii="Arial" w:cs="Arial" w:eastAsia="Arial" w:hAnsi="Arial"/>
          <w:sz w:val="17"/>
          <w:szCs w:val="17"/>
          <w:color w:val="auto"/>
        </w:rPr>
        <w:t>The portfolio interest exemption and several of the special rules for non-U.S. holders described below generally apply only if you appropriately certify as to your foreign status. You can generally meet this certification requirement by providing a properly executed IRS Form W-8BEN, IRS Form W-8BEN-E or applicable successor form to the applicable withholding agent.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“—Income or Gain Effectively Connected with a U.S. Trade or Business.”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Disposition of Notes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Subject to the discussion of backup withholding and FATCA withholding requirements discussed below, you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on the sale, redemption, exchange, retirement or other taxable disposition of a note unless:</w:t>
      </w:r>
    </w:p>
    <w:p>
      <w:pPr>
        <w:spacing w:after="0" w:line="238" w:lineRule="exact"/>
        <w:rPr>
          <w:sz w:val="20"/>
          <w:szCs w:val="20"/>
          <w:color w:val="auto"/>
        </w:rPr>
      </w:pPr>
    </w:p>
    <w:p>
      <w:pPr>
        <w:ind w:left="1240" w:right="140" w:hanging="327"/>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197" w:lineRule="exact"/>
        <w:rPr>
          <w:rFonts w:ascii="Arial" w:cs="Arial" w:eastAsia="Arial" w:hAnsi="Arial"/>
          <w:sz w:val="18"/>
          <w:szCs w:val="18"/>
          <w:color w:val="auto"/>
        </w:rPr>
      </w:pPr>
    </w:p>
    <w:p>
      <w:pPr>
        <w:ind w:left="1240" w:right="380" w:hanging="327"/>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If you are described in the first bullet point above, you will be subject to the treatment described below in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87" w:lineRule="exact"/>
        <w:rPr>
          <w:sz w:val="20"/>
          <w:szCs w:val="20"/>
          <w:color w:val="auto"/>
        </w:rPr>
      </w:pPr>
    </w:p>
    <w:p>
      <w:pPr>
        <w:jc w:val="both"/>
        <w:ind w:right="560" w:firstLine="799"/>
        <w:spacing w:after="0" w:line="342" w:lineRule="auto"/>
        <w:rPr>
          <w:sz w:val="20"/>
          <w:szCs w:val="20"/>
          <w:color w:val="auto"/>
        </w:rPr>
      </w:pPr>
      <w:r>
        <w:rPr>
          <w:rFonts w:ascii="Arial" w:cs="Arial" w:eastAsia="Arial" w:hAnsi="Arial"/>
          <w:sz w:val="16"/>
          <w:szCs w:val="16"/>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“—Interest on the Notes.”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229" w:lineRule="exact"/>
        <w:rPr>
          <w:sz w:val="20"/>
          <w:szCs w:val="20"/>
          <w:color w:val="auto"/>
        </w:rPr>
      </w:pPr>
    </w:p>
    <w:p>
      <w:pPr>
        <w:ind w:right="100" w:firstLine="799"/>
        <w:spacing w:after="0" w:line="270" w:lineRule="auto"/>
        <w:rPr>
          <w:sz w:val="20"/>
          <w:szCs w:val="20"/>
          <w:color w:val="auto"/>
        </w:rPr>
      </w:pPr>
      <w:r>
        <w:rPr>
          <w:rFonts w:ascii="Arial" w:cs="Arial" w:eastAsia="Arial" w:hAnsi="Arial"/>
          <w:sz w:val="17"/>
          <w:szCs w:val="17"/>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Payments to you of interest on a note, and amounts withheld from such payments, if any, generally will be required to be reported to the IRS and to you. Copies of the information returns reporting such interest payments and any withholding may also be made available to the tax authorities in the country in which you reside under the provisions of an applicable income tax treaty.</w:t>
      </w:r>
    </w:p>
    <w:p>
      <w:pPr>
        <w:spacing w:after="0" w:line="181" w:lineRule="exact"/>
        <w:rPr>
          <w:sz w:val="20"/>
          <w:szCs w:val="20"/>
          <w:color w:val="auto"/>
        </w:rPr>
      </w:pPr>
    </w:p>
    <w:p>
      <w:pPr>
        <w:jc w:val="both"/>
        <w:ind w:right="200" w:firstLine="799"/>
        <w:spacing w:after="0" w:line="264" w:lineRule="auto"/>
        <w:rPr>
          <w:sz w:val="20"/>
          <w:szCs w:val="20"/>
          <w:color w:val="auto"/>
        </w:rPr>
      </w:pPr>
      <w:r>
        <w:rPr>
          <w:rFonts w:ascii="Arial" w:cs="Arial" w:eastAsia="Arial" w:hAnsi="Arial"/>
          <w:sz w:val="18"/>
          <w:szCs w:val="18"/>
          <w:color w:val="auto"/>
        </w:rPr>
        <w:t>Backup withholding generally will not apply to payments of interest on a note to you if the certification described in “—Interest on the Notes” is duly provided by you or you otherwise establish an exemption, provided that the applicable withholding agent does not have actual knowledge or reason to know that you are a United States person or are otherwise not exempt.</w:t>
      </w:r>
    </w:p>
    <w:p>
      <w:pPr>
        <w:spacing w:after="0" w:line="181"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color w:val="auto"/>
        </w:rPr>
        <w:t>Payment of the proceeds of a sale, redemption, exchange, retirement or other taxable disposition of a note effected by the U.S. office of a U.S. or foreign broker will be subject to information reporting requirements and backup withholding, unless you properly certify under penalties of perjury as to your foreign status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194" w:lineRule="exact"/>
        <w:rPr>
          <w:sz w:val="20"/>
          <w:szCs w:val="20"/>
          <w:color w:val="auto"/>
        </w:rPr>
      </w:pPr>
    </w:p>
    <w:p>
      <w:pPr>
        <w:ind w:left="1240" w:hanging="327"/>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jc w:val="center"/>
        <w:ind w:left="5540" w:right="1540" w:hanging="4627"/>
        <w:spacing w:after="0" w:line="449" w:lineRule="auto"/>
        <w:tabs>
          <w:tab w:leader="none" w:pos="12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derives 50% or more of its gross income for certain periods from the conduct of a trade or business in the United States; S-26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27"/>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252" w:lineRule="exact"/>
        <w:rPr>
          <w:rFonts w:ascii="Arial" w:cs="Arial" w:eastAsia="Arial" w:hAnsi="Arial"/>
          <w:sz w:val="18"/>
          <w:szCs w:val="18"/>
          <w:color w:val="auto"/>
        </w:rPr>
      </w:pPr>
    </w:p>
    <w:p>
      <w:pPr>
        <w:ind w:left="1240" w:right="60" w:hanging="327"/>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70"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Withholding Requirements</w:t>
      </w:r>
    </w:p>
    <w:p>
      <w:pPr>
        <w:spacing w:after="0" w:line="229"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color w:val="auto"/>
        </w:rPr>
        <w:t>Sections 1471 through 1474 of the Code (commonly referred to as the Foreign Account Tax Compliance Act, or “FATCA”) and regulations thereunder, generally impose a 30% U.S. withholding tax on interest payments on the notes and on the gross proceeds from a disposition of the notes occurring after December 31, 2018, in each case if paid to a “foreign financial institution” or a “non-financial foreign entity” (each as defined in the Code), unless (i) in the case of a foreign financial institution, such institution enters into an agreement with the Treasury Department to withhold on certain payments and to collect and provide substantial information regarding U.S. account holders, including certain account holders that are foreign entities with U.S. owners,</w:t>
      </w:r>
    </w:p>
    <w:p>
      <w:pPr>
        <w:spacing w:after="0" w:line="2" w:lineRule="exact"/>
        <w:rPr>
          <w:sz w:val="20"/>
          <w:szCs w:val="20"/>
          <w:color w:val="auto"/>
        </w:rPr>
      </w:pPr>
    </w:p>
    <w:p>
      <w:pPr>
        <w:ind w:right="240" w:firstLine="8"/>
        <w:spacing w:after="0" w:line="271" w:lineRule="auto"/>
        <w:tabs>
          <w:tab w:leader="none" w:pos="26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case of a non-financial foreign entity,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You should consult with your tax advisor regarding these rules.</w:t>
      </w:r>
    </w:p>
    <w:p>
      <w:pPr>
        <w:spacing w:after="0" w:line="175" w:lineRule="exact"/>
        <w:rPr>
          <w:sz w:val="20"/>
          <w:szCs w:val="20"/>
          <w:color w:val="auto"/>
        </w:rPr>
      </w:pPr>
    </w:p>
    <w:p>
      <w:pPr>
        <w:jc w:val="both"/>
        <w:ind w:right="360" w:firstLine="799"/>
        <w:spacing w:after="0" w:line="314" w:lineRule="auto"/>
        <w:rPr>
          <w:sz w:val="20"/>
          <w:szCs w:val="20"/>
          <w:color w:val="auto"/>
        </w:rPr>
      </w:pPr>
      <w:r>
        <w:rPr>
          <w:rFonts w:ascii="Arial" w:cs="Arial" w:eastAsia="Arial" w:hAnsi="Arial"/>
          <w:sz w:val="16"/>
          <w:szCs w:val="16"/>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consequences of any proposed change in applicable laws.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right="400" w:firstLine="799"/>
        <w:spacing w:after="0" w:line="277" w:lineRule="auto"/>
        <w:rPr>
          <w:sz w:val="20"/>
          <w:szCs w:val="20"/>
          <w:color w:val="auto"/>
        </w:rPr>
      </w:pPr>
      <w:r>
        <w:rPr>
          <w:rFonts w:ascii="Arial" w:cs="Arial" w:eastAsia="Arial" w:hAnsi="Arial"/>
          <w:sz w:val="18"/>
          <w:szCs w:val="18"/>
          <w:color w:val="auto"/>
        </w:rPr>
        <w:t>Citigroup Global Markets Inc., Merrill Lynch, Pierce, Fenner &amp; Smith Incorporated and Mizuho Securities USA Inc. are acting as joint book-running managers of the offering and as representatives of the underwriters named below.</w:t>
      </w:r>
    </w:p>
    <w:p>
      <w:pPr>
        <w:spacing w:after="0" w:line="170" w:lineRule="exact"/>
        <w:rPr>
          <w:sz w:val="20"/>
          <w:szCs w:val="20"/>
          <w:color w:val="auto"/>
        </w:rPr>
      </w:pPr>
    </w:p>
    <w:p>
      <w:pPr>
        <w:ind w:right="360" w:firstLine="799"/>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9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w w:val="97"/>
              </w:rPr>
              <w:t>Principal Amount of Notes</w:t>
            </w:r>
          </w:p>
        </w:tc>
      </w:tr>
      <w:tr>
        <w:trPr>
          <w:trHeight w:val="20"/>
        </w:trPr>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1720" w:type="dxa"/>
            <w:vAlign w:val="bottom"/>
            <w:gridSpan w:val="2"/>
          </w:tcPr>
          <w:p>
            <w:pPr>
              <w:spacing w:after="0" w:line="203" w:lineRule="exact"/>
              <w:rPr>
                <w:sz w:val="20"/>
                <w:szCs w:val="20"/>
                <w:color w:val="auto"/>
              </w:rPr>
            </w:pPr>
            <w:r>
              <w:rPr>
                <w:rFonts w:ascii="Arial" w:cs="Arial" w:eastAsia="Arial" w:hAnsi="Arial"/>
                <w:sz w:val="18"/>
                <w:szCs w:val="18"/>
                <w:color w:val="auto"/>
                <w:w w:val="85"/>
              </w:rPr>
              <w:t>Citigroup Global Markets</w:t>
            </w:r>
          </w:p>
        </w:tc>
        <w:tc>
          <w:tcPr>
            <w:tcW w:w="6280" w:type="dxa"/>
            <w:vAlign w:val="bottom"/>
          </w:tcPr>
          <w:p>
            <w:pPr>
              <w:ind w:left="180"/>
              <w:spacing w:after="0" w:line="203" w:lineRule="exact"/>
              <w:rPr>
                <w:sz w:val="20"/>
                <w:szCs w:val="20"/>
                <w:color w:val="auto"/>
              </w:rPr>
            </w:pPr>
            <w:r>
              <w:rPr>
                <w:rFonts w:ascii="Arial" w:cs="Arial" w:eastAsia="Arial" w:hAnsi="Arial"/>
                <w:sz w:val="18"/>
                <w:szCs w:val="18"/>
                <w:color w:val="auto"/>
              </w:rPr>
              <w:t>Inc.</w:t>
            </w:r>
          </w:p>
        </w:tc>
        <w:tc>
          <w:tcPr>
            <w:tcW w:w="20" w:type="dxa"/>
            <w:vAlign w:val="bottom"/>
          </w:tcPr>
          <w:p>
            <w:pPr>
              <w:spacing w:after="0"/>
              <w:rPr>
                <w:sz w:val="17"/>
                <w:szCs w:val="17"/>
                <w:color w:val="auto"/>
              </w:rPr>
            </w:pPr>
          </w:p>
        </w:tc>
        <w:tc>
          <w:tcPr>
            <w:tcW w:w="400" w:type="dxa"/>
            <w:vAlign w:val="bottom"/>
            <w:gridSpan w:val="2"/>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145,000,000</w:t>
            </w:r>
          </w:p>
        </w:tc>
        <w:tc>
          <w:tcPr>
            <w:tcW w:w="100" w:type="dxa"/>
            <w:vAlign w:val="bottom"/>
          </w:tcPr>
          <w:p>
            <w:pPr>
              <w:spacing w:after="0"/>
              <w:rPr>
                <w:sz w:val="17"/>
                <w:szCs w:val="17"/>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7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Incorporated</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Scotia Capital (USA) Inc.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Comerica Securities, Inc.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Siebert Brandford Shank &amp; Co., L.L.C.</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r>
      <w:tr>
        <w:trPr>
          <w:trHeight w:val="223"/>
        </w:trPr>
        <w:tc>
          <w:tcPr>
            <w:tcW w:w="900" w:type="dxa"/>
            <w:vAlign w:val="bottom"/>
          </w:tcPr>
          <w:p>
            <w:pPr>
              <w:spacing w:after="0"/>
              <w:rPr>
                <w:sz w:val="19"/>
                <w:szCs w:val="19"/>
                <w:color w:val="auto"/>
              </w:rPr>
            </w:pPr>
          </w:p>
        </w:tc>
        <w:tc>
          <w:tcPr>
            <w:tcW w:w="7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500,000,000</w:t>
            </w:r>
          </w:p>
        </w:tc>
        <w:tc>
          <w:tcPr>
            <w:tcW w:w="10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799"/>
        <w:spacing w:after="0" w:line="308" w:lineRule="auto"/>
        <w:rPr>
          <w:sz w:val="20"/>
          <w:szCs w:val="20"/>
          <w:color w:val="auto"/>
        </w:rPr>
      </w:pPr>
      <w:r>
        <w:rPr>
          <w:rFonts w:ascii="Arial" w:cs="Arial" w:eastAsia="Arial" w:hAnsi="Arial"/>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7" w:lineRule="exact"/>
        <w:rPr>
          <w:sz w:val="20"/>
          <w:szCs w:val="20"/>
          <w:color w:val="auto"/>
        </w:rPr>
      </w:pPr>
    </w:p>
    <w:p>
      <w:pPr>
        <w:ind w:right="120" w:firstLine="799"/>
        <w:spacing w:after="0" w:line="302" w:lineRule="auto"/>
        <w:rPr>
          <w:sz w:val="20"/>
          <w:szCs w:val="20"/>
          <w:color w:val="auto"/>
        </w:rPr>
      </w:pPr>
      <w:r>
        <w:rPr>
          <w:rFonts w:ascii="Arial" w:cs="Arial" w:eastAsia="Arial" w:hAnsi="Arial"/>
          <w:sz w:val="16"/>
          <w:szCs w:val="16"/>
          <w:color w:val="auto"/>
        </w:rPr>
        <w:t>The underwriters propose to offer the notes directly to the public at the public offering price set forth on the cover page of this prospectus supplement and may offer the notes to dealers at the public offering price less a concession not to exceed 0.400% of the principal amount of the notes. The underwriters may allow, and dealers may reallow, a concession not to exceed 0.225% of the principal amount of the notes on sales to other dealers. After the initial offering of the notes to the public, the representatives may change the public offering price and other selling terms applicable to the notes.</w:t>
      </w:r>
    </w:p>
    <w:p>
      <w:pPr>
        <w:spacing w:after="0" w:line="154"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93" w:lineRule="exact"/>
        <w:rPr>
          <w:sz w:val="20"/>
          <w:szCs w:val="20"/>
          <w:color w:val="auto"/>
        </w:rPr>
      </w:pPr>
    </w:p>
    <w:p>
      <w:pPr>
        <w:jc w:val="both"/>
        <w:ind w:right="240" w:firstLine="799"/>
        <w:spacing w:after="0" w:line="34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jc w:val="both"/>
        <w:ind w:right="200" w:firstLine="799"/>
        <w:spacing w:after="0" w:line="312"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$800,000.</w:t>
      </w:r>
    </w:p>
    <w:p>
      <w:pPr>
        <w:spacing w:after="0" w:line="225" w:lineRule="exact"/>
        <w:rPr>
          <w:sz w:val="20"/>
          <w:szCs w:val="20"/>
          <w:color w:val="auto"/>
        </w:rPr>
      </w:pPr>
    </w:p>
    <w:p>
      <w:pPr>
        <w:ind w:right="140" w:firstLine="799"/>
        <w:spacing w:after="0" w:line="277"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70"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70"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We expect delivery of the notes will be made against payment therefor on or about May 16, 2016, which is the fifth business day following the date of pricing of the notes (such settlement being referred to as “T+5”). Under Rule 15c6-1 of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jc w:val="both"/>
        <w:ind w:right="520" w:firstLine="799"/>
        <w:spacing w:after="0" w:line="312" w:lineRule="auto"/>
        <w:rPr>
          <w:sz w:val="20"/>
          <w:szCs w:val="20"/>
          <w:color w:val="auto"/>
        </w:rPr>
      </w:pPr>
      <w:r>
        <w:rPr>
          <w:rFonts w:ascii="Arial" w:cs="Arial" w:eastAsia="Arial" w:hAnsi="Arial"/>
          <w:sz w:val="16"/>
          <w:szCs w:val="16"/>
          <w:color w:val="auto"/>
        </w:rPr>
        <w:t>Certain of the underwriters or one of their respective affiliates is a lender to us under our $2.25 billion revolving credit facility. Additionally, 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47" w:lineRule="exact"/>
        <w:rPr>
          <w:sz w:val="20"/>
          <w:szCs w:val="20"/>
          <w:color w:val="auto"/>
        </w:rPr>
      </w:pPr>
    </w:p>
    <w:p>
      <w:pPr>
        <w:ind w:right="140" w:firstLine="799"/>
        <w:spacing w:after="0" w:line="270"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200" w:firstLine="799"/>
        <w:spacing w:after="0" w:line="293" w:lineRule="auto"/>
        <w:rPr>
          <w:sz w:val="20"/>
          <w:szCs w:val="20"/>
          <w:color w:val="auto"/>
        </w:rPr>
      </w:pPr>
      <w:r>
        <w:rPr>
          <w:rFonts w:ascii="Arial" w:cs="Arial" w:eastAsia="Arial" w:hAnsi="Arial"/>
          <w:sz w:val="16"/>
          <w:szCs w:val="16"/>
          <w:color w:val="auto"/>
        </w:rPr>
        <w:t>Certain affiliates of Citigroup Global Markets Inc., Merrill Lynch, Pierce, Fenner &amp; Smith Incorporated, Mizuho Securities USA Inc., Scotia Capital (USA) Inc., PNC Capital Markets LLC and Comerica Securities, Inc. are lenders to us under our $2.25 billion revolving credit facility and may receive 5% or more of the net proceeds of this offering by reason of the repayment of amounts outstanding under such credit facility, pending application of the net proceeds as described in the initial paragraph under “Use of Proceeds” in this prospectus supplement. Accordingly, such underwriters are deemed to have a “conflict of interest” within the meaning of Rule 5121, and this offering will be conducted in accordance with Rule 5121. No underwriter with a “conflict of interest” will confirm sales to any account over which it exercises discretion without the specific written approval of the account holder.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right="100" w:firstLine="799"/>
        <w:spacing w:after="0" w:line="308" w:lineRule="auto"/>
        <w:rPr>
          <w:sz w:val="20"/>
          <w:szCs w:val="20"/>
          <w:color w:val="auto"/>
        </w:rPr>
      </w:pPr>
      <w:r>
        <w:rPr>
          <w:rFonts w:ascii="Arial" w:cs="Arial" w:eastAsia="Arial" w:hAnsi="Arial"/>
          <w:sz w:val="17"/>
          <w:szCs w:val="17"/>
          <w:color w:val="auto"/>
        </w:rPr>
        <w:t>In relation to each member state of the European Economic Area (each, a “Member State”), no offer of notes which are the subject of the offering has been, or will be made to the public in that Member State, other than under the following exemptions under the Prospectus Directive:</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to any legal entity which is a qualified investor as defined in the Prospectus Directive;</w:t>
      </w:r>
    </w:p>
    <w:p>
      <w:pPr>
        <w:spacing w:after="0" w:line="225" w:lineRule="exact"/>
        <w:rPr>
          <w:sz w:val="20"/>
          <w:szCs w:val="20"/>
          <w:color w:val="auto"/>
        </w:rPr>
      </w:pPr>
    </w:p>
    <w:p>
      <w:pPr>
        <w:ind w:right="180" w:firstLine="799"/>
        <w:spacing w:after="0" w:line="277" w:lineRule="auto"/>
        <w:rPr>
          <w:sz w:val="20"/>
          <w:szCs w:val="20"/>
          <w:color w:val="auto"/>
        </w:rPr>
      </w:pPr>
      <w:r>
        <w:rPr>
          <w:rFonts w:ascii="Arial" w:cs="Arial" w:eastAsia="Arial" w:hAnsi="Arial"/>
          <w:sz w:val="18"/>
          <w:szCs w:val="18"/>
          <w:color w:val="auto"/>
        </w:rPr>
        <w:t>B. to fewer than 150 natural or legal persons (other than qualified investors as defined in the Prospectus Directive), subject to obtaining the prior consent of the representatives for any such offer; or</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 in any other circumstances falling within Article 3(2) of the Prospectus Directive,</w:t>
      </w:r>
    </w:p>
    <w:p>
      <w:pPr>
        <w:spacing w:after="0" w:line="22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provided that no such offer of notes referred to in (a) to (c) above shall result in a requirement for Waste Management or any representatives to publish a prospectus pursuant to Article 3 of the Prospectus Directive or supplement a prospectus pursuant to Article 16 of the Prospectus Directive.</w:t>
      </w:r>
    </w:p>
    <w:p>
      <w:pPr>
        <w:spacing w:after="0" w:line="124"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This prospectus has been prepared on the basis that any offer of notes in any Member State will be made pursuant to an exemption under the Prospectus Directive from the requirement to publish a prospectus for offers of notes. Accordingly any person making or intending to make an offer in that Member State of notes which are the subject of the offering contemplated in this prospectus may only do so in circumstances in which no obligation arises for Waste Management or any of the representatives to publish a prospectus pursuant to Article 3 of the Prospectus Directive in relation to such offer. Neither Waste Management nor the representatives have authorized, nor do they authorize, the making of any offer of notes in circumstances in which an obligation arises for Waste Management or the representatives to publish a prospectus for such offer.</w:t>
      </w:r>
    </w:p>
    <w:p>
      <w:pPr>
        <w:spacing w:after="0" w:line="178" w:lineRule="exact"/>
        <w:rPr>
          <w:sz w:val="20"/>
          <w:szCs w:val="20"/>
          <w:color w:val="auto"/>
        </w:rPr>
      </w:pPr>
    </w:p>
    <w:p>
      <w:pPr>
        <w:ind w:right="140" w:firstLine="799"/>
        <w:spacing w:after="0" w:line="257" w:lineRule="auto"/>
        <w:rPr>
          <w:sz w:val="20"/>
          <w:szCs w:val="20"/>
          <w:color w:val="auto"/>
        </w:rPr>
      </w:pPr>
      <w:r>
        <w:rPr>
          <w:rFonts w:ascii="Arial" w:cs="Arial" w:eastAsia="Arial" w:hAnsi="Arial"/>
          <w:sz w:val="18"/>
          <w:szCs w:val="18"/>
          <w:color w:val="auto"/>
        </w:rPr>
        <w:t>For the purpose of this provision, the expression an “offer of notes to the public” in relation to any notes in any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2003/71/EC (as amended) and includes any relevant implementing measure in the each Member State.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right="60" w:firstLine="799"/>
        <w:spacing w:after="0" w:line="288"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w:t>
      </w:r>
    </w:p>
    <w:p>
      <w:pPr>
        <w:ind w:firstLine="8"/>
        <w:spacing w:after="0" w:line="254"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Requirements, Exemptions and Ongoing Registrant Obligations. Any resale of the notes must be made in accordance with an exemption from, or in a transaction not subject to, the prospectus requirements of applicable securities laws.</w:t>
      </w:r>
    </w:p>
    <w:p>
      <w:pPr>
        <w:spacing w:after="0" w:line="170"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right="80" w:firstLine="799"/>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firstLine="799"/>
        <w:spacing w:after="0" w:line="342" w:lineRule="auto"/>
        <w:rPr>
          <w:sz w:val="20"/>
          <w:szCs w:val="20"/>
          <w:color w:val="auto"/>
        </w:rPr>
      </w:pPr>
      <w:r>
        <w:rPr>
          <w:rFonts w:ascii="Arial" w:cs="Arial" w:eastAsia="Arial" w:hAnsi="Arial"/>
          <w:sz w:val="16"/>
          <w:szCs w:val="16"/>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2015, including the schedule appearing therein, and the effectiveness of Waste Management, Inc.’s internal control over financial reporting as of December 31, 2015,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5" w:lineRule="exact"/>
        <w:rPr>
          <w:sz w:val="20"/>
          <w:szCs w:val="20"/>
          <w:color w:val="auto"/>
        </w:rPr>
      </w:pPr>
    </w:p>
    <w:p>
      <w:pPr>
        <w:ind w:firstLine="799"/>
        <w:spacing w:after="0" w:line="266"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80" w:lineRule="exact"/>
        <w:rPr>
          <w:sz w:val="20"/>
          <w:szCs w:val="20"/>
          <w:color w:val="auto"/>
        </w:rPr>
      </w:pPr>
    </w:p>
    <w:p>
      <w:pPr>
        <w:ind w:right="60" w:firstLine="799"/>
        <w:spacing w:after="0" w:line="276" w:lineRule="auto"/>
        <w:rPr>
          <w:sz w:val="20"/>
          <w:szCs w:val="20"/>
          <w:color w:val="auto"/>
        </w:rPr>
      </w:pPr>
      <w:r>
        <w:rPr>
          <w:rFonts w:ascii="Arial" w:cs="Arial" w:eastAsia="Arial" w:hAnsi="Arial"/>
          <w:sz w:val="17"/>
          <w:szCs w:val="17"/>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20"/>
                <w:szCs w:val="20"/>
                <w:color w:val="auto"/>
              </w:rPr>
            </w:pPr>
            <w:r>
              <w:rPr>
                <w:rFonts w:ascii="Arial" w:cs="Arial" w:eastAsia="Arial" w:hAnsi="Arial"/>
                <w:sz w:val="14"/>
                <w:szCs w:val="14"/>
                <w:b w:val="1"/>
                <w:bCs w:val="1"/>
                <w:color w:val="auto"/>
                <w:w w:val="95"/>
              </w:rPr>
              <w:t>SEC Filing (Our SEC File Number is 1-12154)</w:t>
            </w:r>
          </w:p>
        </w:tc>
        <w:tc>
          <w:tcPr>
            <w:tcW w:w="6720" w:type="dxa"/>
            <w:vAlign w:val="bottom"/>
          </w:tcPr>
          <w:p>
            <w:pPr>
              <w:spacing w:after="0"/>
              <w:rPr>
                <w:sz w:val="14"/>
                <w:szCs w:val="14"/>
                <w:color w:val="auto"/>
              </w:rPr>
            </w:pPr>
          </w:p>
        </w:tc>
        <w:tc>
          <w:tcPr>
            <w:tcW w:w="1580" w:type="dxa"/>
            <w:vAlign w:val="bottom"/>
            <w:gridSpan w:val="3"/>
          </w:tcPr>
          <w:p>
            <w:pPr>
              <w:jc w:val="center"/>
              <w:ind w:left="173"/>
              <w:spacing w:after="0"/>
              <w:rPr>
                <w:sz w:val="20"/>
                <w:szCs w:val="20"/>
                <w:color w:val="auto"/>
              </w:rPr>
            </w:pPr>
            <w:r>
              <w:rPr>
                <w:rFonts w:ascii="Arial" w:cs="Arial" w:eastAsia="Arial" w:hAnsi="Arial"/>
                <w:sz w:val="14"/>
                <w:szCs w:val="14"/>
                <w:b w:val="1"/>
                <w:bCs w:val="1"/>
                <w:color w:val="auto"/>
                <w:w w:val="95"/>
              </w:rPr>
              <w:t>Date Filed</w:t>
            </w:r>
          </w:p>
        </w:tc>
        <w:tc>
          <w:tcPr>
            <w:tcW w:w="0" w:type="dxa"/>
            <w:vAlign w:val="bottom"/>
          </w:tcPr>
          <w:p>
            <w:pPr>
              <w:spacing w:after="0"/>
              <w:rPr>
                <w:sz w:val="1"/>
                <w:szCs w:val="1"/>
                <w:color w:val="auto"/>
              </w:rPr>
            </w:pPr>
          </w:p>
        </w:tc>
      </w:tr>
      <w:tr>
        <w:trPr>
          <w:trHeight w:val="20"/>
        </w:trPr>
        <w:tc>
          <w:tcPr>
            <w:tcW w:w="286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79"/>
              </w:rPr>
              <w:t>2016</w:t>
            </w:r>
          </w:p>
        </w:tc>
        <w:tc>
          <w:tcPr>
            <w:tcW w:w="0" w:type="dxa"/>
            <w:vAlign w:val="bottom"/>
          </w:tcPr>
          <w:p>
            <w:pPr>
              <w:spacing w:after="0" w:line="20" w:lineRule="exact"/>
              <w:rPr>
                <w:sz w:val="1"/>
                <w:szCs w:val="1"/>
                <w:color w:val="auto"/>
              </w:rPr>
            </w:pPr>
          </w:p>
        </w:tc>
      </w:tr>
      <w:tr>
        <w:trPr>
          <w:trHeight w:val="195"/>
        </w:trPr>
        <w:tc>
          <w:tcPr>
            <w:tcW w:w="9580" w:type="dxa"/>
            <w:vAlign w:val="bottom"/>
            <w:gridSpan w:val="2"/>
          </w:tcPr>
          <w:p>
            <w:pPr>
              <w:spacing w:after="0" w:line="195" w:lineRule="exact"/>
              <w:rPr>
                <w:sz w:val="20"/>
                <w:szCs w:val="20"/>
                <w:color w:val="auto"/>
              </w:rPr>
            </w:pPr>
            <w:r>
              <w:rPr>
                <w:rFonts w:ascii="Arial" w:cs="Arial" w:eastAsia="Arial" w:hAnsi="Arial"/>
                <w:sz w:val="18"/>
                <w:szCs w:val="18"/>
                <w:color w:val="auto"/>
              </w:rPr>
              <w:t>Annual Report on Form 10-K for the year ended December 31, 2015</w:t>
            </w:r>
          </w:p>
        </w:tc>
        <w:tc>
          <w:tcPr>
            <w:tcW w:w="1240" w:type="dxa"/>
            <w:vAlign w:val="bottom"/>
            <w:gridSpan w:val="2"/>
          </w:tcPr>
          <w:p>
            <w:pPr>
              <w:ind w:left="260"/>
              <w:spacing w:after="0" w:line="195" w:lineRule="exact"/>
              <w:rPr>
                <w:sz w:val="20"/>
                <w:szCs w:val="20"/>
                <w:color w:val="auto"/>
              </w:rPr>
            </w:pPr>
            <w:r>
              <w:rPr>
                <w:rFonts w:ascii="Arial" w:cs="Arial" w:eastAsia="Arial" w:hAnsi="Arial"/>
                <w:sz w:val="18"/>
                <w:szCs w:val="18"/>
                <w:color w:val="auto"/>
                <w:w w:val="94"/>
              </w:rPr>
              <w:t>February 18,</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580" w:type="dxa"/>
            <w:vAlign w:val="bottom"/>
            <w:gridSpan w:val="3"/>
          </w:tcPr>
          <w:p>
            <w:pPr>
              <w:jc w:val="center"/>
              <w:ind w:left="153"/>
              <w:spacing w:after="0"/>
              <w:rPr>
                <w:sz w:val="20"/>
                <w:szCs w:val="20"/>
                <w:color w:val="auto"/>
              </w:rPr>
            </w:pPr>
            <w:r>
              <w:rPr>
                <w:rFonts w:ascii="Arial" w:cs="Arial" w:eastAsia="Arial" w:hAnsi="Arial"/>
                <w:sz w:val="18"/>
                <w:szCs w:val="18"/>
                <w:color w:val="auto"/>
                <w:w w:val="92"/>
              </w:rPr>
              <w:t>March 2, 2016</w:t>
            </w: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580" w:type="dxa"/>
            <w:vAlign w:val="bottom"/>
            <w:gridSpan w:val="3"/>
          </w:tcPr>
          <w:p>
            <w:pPr>
              <w:jc w:val="center"/>
              <w:ind w:left="153"/>
              <w:spacing w:after="0"/>
              <w:rPr>
                <w:sz w:val="20"/>
                <w:szCs w:val="20"/>
                <w:color w:val="auto"/>
              </w:rPr>
            </w:pPr>
            <w:r>
              <w:rPr>
                <w:rFonts w:ascii="Arial" w:cs="Arial" w:eastAsia="Arial" w:hAnsi="Arial"/>
                <w:sz w:val="18"/>
                <w:szCs w:val="18"/>
                <w:color w:val="auto"/>
                <w:w w:val="91"/>
              </w:rPr>
              <w:t>March 29, 2016</w:t>
            </w: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period ended March 31, 2016</w:t>
            </w:r>
          </w:p>
        </w:tc>
        <w:tc>
          <w:tcPr>
            <w:tcW w:w="1580" w:type="dxa"/>
            <w:vAlign w:val="bottom"/>
            <w:gridSpan w:val="3"/>
          </w:tcPr>
          <w:p>
            <w:pPr>
              <w:jc w:val="center"/>
              <w:ind w:left="153"/>
              <w:spacing w:after="0"/>
              <w:rPr>
                <w:sz w:val="20"/>
                <w:szCs w:val="20"/>
                <w:color w:val="auto"/>
              </w:rPr>
            </w:pPr>
            <w:r>
              <w:rPr>
                <w:rFonts w:ascii="Arial" w:cs="Arial" w:eastAsia="Arial" w:hAnsi="Arial"/>
                <w:sz w:val="18"/>
                <w:szCs w:val="18"/>
                <w:color w:val="auto"/>
                <w:w w:val="95"/>
              </w:rPr>
              <w:t>April 28, 2016</w:t>
            </w:r>
          </w:p>
        </w:tc>
        <w:tc>
          <w:tcPr>
            <w:tcW w:w="0" w:type="dxa"/>
            <w:vAlign w:val="bottom"/>
          </w:tcPr>
          <w:p>
            <w:pPr>
              <w:spacing w:after="0"/>
              <w:rPr>
                <w:sz w:val="1"/>
                <w:szCs w:val="1"/>
                <w:color w:val="auto"/>
              </w:rPr>
            </w:pPr>
          </w:p>
        </w:tc>
      </w:tr>
      <w:tr>
        <w:trPr>
          <w:trHeight w:val="216"/>
        </w:trPr>
        <w:tc>
          <w:tcPr>
            <w:tcW w:w="9580" w:type="dxa"/>
            <w:vAlign w:val="bottom"/>
            <w:gridSpan w:val="2"/>
          </w:tcPr>
          <w:p>
            <w:pPr>
              <w:spacing w:after="0"/>
              <w:rPr>
                <w:sz w:val="20"/>
                <w:szCs w:val="20"/>
                <w:color w:val="auto"/>
              </w:rPr>
            </w:pPr>
            <w:r>
              <w:rPr>
                <w:rFonts w:ascii="Arial" w:cs="Arial" w:eastAsia="Arial" w:hAnsi="Arial"/>
                <w:sz w:val="18"/>
                <w:szCs w:val="18"/>
                <w:color w:val="auto"/>
                <w:w w:val="93"/>
              </w:rPr>
              <w:t>The portions of our proxy statement for our 2016 annual meeting of stockholders incorporated by reference in our Annual Report</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80" w:type="dxa"/>
            <w:vAlign w:val="bottom"/>
            <w:gridSpan w:val="2"/>
          </w:tcPr>
          <w:p>
            <w:pPr>
              <w:ind w:left="180"/>
              <w:spacing w:after="0"/>
              <w:rPr>
                <w:sz w:val="20"/>
                <w:szCs w:val="20"/>
                <w:color w:val="auto"/>
              </w:rPr>
            </w:pPr>
            <w:r>
              <w:rPr>
                <w:rFonts w:ascii="Arial" w:cs="Arial" w:eastAsia="Arial" w:hAnsi="Arial"/>
                <w:sz w:val="18"/>
                <w:szCs w:val="18"/>
                <w:color w:val="auto"/>
              </w:rPr>
              <w:t>on Form 10-K for the year ended December 31, 2015</w:t>
            </w:r>
          </w:p>
        </w:tc>
        <w:tc>
          <w:tcPr>
            <w:tcW w:w="1580" w:type="dxa"/>
            <w:vAlign w:val="bottom"/>
            <w:gridSpan w:val="3"/>
          </w:tcPr>
          <w:p>
            <w:pPr>
              <w:jc w:val="center"/>
              <w:ind w:left="153"/>
              <w:spacing w:after="0"/>
              <w:rPr>
                <w:sz w:val="20"/>
                <w:szCs w:val="20"/>
                <w:color w:val="auto"/>
              </w:rPr>
            </w:pPr>
            <w:r>
              <w:rPr>
                <w:rFonts w:ascii="Arial" w:cs="Arial" w:eastAsia="Arial" w:hAnsi="Arial"/>
                <w:sz w:val="18"/>
                <w:szCs w:val="18"/>
                <w:color w:val="auto"/>
                <w:w w:val="91"/>
              </w:rPr>
              <w:t>March 25, 2016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88" w:lineRule="exact"/>
        <w:rPr>
          <w:sz w:val="20"/>
          <w:szCs w:val="20"/>
          <w:color w:val="auto"/>
        </w:rPr>
      </w:pPr>
    </w:p>
    <w:p>
      <w:pPr>
        <w:ind w:right="220" w:firstLine="799"/>
        <w:spacing w:after="0" w:line="312"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www.wm.com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172085</wp:posOffset>
            </wp:positionV>
            <wp:extent cx="1414780" cy="480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GUARANTEES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7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21" w:lineRule="exact"/>
        <w:rPr>
          <w:sz w:val="20"/>
          <w:szCs w:val="20"/>
          <w:color w:val="auto"/>
        </w:rPr>
      </w:pPr>
    </w:p>
    <w:p>
      <w:pPr>
        <w:ind w:right="2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43">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6 of this prospectus, the risk factors included in our periodic reports that we file with the Securities and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This prospectus is dated October 27, 2015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4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418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Forward-Looking Statements</w:t>
              </w:r>
            </w:hyperlink>
          </w:p>
        </w:tc>
        <w:tc>
          <w:tcPr>
            <w:tcW w:w="7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2060" w:type="dxa"/>
            <w:vAlign w:val="bottom"/>
            <w:gridSpan w:val="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Incorporation of Certain Documents by Reference</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The Company</w:t>
              </w:r>
            </w:hyperlink>
          </w:p>
        </w:tc>
        <w:tc>
          <w:tcPr>
            <w:tcW w:w="3140" w:type="dxa"/>
            <w:vAlign w:val="bottom"/>
            <w:gridSpan w:val="1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Risk Factors</w:t>
              </w:r>
            </w:hyperlink>
          </w:p>
        </w:tc>
        <w:tc>
          <w:tcPr>
            <w:tcW w:w="3260" w:type="dxa"/>
            <w:vAlign w:val="bottom"/>
            <w:gridSpan w:val="1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Ratio of Earnings to Fixed Charges</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1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Use of Proceeds</w:t>
              </w:r>
            </w:hyperlink>
          </w:p>
        </w:tc>
        <w:tc>
          <w:tcPr>
            <w:tcW w:w="1360" w:type="dxa"/>
            <w:vAlign w:val="bottom"/>
            <w:tcBorders>
              <w:top w:val="single" w:sz="8" w:color="0000EE"/>
            </w:tcBorders>
            <w:gridSpan w:val="9"/>
          </w:tcPr>
          <w:p>
            <w:pPr>
              <w:spacing w:after="0"/>
              <w:rPr>
                <w:sz w:val="17"/>
                <w:szCs w:val="17"/>
                <w:color w:val="auto"/>
              </w:rPr>
            </w:pPr>
          </w:p>
        </w:tc>
        <w:tc>
          <w:tcPr>
            <w:tcW w:w="1640" w:type="dxa"/>
            <w:vAlign w:val="bottom"/>
            <w:gridSpan w:val="3"/>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4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the Debt Securities</w:t>
              </w:r>
            </w:hyperlink>
          </w:p>
        </w:tc>
        <w:tc>
          <w:tcPr>
            <w:tcW w:w="1720" w:type="dxa"/>
            <w:vAlign w:val="bottom"/>
            <w:gridSpan w:val="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Description of Guarantees</w:t>
              </w:r>
            </w:hyperlink>
          </w:p>
        </w:tc>
        <w:tc>
          <w:tcPr>
            <w:tcW w:w="2280" w:type="dxa"/>
            <w:vAlign w:val="bottom"/>
            <w:gridSpan w:val="8"/>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18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Description of Capital Stock</w:t>
              </w:r>
            </w:hyperlink>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196"/>
        </w:trPr>
        <w:tc>
          <w:tcPr>
            <w:tcW w:w="22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Description of Other Securities</w:t>
              </w:r>
            </w:hyperlink>
          </w:p>
        </w:tc>
        <w:tc>
          <w:tcPr>
            <w:tcW w:w="1920" w:type="dxa"/>
            <w:vAlign w:val="bottom"/>
            <w:gridSpan w:val="5"/>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Plan of Distribution</w:t>
              </w:r>
            </w:hyperlink>
          </w:p>
        </w:tc>
        <w:tc>
          <w:tcPr>
            <w:tcW w:w="2740" w:type="dxa"/>
            <w:vAlign w:val="bottom"/>
            <w:gridSpan w:val="11"/>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Selling Securityholders</w:t>
              </w:r>
            </w:hyperlink>
          </w:p>
        </w:tc>
        <w:tc>
          <w:tcPr>
            <w:tcW w:w="2480" w:type="dxa"/>
            <w:vAlign w:val="bottom"/>
            <w:gridSpan w:val="9"/>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Legal Matters</w:t>
              </w:r>
            </w:hyperlink>
          </w:p>
        </w:tc>
        <w:tc>
          <w:tcPr>
            <w:tcW w:w="3160" w:type="dxa"/>
            <w:vAlign w:val="bottom"/>
            <w:gridSpan w:val="14"/>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Experts</w:t>
              </w:r>
            </w:hyperlink>
          </w:p>
        </w:tc>
        <w:tc>
          <w:tcPr>
            <w:tcW w:w="3620" w:type="dxa"/>
            <w:vAlign w:val="bottom"/>
            <w:gridSpan w:val="16"/>
          </w:tcPr>
          <w:p>
            <w:pPr>
              <w:spacing w:after="0"/>
              <w:rPr>
                <w:sz w:val="17"/>
                <w:szCs w:val="17"/>
                <w:color w:val="auto"/>
              </w:rPr>
            </w:pPr>
          </w:p>
        </w:tc>
        <w:tc>
          <w:tcPr>
            <w:tcW w:w="7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7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2014.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84" w:lineRule="exact"/>
        <w:rPr>
          <w:sz w:val="20"/>
          <w:szCs w:val="20"/>
          <w:color w:val="auto"/>
        </w:rPr>
      </w:pPr>
    </w:p>
    <w:p>
      <w:pPr>
        <w:ind w:left="90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29"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fail in implementing our cost saving, optimization and growth initiatives and overall business strategy, which could adversely impact our financial performance and growth, and implementation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0"/>
        <w:spacing w:after="0" w:line="277" w:lineRule="auto"/>
        <w:rPr>
          <w:sz w:val="20"/>
          <w:szCs w:val="20"/>
          <w:color w:val="auto"/>
        </w:rPr>
      </w:pPr>
      <w:r>
        <w:rPr>
          <w:rFonts w:ascii="Arial" w:cs="Arial" w:eastAsia="Arial" w:hAnsi="Arial"/>
          <w:sz w:val="18"/>
          <w:szCs w:val="18"/>
          <w:color w:val="auto"/>
        </w:rPr>
        <w:t>our initiatives and strategy may have associated negative consequences, such as fragmentation of efforts, increased indebtedness, asset impairments, business disruption, employee distraction, and regulatory issues;</w:t>
      </w:r>
    </w:p>
    <w:p>
      <w:pPr>
        <w:spacing w:after="0" w:line="76" w:lineRule="exact"/>
        <w:rPr>
          <w:sz w:val="20"/>
          <w:szCs w:val="20"/>
          <w:color w:val="auto"/>
        </w:rPr>
      </w:pPr>
    </w:p>
    <w:p>
      <w:pPr>
        <w:ind w:left="900" w:right="6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and other energy-related products marketed and sold by our landfill gas recovery operations; fluctuations in commodity prices may have negative effects on our operating results;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Services business;</w:t>
      </w:r>
    </w:p>
    <w:p>
      <w:pPr>
        <w:spacing w:after="0" w:line="153" w:lineRule="exact"/>
        <w:rPr>
          <w:rFonts w:ascii="Arial" w:cs="Arial" w:eastAsia="Arial" w:hAnsi="Arial"/>
          <w:sz w:val="16"/>
          <w:szCs w:val="16"/>
          <w:color w:val="auto"/>
        </w:rPr>
      </w:pPr>
    </w:p>
    <w:p>
      <w:pPr>
        <w:ind w:left="900" w:right="2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75"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1"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75" w:lineRule="exact"/>
        <w:rPr>
          <w:rFonts w:ascii="Arial" w:cs="Arial" w:eastAsia="Arial" w:hAnsi="Arial"/>
          <w:sz w:val="18"/>
          <w:szCs w:val="18"/>
          <w:color w:val="auto"/>
        </w:rPr>
      </w:pPr>
    </w:p>
    <w:p>
      <w:pPr>
        <w:ind w:left="900" w:right="62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900" w:right="80" w:hanging="446"/>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29" w:lineRule="exact"/>
        <w:rPr>
          <w:rFonts w:ascii="Arial" w:cs="Arial" w:eastAsia="Arial" w:hAnsi="Arial"/>
          <w:sz w:val="16"/>
          <w:szCs w:val="16"/>
          <w:color w:val="auto"/>
        </w:rPr>
      </w:pPr>
    </w:p>
    <w:p>
      <w:pPr>
        <w:ind w:left="900" w:right="7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131"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7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prospectus. This prospectus incorporates by reference the documents set forth below that have been previously filed with the SEC. These documents contain important information about us and our financial condition.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Date Filed</w:t>
            </w:r>
          </w:p>
        </w:tc>
      </w:tr>
      <w:tr>
        <w:trPr>
          <w:trHeight w:val="210"/>
        </w:trPr>
        <w:tc>
          <w:tcPr>
            <w:tcW w:w="9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Annual Report on Form 10-K for the year ended December 31, 2014</w:t>
            </w:r>
          </w:p>
        </w:tc>
        <w:tc>
          <w:tcPr>
            <w:tcW w:w="2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17,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2015</w:t>
            </w:r>
          </w:p>
        </w:tc>
        <w:tc>
          <w:tcPr>
            <w:tcW w:w="1860" w:type="dxa"/>
            <w:vAlign w:val="bottom"/>
          </w:tcPr>
          <w:p>
            <w:pPr>
              <w:jc w:val="center"/>
              <w:spacing w:after="0"/>
              <w:rPr>
                <w:sz w:val="20"/>
                <w:szCs w:val="20"/>
                <w:color w:val="auto"/>
              </w:rPr>
            </w:pPr>
            <w:r>
              <w:rPr>
                <w:rFonts w:ascii="Arial" w:cs="Arial" w:eastAsia="Arial" w:hAnsi="Arial"/>
                <w:sz w:val="18"/>
                <w:szCs w:val="18"/>
                <w:color w:val="auto"/>
                <w:w w:val="95"/>
              </w:rPr>
              <w:t>April 29,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2015</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23,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September 30, 2015</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October 27,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2,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February 18,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24,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March 3,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15,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July 14,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2015</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September 2, 2015</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1, 2015</w:t>
            </w: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 as we may update that description from time to time</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July 13, 1995</w:t>
            </w:r>
          </w:p>
        </w:tc>
      </w:tr>
    </w:tbl>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58"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 xml:space="preserve">You may obtain copies of any of these filings through Waste Management, the SEC or the SEC’s Internet site as described below. Documents incorporated by reference are available without charge by requesting them in writing or by telephone using the contact information below and may be accessed through the Investor Relations section of </w:t>
      </w:r>
      <w:r>
        <w:rPr>
          <w:rFonts w:ascii="Arial" w:cs="Arial" w:eastAsia="Arial" w:hAnsi="Arial"/>
          <w:sz w:val="18"/>
          <w:szCs w:val="18"/>
          <w:i w:val="1"/>
          <w:iCs w:val="1"/>
          <w:color w:val="auto"/>
        </w:rPr>
        <w:t>www.wm.com.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1001 Fannin Street, Houston, Texas 77002 and our telephone number is (713) 512-6200.</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9"/>
            <w:vMerge w:val="restart"/>
          </w:tcPr>
          <w:p>
            <w:pPr>
              <w:jc w:val="center"/>
              <w:ind w:right="480"/>
              <w:spacing w:after="0"/>
              <w:rPr>
                <w:sz w:val="20"/>
                <w:szCs w:val="20"/>
                <w:color w:val="auto"/>
              </w:rPr>
            </w:pPr>
            <w:r>
              <w:rPr>
                <w:rFonts w:ascii="Arial" w:cs="Arial" w:eastAsia="Arial" w:hAnsi="Arial"/>
                <w:sz w:val="14"/>
                <w:szCs w:val="14"/>
                <w:b w:val="1"/>
                <w:bCs w:val="1"/>
                <w:color w:val="auto"/>
                <w:w w:val="92"/>
              </w:rPr>
              <w:t>Years Ended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5"/>
              </w:rPr>
              <w:t>(Unaudited)</w:t>
            </w:r>
          </w:p>
        </w:tc>
        <w:tc>
          <w:tcPr>
            <w:tcW w:w="4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1,350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1,557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Implicit interest in rents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5540" w:type="dxa"/>
            <w:vAlign w:val="bottom"/>
            <w:gridSpan w:val="2"/>
          </w:tcPr>
          <w:p>
            <w:pPr>
              <w:ind w:left="720"/>
              <w:spacing w:after="0"/>
              <w:rPr>
                <w:sz w:val="20"/>
                <w:szCs w:val="20"/>
                <w:color w:val="auto"/>
              </w:rPr>
            </w:pPr>
            <w:r>
              <w:rPr>
                <w:rFonts w:ascii="Arial" w:cs="Arial" w:eastAsia="Arial" w:hAnsi="Arial"/>
                <w:sz w:val="18"/>
                <w:szCs w:val="18"/>
                <w:color w:val="auto"/>
              </w:rPr>
              <w:t>Earnings available for fixed charges(a)</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2,329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1,897</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2,083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ind w:left="720"/>
              <w:spacing w:after="0"/>
              <w:rPr>
                <w:sz w:val="20"/>
                <w:szCs w:val="20"/>
                <w:color w:val="auto"/>
              </w:rPr>
            </w:pPr>
            <w:r>
              <w:rPr>
                <w:rFonts w:ascii="Arial" w:cs="Arial" w:eastAsia="Arial" w:hAnsi="Arial"/>
                <w:sz w:val="18"/>
                <w:szCs w:val="18"/>
                <w:color w:val="auto"/>
              </w:rPr>
              <w:t>Total fixed charges(a)</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Ratio of earnings to fixed charges</w:t>
            </w: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3.0x</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4.3x</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1.9x</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3.3x</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4.1x</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720"/>
              <w:spacing w:after="0"/>
              <w:rPr>
                <w:sz w:val="20"/>
                <w:szCs w:val="20"/>
                <w:color w:val="auto"/>
              </w:rPr>
            </w:pPr>
            <w:r>
              <w:rPr>
                <w:rFonts w:ascii="Arial" w:cs="Arial" w:eastAsia="Arial" w:hAnsi="Arial"/>
                <w:sz w:val="18"/>
                <w:szCs w:val="18"/>
                <w:b w:val="1"/>
                <w:bCs w:val="1"/>
                <w:color w:val="auto"/>
              </w:rPr>
              <w:t>Adjusted ratio of earnings to fixed charges(b)</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3.1x</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3.7x</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3.6x</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3.9x</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2" w:lineRule="exact"/>
        <w:rPr>
          <w:rFonts w:ascii="Arial" w:cs="Arial" w:eastAsia="Arial" w:hAnsi="Arial"/>
          <w:sz w:val="18"/>
          <w:szCs w:val="18"/>
          <w:color w:val="auto"/>
        </w:rPr>
      </w:pPr>
    </w:p>
    <w:p>
      <w:pPr>
        <w:ind w:left="460" w:right="26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and divestitures. A reconciliation showing the effect of these items on our “Income before income taxes and losses in equity investments” used to calculate our earnings available for fixed charges is as follows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vMerge w:val="restart"/>
          </w:tcPr>
          <w:p>
            <w:pPr>
              <w:jc w:val="center"/>
              <w:ind w:right="380"/>
              <w:spacing w:after="0"/>
              <w:rPr>
                <w:sz w:val="20"/>
                <w:szCs w:val="20"/>
                <w:color w:val="auto"/>
              </w:rPr>
            </w:pPr>
            <w:r>
              <w:rPr>
                <w:rFonts w:ascii="Arial" w:cs="Arial" w:eastAsia="Arial" w:hAnsi="Arial"/>
                <w:sz w:val="14"/>
                <w:szCs w:val="14"/>
                <w:b w:val="1"/>
                <w:bCs w:val="1"/>
                <w:color w:val="auto"/>
                <w:w w:val="91"/>
              </w:rPr>
              <w:t>Years Ended 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Ended September 30,</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ind w:left="75"/>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76"/>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(Unaudited)</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As reported income before income taxes and losses in equity investments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w w:val="90"/>
              </w:rPr>
              <w:t>Adjustments to income before income taxes and losses in equity investments:</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costs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Goodwill impairments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509</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impairments (other than goodwill)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(Income) expense from divestitures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Adjusted income before income taxes and losses in equity investments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188"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No shares of our preferred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unsecured 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7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53" w:lineRule="exact"/>
        <w:rPr>
          <w:rFonts w:ascii="Arial" w:cs="Arial" w:eastAsia="Arial" w:hAnsi="Arial"/>
          <w:sz w:val="16"/>
          <w:szCs w:val="16"/>
          <w:color w:val="auto"/>
        </w:rPr>
      </w:pPr>
    </w:p>
    <w:p>
      <w:pPr>
        <w:ind w:left="900" w:right="4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76" w:lineRule="exact"/>
        <w:rPr>
          <w:sz w:val="20"/>
          <w:szCs w:val="20"/>
          <w:color w:val="auto"/>
        </w:rPr>
      </w:pPr>
    </w:p>
    <w:p>
      <w:pPr>
        <w:ind w:left="900" w:right="2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2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securities:</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30" w:lineRule="exact"/>
        <w:rPr>
          <w:rFonts w:ascii="Arial" w:cs="Arial" w:eastAsia="Arial" w:hAnsi="Arial"/>
          <w:sz w:val="18"/>
          <w:szCs w:val="18"/>
          <w:color w:val="auto"/>
        </w:rPr>
      </w:pPr>
    </w:p>
    <w:p>
      <w:pPr>
        <w:ind w:left="900" w:hanging="446"/>
        <w:spacing w:after="0" w:line="30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87"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color w:val="auto"/>
        </w:rPr>
      </w:pPr>
    </w:p>
    <w:p>
      <w:pPr>
        <w:ind w:left="5620" w:right="2760" w:hanging="5166"/>
        <w:spacing w:after="0" w:line="449" w:lineRule="auto"/>
        <w:tabs>
          <w:tab w:leader="none" w:pos="8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 10</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70"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6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When we use the term defeasance, we mean discharge from some or all of our obligations under the indentures. If any combination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1" w:lineRule="exact"/>
        <w:rPr>
          <w:sz w:val="20"/>
          <w:szCs w:val="20"/>
          <w:color w:val="auto"/>
        </w:rPr>
      </w:pPr>
    </w:p>
    <w:p>
      <w:pPr>
        <w:ind w:left="900" w:right="4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75" w:lineRule="exact"/>
        <w:rPr>
          <w:rFonts w:ascii="Arial" w:cs="Arial" w:eastAsia="Arial" w:hAnsi="Arial"/>
          <w:sz w:val="18"/>
          <w:szCs w:val="18"/>
          <w:color w:val="auto"/>
        </w:rPr>
      </w:pPr>
    </w:p>
    <w:p>
      <w:pPr>
        <w:ind w:left="900" w:right="500" w:hanging="446"/>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8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8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4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i w:val="1"/>
          <w:iCs w:val="1"/>
          <w:color w:val="auto"/>
        </w:rPr>
        <w:t xml:space="preserve">Form, Exchange, Registration and Transfer. </w:t>
      </w:r>
      <w:r>
        <w:rPr>
          <w:rFonts w:ascii="Arial" w:cs="Arial" w:eastAsia="Arial" w:hAnsi="Arial"/>
          <w:sz w:val="17"/>
          <w:szCs w:val="17"/>
          <w:color w:val="auto"/>
        </w:rPr>
        <w:t>The debt securities may be issued in registered form, without interest coupons, or in bearer form, with</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87"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900" w:right="1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w:t>
      </w:r>
      <w:r>
        <w:rPr>
          <w:rFonts w:ascii="Arial" w:cs="Arial" w:eastAsia="Arial" w:hAnsi="Arial"/>
          <w:sz w:val="16"/>
          <w:szCs w:val="16"/>
          <w:i w:val="1"/>
          <w:iCs w:val="1"/>
          <w:color w:val="auto"/>
        </w:rPr>
        <w:t xml:space="preserve"> </w:t>
      </w:r>
      <w:r>
        <w:rPr>
          <w:rFonts w:ascii="Arial" w:cs="Arial" w:eastAsia="Arial" w:hAnsi="Arial"/>
          <w:sz w:val="16"/>
          <w:szCs w:val="16"/>
          <w:color w:val="auto"/>
        </w:rPr>
        <w:t>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 global debt securities that would be deposited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 of the other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73" w:lineRule="exact"/>
        <w:rPr>
          <w:sz w:val="20"/>
          <w:szCs w:val="20"/>
          <w:color w:val="auto"/>
        </w:rPr>
      </w:pPr>
    </w:p>
    <w:p>
      <w:pPr>
        <w:ind w:left="1140" w:hanging="237"/>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liens on the property or assets existing at the time of acquisition which secure obligations assumed by us or our Restricted Subsidiaries;</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62"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w:t>
      </w:r>
      <w:r>
        <w:rPr>
          <w:rFonts w:ascii="Arial" w:cs="Arial" w:eastAsia="Arial" w:hAnsi="Arial"/>
          <w:sz w:val="18"/>
          <w:szCs w:val="18"/>
          <w:color w:val="auto"/>
        </w:rPr>
        <w:t xml:space="preserve"> </w:t>
      </w:r>
      <w:r>
        <w:rPr>
          <w:rFonts w:ascii="Arial" w:cs="Arial" w:eastAsia="Arial" w:hAnsi="Arial"/>
          <w:sz w:val="18"/>
          <w:szCs w:val="18"/>
          <w:i w:val="1"/>
          <w:iCs w:val="1"/>
          <w:color w:val="auto"/>
        </w:rPr>
        <w:t>Indenture — Consolidation, Merger and Sale of Assets</w:t>
      </w:r>
      <w:r>
        <w:rPr>
          <w:rFonts w:ascii="Arial" w:cs="Arial" w:eastAsia="Arial" w:hAnsi="Arial"/>
          <w:sz w:val="18"/>
          <w:szCs w:val="18"/>
          <w:color w:val="auto"/>
        </w:rPr>
        <w:t>,” above;</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1" w:lineRule="exact"/>
        <w:rPr>
          <w:sz w:val="20"/>
          <w:szCs w:val="20"/>
          <w:color w:val="auto"/>
        </w:rPr>
      </w:pPr>
    </w:p>
    <w:p>
      <w:pPr>
        <w:ind w:left="1480" w:hanging="446"/>
        <w:spacing w:after="0"/>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30" w:lineRule="exact"/>
        <w:rPr>
          <w:rFonts w:ascii="Arial" w:cs="Arial" w:eastAsia="Arial" w:hAnsi="Arial"/>
          <w:sz w:val="18"/>
          <w:szCs w:val="18"/>
          <w:color w:val="auto"/>
        </w:rPr>
      </w:pPr>
    </w:p>
    <w:p>
      <w:pPr>
        <w:ind w:left="1480" w:right="20" w:hanging="446"/>
        <w:spacing w:after="0" w:line="286"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57" w:lineRule="exact"/>
        <w:rPr>
          <w:rFonts w:ascii="Arial" w:cs="Arial" w:eastAsia="Arial" w:hAnsi="Arial"/>
          <w:sz w:val="17"/>
          <w:szCs w:val="17"/>
          <w:color w:val="auto"/>
        </w:rPr>
      </w:pPr>
    </w:p>
    <w:p>
      <w:pPr>
        <w:ind w:left="1120" w:hanging="217"/>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liens in connection with legal proceedings so long as the proceeding is being contested in good faith or execution thereon is stayed;</w:t>
      </w:r>
    </w:p>
    <w:p>
      <w:pPr>
        <w:spacing w:after="0" w:line="128" w:lineRule="exact"/>
        <w:rPr>
          <w:rFonts w:ascii="Arial" w:cs="Arial" w:eastAsia="Arial" w:hAnsi="Arial"/>
          <w:sz w:val="17"/>
          <w:szCs w:val="17"/>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117" w:lineRule="exact"/>
        <w:rPr>
          <w:rFonts w:ascii="Arial" w:cs="Arial" w:eastAsia="Arial" w:hAnsi="Arial"/>
          <w:sz w:val="18"/>
          <w:szCs w:val="18"/>
          <w:color w:val="auto"/>
        </w:rPr>
      </w:pPr>
    </w:p>
    <w:p>
      <w:pPr>
        <w:ind w:left="460" w:firstLine="443"/>
        <w:spacing w:after="0" w:line="277" w:lineRule="auto"/>
        <w:tabs>
          <w:tab w:leader="none" w:pos="1203"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without securing the senior debt securities as described above, we and our Restricted Subsidiaries may issue, assume or guarantee Indebtedness that this covenant would otherwise restrict in a total principal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62" w:lineRule="exact"/>
        <w:rPr>
          <w:sz w:val="20"/>
          <w:szCs w:val="20"/>
          <w:color w:val="auto"/>
        </w:rPr>
      </w:pPr>
    </w:p>
    <w:p>
      <w:pPr>
        <w:ind w:left="460" w:right="300" w:firstLine="443"/>
        <w:spacing w:after="0" w:line="264" w:lineRule="auto"/>
        <w:tabs>
          <w:tab w:leader="none" w:pos="11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73" w:lineRule="exact"/>
        <w:rPr>
          <w:rFonts w:ascii="Arial" w:cs="Arial" w:eastAsia="Arial" w:hAnsi="Arial"/>
          <w:sz w:val="18"/>
          <w:szCs w:val="18"/>
          <w:color w:val="auto"/>
        </w:rPr>
      </w:pPr>
    </w:p>
    <w:p>
      <w:pPr>
        <w:jc w:val="both"/>
        <w:ind w:left="460" w:right="60" w:firstLine="443"/>
        <w:spacing w:after="0" w:line="259" w:lineRule="auto"/>
        <w:tabs>
          <w:tab w:leader="none" w:pos="11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listed under the senior indenture or debt incurred by a Restricted Subsidiary; or</w:t>
      </w:r>
    </w:p>
    <w:p>
      <w:pPr>
        <w:spacing w:after="0" w:line="78" w:lineRule="exact"/>
        <w:rPr>
          <w:rFonts w:ascii="Arial" w:cs="Arial" w:eastAsia="Arial" w:hAnsi="Arial"/>
          <w:sz w:val="18"/>
          <w:szCs w:val="18"/>
          <w:color w:val="auto"/>
        </w:rPr>
      </w:pPr>
    </w:p>
    <w:p>
      <w:pPr>
        <w:ind w:left="460" w:right="220" w:firstLine="443"/>
        <w:spacing w:after="0" w:line="342" w:lineRule="auto"/>
        <w:tabs>
          <w:tab w:leader="none" w:pos="1143" w:val="left"/>
        </w:tabs>
        <w:numPr>
          <w:ilvl w:val="0"/>
          <w:numId w:val="47"/>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6"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Glossary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 lease included in the Sale/Leaseback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131" w:lineRule="exact"/>
        <w:rPr>
          <w:sz w:val="20"/>
          <w:szCs w:val="20"/>
          <w:color w:val="auto"/>
        </w:rPr>
      </w:pPr>
    </w:p>
    <w:p>
      <w:pPr>
        <w:ind w:left="900" w:right="76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46"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principally engaged in, or whose principal assets consist of property used by us or any Restricted Subsidiary in the storage, collection, transfer, interim</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processing or disposal of waste within the United States or Canada or (b) which we designate as a Restricted Subsidiary in an officer’s certificate delivered to the trustee.</w:t>
      </w:r>
    </w:p>
    <w:p>
      <w:pPr>
        <w:spacing w:after="0" w:line="18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or such Restricted Subsidiary has sold or transferred or will sell or transfer to that person. This term excludes the following:</w:t>
      </w:r>
    </w:p>
    <w:p>
      <w:pPr>
        <w:spacing w:after="0" w:line="7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outstanding from time to time.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8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GUARANTEES</w:t>
      </w:r>
    </w:p>
    <w:p>
      <w:pPr>
        <w:spacing w:after="0" w:line="22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8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8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We are authorized to issue 1,500,000,000 shares of common stock, of which 446,495,290 shares were outstanding at October 20, 2015 (excluding treasury shares of 183,787,171). We are also authorized to issue 10,000,000 shares of preferred stock, none of which were outstanding on that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share of common stock is entitled to one vote in the election of directors and in each other matter we may ask stockholders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 in Jersey City, New Jersey.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a Delaware corporation and are governed by the Delaware General Corporation Law. Section 203 of the Delaware General Corporation law,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87" w:lineRule="exact"/>
        <w:rPr>
          <w:sz w:val="20"/>
          <w:szCs w:val="20"/>
          <w:color w:val="auto"/>
        </w:rPr>
      </w:pPr>
    </w:p>
    <w:p>
      <w:pPr>
        <w:ind w:left="900" w:right="3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OTHER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8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87" w:lineRule="exact"/>
        <w:rPr>
          <w:sz w:val="20"/>
          <w:szCs w:val="20"/>
          <w:color w:val="auto"/>
        </w:rPr>
      </w:pPr>
    </w:p>
    <w:p>
      <w:pPr>
        <w:ind w:right="460" w:firstLine="456"/>
        <w:spacing w:after="0" w:line="257" w:lineRule="auto"/>
        <w:rPr>
          <w:sz w:val="20"/>
          <w:szCs w:val="20"/>
          <w:color w:val="auto"/>
        </w:rPr>
      </w:pPr>
      <w:r>
        <w:rPr>
          <w:rFonts w:ascii="Arial" w:cs="Arial" w:eastAsia="Arial" w:hAnsi="Arial"/>
          <w:sz w:val="18"/>
          <w:szCs w:val="18"/>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2014, including the schedule appearing therein, and the effectiveness of Waste Management, Inc.’s internal control over financial reporting as of December 31, 2014,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5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238125</wp:posOffset>
            </wp:positionV>
            <wp:extent cx="1414780" cy="4800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80"/>
        <w:spacing w:after="0"/>
        <w:rPr>
          <w:sz w:val="20"/>
          <w:szCs w:val="20"/>
          <w:color w:val="auto"/>
        </w:rPr>
      </w:pPr>
      <w:r>
        <w:rPr>
          <w:rFonts w:ascii="Arial" w:cs="Arial" w:eastAsia="Arial" w:hAnsi="Arial"/>
          <w:sz w:val="25"/>
          <w:szCs w:val="25"/>
          <w:b w:val="1"/>
          <w:bCs w:val="1"/>
          <w:color w:val="auto"/>
        </w:rPr>
        <w:t>2.400%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1409700</wp:posOffset>
            </wp:positionV>
            <wp:extent cx="30441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20"/>
        <w:spacing w:after="0"/>
        <w:tabs>
          <w:tab w:leader="none" w:pos="5760" w:val="left"/>
        </w:tabs>
        <w:rPr>
          <w:sz w:val="20"/>
          <w:szCs w:val="20"/>
          <w:color w:val="auto"/>
        </w:rPr>
      </w:pPr>
      <w:r>
        <w:rPr>
          <w:rFonts w:ascii="Arial" w:cs="Arial" w:eastAsia="Arial" w:hAnsi="Arial"/>
          <w:sz w:val="18"/>
          <w:szCs w:val="18"/>
          <w:b w:val="1"/>
          <w:bCs w:val="1"/>
          <w:color w:val="auto"/>
        </w:rPr>
        <w:t>PROSPECTUS</w:t>
        <w:tab/>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85725</wp:posOffset>
            </wp:positionV>
            <wp:extent cx="30441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Book-Running Managers</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Citigroup</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Mizuho Securities</w:t>
      </w: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Co-Managers</w:t>
      </w: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Scotiabank</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PNC Capital Markets LLC</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Comerica Securities</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Drexel Hamilton</w:t>
      </w:r>
    </w:p>
    <w:p>
      <w:pPr>
        <w:spacing w:after="0" w:line="118"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Siebert Brandford Shank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May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5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lowerLetter"/>
      <w:start w:val="1"/>
    </w:lvl>
  </w:abstractNum>
  <w:abstractNum w:abstractNumId="2">
    <w:nsid w:val="71F32454"/>
    <w:multiLevelType w:val="hybridMultilevel"/>
    <w:lvl w:ilvl="0">
      <w:lvlJc w:val="left"/>
      <w:lvlText w:val="(%1)"/>
      <w:numFmt w:val="lowerLetter"/>
      <w:start w:val="2"/>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2"/>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lowerRoman"/>
      <w:start w:val="2"/>
    </w:lvl>
  </w:abstractNum>
  <w:abstractNum w:abstractNumId="11">
    <w:nsid w:val="6CEAF087"/>
    <w:multiLevelType w:val="hybridMultilevel"/>
    <w:lvl w:ilvl="0">
      <w:lvlJc w:val="left"/>
      <w:lvlText w:val="%1"/>
      <w:numFmt w:val="decimal"/>
      <w:start w:val="1"/>
    </w:lvl>
    <w:lvl w:ilvl="1">
      <w:lvlJc w:val="left"/>
      <w:lvlText w:val="(%2)"/>
      <w:numFmt w:val="lowerLetter"/>
      <w:start w:val="1"/>
    </w:lvl>
  </w:abstractNum>
  <w:abstractNum w:abstractNumId="12">
    <w:nsid w:val="22221A70"/>
    <w:multiLevelType w:val="hybridMultilevel"/>
    <w:lvl w:ilvl="0">
      <w:lvlJc w:val="left"/>
      <w:lvlText w:val="(%1)"/>
      <w:numFmt w:val="decimal"/>
      <w:start w:val="2"/>
    </w:lvl>
    <w:lvl w:ilvl="1">
      <w:lvlJc w:val="left"/>
      <w:lvlText w:val="%2"/>
      <w:numFmt w:val="lowerLetter"/>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2"/>
    </w:lvl>
  </w:abstractNum>
  <w:abstractNum w:abstractNumId="24">
    <w:nsid w:val="2463B9EA"/>
    <w:multiLevelType w:val="hybridMultilevel"/>
    <w:lvl w:ilvl="0">
      <w:lvlJc w:val="left"/>
      <w:lvlText w:val="(%1)"/>
      <w:numFmt w:val="lowerRoman"/>
      <w:start w:val="2"/>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5"/>
    </w:lvl>
    <w:lvl w:ilvl="1">
      <w:lvlJc w:val="left"/>
      <w:lvlText w:val="•"/>
      <w:numFmt w:val="bullet"/>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2019-12-20T23:09:33Z</dcterms:created>
  <dcterms:modified xsi:type="dcterms:W3CDTF">2019-12-20T23:09:33Z</dcterms:modified>
</cp:coreProperties>
</file>