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April 29, 2004</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WASTE MANAGEMENT, INC.</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4540" w:type="dxa"/>
            <w:vAlign w:val="bottom"/>
          </w:tcPr>
          <w:p>
            <w:pPr>
              <w:jc w:val="center"/>
              <w:ind w:right="50"/>
              <w:spacing w:after="0"/>
              <w:rPr>
                <w:sz w:val="20"/>
                <w:szCs w:val="20"/>
                <w:color w:val="auto"/>
              </w:rPr>
            </w:pPr>
            <w:r>
              <w:rPr>
                <w:rFonts w:ascii="Arial" w:cs="Arial" w:eastAsia="Arial" w:hAnsi="Arial"/>
                <w:sz w:val="18"/>
                <w:szCs w:val="18"/>
                <w:color w:val="auto"/>
                <w:w w:val="90"/>
              </w:rPr>
              <w:t>(Exact name of registrant as specified in its charter)</w:t>
            </w:r>
          </w:p>
        </w:tc>
        <w:tc>
          <w:tcPr>
            <w:tcW w:w="3360" w:type="dxa"/>
            <w:vAlign w:val="bottom"/>
          </w:tcPr>
          <w:p>
            <w:pPr>
              <w:spacing w:after="0"/>
              <w:rPr>
                <w:sz w:val="20"/>
                <w:szCs w:val="20"/>
                <w:color w:val="auto"/>
              </w:rPr>
            </w:pPr>
          </w:p>
        </w:tc>
      </w:tr>
      <w:tr>
        <w:trPr>
          <w:trHeight w:val="418"/>
        </w:trPr>
        <w:tc>
          <w:tcPr>
            <w:tcW w:w="352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4540" w:type="dxa"/>
            <w:vAlign w:val="bottom"/>
          </w:tcPr>
          <w:p>
            <w:pPr>
              <w:jc w:val="center"/>
              <w:ind w:right="90"/>
              <w:spacing w:after="0"/>
              <w:rPr>
                <w:sz w:val="20"/>
                <w:szCs w:val="20"/>
                <w:color w:val="auto"/>
              </w:rPr>
            </w:pPr>
            <w:r>
              <w:rPr>
                <w:rFonts w:ascii="Arial" w:cs="Arial" w:eastAsia="Arial" w:hAnsi="Arial"/>
                <w:sz w:val="18"/>
                <w:szCs w:val="18"/>
                <w:color w:val="auto"/>
                <w:w w:val="90"/>
              </w:rPr>
              <w:t>1-12154</w:t>
            </w:r>
          </w:p>
        </w:tc>
        <w:tc>
          <w:tcPr>
            <w:tcW w:w="3360" w:type="dxa"/>
            <w:vAlign w:val="bottom"/>
          </w:tcPr>
          <w:p>
            <w:pPr>
              <w:jc w:val="right"/>
              <w:ind w:right="1270"/>
              <w:spacing w:after="0"/>
              <w:rPr>
                <w:sz w:val="20"/>
                <w:szCs w:val="20"/>
                <w:color w:val="auto"/>
              </w:rPr>
            </w:pPr>
            <w:r>
              <w:rPr>
                <w:rFonts w:ascii="Arial" w:cs="Arial" w:eastAsia="Arial" w:hAnsi="Arial"/>
                <w:sz w:val="18"/>
                <w:szCs w:val="18"/>
                <w:color w:val="auto"/>
              </w:rPr>
              <w:t>73-1309529</w:t>
            </w:r>
          </w:p>
        </w:tc>
      </w:tr>
      <w:tr>
        <w:trPr>
          <w:trHeight w:val="216"/>
        </w:trPr>
        <w:tc>
          <w:tcPr>
            <w:tcW w:w="3520" w:type="dxa"/>
            <w:vAlign w:val="bottom"/>
          </w:tcPr>
          <w:p>
            <w:pPr>
              <w:jc w:val="center"/>
              <w:spacing w:after="0"/>
              <w:rPr>
                <w:sz w:val="20"/>
                <w:szCs w:val="20"/>
                <w:color w:val="auto"/>
              </w:rPr>
            </w:pPr>
            <w:r>
              <w:rPr>
                <w:rFonts w:ascii="Arial" w:cs="Arial" w:eastAsia="Arial" w:hAnsi="Arial"/>
                <w:sz w:val="18"/>
                <w:szCs w:val="18"/>
                <w:color w:val="auto"/>
                <w:w w:val="93"/>
              </w:rPr>
              <w:t>(State or other jurisdiction of</w:t>
            </w:r>
          </w:p>
        </w:tc>
        <w:tc>
          <w:tcPr>
            <w:tcW w:w="4540" w:type="dxa"/>
            <w:vAlign w:val="bottom"/>
          </w:tcPr>
          <w:p>
            <w:pPr>
              <w:jc w:val="center"/>
              <w:ind w:right="90"/>
              <w:spacing w:after="0"/>
              <w:rPr>
                <w:sz w:val="20"/>
                <w:szCs w:val="20"/>
                <w:color w:val="auto"/>
              </w:rPr>
            </w:pPr>
            <w:r>
              <w:rPr>
                <w:rFonts w:ascii="Arial" w:cs="Arial" w:eastAsia="Arial" w:hAnsi="Arial"/>
                <w:sz w:val="18"/>
                <w:szCs w:val="18"/>
                <w:color w:val="auto"/>
                <w:w w:val="93"/>
              </w:rPr>
              <w:t>(Commission File Number)</w:t>
            </w:r>
          </w:p>
        </w:tc>
        <w:tc>
          <w:tcPr>
            <w:tcW w:w="3360" w:type="dxa"/>
            <w:vAlign w:val="bottom"/>
          </w:tcPr>
          <w:p>
            <w:pPr>
              <w:jc w:val="center"/>
              <w:ind w:right="150"/>
              <w:spacing w:after="0"/>
              <w:rPr>
                <w:sz w:val="20"/>
                <w:szCs w:val="20"/>
                <w:color w:val="auto"/>
              </w:rPr>
            </w:pPr>
            <w:r>
              <w:rPr>
                <w:rFonts w:ascii="Arial" w:cs="Arial" w:eastAsia="Arial" w:hAnsi="Arial"/>
                <w:sz w:val="18"/>
                <w:szCs w:val="18"/>
                <w:color w:val="auto"/>
                <w:w w:val="94"/>
              </w:rPr>
              <w:t>(I.R.S. Employer Identification</w:t>
            </w:r>
          </w:p>
        </w:tc>
      </w:tr>
      <w:tr>
        <w:trPr>
          <w:trHeight w:val="230"/>
        </w:trPr>
        <w:tc>
          <w:tcPr>
            <w:tcW w:w="3520" w:type="dxa"/>
            <w:vAlign w:val="bottom"/>
          </w:tcPr>
          <w:p>
            <w:pPr>
              <w:jc w:val="center"/>
              <w:spacing w:after="0"/>
              <w:rPr>
                <w:sz w:val="20"/>
                <w:szCs w:val="20"/>
                <w:color w:val="auto"/>
              </w:rPr>
            </w:pPr>
            <w:r>
              <w:rPr>
                <w:rFonts w:ascii="Arial" w:cs="Arial" w:eastAsia="Arial" w:hAnsi="Arial"/>
                <w:sz w:val="18"/>
                <w:szCs w:val="18"/>
                <w:color w:val="auto"/>
                <w:w w:val="92"/>
              </w:rPr>
              <w:t>incorporation)</w:t>
            </w:r>
          </w:p>
        </w:tc>
        <w:tc>
          <w:tcPr>
            <w:tcW w:w="4540" w:type="dxa"/>
            <w:vAlign w:val="bottom"/>
          </w:tcPr>
          <w:p>
            <w:pPr>
              <w:spacing w:after="0"/>
              <w:rPr>
                <w:sz w:val="20"/>
                <w:szCs w:val="20"/>
                <w:color w:val="auto"/>
              </w:rPr>
            </w:pPr>
          </w:p>
        </w:tc>
        <w:tc>
          <w:tcPr>
            <w:tcW w:w="3360" w:type="dxa"/>
            <w:vAlign w:val="bottom"/>
          </w:tcPr>
          <w:p>
            <w:pPr>
              <w:jc w:val="center"/>
              <w:ind w:right="150"/>
              <w:spacing w:after="0"/>
              <w:rPr>
                <w:sz w:val="20"/>
                <w:szCs w:val="20"/>
                <w:color w:val="auto"/>
              </w:rPr>
            </w:pPr>
            <w:r>
              <w:rPr>
                <w:rFonts w:ascii="Arial" w:cs="Arial" w:eastAsia="Arial" w:hAnsi="Arial"/>
                <w:sz w:val="18"/>
                <w:szCs w:val="18"/>
                <w:color w:val="auto"/>
                <w:w w:val="91"/>
              </w:rPr>
              <w:t>Number)</w:t>
            </w:r>
          </w:p>
        </w:tc>
      </w:tr>
      <w:tr>
        <w:trPr>
          <w:trHeight w:val="418"/>
        </w:trPr>
        <w:tc>
          <w:tcPr>
            <w:tcW w:w="3520" w:type="dxa"/>
            <w:vAlign w:val="bottom"/>
          </w:tcPr>
          <w:p>
            <w:pPr>
              <w:jc w:val="center"/>
              <w:spacing w:after="0"/>
              <w:rPr>
                <w:sz w:val="20"/>
                <w:szCs w:val="20"/>
                <w:color w:val="auto"/>
              </w:rPr>
            </w:pPr>
            <w:r>
              <w:rPr>
                <w:rFonts w:ascii="Arial" w:cs="Arial" w:eastAsia="Arial" w:hAnsi="Arial"/>
                <w:sz w:val="18"/>
                <w:szCs w:val="18"/>
                <w:color w:val="auto"/>
                <w:w w:val="89"/>
              </w:rPr>
              <w:t>1001 Fannin Street, Suite 4000</w:t>
            </w:r>
          </w:p>
        </w:tc>
        <w:tc>
          <w:tcPr>
            <w:tcW w:w="4540" w:type="dxa"/>
            <w:vAlign w:val="bottom"/>
          </w:tcPr>
          <w:p>
            <w:pPr>
              <w:spacing w:after="0"/>
              <w:rPr>
                <w:sz w:val="24"/>
                <w:szCs w:val="24"/>
                <w:color w:val="auto"/>
              </w:rPr>
            </w:pPr>
          </w:p>
        </w:tc>
        <w:tc>
          <w:tcPr>
            <w:tcW w:w="3360" w:type="dxa"/>
            <w:vAlign w:val="bottom"/>
          </w:tcPr>
          <w:p>
            <w:pPr>
              <w:jc w:val="right"/>
              <w:ind w:right="1490"/>
              <w:spacing w:after="0"/>
              <w:rPr>
                <w:sz w:val="20"/>
                <w:szCs w:val="20"/>
                <w:color w:val="auto"/>
              </w:rPr>
            </w:pPr>
            <w:r>
              <w:rPr>
                <w:rFonts w:ascii="Arial" w:cs="Arial" w:eastAsia="Arial" w:hAnsi="Arial"/>
                <w:sz w:val="18"/>
                <w:szCs w:val="18"/>
                <w:color w:val="auto"/>
              </w:rPr>
              <w:t>77002</w:t>
            </w:r>
          </w:p>
        </w:tc>
      </w:tr>
      <w:tr>
        <w:trPr>
          <w:trHeight w:val="216"/>
        </w:trPr>
        <w:tc>
          <w:tcPr>
            <w:tcW w:w="3520" w:type="dxa"/>
            <w:vAlign w:val="bottom"/>
          </w:tcPr>
          <w:p>
            <w:pPr>
              <w:jc w:val="center"/>
              <w:spacing w:after="0"/>
              <w:rPr>
                <w:sz w:val="20"/>
                <w:szCs w:val="20"/>
                <w:color w:val="auto"/>
              </w:rPr>
            </w:pPr>
            <w:r>
              <w:rPr>
                <w:rFonts w:ascii="Arial" w:cs="Arial" w:eastAsia="Arial" w:hAnsi="Arial"/>
                <w:sz w:val="18"/>
                <w:szCs w:val="18"/>
                <w:color w:val="auto"/>
                <w:w w:val="87"/>
              </w:rPr>
              <w:t>Houston, Texas</w:t>
            </w:r>
          </w:p>
        </w:tc>
        <w:tc>
          <w:tcPr>
            <w:tcW w:w="4540" w:type="dxa"/>
            <w:vAlign w:val="bottom"/>
          </w:tcPr>
          <w:p>
            <w:pPr>
              <w:spacing w:after="0"/>
              <w:rPr>
                <w:sz w:val="18"/>
                <w:szCs w:val="18"/>
                <w:color w:val="auto"/>
              </w:rPr>
            </w:pPr>
          </w:p>
        </w:tc>
        <w:tc>
          <w:tcPr>
            <w:tcW w:w="3360" w:type="dxa"/>
            <w:vAlign w:val="bottom"/>
          </w:tcPr>
          <w:p>
            <w:pPr>
              <w:jc w:val="center"/>
              <w:ind w:right="150"/>
              <w:spacing w:after="0"/>
              <w:rPr>
                <w:sz w:val="20"/>
                <w:szCs w:val="20"/>
                <w:color w:val="auto"/>
              </w:rPr>
            </w:pPr>
            <w:r>
              <w:rPr>
                <w:rFonts w:ascii="Arial" w:cs="Arial" w:eastAsia="Arial" w:hAnsi="Arial"/>
                <w:sz w:val="18"/>
                <w:szCs w:val="18"/>
                <w:color w:val="auto"/>
                <w:w w:val="94"/>
              </w:rPr>
              <w:t>(Zip Code)</w:t>
            </w:r>
          </w:p>
        </w:tc>
      </w:tr>
      <w:tr>
        <w:trPr>
          <w:trHeight w:val="230"/>
        </w:trPr>
        <w:tc>
          <w:tcPr>
            <w:tcW w:w="352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454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377"/>
        </w:trPr>
        <w:tc>
          <w:tcPr>
            <w:tcW w:w="3520" w:type="dxa"/>
            <w:vAlign w:val="bottom"/>
          </w:tcPr>
          <w:p>
            <w:pPr>
              <w:spacing w:after="0"/>
              <w:rPr>
                <w:sz w:val="24"/>
                <w:szCs w:val="24"/>
                <w:color w:val="auto"/>
              </w:rPr>
            </w:pPr>
          </w:p>
        </w:tc>
        <w:tc>
          <w:tcPr>
            <w:tcW w:w="4540" w:type="dxa"/>
            <w:vAlign w:val="bottom"/>
          </w:tcPr>
          <w:p>
            <w:pPr>
              <w:jc w:val="center"/>
              <w:ind w:right="50"/>
              <w:spacing w:after="0"/>
              <w:rPr>
                <w:sz w:val="20"/>
                <w:szCs w:val="20"/>
                <w:color w:val="auto"/>
              </w:rPr>
            </w:pPr>
            <w:r>
              <w:rPr>
                <w:rFonts w:ascii="Arial" w:cs="Arial" w:eastAsia="Arial" w:hAnsi="Arial"/>
                <w:sz w:val="18"/>
                <w:szCs w:val="18"/>
                <w:color w:val="auto"/>
                <w:w w:val="90"/>
              </w:rPr>
              <w:t>(713) 512-6200</w:t>
            </w:r>
          </w:p>
        </w:tc>
        <w:tc>
          <w:tcPr>
            <w:tcW w:w="3360" w:type="dxa"/>
            <w:vAlign w:val="bottom"/>
          </w:tcPr>
          <w:p>
            <w:pPr>
              <w:spacing w:after="0"/>
              <w:rPr>
                <w:sz w:val="24"/>
                <w:szCs w:val="24"/>
                <w:color w:val="auto"/>
              </w:rPr>
            </w:pPr>
          </w:p>
        </w:tc>
      </w:tr>
      <w:tr>
        <w:trPr>
          <w:trHeight w:val="230"/>
        </w:trPr>
        <w:tc>
          <w:tcPr>
            <w:tcW w:w="3520" w:type="dxa"/>
            <w:vAlign w:val="bottom"/>
          </w:tcPr>
          <w:p>
            <w:pPr>
              <w:spacing w:after="0"/>
              <w:rPr>
                <w:sz w:val="20"/>
                <w:szCs w:val="20"/>
                <w:color w:val="auto"/>
              </w:rPr>
            </w:pPr>
          </w:p>
        </w:tc>
        <w:tc>
          <w:tcPr>
            <w:tcW w:w="4540" w:type="dxa"/>
            <w:vAlign w:val="bottom"/>
          </w:tcPr>
          <w:p>
            <w:pPr>
              <w:jc w:val="center"/>
              <w:ind w:right="70"/>
              <w:spacing w:after="0"/>
              <w:rPr>
                <w:sz w:val="20"/>
                <w:szCs w:val="20"/>
                <w:color w:val="auto"/>
              </w:rPr>
            </w:pPr>
            <w:r>
              <w:rPr>
                <w:rFonts w:ascii="Arial" w:cs="Arial" w:eastAsia="Arial" w:hAnsi="Arial"/>
                <w:sz w:val="18"/>
                <w:szCs w:val="18"/>
                <w:color w:val="auto"/>
                <w:w w:val="90"/>
              </w:rPr>
              <w:t>(Registrant’s telephone number, including area code)</w:t>
            </w:r>
          </w:p>
        </w:tc>
        <w:tc>
          <w:tcPr>
            <w:tcW w:w="3360" w:type="dxa"/>
            <w:vAlign w:val="bottom"/>
          </w:tcPr>
          <w:p>
            <w:pPr>
              <w:spacing w:after="0"/>
              <w:rPr>
                <w:sz w:val="20"/>
                <w:szCs w:val="20"/>
                <w:color w:val="auto"/>
              </w:rPr>
            </w:pPr>
          </w:p>
        </w:tc>
      </w:tr>
      <w:tr>
        <w:trPr>
          <w:trHeight w:val="172"/>
        </w:trPr>
        <w:tc>
          <w:tcPr>
            <w:tcW w:w="35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3360" w:type="dxa"/>
            <w:vAlign w:val="bottom"/>
          </w:tcPr>
          <w:p>
            <w:pPr>
              <w:spacing w:after="0"/>
              <w:rPr>
                <w:sz w:val="14"/>
                <w:szCs w:val="14"/>
                <w:color w:val="auto"/>
              </w:rPr>
            </w:pPr>
          </w:p>
        </w:tc>
      </w:tr>
      <w:tr>
        <w:trPr>
          <w:trHeight w:val="61"/>
        </w:trPr>
        <w:tc>
          <w:tcPr>
            <w:tcW w:w="3520" w:type="dxa"/>
            <w:vAlign w:val="bottom"/>
            <w:shd w:val="clear" w:color="auto" w:fill="000000"/>
          </w:tcPr>
          <w:p>
            <w:pPr>
              <w:spacing w:after="0"/>
              <w:rPr>
                <w:sz w:val="5"/>
                <w:szCs w:val="5"/>
                <w:color w:val="auto"/>
              </w:rPr>
            </w:pPr>
          </w:p>
        </w:tc>
        <w:tc>
          <w:tcPr>
            <w:tcW w:w="4540" w:type="dxa"/>
            <w:vAlign w:val="bottom"/>
            <w:shd w:val="clear" w:color="auto" w:fill="000000"/>
          </w:tcPr>
          <w:p>
            <w:pPr>
              <w:spacing w:after="0"/>
              <w:rPr>
                <w:sz w:val="5"/>
                <w:szCs w:val="5"/>
                <w:color w:val="auto"/>
              </w:rPr>
            </w:pPr>
          </w:p>
        </w:tc>
        <w:tc>
          <w:tcPr>
            <w:tcW w:w="3360" w:type="dxa"/>
            <w:vAlign w:val="bottom"/>
            <w:shd w:val="clear" w:color="auto" w:fill="000000"/>
          </w:tcPr>
          <w:p>
            <w:pPr>
              <w:spacing w:after="0"/>
              <w:rPr>
                <w:sz w:val="5"/>
                <w:szCs w:val="5"/>
                <w:color w:val="auto"/>
              </w:rPr>
            </w:pPr>
          </w:p>
        </w:tc>
      </w:tr>
      <w:tr>
        <w:trPr>
          <w:trHeight w:val="615"/>
        </w:trPr>
        <w:tc>
          <w:tcPr>
            <w:tcW w:w="3520" w:type="dxa"/>
            <w:vAlign w:val="bottom"/>
            <w:tcBorders>
              <w:bottom w:val="single" w:sz="8" w:color="808080"/>
            </w:tcBorders>
          </w:tcPr>
          <w:p>
            <w:pPr>
              <w:spacing w:after="0"/>
              <w:rPr>
                <w:sz w:val="24"/>
                <w:szCs w:val="24"/>
                <w:color w:val="auto"/>
              </w:rPr>
            </w:pPr>
          </w:p>
        </w:tc>
        <w:tc>
          <w:tcPr>
            <w:tcW w:w="4540" w:type="dxa"/>
            <w:vAlign w:val="bottom"/>
            <w:tcBorders>
              <w:bottom w:val="single" w:sz="8" w:color="808080"/>
            </w:tcBorders>
          </w:tcPr>
          <w:p>
            <w:pPr>
              <w:spacing w:after="0"/>
              <w:rPr>
                <w:sz w:val="24"/>
                <w:szCs w:val="24"/>
                <w:color w:val="auto"/>
              </w:rPr>
            </w:pPr>
          </w:p>
        </w:tc>
        <w:tc>
          <w:tcPr>
            <w:tcW w:w="33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ind w:left="3980"/>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24"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7. Financial Statements and Exhibits.</w:t>
        </w:r>
      </w:hyperlink>
    </w:p>
    <w:p>
      <w:pPr>
        <w:ind w:left="320"/>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12. Results of Operations and Financial Condition</w:t>
        </w:r>
      </w:hyperlink>
    </w:p>
    <w:p>
      <w:pPr>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Press Release - Announcing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Financial Statements and Exhibits.</w:t>
      </w:r>
    </w:p>
    <w:p>
      <w:pPr>
        <w:spacing w:after="0" w:line="200" w:lineRule="exact"/>
        <w:rPr>
          <w:sz w:val="20"/>
          <w:szCs w:val="20"/>
          <w:color w:val="auto"/>
        </w:rPr>
      </w:pPr>
    </w:p>
    <w:p>
      <w:pPr>
        <w:spacing w:after="0" w:line="214" w:lineRule="exact"/>
        <w:rPr>
          <w:sz w:val="20"/>
          <w:szCs w:val="20"/>
          <w:color w:val="auto"/>
        </w:rPr>
      </w:pPr>
    </w:p>
    <w:p>
      <w:pPr>
        <w:ind w:left="1560" w:hanging="694"/>
        <w:spacing w:after="0"/>
        <w:tabs>
          <w:tab w:leader="none" w:pos="15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r>
        <w:rPr>
          <w:rFonts w:ascii="Arial" w:cs="Arial" w:eastAsia="Arial" w:hAnsi="Arial"/>
          <w:sz w:val="18"/>
          <w:szCs w:val="18"/>
          <w:color w:val="auto"/>
        </w:rPr>
        <w:t>.</w:t>
      </w:r>
    </w:p>
    <w:p>
      <w:pPr>
        <w:spacing w:after="0" w:line="229" w:lineRule="exact"/>
        <w:rPr>
          <w:sz w:val="20"/>
          <w:szCs w:val="20"/>
          <w:color w:val="auto"/>
        </w:rPr>
      </w:pPr>
    </w:p>
    <w:p>
      <w:pPr>
        <w:ind w:left="1560" w:right="1340" w:hanging="688"/>
        <w:spacing w:after="0" w:line="277" w:lineRule="auto"/>
        <w:tabs>
          <w:tab w:leader="none" w:pos="15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Press Release of Waste Management, Inc. dated April 29, 2004, announcing results of operations for the quarter ended March 31, 2004.</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Results of Operations and Financial Condition</w:t>
      </w:r>
    </w:p>
    <w:p>
      <w:pPr>
        <w:spacing w:after="0" w:line="189"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Company issued a press release on April 29, 2004 announcing its results of operations for the quarter ended March 31, 2004. A copy of that release is furnished herewith as Exhibit 99.1.</w:t>
      </w:r>
    </w:p>
    <w:p>
      <w:pPr>
        <w:spacing w:after="0" w:line="143" w:lineRule="exact"/>
        <w:rPr>
          <w:sz w:val="20"/>
          <w:szCs w:val="20"/>
          <w:color w:val="auto"/>
        </w:rPr>
      </w:pPr>
    </w:p>
    <w:p>
      <w:pPr>
        <w:ind w:firstLine="222"/>
        <w:spacing w:after="0" w:line="297" w:lineRule="auto"/>
        <w:rPr>
          <w:sz w:val="20"/>
          <w:szCs w:val="20"/>
          <w:color w:val="auto"/>
        </w:rPr>
      </w:pPr>
      <w:r>
        <w:rPr>
          <w:rFonts w:ascii="Arial" w:cs="Arial" w:eastAsia="Arial" w:hAnsi="Arial"/>
          <w:sz w:val="16"/>
          <w:szCs w:val="16"/>
          <w:color w:val="auto"/>
        </w:rPr>
        <w:t>The Company has presented its free cash flow for the quarter and its projection of the 2004 full-year free cash flow in the earnings release. Free cash flow is a “non-GAAP” financial measure under Regulation G. The components of free cash flow are computed by using amounts that are determined in accordance with GAAP. As part of our press release information we provided a reconciliation of our free cash flow for the first quarter 2004 to net cash provided by operating activities for the same period, which is its nearest comparable GAAP financial measure. The reconciliation consists of subtracting capital expenditures from net cash provided by operating activities and adding back proceeds from divestitures, net of cash divested, and other sales of assets.</w:t>
      </w:r>
    </w:p>
    <w:p>
      <w:pPr>
        <w:spacing w:after="0" w:line="118"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Our forecast of free cash flow for the year is $900 million to $1 billion. That forecast is based on estimated projections of net cash provided by operating activities of over $2.1 billion, capital expenditures of $1.15 billion to $1.25 billion and proceeds from divestitures, net of cash divested, and other sales of assets of over $50 million for the full year 2004.</w:t>
      </w:r>
    </w:p>
    <w:p>
      <w:pPr>
        <w:spacing w:after="0" w:line="141" w:lineRule="exact"/>
        <w:rPr>
          <w:sz w:val="20"/>
          <w:szCs w:val="20"/>
          <w:color w:val="auto"/>
        </w:rPr>
      </w:pPr>
    </w:p>
    <w:p>
      <w:pPr>
        <w:ind w:right="180" w:firstLine="222"/>
        <w:spacing w:after="0" w:line="302" w:lineRule="auto"/>
        <w:rPr>
          <w:sz w:val="20"/>
          <w:szCs w:val="20"/>
          <w:color w:val="auto"/>
        </w:rPr>
      </w:pPr>
      <w:r>
        <w:rPr>
          <w:rFonts w:ascii="Arial" w:cs="Arial" w:eastAsia="Arial" w:hAnsi="Arial"/>
          <w:sz w:val="16"/>
          <w:szCs w:val="16"/>
          <w:color w:val="auto"/>
        </w:rPr>
        <w:t>The Company included its free cash flow and the forecasted free cash flow in the release because it believes that investors are interested in the cash produced by the Company from non-financing activities that is available, or will be available, for uses such as the Company’s acquisition program, its share repurchase program, its scheduled debt reduction and the payment of dividends. However, because our measurement of free cash flow is not based on any standardized methodology prescribed by GAAP, it is not necessarily comparable to similar measures presented by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362585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84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p>
        </w:tc>
        <w:tc>
          <w:tcPr>
            <w:tcW w:w="6320" w:type="dxa"/>
            <w:vAlign w:val="bottom"/>
            <w:gridSpan w:val="2"/>
          </w:tcPr>
          <w:p>
            <w:pPr>
              <w:ind w:left="194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Date: April 29, 2004</w:t>
            </w:r>
          </w:p>
        </w:tc>
        <w:tc>
          <w:tcPr>
            <w:tcW w:w="6320" w:type="dxa"/>
            <w:vAlign w:val="bottom"/>
            <w:gridSpan w:val="2"/>
          </w:tcPr>
          <w:p>
            <w:pPr>
              <w:ind w:left="1940"/>
              <w:spacing w:after="0"/>
              <w:rPr>
                <w:sz w:val="20"/>
                <w:szCs w:val="20"/>
                <w:color w:val="auto"/>
              </w:rPr>
            </w:pPr>
            <w:r>
              <w:rPr>
                <w:rFonts w:ascii="Arial" w:cs="Arial" w:eastAsia="Arial" w:hAnsi="Arial"/>
                <w:sz w:val="18"/>
                <w:szCs w:val="18"/>
                <w:color w:val="auto"/>
              </w:rPr>
              <w:t>By: /s/ Rick L Wittenbraker</w:t>
            </w:r>
          </w:p>
        </w:tc>
        <w:tc>
          <w:tcPr>
            <w:tcW w:w="1680" w:type="dxa"/>
            <w:vAlign w:val="bottom"/>
          </w:tcPr>
          <w:p>
            <w:pPr>
              <w:spacing w:after="0"/>
              <w:rPr>
                <w:sz w:val="24"/>
                <w:szCs w:val="24"/>
                <w:color w:val="auto"/>
              </w:rPr>
            </w:pPr>
          </w:p>
        </w:tc>
      </w:tr>
      <w:tr>
        <w:trPr>
          <w:trHeight w:val="224"/>
        </w:trPr>
        <w:tc>
          <w:tcPr>
            <w:tcW w:w="34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Rick L Wittenbraker</w:t>
            </w:r>
          </w:p>
        </w:tc>
        <w:tc>
          <w:tcPr>
            <w:tcW w:w="1680" w:type="dxa"/>
            <w:vAlign w:val="bottom"/>
          </w:tcPr>
          <w:p>
            <w:pPr>
              <w:spacing w:after="0"/>
              <w:rPr>
                <w:sz w:val="19"/>
                <w:szCs w:val="19"/>
                <w:color w:val="auto"/>
              </w:rPr>
            </w:pPr>
          </w:p>
        </w:tc>
      </w:tr>
      <w:tr>
        <w:trPr>
          <w:trHeight w:val="404"/>
        </w:trPr>
        <w:tc>
          <w:tcPr>
            <w:tcW w:w="34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040" w:type="dxa"/>
            <w:vAlign w:val="bottom"/>
          </w:tcPr>
          <w:p>
            <w:pPr>
              <w:spacing w:after="0"/>
              <w:rPr>
                <w:sz w:val="20"/>
                <w:szCs w:val="20"/>
                <w:color w:val="auto"/>
              </w:rPr>
            </w:pPr>
            <w:r>
              <w:rPr>
                <w:rFonts w:ascii="Arial" w:cs="Arial" w:eastAsia="Arial" w:hAnsi="Arial"/>
                <w:sz w:val="18"/>
                <w:szCs w:val="18"/>
                <w:i w:val="1"/>
                <w:iCs w:val="1"/>
                <w:color w:val="auto"/>
                <w:w w:val="93"/>
              </w:rPr>
              <w:t>Senior Vice President, General Counsel and Assistant</w:t>
            </w:r>
          </w:p>
        </w:tc>
        <w:tc>
          <w:tcPr>
            <w:tcW w:w="1680" w:type="dxa"/>
            <w:vAlign w:val="bottom"/>
          </w:tcPr>
          <w:p>
            <w:pPr>
              <w:spacing w:after="0"/>
              <w:rPr>
                <w:sz w:val="24"/>
                <w:szCs w:val="24"/>
                <w:color w:val="auto"/>
              </w:rPr>
            </w:pPr>
          </w:p>
        </w:tc>
      </w:tr>
      <w:tr>
        <w:trPr>
          <w:trHeight w:val="230"/>
        </w:trPr>
        <w:tc>
          <w:tcPr>
            <w:tcW w:w="34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i w:val="1"/>
                <w:iCs w:val="1"/>
                <w:color w:val="auto"/>
              </w:rPr>
              <w:t>Secretary</w:t>
            </w:r>
          </w:p>
        </w:tc>
        <w:tc>
          <w:tcPr>
            <w:tcW w:w="1680" w:type="dxa"/>
            <w:vAlign w:val="bottom"/>
          </w:tcPr>
          <w:p>
            <w:pPr>
              <w:spacing w:after="0"/>
              <w:rPr>
                <w:sz w:val="20"/>
                <w:szCs w:val="20"/>
                <w:color w:val="auto"/>
              </w:rPr>
            </w:pPr>
          </w:p>
        </w:tc>
      </w:tr>
      <w:tr>
        <w:trPr>
          <w:trHeight w:val="834"/>
        </w:trPr>
        <w:tc>
          <w:tcPr>
            <w:tcW w:w="342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920" w:type="dxa"/>
            <w:vAlign w:val="bottom"/>
          </w:tcPr>
          <w:p>
            <w:pPr>
              <w:ind w:left="35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531"/>
        </w:trPr>
        <w:tc>
          <w:tcPr>
            <w:tcW w:w="9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80" w:type="dxa"/>
            <w:vAlign w:val="bottom"/>
          </w:tcPr>
          <w:p>
            <w:pPr>
              <w:spacing w:after="0"/>
              <w:rPr>
                <w:sz w:val="24"/>
                <w:szCs w:val="24"/>
                <w:color w:val="auto"/>
              </w:rPr>
            </w:pPr>
          </w:p>
        </w:tc>
        <w:tc>
          <w:tcPr>
            <w:tcW w:w="9920" w:type="dxa"/>
            <w:vAlign w:val="bottom"/>
            <w:vMerge w:val="restart"/>
          </w:tcPr>
          <w:p>
            <w:pPr>
              <w:ind w:left="436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6"/>
        </w:trPr>
        <w:tc>
          <w:tcPr>
            <w:tcW w:w="92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580" w:type="dxa"/>
            <w:vAlign w:val="bottom"/>
          </w:tcPr>
          <w:p>
            <w:pPr>
              <w:spacing w:after="0"/>
              <w:rPr>
                <w:sz w:val="16"/>
                <w:szCs w:val="16"/>
                <w:color w:val="auto"/>
              </w:rPr>
            </w:pPr>
          </w:p>
        </w:tc>
        <w:tc>
          <w:tcPr>
            <w:tcW w:w="9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920" w:type="dxa"/>
            <w:vAlign w:val="bottom"/>
            <w:tcBorders>
              <w:bottom w:val="single" w:sz="8" w:color="808080"/>
            </w:tcBorders>
          </w:tcPr>
          <w:p>
            <w:pPr>
              <w:spacing w:after="0"/>
              <w:rPr>
                <w:sz w:val="4"/>
                <w:szCs w:val="4"/>
                <w:color w:val="auto"/>
              </w:rPr>
            </w:pPr>
          </w:p>
        </w:tc>
        <w:tc>
          <w:tcPr>
            <w:tcW w:w="580" w:type="dxa"/>
            <w:vAlign w:val="bottom"/>
          </w:tcPr>
          <w:p>
            <w:pPr>
              <w:spacing w:after="0"/>
              <w:rPr>
                <w:sz w:val="4"/>
                <w:szCs w:val="4"/>
                <w:color w:val="auto"/>
              </w:rPr>
            </w:pPr>
          </w:p>
        </w:tc>
        <w:tc>
          <w:tcPr>
            <w:tcW w:w="99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920" w:type="dxa"/>
            <w:vAlign w:val="bottom"/>
          </w:tcPr>
          <w:p>
            <w:pPr>
              <w:spacing w:after="0"/>
              <w:rPr>
                <w:sz w:val="20"/>
                <w:szCs w:val="20"/>
                <w:color w:val="auto"/>
              </w:rPr>
            </w:pPr>
            <w:r>
              <w:rPr>
                <w:rFonts w:ascii="Arial" w:cs="Arial" w:eastAsia="Arial" w:hAnsi="Arial"/>
                <w:sz w:val="18"/>
                <w:szCs w:val="18"/>
                <w:color w:val="auto"/>
              </w:rPr>
              <w:t>99.1</w:t>
            </w: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rPr>
              <w:t>Press Release of Waste Management, Inc. dated April 29, 2004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rPr>
              <w:t>announcing results of operations for the quarter ended March 31,</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bl>
    <w:p>
      <w:pPr>
        <w:sectPr>
          <w:pgSz w:w="11900" w:h="16838" w:orient="portrait"/>
          <w:cols w:equalWidth="0" w:num="1">
            <w:col w:w="11420"/>
          </w:cols>
          <w:pgMar w:left="240" w:top="419" w:right="2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2961640</wp:posOffset>
            </wp:positionH>
            <wp:positionV relativeFrom="page">
              <wp:posOffset>603250</wp:posOffset>
            </wp:positionV>
            <wp:extent cx="1646555" cy="5918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646555" cy="59182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IMMEDIATE RELEASE</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 Further Information: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Waste Management, Inc.</w:t>
      </w:r>
    </w:p>
    <w:p>
      <w:pPr>
        <w:spacing w:after="0" w:line="9" w:lineRule="exact"/>
        <w:rPr>
          <w:sz w:val="20"/>
          <w:szCs w:val="20"/>
          <w:color w:val="auto"/>
        </w:rPr>
      </w:pPr>
    </w:p>
    <w:p>
      <w:pPr>
        <w:ind w:left="10700"/>
        <w:spacing w:after="0"/>
        <w:rPr>
          <w:sz w:val="20"/>
          <w:szCs w:val="20"/>
          <w:color w:val="auto"/>
        </w:rPr>
      </w:pPr>
      <w:r>
        <w:rPr>
          <w:rFonts w:ascii="Arial" w:cs="Arial" w:eastAsia="Arial" w:hAnsi="Arial"/>
          <w:sz w:val="15"/>
          <w:szCs w:val="15"/>
          <w:b w:val="1"/>
          <w:bCs w:val="1"/>
          <w:color w:val="auto"/>
        </w:rPr>
        <w:t>Analysts:</w:t>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Cherie Rice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713.512.6548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Media:</w:t>
      </w:r>
    </w:p>
    <w:p>
      <w:pPr>
        <w:spacing w:after="0" w:line="9" w:lineRule="exact"/>
        <w:rPr>
          <w:sz w:val="20"/>
          <w:szCs w:val="20"/>
          <w:color w:val="auto"/>
        </w:rPr>
      </w:pPr>
    </w:p>
    <w:p>
      <w:pPr>
        <w:ind w:left="10260"/>
        <w:spacing w:after="0"/>
        <w:rPr>
          <w:sz w:val="20"/>
          <w:szCs w:val="20"/>
          <w:color w:val="auto"/>
        </w:rPr>
      </w:pPr>
      <w:r>
        <w:rPr>
          <w:rFonts w:ascii="Arial" w:cs="Arial" w:eastAsia="Arial" w:hAnsi="Arial"/>
          <w:sz w:val="15"/>
          <w:szCs w:val="15"/>
          <w:b w:val="1"/>
          <w:bCs w:val="1"/>
          <w:color w:val="auto"/>
        </w:rPr>
        <w:t>Sarah Simpson</w:t>
      </w:r>
    </w:p>
    <w:p>
      <w:pPr>
        <w:spacing w:after="0" w:line="44" w:lineRule="exact"/>
        <w:rPr>
          <w:sz w:val="20"/>
          <w:szCs w:val="20"/>
          <w:color w:val="auto"/>
        </w:rPr>
      </w:pPr>
    </w:p>
    <w:p>
      <w:pPr>
        <w:ind w:left="10440"/>
        <w:spacing w:after="0"/>
        <w:rPr>
          <w:sz w:val="20"/>
          <w:szCs w:val="20"/>
          <w:color w:val="auto"/>
        </w:rPr>
      </w:pPr>
      <w:r>
        <w:rPr>
          <w:rFonts w:ascii="Arial" w:cs="Arial" w:eastAsia="Arial" w:hAnsi="Arial"/>
          <w:sz w:val="16"/>
          <w:szCs w:val="16"/>
          <w:b w:val="1"/>
          <w:bCs w:val="1"/>
          <w:color w:val="auto"/>
        </w:rPr>
        <w:t>713.394.2154</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WMI #04-14</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Announces First Quarter 2004 Earnings</w:t>
      </w:r>
    </w:p>
    <w:p>
      <w:pPr>
        <w:spacing w:after="0" w:line="185"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b w:val="1"/>
          <w:bCs w:val="1"/>
          <w:color w:val="auto"/>
        </w:rPr>
        <w:t xml:space="preserve">HOUSTON – April 29, 2004 – </w:t>
      </w:r>
      <w:r>
        <w:rPr>
          <w:rFonts w:ascii="Arial" w:cs="Arial" w:eastAsia="Arial" w:hAnsi="Arial"/>
          <w:sz w:val="17"/>
          <w:szCs w:val="17"/>
          <w:color w:val="auto"/>
        </w:rPr>
        <w:t>Waste Management, Inc. (NYSE: WMI) today announced financial results for its first quarter ended March 31, 2004.</w:t>
      </w:r>
      <w:r>
        <w:rPr>
          <w:rFonts w:ascii="Arial" w:cs="Arial" w:eastAsia="Arial" w:hAnsi="Arial"/>
          <w:sz w:val="17"/>
          <w:szCs w:val="17"/>
          <w:b w:val="1"/>
          <w:bCs w:val="1"/>
          <w:color w:val="auto"/>
        </w:rPr>
        <w:t xml:space="preserve"> </w:t>
      </w:r>
      <w:r>
        <w:rPr>
          <w:rFonts w:ascii="Arial" w:cs="Arial" w:eastAsia="Arial" w:hAnsi="Arial"/>
          <w:sz w:val="17"/>
          <w:szCs w:val="17"/>
          <w:color w:val="auto"/>
        </w:rPr>
        <w:t>Revenues for the quarter were $2.90 billion as compared to $2.73 billion in the year ago period, or an increase of 6.0%. Net income for the quarter was $152 million, or $0.26 per diluted share, as compared to $61 million, or $0.10 per diluted share in the prior year period. Net income before considering a favorable $8 million cumulative effect of change in accounting principle for the quarter was $144 million, or $0.25 per diluted share. In the 2003 quarter, net income before considering unfavorable cumulative effect of changes in accounting principles of $46 million was $107 million, or $0.18 per diluted share. Net income before cumulative changes increased 34.6% in 2004 as compared to the prior year’s quarter.</w:t>
      </w:r>
    </w:p>
    <w:p>
      <w:pPr>
        <w:spacing w:after="0" w:line="13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The cumulative effect of change in accounting principle in 2004 is related entirely to final implementation of Financial Accounting Standards Board Interpretation No. 46, </w:t>
      </w:r>
      <w:r>
        <w:rPr>
          <w:rFonts w:ascii="Arial" w:cs="Arial" w:eastAsia="Arial" w:hAnsi="Arial"/>
          <w:sz w:val="18"/>
          <w:szCs w:val="18"/>
          <w:i w:val="1"/>
          <w:iCs w:val="1"/>
          <w:color w:val="auto"/>
        </w:rPr>
        <w:t>Consolidation of Variable Interest Entities</w:t>
      </w:r>
      <w:r>
        <w:rPr>
          <w:rFonts w:ascii="Arial" w:cs="Arial" w:eastAsia="Arial" w:hAnsi="Arial"/>
          <w:sz w:val="18"/>
          <w:szCs w:val="18"/>
          <w:color w:val="auto"/>
        </w:rPr>
        <w:t xml:space="preserve"> (“FIN 46”). In 2003 the cumulative effect of changes in accounting principles was primarily related to the implementation of Statement of Financial Accounting Standards No. 143, </w:t>
      </w:r>
      <w:r>
        <w:rPr>
          <w:rFonts w:ascii="Arial" w:cs="Arial" w:eastAsia="Arial" w:hAnsi="Arial"/>
          <w:sz w:val="18"/>
          <w:szCs w:val="18"/>
          <w:i w:val="1"/>
          <w:iCs w:val="1"/>
          <w:color w:val="auto"/>
        </w:rPr>
        <w:t>Accounting for Asset Retirement Obligations</w:t>
      </w:r>
      <w:r>
        <w:rPr>
          <w:rFonts w:ascii="Arial" w:cs="Arial" w:eastAsia="Arial" w:hAnsi="Arial"/>
          <w:sz w:val="18"/>
          <w:szCs w:val="18"/>
          <w:color w:val="auto"/>
        </w:rPr>
        <w:t xml:space="preserve"> (“SFAS 143”), partially offset by accounting policy changes related to certain maintenance activities and loss contracts.</w:t>
      </w:r>
    </w:p>
    <w:p>
      <w:pPr>
        <w:spacing w:after="0" w:line="16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progress we have made and continue to make here at Waste Management is evident in our financial results,” commented Chairman of the Board A. Maurice Myers. “One of our key goals during the past year was to initiate growth in our customer base and our revenues. The combination of a more focused sales force, a more active acquisition program and a disciplined pricing strategy has accomplished that goal for the Company. Additionally, our focus on reducing controllable costs and leveraging our infrastructure continues to favorably affect our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364490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Key Highlights for the Quarter</w:t>
      </w:r>
    </w:p>
    <w:p>
      <w:pPr>
        <w:spacing w:after="0" w:line="229" w:lineRule="exact"/>
        <w:rPr>
          <w:sz w:val="20"/>
          <w:szCs w:val="20"/>
          <w:color w:val="auto"/>
        </w:rPr>
      </w:pPr>
    </w:p>
    <w:p>
      <w:pPr>
        <w:ind w:left="800" w:hanging="454"/>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cash provided by operating activities of $470 million.</w:t>
      </w:r>
    </w:p>
    <w:p>
      <w:pPr>
        <w:spacing w:after="0" w:line="205" w:lineRule="exact"/>
        <w:rPr>
          <w:rFonts w:ascii="Arial" w:cs="Arial" w:eastAsia="Arial" w:hAnsi="Arial"/>
          <w:sz w:val="18"/>
          <w:szCs w:val="18"/>
          <w:color w:val="auto"/>
        </w:rPr>
      </w:pPr>
    </w:p>
    <w:p>
      <w:pPr>
        <w:ind w:left="800" w:hanging="454"/>
        <w:spacing w:after="0"/>
        <w:tabs>
          <w:tab w:leader="none" w:pos="800" w:val="left"/>
        </w:tabs>
        <w:numPr>
          <w:ilvl w:val="0"/>
          <w:numId w:val="2"/>
        </w:numPr>
        <w:rPr>
          <w:rFonts w:ascii="Arial" w:cs="Arial" w:eastAsia="Arial" w:hAnsi="Arial"/>
          <w:sz w:val="36"/>
          <w:szCs w:val="36"/>
          <w:color w:val="auto"/>
          <w:vertAlign w:val="superscript"/>
        </w:rPr>
      </w:pPr>
      <w:r>
        <w:rPr>
          <w:rFonts w:ascii="Arial" w:cs="Arial" w:eastAsia="Arial" w:hAnsi="Arial"/>
          <w:sz w:val="18"/>
          <w:szCs w:val="18"/>
          <w:color w:val="auto"/>
        </w:rPr>
        <w:t>Free cash flow</w:t>
      </w:r>
      <w:r>
        <w:rPr>
          <w:rFonts w:ascii="Arial" w:cs="Arial" w:eastAsia="Arial" w:hAnsi="Arial"/>
          <w:sz w:val="30"/>
          <w:szCs w:val="30"/>
          <w:color w:val="auto"/>
          <w:vertAlign w:val="superscript"/>
        </w:rPr>
        <w:t>(a)</w:t>
      </w:r>
      <w:r>
        <w:rPr>
          <w:rFonts w:ascii="Arial" w:cs="Arial" w:eastAsia="Arial" w:hAnsi="Arial"/>
          <w:sz w:val="18"/>
          <w:szCs w:val="18"/>
          <w:color w:val="auto"/>
        </w:rPr>
        <w:t xml:space="preserve"> of $311 million.</w:t>
      </w:r>
    </w:p>
    <w:p>
      <w:pPr>
        <w:spacing w:after="0" w:line="78" w:lineRule="exact"/>
        <w:rPr>
          <w:rFonts w:ascii="Arial" w:cs="Arial" w:eastAsia="Arial" w:hAnsi="Arial"/>
          <w:sz w:val="36"/>
          <w:szCs w:val="36"/>
          <w:color w:val="auto"/>
          <w:vertAlign w:val="superscript"/>
        </w:rPr>
      </w:pPr>
    </w:p>
    <w:p>
      <w:pPr>
        <w:ind w:left="800" w:hanging="454"/>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Capital expenditures of $181 million.</w:t>
      </w:r>
    </w:p>
    <w:p>
      <w:pPr>
        <w:spacing w:after="0" w:line="228" w:lineRule="exact"/>
        <w:rPr>
          <w:rFonts w:ascii="Arial" w:cs="Arial" w:eastAsia="Arial" w:hAnsi="Arial"/>
          <w:sz w:val="18"/>
          <w:szCs w:val="18"/>
          <w:color w:val="auto"/>
        </w:rPr>
      </w:pPr>
    </w:p>
    <w:p>
      <w:pPr>
        <w:ind w:left="800" w:right="20" w:hanging="454"/>
        <w:spacing w:after="0" w:line="202" w:lineRule="auto"/>
        <w:tabs>
          <w:tab w:leader="none" w:pos="800" w:val="left"/>
        </w:tabs>
        <w:numPr>
          <w:ilvl w:val="0"/>
          <w:numId w:val="2"/>
        </w:numPr>
        <w:rPr>
          <w:rFonts w:ascii="Arial" w:cs="Arial" w:eastAsia="Arial" w:hAnsi="Arial"/>
          <w:sz w:val="36"/>
          <w:szCs w:val="36"/>
          <w:color w:val="auto"/>
          <w:vertAlign w:val="superscript"/>
        </w:rPr>
      </w:pPr>
      <w:r>
        <w:rPr>
          <w:rFonts w:ascii="Arial" w:cs="Arial" w:eastAsia="Arial" w:hAnsi="Arial"/>
          <w:sz w:val="18"/>
          <w:szCs w:val="18"/>
          <w:color w:val="auto"/>
        </w:rPr>
        <w:t>Internal revenue growth on base business of 1.9%, with 0.6% of that from average yield</w:t>
      </w:r>
      <w:r>
        <w:rPr>
          <w:rFonts w:ascii="Arial" w:cs="Arial" w:eastAsia="Arial" w:hAnsi="Arial"/>
          <w:sz w:val="30"/>
          <w:szCs w:val="30"/>
          <w:color w:val="auto"/>
          <w:vertAlign w:val="superscript"/>
        </w:rPr>
        <w:t>(b)</w:t>
      </w:r>
      <w:r>
        <w:rPr>
          <w:rFonts w:ascii="Arial" w:cs="Arial" w:eastAsia="Arial" w:hAnsi="Arial"/>
          <w:sz w:val="18"/>
          <w:szCs w:val="18"/>
          <w:color w:val="auto"/>
        </w:rPr>
        <w:t xml:space="preserve"> and 1.3% from volume. The yield component excludes combined positive impacts of 1.1% related to higher recycling commodity prices, higher fuel surcharges and higher electricity rates at Independent Power Production facilities.</w:t>
      </w:r>
    </w:p>
    <w:p>
      <w:pPr>
        <w:spacing w:after="0" w:line="208"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Chief Executive Officer David P. Steiner stated, “The current year is off to a strong start in many respects. Free cash flow</w:t>
      </w:r>
      <w:r>
        <w:rPr>
          <w:rFonts w:ascii="Arial" w:cs="Arial" w:eastAsia="Arial" w:hAnsi="Arial"/>
          <w:sz w:val="30"/>
          <w:szCs w:val="30"/>
          <w:color w:val="auto"/>
          <w:vertAlign w:val="superscript"/>
        </w:rPr>
        <w:t>(a)</w:t>
      </w:r>
      <w:r>
        <w:rPr>
          <w:rFonts w:ascii="Arial" w:cs="Arial" w:eastAsia="Arial" w:hAnsi="Arial"/>
          <w:sz w:val="18"/>
          <w:szCs w:val="18"/>
          <w:color w:val="auto"/>
        </w:rPr>
        <w:t xml:space="preserve"> generated in the quarter was in excess of $300 million. Year-over-year roll-off and landfill volume comparisons improved each month as we progressed through the first quarter and have remained quite favorable into April. Our price increase program continues to reward us with good results, and recycling commodity prices are strong. On the cost side of the equation, we continue to reduce the number of routes and trucks required to service our customers, and fleet maintenance costs per hour showed strong progress in March. We intend to maintain our focus on reducing our overall cost structure while also growing profitable revenues as we move through the upcoming quarters.</w:t>
      </w:r>
    </w:p>
    <w:p>
      <w:pPr>
        <w:spacing w:after="0" w:line="181" w:lineRule="exact"/>
        <w:rPr>
          <w:sz w:val="20"/>
          <w:szCs w:val="20"/>
          <w:color w:val="auto"/>
        </w:rPr>
      </w:pPr>
    </w:p>
    <w:p>
      <w:pPr>
        <w:ind w:right="20"/>
        <w:spacing w:after="0" w:line="207" w:lineRule="auto"/>
        <w:rPr>
          <w:sz w:val="20"/>
          <w:szCs w:val="20"/>
          <w:color w:val="auto"/>
        </w:rPr>
      </w:pPr>
      <w:r>
        <w:rPr>
          <w:rFonts w:ascii="Arial" w:cs="Arial" w:eastAsia="Arial" w:hAnsi="Arial"/>
          <w:sz w:val="18"/>
          <w:szCs w:val="18"/>
          <w:color w:val="auto"/>
        </w:rPr>
        <w:t>“Our most important financial measure, free cash flow</w:t>
      </w:r>
      <w:r>
        <w:rPr>
          <w:rFonts w:ascii="Arial" w:cs="Arial" w:eastAsia="Arial" w:hAnsi="Arial"/>
          <w:sz w:val="30"/>
          <w:szCs w:val="30"/>
          <w:color w:val="auto"/>
          <w:vertAlign w:val="superscript"/>
        </w:rPr>
        <w:t>(a)</w:t>
      </w:r>
      <w:r>
        <w:rPr>
          <w:rFonts w:ascii="Arial" w:cs="Arial" w:eastAsia="Arial" w:hAnsi="Arial"/>
          <w:sz w:val="18"/>
          <w:szCs w:val="18"/>
          <w:color w:val="auto"/>
        </w:rPr>
        <w:t>, is still anticipated to be in the range of $900 million to $1 billion. As outlined earlier in the year, this free cash flow</w:t>
      </w:r>
      <w:r>
        <w:rPr>
          <w:rFonts w:ascii="Arial" w:cs="Arial" w:eastAsia="Arial" w:hAnsi="Arial"/>
          <w:sz w:val="30"/>
          <w:szCs w:val="30"/>
          <w:color w:val="auto"/>
          <w:vertAlign w:val="superscript"/>
        </w:rPr>
        <w:t>(a)</w:t>
      </w:r>
      <w:r>
        <w:rPr>
          <w:rFonts w:ascii="Arial" w:cs="Arial" w:eastAsia="Arial" w:hAnsi="Arial"/>
          <w:sz w:val="18"/>
          <w:szCs w:val="18"/>
          <w:color w:val="auto"/>
        </w:rPr>
        <w:t xml:space="preserve"> will be allocated to our annual dividends of $0.75 per share, accretive tuck-in acquisitions and our stock repurchase program. In the first quarter we did not initiate any stock repurchases, but we still plan to repurchase $400 to $500 million of common stock in 2004, beginning the repurchases during the current quarter.”</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Steiner added, “We have been experiencing a seasonal upturn in volumes, and based on March and April volumes we believe we are beginning to see early signs of an improving economy. We’re working diligently to ensure that we can be responsive to higher customer demand during the coming months, while at the same time actively managing our costs. We will continue to attack those areas of cost we have identified for improvement and focus on improving the performance of our bottom quartile performers.”</w:t>
      </w:r>
    </w:p>
    <w:p>
      <w:pPr>
        <w:spacing w:after="0" w:line="146" w:lineRule="exact"/>
        <w:rPr>
          <w:sz w:val="20"/>
          <w:szCs w:val="20"/>
          <w:color w:val="auto"/>
        </w:rPr>
      </w:pPr>
    </w:p>
    <w:p>
      <w:pPr>
        <w:ind w:right="120" w:firstLine="8"/>
        <w:spacing w:after="0" w:line="302" w:lineRule="auto"/>
        <w:tabs>
          <w:tab w:leader="none" w:pos="242"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 included its free cash flow, which is a non-GAAP financial measure, herein because the amount of cash produced by the Company from non-financing activities that is available for uses such as the Company’s acquisition program, its share repurchase program, its scheduled debt reduction and the payment of dividends is important to its capital allocation process and its goal of providing returns to its shareholders. The Company believes that this measure, which is used internally by management, is important to its investors. Free cash flow is defined by the Company as:</w:t>
      </w:r>
    </w:p>
    <w:p>
      <w:pPr>
        <w:spacing w:after="0" w:line="154" w:lineRule="exact"/>
        <w:rPr>
          <w:rFonts w:ascii="Arial" w:cs="Arial" w:eastAsia="Arial" w:hAnsi="Arial"/>
          <w:sz w:val="16"/>
          <w:szCs w:val="16"/>
          <w:color w:val="auto"/>
        </w:rPr>
      </w:pPr>
    </w:p>
    <w:p>
      <w:pPr>
        <w:ind w:left="800" w:hanging="454"/>
        <w:spacing w:after="0"/>
        <w:tabs>
          <w:tab w:leader="none" w:pos="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Net cash provided by operating activities</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Less, capital expenditures</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Plus, proceeds from divestitures of businesses, net of cash divested, and other sales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8" w:name="page9"/>
    <w:bookmarkEnd w:id="8"/>
    <w:p>
      <w:pPr>
        <w:ind w:right="40" w:firstLine="8"/>
        <w:spacing w:after="0" w:line="259" w:lineRule="auto"/>
        <w:tabs>
          <w:tab w:leader="none" w:pos="245" w:val="left"/>
        </w:tabs>
        <w:numPr>
          <w:ilvl w:val="0"/>
          <w:numId w:val="4"/>
        </w:numPr>
        <w:rPr>
          <w:rFonts w:ascii="Arial" w:cs="Arial" w:eastAsia="Arial" w:hAnsi="Arial"/>
          <w:sz w:val="18"/>
          <w:szCs w:val="18"/>
          <w:color w:val="auto"/>
        </w:rPr>
      </w:pPr>
      <w:r>
        <w:rPr>
          <w:rFonts w:ascii="Arial" w:cs="Arial" w:eastAsia="Arial" w:hAnsi="Arial"/>
          <w:sz w:val="18"/>
          <w:szCs w:val="18"/>
          <w:color w:val="auto"/>
        </w:rPr>
        <w:t>Average yield is the same measure that the Company has previously referred to as price. The change in nomenclature has been made to recognize that this component of internal revenue growth includes not only price increases, but also price decreases to retain customers, change in average price from new and lost business, and certain average price changes related to the overall mix of types of services provided and the geographic locations where the services are provided.</w:t>
      </w:r>
    </w:p>
    <w:p>
      <w:pPr>
        <w:spacing w:after="0" w:line="160"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 xml:space="preserve">The Company has scheduled an investor and analyst conference call for later today to discuss the results of today’s earnings announcement. The information in this press release should be read in conjunction with the information on the conference call. The call will begin at 10:00 a.m. eastern time, 9:00 a.m. central time, and is open to the public. To listen to the conference call, which will be broadcast live over the Internet, go to the Waste Management Website at </w:t>
      </w:r>
      <w:r>
        <w:rPr>
          <w:rFonts w:ascii="Arial" w:cs="Arial" w:eastAsia="Arial" w:hAnsi="Arial"/>
          <w:sz w:val="16"/>
          <w:szCs w:val="16"/>
          <w:u w:val="single" w:color="auto"/>
          <w:color w:val="auto"/>
        </w:rPr>
        <w:t>http://www.wm.com</w:t>
      </w:r>
      <w:r>
        <w:rPr>
          <w:rFonts w:ascii="Arial" w:cs="Arial" w:eastAsia="Arial" w:hAnsi="Arial"/>
          <w:sz w:val="16"/>
          <w:szCs w:val="16"/>
          <w:color w:val="auto"/>
        </w:rPr>
        <w:t>, and select “1Q2004 Earnings Webcast.” You may also listen to the conference call by telephone by contacting the conference call operator at (877) 710-6139, 5-10 minutes prior to the scheduled start time, and asking for the “Waste Management Conference Call – Call ID 6388827.” For those unable to listen to the live call, a replay will be available 24 hours a day beginning at approximately 1:00 p.m. central time April 29</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through 5:00 p.m.</w:t>
      </w:r>
    </w:p>
    <w:p>
      <w:pPr>
        <w:spacing w:after="0" w:line="2" w:lineRule="exact"/>
        <w:rPr>
          <w:sz w:val="20"/>
          <w:szCs w:val="20"/>
          <w:color w:val="auto"/>
        </w:rPr>
      </w:pPr>
    </w:p>
    <w:p>
      <w:pPr>
        <w:ind w:right="120"/>
        <w:spacing w:after="0" w:line="204" w:lineRule="auto"/>
        <w:rPr>
          <w:sz w:val="20"/>
          <w:szCs w:val="20"/>
          <w:color w:val="auto"/>
        </w:rPr>
      </w:pPr>
      <w:r>
        <w:rPr>
          <w:rFonts w:ascii="Arial" w:cs="Arial" w:eastAsia="Arial" w:hAnsi="Arial"/>
          <w:sz w:val="18"/>
          <w:szCs w:val="18"/>
          <w:color w:val="auto"/>
        </w:rPr>
        <w:t>on May 13</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To hear a replay of the call over the Internet, access the Waste Management Website at </w:t>
      </w:r>
      <w:r>
        <w:rPr>
          <w:rFonts w:ascii="Arial" w:cs="Arial" w:eastAsia="Arial" w:hAnsi="Arial"/>
          <w:sz w:val="18"/>
          <w:szCs w:val="18"/>
          <w:u w:val="single" w:color="auto"/>
          <w:color w:val="auto"/>
        </w:rPr>
        <w:t>http://www.wm.com</w:t>
      </w:r>
      <w:r>
        <w:rPr>
          <w:rFonts w:ascii="Arial" w:cs="Arial" w:eastAsia="Arial" w:hAnsi="Arial"/>
          <w:sz w:val="18"/>
          <w:szCs w:val="18"/>
          <w:color w:val="auto"/>
        </w:rPr>
        <w:t>. To hear a telephonic replay of the call, dial (800) 642-1687 and enter reservation code 6388827.</w:t>
      </w:r>
    </w:p>
    <w:p>
      <w:pPr>
        <w:spacing w:after="0" w:line="16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Waste Management, Inc. is its industry’s leading provider of comprehensive waste management and environmental services. Based in Houston, the Company serves municipal, commercial, industrial, and residential customers throughout North America.</w:t>
      </w:r>
    </w:p>
    <w:p>
      <w:pPr>
        <w:spacing w:after="0" w:line="13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i w:val="1"/>
          <w:iCs w:val="1"/>
          <w:color w:val="auto"/>
        </w:rPr>
        <w:t>Certain statements contained in this press release include statements that are “forward-looking statements.” Outlined below are some of the risks that the Company faces and that could affect our financial statements for 2004 and beyond and that could cause actual results to be materially different from those that may be set forth in forward-looking statements made by the Company. However, they are not the only risks that the Company faces. There may be additional risks that we do not presently know or that we currently believe are immaterial which could also impair our business. We caution you not to place undue reliance on these forward-looking statements, which speak only as of their dates. We undertake no obligation to publicly update or revise any forward-looking statements, whether as a result of new information, future events or otherwise. In addition, the Company, from time to time, provides estimates of financial and other data relating to future periods. Such estimates and other information are the Company’s expectations at the point in time of issuance but may change at some future point in time. By issuing such estimates the Company has no obligation, and is not undertaking any obligation, to update such estimates or provide any other information relating to such estimates. The following are some of the risks we face:</w:t>
      </w:r>
    </w:p>
    <w:p>
      <w:pPr>
        <w:spacing w:after="0" w:line="167" w:lineRule="exact"/>
        <w:rPr>
          <w:sz w:val="20"/>
          <w:szCs w:val="20"/>
          <w:color w:val="auto"/>
        </w:rPr>
      </w:pPr>
    </w:p>
    <w:p>
      <w:pPr>
        <w:ind w:left="800" w:hanging="454"/>
        <w:spacing w:after="0" w:line="277"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possible changes in our estimates of site remediation requirements, final capping, closure and post-closure obligations, compliance and regulatory developments;</w:t>
      </w:r>
    </w:p>
    <w:p>
      <w:pPr>
        <w:spacing w:after="0" w:line="170" w:lineRule="exact"/>
        <w:rPr>
          <w:rFonts w:ascii="Arial" w:cs="Arial" w:eastAsia="Arial" w:hAnsi="Arial"/>
          <w:sz w:val="18"/>
          <w:szCs w:val="18"/>
          <w:color w:val="auto"/>
        </w:rPr>
      </w:pPr>
    </w:p>
    <w:p>
      <w:pPr>
        <w:ind w:left="800" w:right="740" w:hanging="454"/>
        <w:spacing w:after="0" w:line="308" w:lineRule="auto"/>
        <w:tabs>
          <w:tab w:leader="none" w:pos="80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the possible impact of regulations on our business, including the cost to comply with regulatory requirements and the potential liabilities associated with disposal operations, as well as our ability to obtain and maintain permits needed to operate our facilities;</w:t>
      </w:r>
    </w:p>
    <w:p>
      <w:pPr>
        <w:spacing w:after="0" w:line="146" w:lineRule="exact"/>
        <w:rPr>
          <w:rFonts w:ascii="Arial" w:cs="Arial" w:eastAsia="Arial" w:hAnsi="Arial"/>
          <w:sz w:val="17"/>
          <w:szCs w:val="17"/>
          <w:color w:val="auto"/>
        </w:rPr>
      </w:pPr>
    </w:p>
    <w:p>
      <w:pPr>
        <w:ind w:left="800" w:hanging="454"/>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effect of limitations or bans on disposal or transportation of out-of-state waste or certain categories of waste;</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possible charges against earnings as a result of shut-down operations, uncompleted development or expansion projects or other events;</w:t>
      </w:r>
    </w:p>
    <w:p>
      <w:pPr>
        <w:spacing w:after="0" w:line="236" w:lineRule="exact"/>
        <w:rPr>
          <w:rFonts w:ascii="Arial" w:cs="Arial" w:eastAsia="Arial" w:hAnsi="Arial"/>
          <w:sz w:val="17"/>
          <w:szCs w:val="17"/>
          <w:color w:val="auto"/>
        </w:rPr>
      </w:pPr>
    </w:p>
    <w:p>
      <w:pPr>
        <w:ind w:left="800" w:right="120" w:hanging="454"/>
        <w:spacing w:after="0" w:line="277"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effects that trends toward requiring recycling, waste reduction at the source and prohibiting the disposal of certain types of wastes could have on volumes of waste going to landfills and waste-to-energy facilities;</w:t>
      </w:r>
    </w:p>
    <w:p>
      <w:pPr>
        <w:spacing w:after="0" w:line="170" w:lineRule="exact"/>
        <w:rPr>
          <w:rFonts w:ascii="Arial" w:cs="Arial" w:eastAsia="Arial" w:hAnsi="Arial"/>
          <w:sz w:val="18"/>
          <w:szCs w:val="18"/>
          <w:color w:val="auto"/>
        </w:rPr>
      </w:pPr>
    </w:p>
    <w:p>
      <w:pPr>
        <w:ind w:left="800" w:hanging="454"/>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effect the weather has on our quarter to quarter results, as well as the effect of extremely harsh weather on our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9" w:name="page10"/>
    <w:bookmarkEnd w:id="9"/>
    <w:p>
      <w:pPr>
        <w:ind w:left="800" w:hanging="454"/>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effect that price fluctuations on commodity prices may have on our operating revenues;</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outcome of litigation or threatened litigation;</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effect competition in our industry could have on our profitability or cash flows;</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possible diversions of management’s attention and increases in operating expenses due to efforts by labor unions to organize our employees;</w:t>
      </w:r>
    </w:p>
    <w:p>
      <w:pPr>
        <w:spacing w:after="0" w:line="248" w:lineRule="exact"/>
        <w:rPr>
          <w:rFonts w:ascii="Arial" w:cs="Arial" w:eastAsia="Arial" w:hAnsi="Arial"/>
          <w:sz w:val="16"/>
          <w:szCs w:val="16"/>
          <w:color w:val="auto"/>
        </w:rPr>
      </w:pPr>
    </w:p>
    <w:p>
      <w:pPr>
        <w:ind w:left="800" w:hanging="454"/>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possible increases in operating expenses due to fuel price increases or fuel supply shortages;</w:t>
      </w:r>
    </w:p>
    <w:p>
      <w:pPr>
        <w:spacing w:after="0" w:line="225" w:lineRule="exact"/>
        <w:rPr>
          <w:rFonts w:ascii="Arial" w:cs="Arial" w:eastAsia="Arial" w:hAnsi="Arial"/>
          <w:sz w:val="18"/>
          <w:szCs w:val="18"/>
          <w:color w:val="auto"/>
        </w:rPr>
      </w:pPr>
    </w:p>
    <w:p>
      <w:pPr>
        <w:ind w:left="800" w:right="320" w:hanging="454"/>
        <w:spacing w:after="0" w:line="277"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effects of general economic conditions, including the ability of insurers to fully or timely meet their contractual commitments and of surety companies to continue to issue surety bonds;</w:t>
      </w:r>
    </w:p>
    <w:p>
      <w:pPr>
        <w:spacing w:after="0" w:line="170" w:lineRule="exact"/>
        <w:rPr>
          <w:rFonts w:ascii="Arial" w:cs="Arial" w:eastAsia="Arial" w:hAnsi="Arial"/>
          <w:sz w:val="18"/>
          <w:szCs w:val="18"/>
          <w:color w:val="auto"/>
        </w:rPr>
      </w:pPr>
    </w:p>
    <w:p>
      <w:pPr>
        <w:ind w:left="800" w:right="240" w:hanging="454"/>
        <w:spacing w:after="0" w:line="277"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need for additional capital if cash flows are less than we expect or capital expenditures are more than we expect, and the possibility that we cannot obtain additional capital on acceptable terms if needed;</w:t>
      </w:r>
    </w:p>
    <w:p>
      <w:pPr>
        <w:spacing w:after="0" w:line="170" w:lineRule="exact"/>
        <w:rPr>
          <w:rFonts w:ascii="Arial" w:cs="Arial" w:eastAsia="Arial" w:hAnsi="Arial"/>
          <w:sz w:val="18"/>
          <w:szCs w:val="18"/>
          <w:color w:val="auto"/>
        </w:rPr>
      </w:pPr>
    </w:p>
    <w:p>
      <w:pPr>
        <w:ind w:left="800" w:hanging="454"/>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possible errors or problems upon implementation of new information technology systems; and</w:t>
      </w:r>
    </w:p>
    <w:p>
      <w:pPr>
        <w:spacing w:after="0" w:line="225" w:lineRule="exact"/>
        <w:rPr>
          <w:rFonts w:ascii="Arial" w:cs="Arial" w:eastAsia="Arial" w:hAnsi="Arial"/>
          <w:sz w:val="18"/>
          <w:szCs w:val="18"/>
          <w:color w:val="auto"/>
        </w:rPr>
      </w:pPr>
    </w:p>
    <w:p>
      <w:pPr>
        <w:ind w:left="800" w:right="760" w:hanging="454"/>
        <w:spacing w:after="0" w:line="277"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possible fluctuations in quarterly results of operations or adverse impacts on our results of operations as a result of the adoption of new accounting standards or interpretations.</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i w:val="1"/>
          <w:iCs w:val="1"/>
          <w:color w:val="auto"/>
        </w:rPr>
        <w:t>Additional information regarding these and/or other factors that could materially affect results and the accuracy of the forward-looking statements contained herein may be found in Part I, Item 1 of the Company’s Annual Report on Form 10-K for the year ended December 31, 2003.</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9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4"/>
              </w:rPr>
              <w:t>Quarters Ended March 31,</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924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924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360" w:type="dxa"/>
            <w:vAlign w:val="bottom"/>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9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Operating revenues</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2,896</w:t>
            </w:r>
          </w:p>
        </w:tc>
        <w:tc>
          <w:tcPr>
            <w:tcW w:w="260" w:type="dxa"/>
            <w:vAlign w:val="bottom"/>
            <w:tcBorders>
              <w:lef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2,732</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240" w:type="dxa"/>
            <w:vAlign w:val="bottom"/>
          </w:tcPr>
          <w:p>
            <w:pPr>
              <w:ind w:left="120"/>
              <w:spacing w:after="0"/>
              <w:rPr>
                <w:sz w:val="20"/>
                <w:szCs w:val="20"/>
                <w:color w:val="auto"/>
              </w:rPr>
            </w:pPr>
            <w:r>
              <w:rPr>
                <w:rFonts w:ascii="Arial" w:cs="Arial" w:eastAsia="Arial" w:hAnsi="Arial"/>
                <w:sz w:val="18"/>
                <w:szCs w:val="18"/>
                <w:color w:val="auto"/>
              </w:rPr>
              <w:t>Costs and expenses:</w:t>
            </w:r>
          </w:p>
        </w:tc>
        <w:tc>
          <w:tcPr>
            <w:tcW w:w="240" w:type="dxa"/>
            <w:vAlign w:val="bottom"/>
          </w:tcPr>
          <w:p>
            <w:pPr>
              <w:spacing w:after="0"/>
              <w:rPr>
                <w:sz w:val="20"/>
                <w:szCs w:val="20"/>
                <w:color w:val="auto"/>
              </w:rPr>
            </w:pPr>
          </w:p>
        </w:tc>
        <w:tc>
          <w:tcPr>
            <w:tcW w:w="400" w:type="dxa"/>
            <w:vAlign w:val="bottom"/>
            <w:tcBorders>
              <w:top w:val="single" w:sz="8" w:color="808080"/>
            </w:tcBorders>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Borders>
              <w:top w:val="single" w:sz="8" w:color="808080"/>
            </w:tcBorders>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Operating (exclusive of depreciation and amortization shown below)</w:t>
            </w: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1,920</w:t>
            </w:r>
          </w:p>
        </w:tc>
        <w:tc>
          <w:tcPr>
            <w:tcW w:w="260" w:type="dxa"/>
            <w:vAlign w:val="bottom"/>
            <w:tcBorders>
              <w:lef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1,809</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316</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323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325</w:t>
            </w:r>
          </w:p>
        </w:tc>
        <w:tc>
          <w:tcPr>
            <w:tcW w:w="260" w:type="dxa"/>
            <w:vAlign w:val="bottom"/>
            <w:tcBorders>
              <w:lef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302</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260"/>
              <w:spacing w:after="0"/>
              <w:rPr>
                <w:sz w:val="20"/>
                <w:szCs w:val="20"/>
                <w:color w:val="auto"/>
              </w:rPr>
            </w:pPr>
            <w:r>
              <w:rPr>
                <w:rFonts w:ascii="Arial" w:cs="Arial" w:eastAsia="Arial" w:hAnsi="Arial"/>
                <w:sz w:val="18"/>
                <w:szCs w:val="18"/>
                <w:color w:val="auto"/>
              </w:rPr>
              <w:t>Restructuring</w:t>
            </w:r>
          </w:p>
        </w:tc>
        <w:tc>
          <w:tcPr>
            <w:tcW w:w="24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Asset impairments and unusual items</w:t>
            </w:r>
          </w:p>
        </w:tc>
        <w:tc>
          <w:tcPr>
            <w:tcW w:w="24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(9)</w:t>
            </w:r>
          </w:p>
        </w:tc>
        <w:tc>
          <w:tcPr>
            <w:tcW w:w="36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6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80808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80808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9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2,552</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2,453</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80808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80808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EEEEEE"/>
          </w:tcPr>
          <w:p>
            <w:pPr>
              <w:spacing w:after="0"/>
              <w:rPr>
                <w:sz w:val="20"/>
                <w:szCs w:val="20"/>
                <w:color w:val="auto"/>
              </w:rPr>
            </w:pPr>
            <w:r>
              <w:rPr>
                <w:rFonts w:ascii="Arial" w:cs="Arial" w:eastAsia="Arial" w:hAnsi="Arial"/>
                <w:sz w:val="18"/>
                <w:szCs w:val="18"/>
                <w:color w:val="auto"/>
              </w:rPr>
              <w:t>Income from operations</w:t>
            </w: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344</w:t>
            </w:r>
          </w:p>
        </w:tc>
        <w:tc>
          <w:tcPr>
            <w:tcW w:w="260" w:type="dxa"/>
            <w:vAlign w:val="bottom"/>
            <w:tcBorders>
              <w:lef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279</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240" w:type="dxa"/>
            <w:vAlign w:val="bottom"/>
          </w:tcPr>
          <w:p>
            <w:pPr>
              <w:ind w:left="120"/>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20"/>
                <w:szCs w:val="20"/>
                <w:color w:val="auto"/>
              </w:rPr>
            </w:pPr>
          </w:p>
        </w:tc>
        <w:tc>
          <w:tcPr>
            <w:tcW w:w="400" w:type="dxa"/>
            <w:vAlign w:val="bottom"/>
            <w:tcBorders>
              <w:top w:val="single" w:sz="8" w:color="808080"/>
            </w:tcBorders>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Borders>
              <w:top w:val="single" w:sz="8" w:color="808080"/>
            </w:tcBorders>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(113)</w:t>
            </w:r>
          </w:p>
        </w:tc>
        <w:tc>
          <w:tcPr>
            <w:tcW w:w="36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6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Equity in earnings (losses) of unconsolidated entities</w:t>
            </w:r>
          </w:p>
        </w:tc>
        <w:tc>
          <w:tcPr>
            <w:tcW w:w="24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(19)</w:t>
            </w:r>
          </w:p>
        </w:tc>
        <w:tc>
          <w:tcPr>
            <w:tcW w:w="36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260"/>
              <w:spacing w:after="0"/>
              <w:rPr>
                <w:sz w:val="20"/>
                <w:szCs w:val="20"/>
                <w:color w:val="auto"/>
              </w:rPr>
            </w:pPr>
            <w:r>
              <w:rPr>
                <w:rFonts w:ascii="Arial" w:cs="Arial" w:eastAsia="Arial" w:hAnsi="Arial"/>
                <w:sz w:val="18"/>
                <w:szCs w:val="18"/>
                <w:color w:val="auto"/>
              </w:rPr>
              <w:t>Minority interest</w:t>
            </w:r>
          </w:p>
        </w:tc>
        <w:tc>
          <w:tcPr>
            <w:tcW w:w="2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Other, net</w:t>
            </w:r>
          </w:p>
        </w:tc>
        <w:tc>
          <w:tcPr>
            <w:tcW w:w="24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w:t>
            </w:r>
          </w:p>
        </w:tc>
        <w:tc>
          <w:tcPr>
            <w:tcW w:w="36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80808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80808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9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(138)</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80808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80808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Income before income taxes</w:t>
            </w: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206</w:t>
            </w:r>
          </w:p>
        </w:tc>
        <w:tc>
          <w:tcPr>
            <w:tcW w:w="260" w:type="dxa"/>
            <w:vAlign w:val="bottom"/>
            <w:tcBorders>
              <w:lef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175</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120"/>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62</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80808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80808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Income before cumulative effect of changes in accounting principles</w:t>
            </w: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144</w:t>
            </w:r>
          </w:p>
        </w:tc>
        <w:tc>
          <w:tcPr>
            <w:tcW w:w="260" w:type="dxa"/>
            <w:vAlign w:val="bottom"/>
            <w:tcBorders>
              <w:lef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107</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40" w:type="dxa"/>
            <w:vAlign w:val="bottom"/>
          </w:tcPr>
          <w:p>
            <w:pPr>
              <w:ind w:left="120"/>
              <w:spacing w:after="0" w:line="201" w:lineRule="exact"/>
              <w:rPr>
                <w:sz w:val="20"/>
                <w:szCs w:val="20"/>
                <w:color w:val="auto"/>
              </w:rPr>
            </w:pPr>
            <w:r>
              <w:rPr>
                <w:rFonts w:ascii="Arial" w:cs="Arial" w:eastAsia="Arial" w:hAnsi="Arial"/>
                <w:sz w:val="18"/>
                <w:szCs w:val="18"/>
                <w:color w:val="auto"/>
                <w:w w:val="96"/>
              </w:rPr>
              <w:t>Cumulative effect of changes in accounting principles, net of income tax expense of $5 for 2004 and income tax benefit</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40" w:type="dxa"/>
            <w:vAlign w:val="bottom"/>
          </w:tcPr>
          <w:p>
            <w:pPr>
              <w:ind w:left="260"/>
              <w:spacing w:after="0"/>
              <w:rPr>
                <w:sz w:val="20"/>
                <w:szCs w:val="20"/>
                <w:color w:val="auto"/>
              </w:rPr>
            </w:pPr>
            <w:r>
              <w:rPr>
                <w:rFonts w:ascii="Arial" w:cs="Arial" w:eastAsia="Arial" w:hAnsi="Arial"/>
                <w:sz w:val="18"/>
                <w:szCs w:val="18"/>
                <w:color w:val="auto"/>
              </w:rPr>
              <w:t>of $31 for 2003</w:t>
            </w:r>
          </w:p>
        </w:tc>
        <w:tc>
          <w:tcPr>
            <w:tcW w:w="2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80808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80808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2"/>
                <w:szCs w:val="22"/>
                <w:color w:val="auto"/>
              </w:rPr>
            </w:pPr>
          </w:p>
        </w:tc>
        <w:tc>
          <w:tcPr>
            <w:tcW w:w="92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152</w:t>
            </w:r>
          </w:p>
        </w:tc>
        <w:tc>
          <w:tcPr>
            <w:tcW w:w="260" w:type="dxa"/>
            <w:vAlign w:val="bottom"/>
            <w:tcBorders>
              <w:left w:val="single" w:sz="8" w:color="EEEEEE"/>
            </w:tcBorders>
            <w:shd w:val="clear" w:color="auto" w:fill="EEEEEE"/>
          </w:tcPr>
          <w:p>
            <w:pPr>
              <w:spacing w:after="0"/>
              <w:rPr>
                <w:sz w:val="22"/>
                <w:szCs w:val="22"/>
                <w:color w:val="auto"/>
              </w:rPr>
            </w:pPr>
          </w:p>
        </w:tc>
        <w:tc>
          <w:tcPr>
            <w:tcW w:w="6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w:t>
            </w:r>
          </w:p>
        </w:tc>
        <w:tc>
          <w:tcPr>
            <w:tcW w:w="240" w:type="dxa"/>
            <w:vAlign w:val="bottom"/>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9240" w:type="dxa"/>
            <w:vAlign w:val="bottom"/>
            <w:tcBorders>
              <w:top w:val="single" w:sz="8" w:color="EEEEEE"/>
            </w:tcBorders>
          </w:tcPr>
          <w:p>
            <w:pPr>
              <w:ind w:left="120"/>
              <w:spacing w:after="0"/>
              <w:rPr>
                <w:sz w:val="20"/>
                <w:szCs w:val="20"/>
                <w:color w:val="auto"/>
              </w:rPr>
            </w:pPr>
            <w:r>
              <w:rPr>
                <w:rFonts w:ascii="Arial" w:cs="Arial" w:eastAsia="Arial" w:hAnsi="Arial"/>
                <w:sz w:val="18"/>
                <w:szCs w:val="18"/>
                <w:color w:val="auto"/>
              </w:rPr>
              <w:t>Basic earnings per common share:</w:t>
            </w:r>
          </w:p>
        </w:tc>
        <w:tc>
          <w:tcPr>
            <w:tcW w:w="240" w:type="dxa"/>
            <w:vAlign w:val="bottom"/>
            <w:tcBorders>
              <w:top w:val="single" w:sz="8" w:color="EEEEEE"/>
            </w:tcBorders>
          </w:tcPr>
          <w:p>
            <w:pPr>
              <w:spacing w:after="0"/>
              <w:rPr>
                <w:sz w:val="20"/>
                <w:szCs w:val="20"/>
                <w:color w:val="auto"/>
              </w:rPr>
            </w:pPr>
          </w:p>
        </w:tc>
        <w:tc>
          <w:tcPr>
            <w:tcW w:w="400" w:type="dxa"/>
            <w:vAlign w:val="bottom"/>
            <w:tcBorders>
              <w:top w:val="single" w:sz="8" w:color="808080"/>
            </w:tcBorders>
          </w:tcPr>
          <w:p>
            <w:pPr>
              <w:spacing w:after="0"/>
              <w:rPr>
                <w:sz w:val="20"/>
                <w:szCs w:val="20"/>
                <w:color w:val="auto"/>
              </w:rPr>
            </w:pPr>
          </w:p>
        </w:tc>
        <w:tc>
          <w:tcPr>
            <w:tcW w:w="260" w:type="dxa"/>
            <w:vAlign w:val="bottom"/>
            <w:tcBorders>
              <w:top w:val="single" w:sz="8" w:color="EEEEEE"/>
            </w:tcBorders>
          </w:tcPr>
          <w:p>
            <w:pPr>
              <w:spacing w:after="0"/>
              <w:rPr>
                <w:sz w:val="20"/>
                <w:szCs w:val="20"/>
                <w:color w:val="auto"/>
              </w:rPr>
            </w:pPr>
          </w:p>
        </w:tc>
        <w:tc>
          <w:tcPr>
            <w:tcW w:w="360" w:type="dxa"/>
            <w:vAlign w:val="bottom"/>
            <w:tcBorders>
              <w:top w:val="single" w:sz="8" w:color="EEEEEE"/>
            </w:tcBorders>
          </w:tcPr>
          <w:p>
            <w:pPr>
              <w:spacing w:after="0"/>
              <w:rPr>
                <w:sz w:val="20"/>
                <w:szCs w:val="20"/>
                <w:color w:val="auto"/>
              </w:rPr>
            </w:pPr>
          </w:p>
        </w:tc>
        <w:tc>
          <w:tcPr>
            <w:tcW w:w="260" w:type="dxa"/>
            <w:vAlign w:val="bottom"/>
            <w:tcBorders>
              <w:top w:val="single" w:sz="8" w:color="EEEEEE"/>
            </w:tcBorders>
          </w:tcPr>
          <w:p>
            <w:pPr>
              <w:spacing w:after="0"/>
              <w:rPr>
                <w:sz w:val="20"/>
                <w:szCs w:val="20"/>
                <w:color w:val="auto"/>
              </w:rPr>
            </w:pPr>
          </w:p>
        </w:tc>
        <w:tc>
          <w:tcPr>
            <w:tcW w:w="400" w:type="dxa"/>
            <w:vAlign w:val="bottom"/>
            <w:tcBorders>
              <w:top w:val="single" w:sz="8" w:color="808080"/>
            </w:tcBorders>
          </w:tcPr>
          <w:p>
            <w:pPr>
              <w:spacing w:after="0"/>
              <w:rPr>
                <w:sz w:val="20"/>
                <w:szCs w:val="20"/>
                <w:color w:val="auto"/>
              </w:rPr>
            </w:pPr>
          </w:p>
        </w:tc>
        <w:tc>
          <w:tcPr>
            <w:tcW w:w="240" w:type="dxa"/>
            <w:vAlign w:val="bottom"/>
            <w:tcBorders>
              <w:top w:val="single" w:sz="8" w:color="EEEEEE"/>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Income before cumulative effect of changes in accounting principles</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0.25</w:t>
            </w:r>
          </w:p>
        </w:tc>
        <w:tc>
          <w:tcPr>
            <w:tcW w:w="260" w:type="dxa"/>
            <w:vAlign w:val="bottom"/>
            <w:tcBorders>
              <w:lef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0.18</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260"/>
              <w:spacing w:after="0"/>
              <w:rPr>
                <w:sz w:val="20"/>
                <w:szCs w:val="20"/>
                <w:color w:val="auto"/>
              </w:rPr>
            </w:pPr>
            <w:r>
              <w:rPr>
                <w:rFonts w:ascii="Arial" w:cs="Arial" w:eastAsia="Arial" w:hAnsi="Arial"/>
                <w:sz w:val="18"/>
                <w:szCs w:val="18"/>
                <w:color w:val="auto"/>
              </w:rPr>
              <w:t>Cumulative effect of changes in accounting principles</w:t>
            </w:r>
          </w:p>
        </w:tc>
        <w:tc>
          <w:tcPr>
            <w:tcW w:w="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0.01</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(0.08)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80808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80808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2"/>
                <w:szCs w:val="22"/>
                <w:color w:val="auto"/>
              </w:rPr>
            </w:pPr>
          </w:p>
        </w:tc>
        <w:tc>
          <w:tcPr>
            <w:tcW w:w="92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0.26</w:t>
            </w:r>
          </w:p>
        </w:tc>
        <w:tc>
          <w:tcPr>
            <w:tcW w:w="260" w:type="dxa"/>
            <w:vAlign w:val="bottom"/>
            <w:tcBorders>
              <w:left w:val="single" w:sz="8" w:color="EEEEEE"/>
            </w:tcBorders>
            <w:shd w:val="clear" w:color="auto" w:fill="EEEEEE"/>
          </w:tcPr>
          <w:p>
            <w:pPr>
              <w:spacing w:after="0"/>
              <w:rPr>
                <w:sz w:val="22"/>
                <w:szCs w:val="22"/>
                <w:color w:val="auto"/>
              </w:rPr>
            </w:pPr>
          </w:p>
        </w:tc>
        <w:tc>
          <w:tcPr>
            <w:tcW w:w="6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0.10</w:t>
            </w:r>
          </w:p>
        </w:tc>
        <w:tc>
          <w:tcPr>
            <w:tcW w:w="240" w:type="dxa"/>
            <w:vAlign w:val="bottom"/>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9240" w:type="dxa"/>
            <w:vAlign w:val="bottom"/>
            <w:tcBorders>
              <w:top w:val="single" w:sz="8" w:color="EEEEEE"/>
            </w:tcBorders>
          </w:tcPr>
          <w:p>
            <w:pPr>
              <w:ind w:left="120"/>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tcBorders>
              <w:top w:val="single" w:sz="8" w:color="EEEEEE"/>
            </w:tcBorders>
          </w:tcPr>
          <w:p>
            <w:pPr>
              <w:spacing w:after="0"/>
              <w:rPr>
                <w:sz w:val="20"/>
                <w:szCs w:val="20"/>
                <w:color w:val="auto"/>
              </w:rPr>
            </w:pPr>
          </w:p>
        </w:tc>
        <w:tc>
          <w:tcPr>
            <w:tcW w:w="400" w:type="dxa"/>
            <w:vAlign w:val="bottom"/>
            <w:tcBorders>
              <w:top w:val="single" w:sz="8" w:color="808080"/>
            </w:tcBorders>
          </w:tcPr>
          <w:p>
            <w:pPr>
              <w:spacing w:after="0"/>
              <w:rPr>
                <w:sz w:val="20"/>
                <w:szCs w:val="20"/>
                <w:color w:val="auto"/>
              </w:rPr>
            </w:pPr>
          </w:p>
        </w:tc>
        <w:tc>
          <w:tcPr>
            <w:tcW w:w="260" w:type="dxa"/>
            <w:vAlign w:val="bottom"/>
            <w:tcBorders>
              <w:top w:val="single" w:sz="8" w:color="EEEEEE"/>
            </w:tcBorders>
          </w:tcPr>
          <w:p>
            <w:pPr>
              <w:spacing w:after="0"/>
              <w:rPr>
                <w:sz w:val="20"/>
                <w:szCs w:val="20"/>
                <w:color w:val="auto"/>
              </w:rPr>
            </w:pPr>
          </w:p>
        </w:tc>
        <w:tc>
          <w:tcPr>
            <w:tcW w:w="360" w:type="dxa"/>
            <w:vAlign w:val="bottom"/>
            <w:tcBorders>
              <w:top w:val="single" w:sz="8" w:color="EEEEEE"/>
            </w:tcBorders>
          </w:tcPr>
          <w:p>
            <w:pPr>
              <w:spacing w:after="0"/>
              <w:rPr>
                <w:sz w:val="20"/>
                <w:szCs w:val="20"/>
                <w:color w:val="auto"/>
              </w:rPr>
            </w:pPr>
          </w:p>
        </w:tc>
        <w:tc>
          <w:tcPr>
            <w:tcW w:w="260" w:type="dxa"/>
            <w:vAlign w:val="bottom"/>
            <w:tcBorders>
              <w:top w:val="single" w:sz="8" w:color="EEEEEE"/>
            </w:tcBorders>
          </w:tcPr>
          <w:p>
            <w:pPr>
              <w:spacing w:after="0"/>
              <w:rPr>
                <w:sz w:val="20"/>
                <w:szCs w:val="20"/>
                <w:color w:val="auto"/>
              </w:rPr>
            </w:pPr>
          </w:p>
        </w:tc>
        <w:tc>
          <w:tcPr>
            <w:tcW w:w="400" w:type="dxa"/>
            <w:vAlign w:val="bottom"/>
            <w:tcBorders>
              <w:top w:val="single" w:sz="8" w:color="808080"/>
            </w:tcBorders>
          </w:tcPr>
          <w:p>
            <w:pPr>
              <w:spacing w:after="0"/>
              <w:rPr>
                <w:sz w:val="20"/>
                <w:szCs w:val="20"/>
                <w:color w:val="auto"/>
              </w:rPr>
            </w:pPr>
          </w:p>
        </w:tc>
        <w:tc>
          <w:tcPr>
            <w:tcW w:w="240" w:type="dxa"/>
            <w:vAlign w:val="bottom"/>
            <w:tcBorders>
              <w:top w:val="single" w:sz="8" w:color="EEEEEE"/>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Income before cumulative effect of changes in accounting principles</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0.25</w:t>
            </w:r>
          </w:p>
        </w:tc>
        <w:tc>
          <w:tcPr>
            <w:tcW w:w="260" w:type="dxa"/>
            <w:vAlign w:val="bottom"/>
            <w:tcBorders>
              <w:left w:val="single" w:sz="8" w:color="EEEEEE"/>
            </w:tcBorders>
            <w:shd w:val="clear" w:color="auto" w:fill="EEEEEE"/>
          </w:tcPr>
          <w:p>
            <w:pPr>
              <w:spacing w:after="0"/>
              <w:rPr>
                <w:sz w:val="18"/>
                <w:szCs w:val="18"/>
                <w:color w:val="auto"/>
              </w:rPr>
            </w:pPr>
          </w:p>
        </w:tc>
        <w:tc>
          <w:tcPr>
            <w:tcW w:w="6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0.18</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260"/>
              <w:spacing w:after="0"/>
              <w:rPr>
                <w:sz w:val="20"/>
                <w:szCs w:val="20"/>
                <w:color w:val="auto"/>
              </w:rPr>
            </w:pPr>
            <w:r>
              <w:rPr>
                <w:rFonts w:ascii="Arial" w:cs="Arial" w:eastAsia="Arial" w:hAnsi="Arial"/>
                <w:sz w:val="18"/>
                <w:szCs w:val="18"/>
                <w:color w:val="auto"/>
              </w:rPr>
              <w:t>Cumulative effect of changes in accounting principles</w:t>
            </w:r>
          </w:p>
        </w:tc>
        <w:tc>
          <w:tcPr>
            <w:tcW w:w="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0.01</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(0.08)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80808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80808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2"/>
                <w:szCs w:val="22"/>
                <w:color w:val="auto"/>
              </w:rPr>
            </w:pPr>
          </w:p>
        </w:tc>
        <w:tc>
          <w:tcPr>
            <w:tcW w:w="92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0.26</w:t>
            </w:r>
          </w:p>
        </w:tc>
        <w:tc>
          <w:tcPr>
            <w:tcW w:w="260" w:type="dxa"/>
            <w:vAlign w:val="bottom"/>
            <w:tcBorders>
              <w:left w:val="single" w:sz="8" w:color="EEEEEE"/>
            </w:tcBorders>
            <w:shd w:val="clear" w:color="auto" w:fill="EEEEEE"/>
          </w:tcPr>
          <w:p>
            <w:pPr>
              <w:spacing w:after="0"/>
              <w:rPr>
                <w:sz w:val="22"/>
                <w:szCs w:val="22"/>
                <w:color w:val="auto"/>
              </w:rPr>
            </w:pPr>
          </w:p>
        </w:tc>
        <w:tc>
          <w:tcPr>
            <w:tcW w:w="6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0.10</w:t>
            </w:r>
          </w:p>
        </w:tc>
        <w:tc>
          <w:tcPr>
            <w:tcW w:w="240" w:type="dxa"/>
            <w:vAlign w:val="bottom"/>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240" w:type="dxa"/>
            <w:vAlign w:val="bottom"/>
            <w:tcBorders>
              <w:top w:val="single" w:sz="8" w:color="EEEEEE"/>
            </w:tcBorders>
          </w:tcPr>
          <w:p>
            <w:pPr>
              <w:ind w:left="120"/>
              <w:spacing w:after="0"/>
              <w:rPr>
                <w:sz w:val="20"/>
                <w:szCs w:val="20"/>
                <w:color w:val="auto"/>
              </w:rPr>
            </w:pPr>
            <w:r>
              <w:rPr>
                <w:rFonts w:ascii="Arial" w:cs="Arial" w:eastAsia="Arial" w:hAnsi="Arial"/>
                <w:sz w:val="18"/>
                <w:szCs w:val="18"/>
                <w:color w:val="auto"/>
              </w:rPr>
              <w:t>Basic common shares outstanding</w:t>
            </w:r>
          </w:p>
        </w:tc>
        <w:tc>
          <w:tcPr>
            <w:tcW w:w="240" w:type="dxa"/>
            <w:vAlign w:val="bottom"/>
            <w:tcBorders>
              <w:top w:val="single" w:sz="8" w:color="EEEEEE"/>
            </w:tcBorders>
          </w:tcPr>
          <w:p>
            <w:pPr>
              <w:spacing w:after="0"/>
              <w:rPr>
                <w:sz w:val="20"/>
                <w:szCs w:val="20"/>
                <w:color w:val="auto"/>
              </w:rPr>
            </w:pPr>
          </w:p>
        </w:tc>
        <w:tc>
          <w:tcPr>
            <w:tcW w:w="4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4"/>
              </w:rPr>
              <w:t>577.3</w:t>
            </w:r>
          </w:p>
        </w:tc>
        <w:tc>
          <w:tcPr>
            <w:tcW w:w="260" w:type="dxa"/>
            <w:vAlign w:val="bottom"/>
            <w:tcBorders>
              <w:top w:val="single" w:sz="8" w:color="EEEEEE"/>
            </w:tcBorders>
          </w:tcPr>
          <w:p>
            <w:pPr>
              <w:spacing w:after="0"/>
              <w:rPr>
                <w:sz w:val="20"/>
                <w:szCs w:val="20"/>
                <w:color w:val="auto"/>
              </w:rPr>
            </w:pPr>
          </w:p>
        </w:tc>
        <w:tc>
          <w:tcPr>
            <w:tcW w:w="360" w:type="dxa"/>
            <w:vAlign w:val="bottom"/>
            <w:tcBorders>
              <w:top w:val="single" w:sz="8" w:color="EEEEEE"/>
            </w:tcBorders>
          </w:tcPr>
          <w:p>
            <w:pPr>
              <w:spacing w:after="0"/>
              <w:rPr>
                <w:sz w:val="20"/>
                <w:szCs w:val="20"/>
                <w:color w:val="auto"/>
              </w:rPr>
            </w:pPr>
          </w:p>
        </w:tc>
        <w:tc>
          <w:tcPr>
            <w:tcW w:w="260" w:type="dxa"/>
            <w:vAlign w:val="bottom"/>
            <w:tcBorders>
              <w:top w:val="single" w:sz="8" w:color="EEEEEE"/>
            </w:tcBorders>
          </w:tcPr>
          <w:p>
            <w:pPr>
              <w:spacing w:after="0"/>
              <w:rPr>
                <w:sz w:val="20"/>
                <w:szCs w:val="20"/>
                <w:color w:val="auto"/>
              </w:rPr>
            </w:pPr>
          </w:p>
        </w:tc>
        <w:tc>
          <w:tcPr>
            <w:tcW w:w="4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4"/>
              </w:rPr>
              <w:t>593.7</w:t>
            </w:r>
          </w:p>
        </w:tc>
        <w:tc>
          <w:tcPr>
            <w:tcW w:w="240" w:type="dxa"/>
            <w:vAlign w:val="bottom"/>
            <w:tcBorders>
              <w:top w:val="single" w:sz="8" w:color="EEEEEE"/>
            </w:tcBorders>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9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60" w:type="dxa"/>
            <w:vAlign w:val="bottom"/>
            <w:tcBorders>
              <w:left w:val="single" w:sz="8" w:color="808080"/>
            </w:tcBorders>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9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2"/>
                <w:szCs w:val="22"/>
                <w:color w:val="auto"/>
              </w:rPr>
            </w:pPr>
          </w:p>
        </w:tc>
        <w:tc>
          <w:tcPr>
            <w:tcW w:w="9240" w:type="dxa"/>
            <w:vAlign w:val="bottom"/>
            <w:tcBorders>
              <w:bottom w:val="single" w:sz="8" w:color="EEEEEE"/>
            </w:tcBorders>
            <w:shd w:val="clear" w:color="auto" w:fill="EEEEEE"/>
          </w:tcPr>
          <w:p>
            <w:pPr>
              <w:ind w:left="120"/>
              <w:spacing w:after="0"/>
              <w:rPr>
                <w:sz w:val="20"/>
                <w:szCs w:val="20"/>
                <w:color w:val="auto"/>
              </w:rPr>
            </w:pPr>
            <w:r>
              <w:rPr>
                <w:rFonts w:ascii="Arial" w:cs="Arial" w:eastAsia="Arial" w:hAnsi="Arial"/>
                <w:sz w:val="18"/>
                <w:szCs w:val="18"/>
                <w:color w:val="auto"/>
              </w:rPr>
              <w:t>Diluted common shares outstanding</w:t>
            </w:r>
          </w:p>
        </w:tc>
        <w:tc>
          <w:tcPr>
            <w:tcW w:w="240" w:type="dxa"/>
            <w:vAlign w:val="bottom"/>
            <w:tcBorders>
              <w:bottom w:val="single" w:sz="8" w:color="EEEEEE"/>
            </w:tcBorders>
            <w:shd w:val="clear" w:color="auto" w:fill="EEEEEE"/>
          </w:tcPr>
          <w:p>
            <w:pPr>
              <w:spacing w:after="0"/>
              <w:rPr>
                <w:sz w:val="22"/>
                <w:szCs w:val="22"/>
                <w:color w:val="auto"/>
              </w:rPr>
            </w:pPr>
          </w:p>
        </w:tc>
        <w:tc>
          <w:tcPr>
            <w:tcW w:w="4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4"/>
              </w:rPr>
              <w:t>582.8</w:t>
            </w:r>
          </w:p>
        </w:tc>
        <w:tc>
          <w:tcPr>
            <w:tcW w:w="260" w:type="dxa"/>
            <w:vAlign w:val="bottom"/>
            <w:tcBorders>
              <w:left w:val="single" w:sz="8" w:color="EEEEEE"/>
              <w:bottom w:val="single" w:sz="8" w:color="EEEEEE"/>
            </w:tcBorders>
            <w:shd w:val="clear" w:color="auto" w:fill="EEEEEE"/>
          </w:tcPr>
          <w:p>
            <w:pPr>
              <w:spacing w:after="0"/>
              <w:rPr>
                <w:sz w:val="22"/>
                <w:szCs w:val="22"/>
                <w:color w:val="auto"/>
              </w:rPr>
            </w:pPr>
          </w:p>
        </w:tc>
        <w:tc>
          <w:tcPr>
            <w:tcW w:w="360" w:type="dxa"/>
            <w:vAlign w:val="bottom"/>
            <w:tcBorders>
              <w:bottom w:val="single" w:sz="8" w:color="EEEEEE"/>
            </w:tcBorders>
            <w:shd w:val="clear" w:color="auto" w:fill="EEEEEE"/>
          </w:tcPr>
          <w:p>
            <w:pPr>
              <w:spacing w:after="0"/>
              <w:rPr>
                <w:sz w:val="22"/>
                <w:szCs w:val="22"/>
                <w:color w:val="auto"/>
              </w:rPr>
            </w:pPr>
          </w:p>
        </w:tc>
        <w:tc>
          <w:tcPr>
            <w:tcW w:w="260" w:type="dxa"/>
            <w:vAlign w:val="bottom"/>
            <w:tcBorders>
              <w:bottom w:val="single" w:sz="8" w:color="EEEEEE"/>
              <w:right w:val="single" w:sz="8" w:color="EEEEEE"/>
            </w:tcBorders>
            <w:shd w:val="clear" w:color="auto" w:fill="EEEEEE"/>
          </w:tcPr>
          <w:p>
            <w:pPr>
              <w:spacing w:after="0"/>
              <w:rPr>
                <w:sz w:val="22"/>
                <w:szCs w:val="22"/>
                <w:color w:val="auto"/>
              </w:rPr>
            </w:pPr>
          </w:p>
        </w:tc>
        <w:tc>
          <w:tcPr>
            <w:tcW w:w="4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4"/>
              </w:rPr>
              <w:t>595.8</w:t>
            </w:r>
          </w:p>
        </w:tc>
        <w:tc>
          <w:tcPr>
            <w:tcW w:w="24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240" w:type="dxa"/>
            <w:vAlign w:val="bottom"/>
          </w:tcPr>
          <w:p>
            <w:pPr>
              <w:ind w:left="120"/>
              <w:spacing w:after="0"/>
              <w:rPr>
                <w:sz w:val="20"/>
                <w:szCs w:val="20"/>
                <w:color w:val="auto"/>
              </w:rPr>
            </w:pPr>
            <w:r>
              <w:rPr>
                <w:rFonts w:ascii="Arial" w:cs="Arial" w:eastAsia="Arial" w:hAnsi="Arial"/>
                <w:sz w:val="18"/>
                <w:szCs w:val="18"/>
                <w:color w:val="auto"/>
              </w:rPr>
              <w:t>Cash dividends per common share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0.19</w:t>
            </w:r>
          </w:p>
        </w:tc>
        <w:tc>
          <w:tcPr>
            <w:tcW w:w="26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9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60" w:type="dxa"/>
            <w:vAlign w:val="bottom"/>
            <w:tcBorders>
              <w:left w:val="single" w:sz="8" w:color="808080"/>
            </w:tcBorders>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Note:</w:t>
            </w:r>
          </w:p>
        </w:tc>
        <w:tc>
          <w:tcPr>
            <w:tcW w:w="10860" w:type="dxa"/>
            <w:vAlign w:val="bottom"/>
          </w:tcPr>
          <w:p>
            <w:pPr>
              <w:ind w:left="160"/>
              <w:spacing w:after="0"/>
              <w:rPr>
                <w:sz w:val="20"/>
                <w:szCs w:val="20"/>
                <w:color w:val="auto"/>
              </w:rPr>
            </w:pPr>
            <w:r>
              <w:rPr>
                <w:rFonts w:ascii="Arial" w:cs="Arial" w:eastAsia="Arial" w:hAnsi="Arial"/>
                <w:sz w:val="18"/>
                <w:szCs w:val="18"/>
                <w:color w:val="auto"/>
                <w:w w:val="92"/>
              </w:rPr>
              <w:t>Effective January 1, 2004, revenues and operating expenses have increased as a result of recording certain mandatory fees and taxes that have</w:t>
            </w:r>
          </w:p>
        </w:tc>
      </w:tr>
      <w:tr>
        <w:trPr>
          <w:trHeight w:val="216"/>
        </w:trPr>
        <w:tc>
          <w:tcPr>
            <w:tcW w:w="560" w:type="dxa"/>
            <w:vAlign w:val="bottom"/>
          </w:tcPr>
          <w:p>
            <w:pPr>
              <w:spacing w:after="0"/>
              <w:rPr>
                <w:sz w:val="18"/>
                <w:szCs w:val="18"/>
                <w:color w:val="auto"/>
              </w:rPr>
            </w:pPr>
          </w:p>
        </w:tc>
        <w:tc>
          <w:tcPr>
            <w:tcW w:w="10860" w:type="dxa"/>
            <w:vAlign w:val="bottom"/>
          </w:tcPr>
          <w:p>
            <w:pPr>
              <w:ind w:left="160"/>
              <w:spacing w:after="0"/>
              <w:rPr>
                <w:sz w:val="20"/>
                <w:szCs w:val="20"/>
                <w:color w:val="auto"/>
              </w:rPr>
            </w:pPr>
            <w:r>
              <w:rPr>
                <w:rFonts w:ascii="Arial" w:cs="Arial" w:eastAsia="Arial" w:hAnsi="Arial"/>
                <w:sz w:val="18"/>
                <w:szCs w:val="18"/>
                <w:color w:val="auto"/>
                <w:w w:val="90"/>
              </w:rPr>
              <w:t>historically been treated as pass through items on the balance sheet that actually represent direct obligations of the Company. Please note we have</w:t>
            </w:r>
          </w:p>
        </w:tc>
      </w:tr>
      <w:tr>
        <w:trPr>
          <w:trHeight w:val="216"/>
        </w:trPr>
        <w:tc>
          <w:tcPr>
            <w:tcW w:w="560" w:type="dxa"/>
            <w:vAlign w:val="bottom"/>
          </w:tcPr>
          <w:p>
            <w:pPr>
              <w:spacing w:after="0"/>
              <w:rPr>
                <w:sz w:val="18"/>
                <w:szCs w:val="18"/>
                <w:color w:val="auto"/>
              </w:rPr>
            </w:pPr>
          </w:p>
        </w:tc>
        <w:tc>
          <w:tcPr>
            <w:tcW w:w="10860" w:type="dxa"/>
            <w:vAlign w:val="bottom"/>
          </w:tcPr>
          <w:p>
            <w:pPr>
              <w:ind w:left="160"/>
              <w:spacing w:after="0"/>
              <w:rPr>
                <w:sz w:val="20"/>
                <w:szCs w:val="20"/>
                <w:color w:val="auto"/>
              </w:rPr>
            </w:pPr>
            <w:r>
              <w:rPr>
                <w:rFonts w:ascii="Arial" w:cs="Arial" w:eastAsia="Arial" w:hAnsi="Arial"/>
                <w:sz w:val="18"/>
                <w:szCs w:val="18"/>
                <w:color w:val="auto"/>
                <w:w w:val="90"/>
              </w:rPr>
              <w:t>conformed the prior year presentation of our revenues and expenses with the current year’s presentation by increasing both revenues and operating</w:t>
            </w:r>
          </w:p>
        </w:tc>
      </w:tr>
      <w:tr>
        <w:trPr>
          <w:trHeight w:val="230"/>
        </w:trPr>
        <w:tc>
          <w:tcPr>
            <w:tcW w:w="560" w:type="dxa"/>
            <w:vAlign w:val="bottom"/>
          </w:tcPr>
          <w:p>
            <w:pPr>
              <w:spacing w:after="0"/>
              <w:rPr>
                <w:sz w:val="20"/>
                <w:szCs w:val="20"/>
                <w:color w:val="auto"/>
              </w:rPr>
            </w:pPr>
          </w:p>
        </w:tc>
        <w:tc>
          <w:tcPr>
            <w:tcW w:w="10860" w:type="dxa"/>
            <w:vAlign w:val="bottom"/>
          </w:tcPr>
          <w:p>
            <w:pPr>
              <w:ind w:left="160"/>
              <w:spacing w:after="0"/>
              <w:rPr>
                <w:sz w:val="20"/>
                <w:szCs w:val="20"/>
                <w:color w:val="auto"/>
              </w:rPr>
            </w:pPr>
            <w:r>
              <w:rPr>
                <w:rFonts w:ascii="Arial" w:cs="Arial" w:eastAsia="Arial" w:hAnsi="Arial"/>
                <w:sz w:val="18"/>
                <w:szCs w:val="18"/>
                <w:color w:val="auto"/>
              </w:rPr>
              <w:t>expenses $16 million for the quarter ended March 31, 2003.</w:t>
            </w:r>
          </w:p>
        </w:tc>
      </w:tr>
      <w:tr>
        <w:trPr>
          <w:trHeight w:val="392"/>
        </w:trPr>
        <w:tc>
          <w:tcPr>
            <w:tcW w:w="560" w:type="dxa"/>
            <w:vAlign w:val="bottom"/>
          </w:tcPr>
          <w:p>
            <w:pPr>
              <w:spacing w:after="0"/>
              <w:rPr>
                <w:sz w:val="24"/>
                <w:szCs w:val="24"/>
                <w:color w:val="auto"/>
              </w:rPr>
            </w:pPr>
          </w:p>
        </w:tc>
        <w:tc>
          <w:tcPr>
            <w:tcW w:w="10860" w:type="dxa"/>
            <w:vAlign w:val="bottom"/>
          </w:tcPr>
          <w:p>
            <w:pPr>
              <w:ind w:left="5040"/>
              <w:spacing w:after="0"/>
              <w:rPr>
                <w:sz w:val="20"/>
                <w:szCs w:val="20"/>
                <w:color w:val="auto"/>
              </w:rPr>
            </w:pPr>
            <w:r>
              <w:rPr>
                <w:rFonts w:ascii="Arial" w:cs="Arial" w:eastAsia="Arial" w:hAnsi="Arial"/>
                <w:sz w:val="18"/>
                <w:szCs w:val="18"/>
                <w:b w:val="1"/>
                <w:bCs w:val="1"/>
                <w:color w:val="auto"/>
              </w:rPr>
              <w:t>(1)</w:t>
            </w:r>
          </w:p>
        </w:tc>
      </w:tr>
      <w:tr>
        <w:trPr>
          <w:trHeight w:val="226"/>
        </w:trPr>
        <w:tc>
          <w:tcPr>
            <w:tcW w:w="560" w:type="dxa"/>
            <w:vAlign w:val="bottom"/>
            <w:tcBorders>
              <w:bottom w:val="single" w:sz="8" w:color="808080"/>
            </w:tcBorders>
          </w:tcPr>
          <w:p>
            <w:pPr>
              <w:spacing w:after="0"/>
              <w:rPr>
                <w:sz w:val="19"/>
                <w:szCs w:val="19"/>
                <w:color w:val="auto"/>
              </w:rPr>
            </w:pPr>
          </w:p>
        </w:tc>
        <w:tc>
          <w:tcPr>
            <w:tcW w:w="108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9"/>
              </w:rPr>
              <w:t>Quarters Ended March 31,</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9140" w:type="dxa"/>
            <w:vAlign w:val="bottom"/>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9140" w:type="dxa"/>
            <w:vAlign w:val="bottom"/>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9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EPS Calculation:</w:t>
            </w: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Income before cumulative effect of changes in accounting principles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144</w:t>
            </w: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107</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EEEEEE"/>
          </w:tcPr>
          <w:p>
            <w:pPr>
              <w:spacing w:after="0"/>
              <w:rPr>
                <w:sz w:val="20"/>
                <w:szCs w:val="20"/>
                <w:color w:val="auto"/>
              </w:rPr>
            </w:pPr>
            <w:r>
              <w:rPr>
                <w:rFonts w:ascii="Arial" w:cs="Arial" w:eastAsia="Arial" w:hAnsi="Arial"/>
                <w:sz w:val="18"/>
                <w:szCs w:val="18"/>
                <w:color w:val="auto"/>
              </w:rPr>
              <w:t>Cumulative effect of changes in accounting principles</w:t>
            </w: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3"/>
        </w:trPr>
        <w:tc>
          <w:tcPr>
            <w:tcW w:w="9160" w:type="dxa"/>
            <w:vAlign w:val="bottom"/>
            <w:gridSpan w:val="2"/>
          </w:tcPr>
          <w:p>
            <w:pPr>
              <w:spacing w:after="0"/>
              <w:rPr>
                <w:sz w:val="20"/>
                <w:szCs w:val="20"/>
                <w:color w:val="auto"/>
              </w:rPr>
            </w:pPr>
            <w:r>
              <w:rPr>
                <w:rFonts w:ascii="Arial" w:cs="Arial" w:eastAsia="Arial" w:hAnsi="Arial"/>
                <w:sz w:val="18"/>
                <w:szCs w:val="18"/>
                <w:color w:val="auto"/>
              </w:rPr>
              <w:t>Diluted net income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152</w:t>
            </w:r>
          </w:p>
        </w:tc>
        <w:tc>
          <w:tcPr>
            <w:tcW w:w="22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61</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9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9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EEEEEE"/>
          </w:tcPr>
          <w:p>
            <w:pPr>
              <w:spacing w:after="0"/>
              <w:rPr>
                <w:sz w:val="20"/>
                <w:szCs w:val="20"/>
                <w:color w:val="auto"/>
              </w:rPr>
            </w:pPr>
            <w:r>
              <w:rPr>
                <w:rFonts w:ascii="Arial" w:cs="Arial" w:eastAsia="Arial" w:hAnsi="Arial"/>
                <w:sz w:val="18"/>
                <w:szCs w:val="18"/>
                <w:color w:val="auto"/>
              </w:rPr>
              <w:t>Shares outstanding at end of period</w:t>
            </w: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579.7</w:t>
            </w: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591.4</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Effect of weighting</w:t>
            </w:r>
          </w:p>
        </w:tc>
        <w:tc>
          <w:tcPr>
            <w:tcW w:w="2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808080"/>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EEEEEE"/>
          </w:tcPr>
          <w:p>
            <w:pPr>
              <w:spacing w:after="0"/>
              <w:rPr>
                <w:sz w:val="20"/>
                <w:szCs w:val="20"/>
                <w:color w:val="auto"/>
              </w:rPr>
            </w:pPr>
            <w:r>
              <w:rPr>
                <w:rFonts w:ascii="Arial" w:cs="Arial" w:eastAsia="Arial" w:hAnsi="Arial"/>
                <w:sz w:val="18"/>
                <w:szCs w:val="18"/>
                <w:color w:val="auto"/>
              </w:rPr>
              <w:t>Basic common shares outstanding at end of period</w:t>
            </w: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577.3</w:t>
            </w: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593.7</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Adjustment — Dilutive effect of common stock options and warrants and other contingently issuable shares</w:t>
            </w:r>
          </w:p>
        </w:tc>
        <w:tc>
          <w:tcPr>
            <w:tcW w:w="220" w:type="dxa"/>
            <w:vAlign w:val="bottom"/>
          </w:tcPr>
          <w:p>
            <w:pPr>
              <w:spacing w:after="0"/>
              <w:rPr>
                <w:sz w:val="18"/>
                <w:szCs w:val="18"/>
                <w:color w:val="auto"/>
              </w:rPr>
            </w:pPr>
          </w:p>
        </w:tc>
        <w:tc>
          <w:tcPr>
            <w:tcW w:w="4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vMerge w:val="continue"/>
          </w:tcPr>
          <w:p>
            <w:pPr>
              <w:spacing w:after="0"/>
              <w:rPr>
                <w:sz w:val="22"/>
                <w:szCs w:val="22"/>
                <w:color w:val="auto"/>
              </w:rPr>
            </w:pPr>
          </w:p>
        </w:tc>
        <w:tc>
          <w:tcPr>
            <w:tcW w:w="914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Diluted common shares outstanding at end of period</w:t>
            </w:r>
          </w:p>
        </w:tc>
        <w:tc>
          <w:tcPr>
            <w:tcW w:w="220" w:type="dxa"/>
            <w:vAlign w:val="bottom"/>
            <w:tcBorders>
              <w:bottom w:val="single" w:sz="8" w:color="EEEEEE"/>
            </w:tcBorders>
            <w:shd w:val="clear" w:color="auto" w:fill="EEEEEE"/>
          </w:tcPr>
          <w:p>
            <w:pPr>
              <w:spacing w:after="0"/>
              <w:rPr>
                <w:sz w:val="22"/>
                <w:szCs w:val="22"/>
                <w:color w:val="auto"/>
              </w:rPr>
            </w:pPr>
          </w:p>
        </w:tc>
        <w:tc>
          <w:tcPr>
            <w:tcW w:w="4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4"/>
              </w:rPr>
              <w:t>582.8</w:t>
            </w:r>
          </w:p>
        </w:tc>
        <w:tc>
          <w:tcPr>
            <w:tcW w:w="220" w:type="dxa"/>
            <w:vAlign w:val="bottom"/>
            <w:tcBorders>
              <w:bottom w:val="single" w:sz="8" w:color="EEEEEE"/>
            </w:tcBorders>
            <w:shd w:val="clear" w:color="auto" w:fill="EEEEEE"/>
          </w:tcPr>
          <w:p>
            <w:pPr>
              <w:spacing w:after="0"/>
              <w:rPr>
                <w:sz w:val="22"/>
                <w:szCs w:val="22"/>
                <w:color w:val="auto"/>
              </w:rPr>
            </w:pPr>
          </w:p>
        </w:tc>
        <w:tc>
          <w:tcPr>
            <w:tcW w:w="340" w:type="dxa"/>
            <w:vAlign w:val="bottom"/>
            <w:tcBorders>
              <w:bottom w:val="single" w:sz="8" w:color="EEEEEE"/>
            </w:tcBorders>
            <w:shd w:val="clear" w:color="auto" w:fill="EEEEEE"/>
          </w:tcPr>
          <w:p>
            <w:pPr>
              <w:spacing w:after="0"/>
              <w:rPr>
                <w:sz w:val="22"/>
                <w:szCs w:val="22"/>
                <w:color w:val="auto"/>
              </w:rPr>
            </w:pPr>
          </w:p>
        </w:tc>
        <w:tc>
          <w:tcPr>
            <w:tcW w:w="340" w:type="dxa"/>
            <w:vAlign w:val="bottom"/>
            <w:tcBorders>
              <w:bottom w:val="single" w:sz="8" w:color="EEEEEE"/>
            </w:tcBorders>
            <w:shd w:val="clear" w:color="auto" w:fill="EEEEEE"/>
          </w:tcPr>
          <w:p>
            <w:pPr>
              <w:spacing w:after="0"/>
              <w:rPr>
                <w:sz w:val="22"/>
                <w:szCs w:val="22"/>
                <w:color w:val="auto"/>
              </w:rPr>
            </w:pPr>
          </w:p>
        </w:tc>
        <w:tc>
          <w:tcPr>
            <w:tcW w:w="4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4"/>
              </w:rPr>
              <w:t>595.8</w:t>
            </w:r>
          </w:p>
        </w:tc>
        <w:tc>
          <w:tcPr>
            <w:tcW w:w="34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916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Income before cumulative effect of changes in accounting principles</w:t>
            </w:r>
          </w:p>
        </w:tc>
        <w:tc>
          <w:tcPr>
            <w:tcW w:w="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0.25</w:t>
            </w:r>
          </w:p>
        </w:tc>
        <w:tc>
          <w:tcPr>
            <w:tcW w:w="22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0.18</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120"/>
              <w:spacing w:after="0"/>
              <w:rPr>
                <w:sz w:val="20"/>
                <w:szCs w:val="20"/>
                <w:color w:val="auto"/>
              </w:rPr>
            </w:pPr>
            <w:r>
              <w:rPr>
                <w:rFonts w:ascii="Arial" w:cs="Arial" w:eastAsia="Arial" w:hAnsi="Arial"/>
                <w:sz w:val="18"/>
                <w:szCs w:val="18"/>
                <w:color w:val="auto"/>
              </w:rPr>
              <w:t>Cumulative effect of changes in accounting principles</w:t>
            </w: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(0.08)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808080"/>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2"/>
                <w:szCs w:val="22"/>
                <w:color w:val="auto"/>
              </w:rPr>
            </w:pPr>
          </w:p>
        </w:tc>
        <w:tc>
          <w:tcPr>
            <w:tcW w:w="9140" w:type="dxa"/>
            <w:vAlign w:val="bottom"/>
            <w:tcBorders>
              <w:bottom w:val="single" w:sz="8" w:color="EEEEEE"/>
            </w:tcBorders>
            <w:shd w:val="clear" w:color="auto" w:fill="EEEEEE"/>
          </w:tcPr>
          <w:p>
            <w:pPr>
              <w:ind w:left="1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0.26</w:t>
            </w:r>
          </w:p>
        </w:tc>
        <w:tc>
          <w:tcPr>
            <w:tcW w:w="220" w:type="dxa"/>
            <w:vAlign w:val="bottom"/>
            <w:tcBorders>
              <w:bottom w:val="single" w:sz="8" w:color="EEEEEE"/>
            </w:tcBorders>
            <w:shd w:val="clear" w:color="auto" w:fill="EEEEEE"/>
          </w:tcPr>
          <w:p>
            <w:pPr>
              <w:spacing w:after="0"/>
              <w:rPr>
                <w:sz w:val="22"/>
                <w:szCs w:val="22"/>
                <w:color w:val="auto"/>
              </w:rPr>
            </w:pPr>
          </w:p>
        </w:tc>
        <w:tc>
          <w:tcPr>
            <w:tcW w:w="680" w:type="dxa"/>
            <w:vAlign w:val="bottom"/>
            <w:tcBorders>
              <w:bottom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0.10</w:t>
            </w:r>
          </w:p>
        </w:tc>
        <w:tc>
          <w:tcPr>
            <w:tcW w:w="34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9160" w:type="dxa"/>
            <w:vAlign w:val="bottom"/>
            <w:gridSpan w:val="2"/>
          </w:tcPr>
          <w:p>
            <w:pPr>
              <w:spacing w:after="0"/>
              <w:rPr>
                <w:sz w:val="20"/>
                <w:szCs w:val="20"/>
                <w:color w:val="auto"/>
              </w:rPr>
            </w:pPr>
            <w:r>
              <w:rPr>
                <w:rFonts w:ascii="Arial" w:cs="Arial" w:eastAsia="Arial" w:hAnsi="Arial"/>
                <w:sz w:val="18"/>
                <w:szCs w:val="18"/>
                <w:color w:val="auto"/>
              </w:rPr>
              <w:t>Diluted earnings per common share:</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Income before cumulative effect of changes in accounting principles</w:t>
            </w:r>
          </w:p>
        </w:tc>
        <w:tc>
          <w:tcPr>
            <w:tcW w:w="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0.25</w:t>
            </w:r>
          </w:p>
        </w:tc>
        <w:tc>
          <w:tcPr>
            <w:tcW w:w="22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0.18</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120"/>
              <w:spacing w:after="0"/>
              <w:rPr>
                <w:sz w:val="20"/>
                <w:szCs w:val="20"/>
                <w:color w:val="auto"/>
              </w:rPr>
            </w:pPr>
            <w:r>
              <w:rPr>
                <w:rFonts w:ascii="Arial" w:cs="Arial" w:eastAsia="Arial" w:hAnsi="Arial"/>
                <w:sz w:val="18"/>
                <w:szCs w:val="18"/>
                <w:color w:val="auto"/>
              </w:rPr>
              <w:t>Cumulative effect of changes in accounting principles</w:t>
            </w: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(0.08)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808080"/>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2"/>
                <w:szCs w:val="22"/>
                <w:color w:val="auto"/>
              </w:rPr>
            </w:pPr>
          </w:p>
        </w:tc>
        <w:tc>
          <w:tcPr>
            <w:tcW w:w="9140" w:type="dxa"/>
            <w:vAlign w:val="bottom"/>
            <w:tcBorders>
              <w:bottom w:val="single" w:sz="8" w:color="EEEEEE"/>
            </w:tcBorders>
            <w:shd w:val="clear" w:color="auto" w:fill="EEEEEE"/>
          </w:tcPr>
          <w:p>
            <w:pPr>
              <w:ind w:left="1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0.26</w:t>
            </w:r>
          </w:p>
        </w:tc>
        <w:tc>
          <w:tcPr>
            <w:tcW w:w="220" w:type="dxa"/>
            <w:vAlign w:val="bottom"/>
            <w:tcBorders>
              <w:bottom w:val="single" w:sz="8" w:color="EEEEEE"/>
            </w:tcBorders>
            <w:shd w:val="clear" w:color="auto" w:fill="EEEEEE"/>
          </w:tcPr>
          <w:p>
            <w:pPr>
              <w:spacing w:after="0"/>
              <w:rPr>
                <w:sz w:val="22"/>
                <w:szCs w:val="22"/>
                <w:color w:val="auto"/>
              </w:rPr>
            </w:pPr>
          </w:p>
        </w:tc>
        <w:tc>
          <w:tcPr>
            <w:tcW w:w="680" w:type="dxa"/>
            <w:vAlign w:val="bottom"/>
            <w:tcBorders>
              <w:bottom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0.10</w:t>
            </w:r>
          </w:p>
        </w:tc>
        <w:tc>
          <w:tcPr>
            <w:tcW w:w="34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415"/>
        </w:trPr>
        <w:tc>
          <w:tcPr>
            <w:tcW w:w="9160" w:type="dxa"/>
            <w:vAlign w:val="bottom"/>
            <w:gridSpan w:val="2"/>
          </w:tcPr>
          <w:p>
            <w:pPr>
              <w:jc w:val="right"/>
              <w:ind w:right="3250"/>
              <w:spacing w:after="0"/>
              <w:rPr>
                <w:sz w:val="20"/>
                <w:szCs w:val="20"/>
                <w:color w:val="auto"/>
              </w:rPr>
            </w:pPr>
            <w:r>
              <w:rPr>
                <w:rFonts w:ascii="Arial" w:cs="Arial" w:eastAsia="Arial" w:hAnsi="Arial"/>
                <w:sz w:val="18"/>
                <w:szCs w:val="18"/>
                <w:b w:val="1"/>
                <w:bCs w:val="1"/>
                <w:color w:val="auto"/>
              </w:rPr>
              <w:t>(2)</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91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320" w:type="dxa"/>
            <w:vAlign w:val="bottom"/>
          </w:tcPr>
          <w:p>
            <w:pPr>
              <w:spacing w:after="0"/>
              <w:rPr>
                <w:sz w:val="14"/>
                <w:szCs w:val="14"/>
                <w:color w:val="auto"/>
              </w:rPr>
            </w:pPr>
          </w:p>
        </w:tc>
        <w:tc>
          <w:tcPr>
            <w:tcW w:w="1220" w:type="dxa"/>
            <w:vAlign w:val="bottom"/>
            <w:gridSpan w:val="3"/>
          </w:tcPr>
          <w:p>
            <w:pPr>
              <w:ind w:left="1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504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6"/>
              </w:rPr>
              <w:t>2004</w:t>
            </w: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jc w:val="right"/>
              <w:ind w:right="31"/>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040" w:type="dxa"/>
            <w:vAlign w:val="bottom"/>
          </w:tcPr>
          <w:p>
            <w:pPr>
              <w:spacing w:after="0"/>
              <w:rPr>
                <w:sz w:val="4"/>
                <w:szCs w:val="4"/>
                <w:color w:val="auto"/>
              </w:rPr>
            </w:pPr>
          </w:p>
        </w:tc>
        <w:tc>
          <w:tcPr>
            <w:tcW w:w="3660" w:type="dxa"/>
            <w:vAlign w:val="bottom"/>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50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(Unaudited)</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36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Current assets:</w:t>
            </w:r>
          </w:p>
        </w:tc>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EEEEEE"/>
          </w:tcPr>
          <w:p>
            <w:pPr>
              <w:ind w:left="140"/>
              <w:spacing w:after="0"/>
              <w:rPr>
                <w:sz w:val="20"/>
                <w:szCs w:val="20"/>
                <w:color w:val="auto"/>
              </w:rPr>
            </w:pPr>
            <w:r>
              <w:rPr>
                <w:rFonts w:ascii="Arial" w:cs="Arial" w:eastAsia="Arial" w:hAnsi="Arial"/>
                <w:sz w:val="18"/>
                <w:szCs w:val="18"/>
                <w:color w:val="auto"/>
              </w:rPr>
              <w:t>Cash and cash equivalents</w:t>
            </w:r>
          </w:p>
        </w:tc>
        <w:tc>
          <w:tcPr>
            <w:tcW w:w="40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689</w:t>
            </w:r>
          </w:p>
        </w:tc>
        <w:tc>
          <w:tcPr>
            <w:tcW w:w="340" w:type="dxa"/>
            <w:vAlign w:val="bottom"/>
            <w:shd w:val="clear" w:color="auto" w:fill="EEEEEE"/>
          </w:tcPr>
          <w:p>
            <w:pPr>
              <w:spacing w:after="0"/>
              <w:rPr>
                <w:sz w:val="18"/>
                <w:szCs w:val="18"/>
                <w:color w:val="auto"/>
              </w:rPr>
            </w:pPr>
          </w:p>
        </w:tc>
        <w:tc>
          <w:tcPr>
            <w:tcW w:w="7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135</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40"/>
              <w:spacing w:after="0"/>
              <w:rPr>
                <w:sz w:val="20"/>
                <w:szCs w:val="20"/>
                <w:color w:val="auto"/>
              </w:rPr>
            </w:pPr>
            <w:r>
              <w:rPr>
                <w:rFonts w:ascii="Arial" w:cs="Arial" w:eastAsia="Arial" w:hAnsi="Arial"/>
                <w:sz w:val="18"/>
                <w:szCs w:val="18"/>
                <w:color w:val="auto"/>
              </w:rPr>
              <w:t>Receivables, net</w:t>
            </w:r>
          </w:p>
        </w:tc>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1,754</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1,811</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EEEEEE"/>
          </w:tcPr>
          <w:p>
            <w:pPr>
              <w:ind w:left="140"/>
              <w:spacing w:after="0"/>
              <w:rPr>
                <w:sz w:val="20"/>
                <w:szCs w:val="20"/>
                <w:color w:val="auto"/>
              </w:rPr>
            </w:pPr>
            <w:r>
              <w:rPr>
                <w:rFonts w:ascii="Arial" w:cs="Arial" w:eastAsia="Arial" w:hAnsi="Arial"/>
                <w:sz w:val="18"/>
                <w:szCs w:val="18"/>
                <w:color w:val="auto"/>
              </w:rPr>
              <w:t>Other</w:t>
            </w:r>
          </w:p>
        </w:tc>
        <w:tc>
          <w:tcPr>
            <w:tcW w:w="36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693</w:t>
            </w: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642</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040" w:type="dxa"/>
            <w:vAlign w:val="bottom"/>
          </w:tcPr>
          <w:p>
            <w:pPr>
              <w:ind w:left="280"/>
              <w:spacing w:after="0"/>
              <w:rPr>
                <w:sz w:val="20"/>
                <w:szCs w:val="20"/>
                <w:color w:val="auto"/>
              </w:rPr>
            </w:pPr>
            <w:r>
              <w:rPr>
                <w:rFonts w:ascii="Arial" w:cs="Arial" w:eastAsia="Arial" w:hAnsi="Arial"/>
                <w:sz w:val="18"/>
                <w:szCs w:val="18"/>
                <w:color w:val="auto"/>
              </w:rPr>
              <w:t>Total current assets</w:t>
            </w:r>
          </w:p>
        </w:tc>
        <w:tc>
          <w:tcPr>
            <w:tcW w:w="3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3,136</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2,588</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EEEEEE"/>
          </w:tcPr>
          <w:p>
            <w:pPr>
              <w:spacing w:after="0"/>
              <w:rPr>
                <w:sz w:val="20"/>
                <w:szCs w:val="20"/>
                <w:color w:val="auto"/>
              </w:rPr>
            </w:pPr>
            <w:r>
              <w:rPr>
                <w:rFonts w:ascii="Arial" w:cs="Arial" w:eastAsia="Arial" w:hAnsi="Arial"/>
                <w:sz w:val="18"/>
                <w:szCs w:val="18"/>
                <w:color w:val="auto"/>
              </w:rPr>
              <w:t>Property and equipment, net</w:t>
            </w:r>
          </w:p>
        </w:tc>
        <w:tc>
          <w:tcPr>
            <w:tcW w:w="36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11,287</w:t>
            </w: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11,411</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Goodwill</w:t>
            </w:r>
          </w:p>
        </w:tc>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5,299</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5,266</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EEEEEE"/>
          </w:tcPr>
          <w:p>
            <w:pPr>
              <w:spacing w:after="0"/>
              <w:rPr>
                <w:sz w:val="20"/>
                <w:szCs w:val="20"/>
                <w:color w:val="auto"/>
              </w:rPr>
            </w:pPr>
            <w:r>
              <w:rPr>
                <w:rFonts w:ascii="Arial" w:cs="Arial" w:eastAsia="Arial" w:hAnsi="Arial"/>
                <w:sz w:val="18"/>
                <w:szCs w:val="18"/>
                <w:color w:val="auto"/>
              </w:rPr>
              <w:t>Other intangible assets, net</w:t>
            </w:r>
          </w:p>
        </w:tc>
        <w:tc>
          <w:tcPr>
            <w:tcW w:w="36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160</w:t>
            </w: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156</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Other assets</w:t>
            </w:r>
          </w:p>
        </w:tc>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1,319</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1,235</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0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50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Total assets</w:t>
            </w:r>
          </w:p>
        </w:tc>
        <w:tc>
          <w:tcPr>
            <w:tcW w:w="40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21,201</w:t>
            </w:r>
          </w:p>
        </w:tc>
        <w:tc>
          <w:tcPr>
            <w:tcW w:w="340" w:type="dxa"/>
            <w:vAlign w:val="bottom"/>
            <w:shd w:val="clear" w:color="auto" w:fill="EEEEEE"/>
          </w:tcPr>
          <w:p>
            <w:pPr>
              <w:spacing w:after="0"/>
              <w:rPr>
                <w:sz w:val="22"/>
                <w:szCs w:val="22"/>
                <w:color w:val="auto"/>
              </w:rPr>
            </w:pPr>
          </w:p>
        </w:tc>
        <w:tc>
          <w:tcPr>
            <w:tcW w:w="7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20,656</w:t>
            </w:r>
          </w:p>
        </w:tc>
        <w:tc>
          <w:tcPr>
            <w:tcW w:w="360" w:type="dxa"/>
            <w:vAlign w:val="bottom"/>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5040" w:type="dxa"/>
            <w:vAlign w:val="bottom"/>
            <w:tcBorders>
              <w:top w:val="single" w:sz="8" w:color="EEEEEE"/>
            </w:tcBorders>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660" w:type="dxa"/>
            <w:vAlign w:val="bottom"/>
            <w:tcBorders>
              <w:top w:val="single" w:sz="8" w:color="EEEEEE"/>
            </w:tcBorders>
          </w:tcPr>
          <w:p>
            <w:pPr>
              <w:spacing w:after="0"/>
              <w:rPr>
                <w:sz w:val="20"/>
                <w:szCs w:val="20"/>
                <w:color w:val="auto"/>
              </w:rPr>
            </w:pPr>
          </w:p>
        </w:tc>
        <w:tc>
          <w:tcPr>
            <w:tcW w:w="360" w:type="dxa"/>
            <w:vAlign w:val="bottom"/>
            <w:tcBorders>
              <w:top w:val="single" w:sz="8" w:color="EEEEEE"/>
            </w:tcBorders>
          </w:tcPr>
          <w:p>
            <w:pPr>
              <w:spacing w:after="0"/>
              <w:rPr>
                <w:sz w:val="20"/>
                <w:szCs w:val="20"/>
                <w:color w:val="auto"/>
              </w:rPr>
            </w:pPr>
          </w:p>
        </w:tc>
        <w:tc>
          <w:tcPr>
            <w:tcW w:w="480" w:type="dxa"/>
            <w:vAlign w:val="bottom"/>
            <w:tcBorders>
              <w:top w:val="single" w:sz="8" w:color="808080"/>
            </w:tcBorders>
          </w:tcPr>
          <w:p>
            <w:pPr>
              <w:spacing w:after="0"/>
              <w:rPr>
                <w:sz w:val="20"/>
                <w:szCs w:val="20"/>
                <w:color w:val="auto"/>
              </w:rPr>
            </w:pPr>
          </w:p>
        </w:tc>
        <w:tc>
          <w:tcPr>
            <w:tcW w:w="340" w:type="dxa"/>
            <w:vAlign w:val="bottom"/>
            <w:tcBorders>
              <w:top w:val="single" w:sz="8" w:color="EEEEEE"/>
            </w:tcBorders>
          </w:tcPr>
          <w:p>
            <w:pPr>
              <w:spacing w:after="0"/>
              <w:rPr>
                <w:sz w:val="20"/>
                <w:szCs w:val="20"/>
                <w:color w:val="auto"/>
              </w:rPr>
            </w:pPr>
          </w:p>
        </w:tc>
        <w:tc>
          <w:tcPr>
            <w:tcW w:w="320" w:type="dxa"/>
            <w:vAlign w:val="bottom"/>
            <w:tcBorders>
              <w:top w:val="single" w:sz="8" w:color="EEEEEE"/>
            </w:tcBorders>
          </w:tcPr>
          <w:p>
            <w:pPr>
              <w:spacing w:after="0"/>
              <w:rPr>
                <w:sz w:val="20"/>
                <w:szCs w:val="20"/>
                <w:color w:val="auto"/>
              </w:rPr>
            </w:pPr>
          </w:p>
        </w:tc>
        <w:tc>
          <w:tcPr>
            <w:tcW w:w="380" w:type="dxa"/>
            <w:vAlign w:val="bottom"/>
            <w:tcBorders>
              <w:top w:val="single" w:sz="8" w:color="EEEEEE"/>
            </w:tcBorders>
          </w:tcPr>
          <w:p>
            <w:pPr>
              <w:spacing w:after="0"/>
              <w:rPr>
                <w:sz w:val="20"/>
                <w:szCs w:val="20"/>
                <w:color w:val="auto"/>
              </w:rPr>
            </w:pPr>
          </w:p>
        </w:tc>
        <w:tc>
          <w:tcPr>
            <w:tcW w:w="480" w:type="dxa"/>
            <w:vAlign w:val="bottom"/>
            <w:tcBorders>
              <w:top w:val="single" w:sz="8" w:color="808080"/>
            </w:tcBorders>
          </w:tcPr>
          <w:p>
            <w:pPr>
              <w:spacing w:after="0"/>
              <w:rPr>
                <w:sz w:val="20"/>
                <w:szCs w:val="20"/>
                <w:color w:val="auto"/>
              </w:rPr>
            </w:pPr>
          </w:p>
        </w:tc>
        <w:tc>
          <w:tcPr>
            <w:tcW w:w="360" w:type="dxa"/>
            <w:vAlign w:val="bottom"/>
            <w:tcBorders>
              <w:top w:val="single" w:sz="8" w:color="EEEEEE"/>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EEEEEE"/>
          </w:tcPr>
          <w:p>
            <w:pPr>
              <w:spacing w:after="0"/>
              <w:rPr>
                <w:sz w:val="20"/>
                <w:szCs w:val="20"/>
                <w:color w:val="auto"/>
              </w:rPr>
            </w:pPr>
            <w:r>
              <w:rPr>
                <w:rFonts w:ascii="Arial" w:cs="Arial" w:eastAsia="Arial" w:hAnsi="Arial"/>
                <w:sz w:val="18"/>
                <w:szCs w:val="18"/>
                <w:color w:val="auto"/>
              </w:rPr>
              <w:t>Current liabilities:</w:t>
            </w:r>
          </w:p>
        </w:tc>
        <w:tc>
          <w:tcPr>
            <w:tcW w:w="36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40"/>
              <w:spacing w:after="0"/>
              <w:rPr>
                <w:sz w:val="20"/>
                <w:szCs w:val="20"/>
                <w:color w:val="auto"/>
              </w:rPr>
            </w:pPr>
            <w:r>
              <w:rPr>
                <w:rFonts w:ascii="Arial" w:cs="Arial" w:eastAsia="Arial" w:hAnsi="Arial"/>
                <w:sz w:val="18"/>
                <w:szCs w:val="18"/>
                <w:color w:val="auto"/>
              </w:rPr>
              <w:t>Accounts payable, accrued liabilities, and deferred revenues</w:t>
            </w: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2,728</w:t>
            </w:r>
          </w:p>
        </w:tc>
        <w:tc>
          <w:tcPr>
            <w:tcW w:w="3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2,818</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EEEEEE"/>
          </w:tcPr>
          <w:p>
            <w:pPr>
              <w:ind w:left="140"/>
              <w:spacing w:after="0"/>
              <w:rPr>
                <w:sz w:val="20"/>
                <w:szCs w:val="20"/>
                <w:color w:val="auto"/>
              </w:rPr>
            </w:pPr>
            <w:r>
              <w:rPr>
                <w:rFonts w:ascii="Arial" w:cs="Arial" w:eastAsia="Arial" w:hAnsi="Arial"/>
                <w:sz w:val="18"/>
                <w:szCs w:val="18"/>
                <w:color w:val="auto"/>
              </w:rPr>
              <w:t>Current portion of long-term debt</w:t>
            </w:r>
          </w:p>
        </w:tc>
        <w:tc>
          <w:tcPr>
            <w:tcW w:w="36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575</w:t>
            </w: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514</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040" w:type="dxa"/>
            <w:vAlign w:val="bottom"/>
          </w:tcPr>
          <w:p>
            <w:pPr>
              <w:ind w:left="280"/>
              <w:spacing w:after="0"/>
              <w:rPr>
                <w:sz w:val="20"/>
                <w:szCs w:val="20"/>
                <w:color w:val="auto"/>
              </w:rPr>
            </w:pPr>
            <w:r>
              <w:rPr>
                <w:rFonts w:ascii="Arial" w:cs="Arial" w:eastAsia="Arial" w:hAnsi="Arial"/>
                <w:sz w:val="18"/>
                <w:szCs w:val="18"/>
                <w:color w:val="auto"/>
              </w:rPr>
              <w:t>Total current liabilities</w:t>
            </w:r>
          </w:p>
        </w:tc>
        <w:tc>
          <w:tcPr>
            <w:tcW w:w="3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3,303</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3,332</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EEEEEE"/>
          </w:tcPr>
          <w:p>
            <w:pPr>
              <w:spacing w:after="0"/>
              <w:rPr>
                <w:sz w:val="20"/>
                <w:szCs w:val="20"/>
                <w:color w:val="auto"/>
              </w:rPr>
            </w:pPr>
            <w:r>
              <w:rPr>
                <w:rFonts w:ascii="Arial" w:cs="Arial" w:eastAsia="Arial" w:hAnsi="Arial"/>
                <w:sz w:val="18"/>
                <w:szCs w:val="18"/>
                <w:color w:val="auto"/>
              </w:rPr>
              <w:t>Long-term debt, less current portion</w:t>
            </w:r>
          </w:p>
        </w:tc>
        <w:tc>
          <w:tcPr>
            <w:tcW w:w="36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8,445</w:t>
            </w: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7,997</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Other liabilities</w:t>
            </w:r>
          </w:p>
        </w:tc>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3,513</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3,514</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0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Total liabilities</w:t>
            </w:r>
          </w:p>
        </w:tc>
        <w:tc>
          <w:tcPr>
            <w:tcW w:w="36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15,261</w:t>
            </w: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14,843</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Minority interest in subsidiaries and variable interest entities</w:t>
            </w:r>
          </w:p>
        </w:tc>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265</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250</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EEEEEE"/>
          </w:tcPr>
          <w:p>
            <w:pPr>
              <w:spacing w:after="0"/>
              <w:rPr>
                <w:sz w:val="20"/>
                <w:szCs w:val="20"/>
                <w:color w:val="auto"/>
              </w:rPr>
            </w:pPr>
            <w:r>
              <w:rPr>
                <w:rFonts w:ascii="Arial" w:cs="Arial" w:eastAsia="Arial" w:hAnsi="Arial"/>
                <w:sz w:val="18"/>
                <w:szCs w:val="18"/>
                <w:color w:val="auto"/>
              </w:rPr>
              <w:t>Stockholders’ equity</w:t>
            </w:r>
          </w:p>
        </w:tc>
        <w:tc>
          <w:tcPr>
            <w:tcW w:w="366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5,675</w:t>
            </w: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5,563</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040" w:type="dxa"/>
            <w:vAlign w:val="bottom"/>
          </w:tcPr>
          <w:p>
            <w:pPr>
              <w:ind w:left="280"/>
              <w:spacing w:after="0"/>
              <w:rPr>
                <w:sz w:val="20"/>
                <w:szCs w:val="20"/>
                <w:color w:val="auto"/>
              </w:rPr>
            </w:pPr>
            <w:r>
              <w:rPr>
                <w:rFonts w:ascii="Arial" w:cs="Arial" w:eastAsia="Arial" w:hAnsi="Arial"/>
                <w:sz w:val="18"/>
                <w:szCs w:val="18"/>
                <w:color w:val="auto"/>
              </w:rPr>
              <w:t>Total liabilities and stockholders’ equity</w:t>
            </w: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21,201</w:t>
            </w:r>
          </w:p>
        </w:tc>
        <w:tc>
          <w:tcPr>
            <w:tcW w:w="3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20,656</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5040" w:type="dxa"/>
            <w:vAlign w:val="bottom"/>
          </w:tcPr>
          <w:p>
            <w:pPr>
              <w:spacing w:after="0"/>
              <w:rPr>
                <w:sz w:val="5"/>
                <w:szCs w:val="5"/>
                <w:color w:val="auto"/>
              </w:rPr>
            </w:pPr>
          </w:p>
        </w:tc>
        <w:tc>
          <w:tcPr>
            <w:tcW w:w="3660" w:type="dxa"/>
            <w:vAlign w:val="bottom"/>
            <w:vMerge w:val="restart"/>
          </w:tcPr>
          <w:p>
            <w:pPr>
              <w:jc w:val="right"/>
              <w:ind w:right="2790"/>
              <w:spacing w:after="0"/>
              <w:rPr>
                <w:sz w:val="20"/>
                <w:szCs w:val="20"/>
                <w:color w:val="auto"/>
              </w:rPr>
            </w:pPr>
            <w:r>
              <w:rPr>
                <w:rFonts w:ascii="Arial" w:cs="Arial" w:eastAsia="Arial" w:hAnsi="Arial"/>
                <w:sz w:val="18"/>
                <w:szCs w:val="18"/>
                <w:b w:val="1"/>
                <w:bCs w:val="1"/>
                <w:color w:val="auto"/>
              </w:rPr>
              <w:t>(3)</w:t>
            </w:r>
          </w:p>
        </w:tc>
        <w:tc>
          <w:tcPr>
            <w:tcW w:w="36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5"/>
        </w:trPr>
        <w:tc>
          <w:tcPr>
            <w:tcW w:w="504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040" w:type="dxa"/>
            <w:vAlign w:val="bottom"/>
            <w:tcBorders>
              <w:bottom w:val="single" w:sz="8" w:color="808080"/>
            </w:tcBorders>
          </w:tcPr>
          <w:p>
            <w:pPr>
              <w:spacing w:after="0"/>
              <w:rPr>
                <w:sz w:val="19"/>
                <w:szCs w:val="19"/>
                <w:color w:val="auto"/>
              </w:rPr>
            </w:pPr>
          </w:p>
        </w:tc>
        <w:tc>
          <w:tcPr>
            <w:tcW w:w="36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9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9"/>
              </w:rPr>
              <w:t>Quarters Ended March 31,</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9360" w:type="dxa"/>
            <w:vAlign w:val="bottom"/>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360" w:type="dxa"/>
            <w:vAlign w:val="bottom"/>
          </w:tcPr>
          <w:p>
            <w:pPr>
              <w:spacing w:after="0"/>
              <w:rPr>
                <w:sz w:val="20"/>
                <w:szCs w:val="20"/>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2004</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9360" w:type="dxa"/>
            <w:vAlign w:val="bottom"/>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9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$ 152</w:t>
            </w: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260"/>
              <w:spacing w:after="0"/>
              <w:rPr>
                <w:sz w:val="20"/>
                <w:szCs w:val="20"/>
                <w:color w:val="auto"/>
              </w:rPr>
            </w:pPr>
            <w:r>
              <w:rPr>
                <w:rFonts w:ascii="Arial" w:cs="Arial" w:eastAsia="Arial" w:hAnsi="Arial"/>
                <w:sz w:val="18"/>
                <w:szCs w:val="18"/>
                <w:color w:val="auto"/>
              </w:rPr>
              <w:t>Cumulative effect of changes in accounting principles</w:t>
            </w: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rPr>
              <w:t>(8)</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Depreciation and amortization</w:t>
            </w: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325</w:t>
            </w:r>
          </w:p>
        </w:tc>
        <w:tc>
          <w:tcPr>
            <w:tcW w:w="2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302</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260"/>
              <w:spacing w:after="0"/>
              <w:rPr>
                <w:sz w:val="20"/>
                <w:szCs w:val="20"/>
                <w:color w:val="auto"/>
              </w:rPr>
            </w:pPr>
            <w:r>
              <w:rPr>
                <w:rFonts w:ascii="Arial" w:cs="Arial" w:eastAsia="Arial" w:hAnsi="Arial"/>
                <w:sz w:val="18"/>
                <w:szCs w:val="18"/>
                <w:color w:val="auto"/>
              </w:rPr>
              <w:t>Other</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Change in operating assets and liabilities, net of effects of acquisitions and divestitures</w:t>
            </w:r>
          </w:p>
        </w:tc>
        <w:tc>
          <w:tcPr>
            <w:tcW w:w="12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(58)</w:t>
            </w:r>
          </w:p>
        </w:tc>
        <w:tc>
          <w:tcPr>
            <w:tcW w:w="6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7"/>
        </w:trPr>
        <w:tc>
          <w:tcPr>
            <w:tcW w:w="938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Pr>
          <w:p>
            <w:pPr>
              <w:spacing w:after="0"/>
              <w:rPr>
                <w:sz w:val="20"/>
                <w:szCs w:val="20"/>
                <w:color w:val="auto"/>
              </w:rPr>
            </w:pPr>
          </w:p>
        </w:tc>
        <w:tc>
          <w:tcPr>
            <w:tcW w:w="34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470</w:t>
            </w: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429</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120"/>
              <w:spacing w:after="0"/>
              <w:rPr>
                <w:sz w:val="20"/>
                <w:szCs w:val="20"/>
                <w:color w:val="auto"/>
              </w:rPr>
            </w:pPr>
            <w:r>
              <w:rPr>
                <w:rFonts w:ascii="Arial" w:cs="Arial" w:eastAsia="Arial" w:hAnsi="Arial"/>
                <w:sz w:val="18"/>
                <w:szCs w:val="18"/>
                <w:color w:val="auto"/>
              </w:rPr>
              <w:t>Acquisitions of businesses, net of cash acquired</w:t>
            </w: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rPr>
              <w:t>(73)</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Capital expenditures</w:t>
            </w:r>
          </w:p>
        </w:tc>
        <w:tc>
          <w:tcPr>
            <w:tcW w:w="700" w:type="dxa"/>
            <w:vAlign w:val="bottom"/>
            <w:gridSpan w:val="3"/>
            <w:shd w:val="clear" w:color="auto" w:fill="EEEEEE"/>
          </w:tcPr>
          <w:p>
            <w:pPr>
              <w:jc w:val="right"/>
              <w:ind w:right="180"/>
              <w:spacing w:after="0"/>
              <w:rPr>
                <w:sz w:val="20"/>
                <w:szCs w:val="20"/>
                <w:color w:val="auto"/>
              </w:rPr>
            </w:pPr>
            <w:r>
              <w:rPr>
                <w:rFonts w:ascii="Arial" w:cs="Arial" w:eastAsia="Arial" w:hAnsi="Arial"/>
                <w:sz w:val="18"/>
                <w:szCs w:val="18"/>
                <w:color w:val="auto"/>
              </w:rPr>
              <w:t>(181)</w:t>
            </w:r>
          </w:p>
        </w:tc>
        <w:tc>
          <w:tcPr>
            <w:tcW w:w="6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90"/>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120"/>
              <w:spacing w:after="0"/>
              <w:rPr>
                <w:sz w:val="20"/>
                <w:szCs w:val="20"/>
                <w:color w:val="auto"/>
              </w:rPr>
            </w:pPr>
            <w:r>
              <w:rPr>
                <w:rFonts w:ascii="Arial" w:cs="Arial" w:eastAsia="Arial" w:hAnsi="Arial"/>
                <w:sz w:val="18"/>
                <w:szCs w:val="18"/>
                <w:color w:val="auto"/>
              </w:rPr>
              <w:t>Net proceeds from restricted funds, business divestitures, asset sales and other</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80808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80808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shd w:val="clear" w:color="auto" w:fill="EEEEEE"/>
          </w:tcPr>
          <w:p>
            <w:pPr>
              <w:spacing w:after="0"/>
              <w:rPr>
                <w:sz w:val="20"/>
                <w:szCs w:val="20"/>
                <w:color w:val="auto"/>
              </w:rPr>
            </w:pPr>
            <w:r>
              <w:rPr>
                <w:rFonts w:ascii="Arial" w:cs="Arial" w:eastAsia="Arial" w:hAnsi="Arial"/>
                <w:sz w:val="18"/>
                <w:szCs w:val="18"/>
                <w:color w:val="auto"/>
              </w:rPr>
              <w:t>Net cash used in investing activities</w:t>
            </w:r>
          </w:p>
        </w:tc>
        <w:tc>
          <w:tcPr>
            <w:tcW w:w="700" w:type="dxa"/>
            <w:vAlign w:val="bottom"/>
            <w:gridSpan w:val="3"/>
            <w:shd w:val="clear" w:color="auto" w:fill="EEEEEE"/>
          </w:tcPr>
          <w:p>
            <w:pPr>
              <w:jc w:val="right"/>
              <w:ind w:right="180"/>
              <w:spacing w:after="0"/>
              <w:rPr>
                <w:sz w:val="20"/>
                <w:szCs w:val="20"/>
                <w:color w:val="auto"/>
              </w:rPr>
            </w:pPr>
            <w:r>
              <w:rPr>
                <w:rFonts w:ascii="Arial" w:cs="Arial" w:eastAsia="Arial" w:hAnsi="Arial"/>
                <w:sz w:val="18"/>
                <w:szCs w:val="18"/>
                <w:color w:val="auto"/>
              </w:rPr>
              <w:t>(154)</w:t>
            </w:r>
          </w:p>
        </w:tc>
        <w:tc>
          <w:tcPr>
            <w:tcW w:w="6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90"/>
              </w:rPr>
              <w:t>(227)</w:t>
            </w:r>
          </w:p>
        </w:tc>
        <w:tc>
          <w:tcPr>
            <w:tcW w:w="0" w:type="dxa"/>
            <w:vAlign w:val="bottom"/>
          </w:tcPr>
          <w:p>
            <w:pPr>
              <w:spacing w:after="0"/>
              <w:rPr>
                <w:sz w:val="1"/>
                <w:szCs w:val="1"/>
                <w:color w:val="auto"/>
              </w:rPr>
            </w:pPr>
          </w:p>
        </w:tc>
      </w:tr>
      <w:tr>
        <w:trPr>
          <w:trHeight w:val="237"/>
        </w:trPr>
        <w:tc>
          <w:tcPr>
            <w:tcW w:w="93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tcPr>
          <w:p>
            <w:pPr>
              <w:spacing w:after="0"/>
              <w:rPr>
                <w:sz w:val="20"/>
                <w:szCs w:val="20"/>
                <w:color w:val="auto"/>
              </w:rPr>
            </w:pPr>
          </w:p>
        </w:tc>
        <w:tc>
          <w:tcPr>
            <w:tcW w:w="340" w:type="dxa"/>
            <w:vAlign w:val="bottom"/>
            <w:tcBorders>
              <w:top w:val="single" w:sz="8" w:color="808080"/>
            </w:tcBorders>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808080"/>
            </w:tcBorders>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New borrowings</w:t>
            </w: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347</w:t>
            </w:r>
          </w:p>
        </w:tc>
        <w:tc>
          <w:tcPr>
            <w:tcW w:w="2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120"/>
              <w:spacing w:after="0"/>
              <w:rPr>
                <w:sz w:val="20"/>
                <w:szCs w:val="20"/>
                <w:color w:val="auto"/>
              </w:rPr>
            </w:pPr>
            <w:r>
              <w:rPr>
                <w:rFonts w:ascii="Arial" w:cs="Arial" w:eastAsia="Arial" w:hAnsi="Arial"/>
                <w:sz w:val="18"/>
                <w:szCs w:val="18"/>
                <w:color w:val="auto"/>
              </w:rPr>
              <w:t>Debt repayments</w:t>
            </w: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rPr>
              <w:t>(9)</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Common stock repurchases</w:t>
            </w:r>
          </w:p>
        </w:tc>
        <w:tc>
          <w:tcPr>
            <w:tcW w:w="700" w:type="dxa"/>
            <w:vAlign w:val="bottom"/>
            <w:gridSpan w:val="3"/>
            <w:shd w:val="clear" w:color="auto" w:fill="EEEEEE"/>
          </w:tcPr>
          <w:p>
            <w:pPr>
              <w:jc w:val="right"/>
              <w:ind w:right="180"/>
              <w:spacing w:after="0"/>
              <w:rPr>
                <w:sz w:val="20"/>
                <w:szCs w:val="20"/>
                <w:color w:val="auto"/>
              </w:rPr>
            </w:pPr>
            <w:r>
              <w:rPr>
                <w:rFonts w:ascii="Arial" w:cs="Arial" w:eastAsia="Arial" w:hAnsi="Arial"/>
                <w:sz w:val="18"/>
                <w:szCs w:val="18"/>
                <w:color w:val="auto"/>
              </w:rPr>
              <w:t>(24)</w:t>
            </w:r>
          </w:p>
        </w:tc>
        <w:tc>
          <w:tcPr>
            <w:tcW w:w="6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120"/>
              <w:spacing w:after="0"/>
              <w:rPr>
                <w:sz w:val="20"/>
                <w:szCs w:val="20"/>
                <w:color w:val="auto"/>
              </w:rPr>
            </w:pPr>
            <w:r>
              <w:rPr>
                <w:rFonts w:ascii="Arial" w:cs="Arial" w:eastAsia="Arial" w:hAnsi="Arial"/>
                <w:sz w:val="18"/>
                <w:szCs w:val="18"/>
                <w:color w:val="auto"/>
              </w:rPr>
              <w:t>Cash dividends</w:t>
            </w: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rPr>
              <w:t>(109)</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Exercise of common stock options and warrants</w:t>
            </w: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48</w:t>
            </w:r>
          </w:p>
        </w:tc>
        <w:tc>
          <w:tcPr>
            <w:tcW w:w="2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120"/>
              <w:spacing w:after="0"/>
              <w:rPr>
                <w:sz w:val="20"/>
                <w:szCs w:val="20"/>
                <w:color w:val="auto"/>
              </w:rPr>
            </w:pPr>
            <w:r>
              <w:rPr>
                <w:rFonts w:ascii="Arial" w:cs="Arial" w:eastAsia="Arial" w:hAnsi="Arial"/>
                <w:sz w:val="18"/>
                <w:szCs w:val="18"/>
                <w:color w:val="auto"/>
              </w:rPr>
              <w:t>Other</w:t>
            </w: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rPr>
              <w:t>(15)</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80808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80808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shd w:val="clear" w:color="auto" w:fill="EEEEEE"/>
          </w:tcPr>
          <w:p>
            <w:pPr>
              <w:spacing w:after="0"/>
              <w:rPr>
                <w:sz w:val="20"/>
                <w:szCs w:val="20"/>
                <w:color w:val="auto"/>
              </w:rPr>
            </w:pPr>
            <w:r>
              <w:rPr>
                <w:rFonts w:ascii="Arial" w:cs="Arial" w:eastAsia="Arial" w:hAnsi="Arial"/>
                <w:sz w:val="18"/>
                <w:szCs w:val="18"/>
                <w:color w:val="auto"/>
              </w:rPr>
              <w:t>Net cash provided by (used in) financing activities</w:t>
            </w:r>
          </w:p>
        </w:tc>
        <w:tc>
          <w:tcPr>
            <w:tcW w:w="120" w:type="dxa"/>
            <w:vAlign w:val="bottom"/>
            <w:shd w:val="clear" w:color="auto" w:fill="EEEEEE"/>
          </w:tcPr>
          <w:p>
            <w:pPr>
              <w:spacing w:after="0"/>
              <w:rPr>
                <w:sz w:val="18"/>
                <w:szCs w:val="18"/>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238</w:t>
            </w:r>
          </w:p>
        </w:tc>
        <w:tc>
          <w:tcPr>
            <w:tcW w:w="2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7"/>
        </w:trPr>
        <w:tc>
          <w:tcPr>
            <w:tcW w:w="938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20" w:type="dxa"/>
            <w:vAlign w:val="bottom"/>
          </w:tcPr>
          <w:p>
            <w:pPr>
              <w:spacing w:after="0"/>
              <w:rPr>
                <w:sz w:val="20"/>
                <w:szCs w:val="20"/>
                <w:color w:val="auto"/>
              </w:rPr>
            </w:pPr>
          </w:p>
        </w:tc>
        <w:tc>
          <w:tcPr>
            <w:tcW w:w="34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shd w:val="clear" w:color="auto" w:fill="EEEEEE"/>
          </w:tcPr>
          <w:p>
            <w:pPr>
              <w:spacing w:after="0"/>
              <w:rPr>
                <w:sz w:val="20"/>
                <w:szCs w:val="20"/>
                <w:color w:val="auto"/>
              </w:rPr>
            </w:pPr>
            <w:r>
              <w:rPr>
                <w:rFonts w:ascii="Arial" w:cs="Arial" w:eastAsia="Arial" w:hAnsi="Arial"/>
                <w:sz w:val="18"/>
                <w:szCs w:val="18"/>
                <w:color w:val="auto"/>
              </w:rPr>
              <w:t>Increase in cash and cash equivalents</w:t>
            </w: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554</w:t>
            </w:r>
          </w:p>
        </w:tc>
        <w:tc>
          <w:tcPr>
            <w:tcW w:w="2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117</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264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80808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80808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vMerge w:val="continue"/>
          </w:tcPr>
          <w:p>
            <w:pPr>
              <w:spacing w:after="0"/>
              <w:rPr>
                <w:sz w:val="22"/>
                <w:szCs w:val="22"/>
                <w:color w:val="auto"/>
              </w:rPr>
            </w:pPr>
          </w:p>
        </w:tc>
        <w:tc>
          <w:tcPr>
            <w:tcW w:w="936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end of period</w:t>
            </w: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97"/>
              </w:rPr>
              <w:t>$ 689</w:t>
            </w:r>
          </w:p>
        </w:tc>
        <w:tc>
          <w:tcPr>
            <w:tcW w:w="240" w:type="dxa"/>
            <w:vAlign w:val="bottom"/>
            <w:shd w:val="clear" w:color="auto" w:fill="EEEEEE"/>
          </w:tcPr>
          <w:p>
            <w:pPr>
              <w:spacing w:after="0"/>
              <w:rPr>
                <w:sz w:val="22"/>
                <w:szCs w:val="22"/>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381</w:t>
            </w:r>
          </w:p>
        </w:tc>
        <w:tc>
          <w:tcPr>
            <w:tcW w:w="240" w:type="dxa"/>
            <w:vAlign w:val="bottom"/>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9360" w:type="dxa"/>
            <w:vAlign w:val="bottom"/>
            <w:tcBorders>
              <w:top w:val="single" w:sz="8" w:color="EEEEEE"/>
            </w:tcBorders>
          </w:tcPr>
          <w:p>
            <w:pPr>
              <w:ind w:left="5580"/>
              <w:spacing w:after="0"/>
              <w:rPr>
                <w:sz w:val="20"/>
                <w:szCs w:val="20"/>
                <w:color w:val="auto"/>
              </w:rPr>
            </w:pPr>
            <w:r>
              <w:rPr>
                <w:rFonts w:ascii="Arial" w:cs="Arial" w:eastAsia="Arial" w:hAnsi="Arial"/>
                <w:sz w:val="18"/>
                <w:szCs w:val="18"/>
                <w:b w:val="1"/>
                <w:bCs w:val="1"/>
                <w:color w:val="auto"/>
              </w:rPr>
              <w:t>(4)</w:t>
            </w:r>
          </w:p>
        </w:tc>
        <w:tc>
          <w:tcPr>
            <w:tcW w:w="120" w:type="dxa"/>
            <w:vAlign w:val="bottom"/>
            <w:tcBorders>
              <w:top w:val="single" w:sz="8" w:color="EEEEEE"/>
            </w:tcBorders>
          </w:tcPr>
          <w:p>
            <w:pPr>
              <w:spacing w:after="0"/>
              <w:rPr>
                <w:sz w:val="24"/>
                <w:szCs w:val="24"/>
                <w:color w:val="auto"/>
              </w:rPr>
            </w:pPr>
          </w:p>
        </w:tc>
        <w:tc>
          <w:tcPr>
            <w:tcW w:w="340" w:type="dxa"/>
            <w:vAlign w:val="bottom"/>
            <w:tcBorders>
              <w:top w:val="single" w:sz="8" w:color="808080"/>
            </w:tcBorders>
          </w:tcPr>
          <w:p>
            <w:pPr>
              <w:spacing w:after="0"/>
              <w:rPr>
                <w:sz w:val="24"/>
                <w:szCs w:val="24"/>
                <w:color w:val="auto"/>
              </w:rPr>
            </w:pPr>
          </w:p>
        </w:tc>
        <w:tc>
          <w:tcPr>
            <w:tcW w:w="240" w:type="dxa"/>
            <w:vAlign w:val="bottom"/>
            <w:tcBorders>
              <w:top w:val="single" w:sz="8" w:color="EEEEEE"/>
            </w:tcBorders>
          </w:tcPr>
          <w:p>
            <w:pPr>
              <w:spacing w:after="0"/>
              <w:rPr>
                <w:sz w:val="24"/>
                <w:szCs w:val="24"/>
                <w:color w:val="auto"/>
              </w:rPr>
            </w:pPr>
          </w:p>
        </w:tc>
        <w:tc>
          <w:tcPr>
            <w:tcW w:w="640" w:type="dxa"/>
            <w:vAlign w:val="bottom"/>
            <w:tcBorders>
              <w:top w:val="single" w:sz="8" w:color="EEEEEE"/>
            </w:tcBorders>
          </w:tcPr>
          <w:p>
            <w:pPr>
              <w:spacing w:after="0"/>
              <w:rPr>
                <w:sz w:val="24"/>
                <w:szCs w:val="24"/>
                <w:color w:val="auto"/>
              </w:rPr>
            </w:pPr>
          </w:p>
        </w:tc>
        <w:tc>
          <w:tcPr>
            <w:tcW w:w="120" w:type="dxa"/>
            <w:vAlign w:val="bottom"/>
            <w:tcBorders>
              <w:top w:val="single" w:sz="8" w:color="EEEEEE"/>
            </w:tcBorders>
          </w:tcPr>
          <w:p>
            <w:pPr>
              <w:spacing w:after="0"/>
              <w:rPr>
                <w:sz w:val="24"/>
                <w:szCs w:val="24"/>
                <w:color w:val="auto"/>
              </w:rPr>
            </w:pPr>
          </w:p>
        </w:tc>
        <w:tc>
          <w:tcPr>
            <w:tcW w:w="340" w:type="dxa"/>
            <w:vAlign w:val="bottom"/>
            <w:tcBorders>
              <w:top w:val="single" w:sz="8" w:color="808080"/>
            </w:tcBorders>
          </w:tcPr>
          <w:p>
            <w:pPr>
              <w:spacing w:after="0"/>
              <w:rPr>
                <w:sz w:val="24"/>
                <w:szCs w:val="24"/>
                <w:color w:val="auto"/>
              </w:rPr>
            </w:pPr>
          </w:p>
        </w:tc>
        <w:tc>
          <w:tcPr>
            <w:tcW w:w="240" w:type="dxa"/>
            <w:vAlign w:val="bottom"/>
            <w:tcBorders>
              <w:top w:val="single" w:sz="8" w:color="EEEEEE"/>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93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6"/>
          </w:tcPr>
          <w:p>
            <w:pPr>
              <w:jc w:val="center"/>
              <w:spacing w:after="0"/>
              <w:rPr>
                <w:sz w:val="20"/>
                <w:szCs w:val="20"/>
                <w:color w:val="auto"/>
              </w:rPr>
            </w:pPr>
            <w:r>
              <w:rPr>
                <w:rFonts w:ascii="Arial" w:cs="Arial" w:eastAsia="Arial" w:hAnsi="Arial"/>
                <w:sz w:val="14"/>
                <w:szCs w:val="14"/>
                <w:b w:val="1"/>
                <w:bCs w:val="1"/>
                <w:color w:val="auto"/>
                <w:w w:val="95"/>
              </w:rPr>
              <w:t>Quarters Ended</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gridSpan w:val="2"/>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60" w:type="dxa"/>
            <w:vAlign w:val="bottom"/>
          </w:tcPr>
          <w:p>
            <w:pPr>
              <w:spacing w:after="0"/>
              <w:rPr>
                <w:sz w:val="17"/>
                <w:szCs w:val="17"/>
                <w:color w:val="auto"/>
              </w:rPr>
            </w:pPr>
          </w:p>
        </w:tc>
        <w:tc>
          <w:tcPr>
            <w:tcW w:w="820" w:type="dxa"/>
            <w:vAlign w:val="bottom"/>
            <w:gridSpan w:val="3"/>
          </w:tcPr>
          <w:p>
            <w:pPr>
              <w:ind w:left="8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4"/>
          </w:tcPr>
          <w:p>
            <w:pPr>
              <w:ind w:left="1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6"/>
                <w:szCs w:val="16"/>
                <w:color w:val="auto"/>
              </w:rPr>
            </w:pPr>
          </w:p>
        </w:tc>
        <w:tc>
          <w:tcPr>
            <w:tcW w:w="1060" w:type="dxa"/>
            <w:vAlign w:val="bottom"/>
            <w:gridSpan w:val="7"/>
          </w:tcPr>
          <w:p>
            <w:pPr>
              <w:jc w:val="center"/>
              <w:ind w:left="533"/>
              <w:spacing w:after="0"/>
              <w:rPr>
                <w:sz w:val="20"/>
                <w:szCs w:val="20"/>
                <w:color w:val="auto"/>
              </w:rPr>
            </w:pPr>
            <w:r>
              <w:rPr>
                <w:rFonts w:ascii="Arial" w:cs="Arial" w:eastAsia="Arial" w:hAnsi="Arial"/>
                <w:sz w:val="14"/>
                <w:szCs w:val="14"/>
                <w:b w:val="1"/>
                <w:bCs w:val="1"/>
                <w:color w:val="auto"/>
                <w:w w:val="89"/>
              </w:rPr>
              <w:t>2003</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Operating Revenues by Lines of Business (a)</w:t>
            </w:r>
          </w:p>
        </w:tc>
        <w:tc>
          <w:tcPr>
            <w:tcW w:w="2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20"/>
              <w:spacing w:after="0"/>
              <w:rPr>
                <w:sz w:val="20"/>
                <w:szCs w:val="20"/>
                <w:color w:val="auto"/>
              </w:rPr>
            </w:pPr>
            <w:r>
              <w:rPr>
                <w:rFonts w:ascii="Arial" w:cs="Arial" w:eastAsia="Arial" w:hAnsi="Arial"/>
                <w:sz w:val="18"/>
                <w:szCs w:val="18"/>
                <w:color w:val="auto"/>
              </w:rPr>
              <w:t>NASW:</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Collection</w:t>
            </w:r>
          </w:p>
        </w:tc>
        <w:tc>
          <w:tcPr>
            <w:tcW w:w="200" w:type="dxa"/>
            <w:vAlign w:val="bottom"/>
            <w:tcBorders>
              <w:right w:val="single" w:sz="8" w:color="EEEEEE"/>
            </w:tcBorders>
            <w:shd w:val="clear" w:color="auto" w:fill="EEEEEE"/>
          </w:tcPr>
          <w:p>
            <w:pPr>
              <w:ind w:left="10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1,964</w:t>
            </w:r>
          </w:p>
        </w:tc>
        <w:tc>
          <w:tcPr>
            <w:tcW w:w="220" w:type="dxa"/>
            <w:vAlign w:val="bottom"/>
            <w:shd w:val="clear" w:color="auto" w:fill="EEEEEE"/>
          </w:tcPr>
          <w:p>
            <w:pPr>
              <w:spacing w:after="0"/>
              <w:rPr>
                <w:sz w:val="18"/>
                <w:szCs w:val="18"/>
                <w:color w:val="auto"/>
              </w:rPr>
            </w:pPr>
          </w:p>
        </w:tc>
        <w:tc>
          <w:tcPr>
            <w:tcW w:w="1060" w:type="dxa"/>
            <w:vAlign w:val="bottom"/>
            <w:tcBorders>
              <w:right w:val="single" w:sz="8" w:color="EEEEEE"/>
            </w:tcBorders>
            <w:gridSpan w:val="7"/>
            <w:shd w:val="clear" w:color="auto" w:fill="EEEEEE"/>
          </w:tcPr>
          <w:p>
            <w:pPr>
              <w:jc w:val="right"/>
              <w:spacing w:after="0"/>
              <w:rPr>
                <w:sz w:val="20"/>
                <w:szCs w:val="20"/>
                <w:color w:val="auto"/>
              </w:rPr>
            </w:pPr>
            <w:r>
              <w:rPr>
                <w:rFonts w:ascii="Arial" w:cs="Arial" w:eastAsia="Arial" w:hAnsi="Arial"/>
                <w:sz w:val="18"/>
                <w:szCs w:val="18"/>
                <w:color w:val="auto"/>
              </w:rPr>
              <w:t>$1,982</w:t>
            </w:r>
          </w:p>
        </w:tc>
        <w:tc>
          <w:tcPr>
            <w:tcW w:w="320" w:type="dxa"/>
            <w:vAlign w:val="bottom"/>
            <w:shd w:val="clear" w:color="auto" w:fill="EEEEEE"/>
          </w:tcPr>
          <w:p>
            <w:pPr>
              <w:spacing w:after="0"/>
              <w:rPr>
                <w:sz w:val="18"/>
                <w:szCs w:val="18"/>
                <w:color w:val="auto"/>
              </w:rPr>
            </w:pPr>
          </w:p>
        </w:tc>
        <w:tc>
          <w:tcPr>
            <w:tcW w:w="92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$1,867</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260"/>
              <w:spacing w:after="0"/>
              <w:rPr>
                <w:sz w:val="20"/>
                <w:szCs w:val="20"/>
                <w:color w:val="auto"/>
              </w:rPr>
            </w:pPr>
            <w:r>
              <w:rPr>
                <w:rFonts w:ascii="Arial" w:cs="Arial" w:eastAsia="Arial" w:hAnsi="Arial"/>
                <w:sz w:val="18"/>
                <w:szCs w:val="18"/>
                <w:color w:val="auto"/>
              </w:rPr>
              <w:t>Landfill</w:t>
            </w: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664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6"/>
              </w:rPr>
              <w:t>720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628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Transfer</w:t>
            </w:r>
          </w:p>
        </w:tc>
        <w:tc>
          <w:tcPr>
            <w:tcW w:w="2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369</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407</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342</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260"/>
              <w:spacing w:after="0"/>
              <w:rPr>
                <w:sz w:val="20"/>
                <w:szCs w:val="20"/>
                <w:color w:val="auto"/>
              </w:rPr>
            </w:pPr>
            <w:r>
              <w:rPr>
                <w:rFonts w:ascii="Arial" w:cs="Arial" w:eastAsia="Arial" w:hAnsi="Arial"/>
                <w:sz w:val="18"/>
                <w:szCs w:val="18"/>
                <w:color w:val="auto"/>
              </w:rPr>
              <w:t>Wheelabrator</w:t>
            </w: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6"/>
              </w:rPr>
              <w:t>212</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199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Recycling and other</w:t>
            </w:r>
          </w:p>
        </w:tc>
        <w:tc>
          <w:tcPr>
            <w:tcW w:w="2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249</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239</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204</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260"/>
              <w:spacing w:after="0"/>
              <w:rPr>
                <w:sz w:val="20"/>
                <w:szCs w:val="20"/>
                <w:color w:val="auto"/>
              </w:rPr>
            </w:pPr>
            <w:r>
              <w:rPr>
                <w:rFonts w:ascii="Arial" w:cs="Arial" w:eastAsia="Arial" w:hAnsi="Arial"/>
                <w:sz w:val="18"/>
                <w:szCs w:val="18"/>
                <w:color w:val="auto"/>
              </w:rPr>
              <w:t>Intercompany</w:t>
            </w:r>
          </w:p>
        </w:tc>
        <w:tc>
          <w:tcPr>
            <w:tcW w:w="2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(546)</w:t>
            </w:r>
          </w:p>
        </w:tc>
        <w:tc>
          <w:tcPr>
            <w:tcW w:w="1380" w:type="dxa"/>
            <w:vAlign w:val="bottom"/>
            <w:gridSpan w:val="8"/>
          </w:tcPr>
          <w:p>
            <w:pPr>
              <w:jc w:val="right"/>
              <w:ind w:right="280"/>
              <w:spacing w:after="0"/>
              <w:rPr>
                <w:sz w:val="20"/>
                <w:szCs w:val="20"/>
                <w:color w:val="auto"/>
              </w:rPr>
            </w:pPr>
            <w:r>
              <w:rPr>
                <w:rFonts w:ascii="Arial" w:cs="Arial" w:eastAsia="Arial" w:hAnsi="Arial"/>
                <w:sz w:val="18"/>
                <w:szCs w:val="18"/>
                <w:color w:val="auto"/>
              </w:rPr>
              <w:t>(574)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8"/>
                <w:szCs w:val="18"/>
                <w:color w:val="auto"/>
                <w:w w:val="99"/>
              </w:rPr>
              <w:t>(508)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808080"/>
            </w:tcBorders>
          </w:tcPr>
          <w:p>
            <w:pPr>
              <w:spacing w:after="0" w:line="20" w:lineRule="exact"/>
              <w:rPr>
                <w:sz w:val="1"/>
                <w:szCs w:val="1"/>
                <w:color w:val="auto"/>
              </w:rPr>
            </w:pPr>
          </w:p>
        </w:tc>
        <w:tc>
          <w:tcPr>
            <w:tcW w:w="40" w:type="dxa"/>
            <w:vAlign w:val="bottom"/>
            <w:tcBorders>
              <w:top w:val="single" w:sz="8" w:color="808080"/>
            </w:tcBorders>
          </w:tcPr>
          <w:p>
            <w:pPr>
              <w:spacing w:after="0" w:line="20" w:lineRule="exact"/>
              <w:rPr>
                <w:sz w:val="1"/>
                <w:szCs w:val="1"/>
                <w:color w:val="auto"/>
              </w:rPr>
            </w:pPr>
          </w:p>
        </w:tc>
        <w:tc>
          <w:tcPr>
            <w:tcW w:w="300" w:type="dxa"/>
            <w:vAlign w:val="bottom"/>
            <w:tcBorders>
              <w:top w:val="single" w:sz="8" w:color="80808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808080"/>
            </w:tcBorders>
          </w:tcPr>
          <w:p>
            <w:pPr>
              <w:spacing w:after="0" w:line="20" w:lineRule="exact"/>
              <w:rPr>
                <w:sz w:val="1"/>
                <w:szCs w:val="1"/>
                <w:color w:val="auto"/>
              </w:rPr>
            </w:pPr>
          </w:p>
        </w:tc>
        <w:tc>
          <w:tcPr>
            <w:tcW w:w="120" w:type="dxa"/>
            <w:vAlign w:val="bottom"/>
            <w:tcBorders>
              <w:top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8060" w:type="dxa"/>
            <w:vAlign w:val="bottom"/>
            <w:shd w:val="clear" w:color="auto" w:fill="EEEEEE"/>
          </w:tcPr>
          <w:p>
            <w:pPr>
              <w:ind w:left="400"/>
              <w:spacing w:after="0"/>
              <w:rPr>
                <w:sz w:val="20"/>
                <w:szCs w:val="20"/>
                <w:color w:val="auto"/>
              </w:rPr>
            </w:pPr>
            <w:r>
              <w:rPr>
                <w:rFonts w:ascii="Arial" w:cs="Arial" w:eastAsia="Arial" w:hAnsi="Arial"/>
                <w:sz w:val="18"/>
                <w:szCs w:val="18"/>
                <w:color w:val="auto"/>
              </w:rPr>
              <w:t>Operating revenues</w:t>
            </w:r>
          </w:p>
        </w:tc>
        <w:tc>
          <w:tcPr>
            <w:tcW w:w="200" w:type="dxa"/>
            <w:vAlign w:val="bottom"/>
            <w:tcBorders>
              <w:right w:val="single" w:sz="8" w:color="EEEEEE"/>
            </w:tcBorders>
            <w:shd w:val="clear" w:color="auto" w:fill="EEEEEE"/>
          </w:tcPr>
          <w:p>
            <w:pPr>
              <w:ind w:left="10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2,896</w:t>
            </w:r>
          </w:p>
        </w:tc>
        <w:tc>
          <w:tcPr>
            <w:tcW w:w="220" w:type="dxa"/>
            <w:vAlign w:val="bottom"/>
            <w:shd w:val="clear" w:color="auto" w:fill="EEEEEE"/>
          </w:tcPr>
          <w:p>
            <w:pPr>
              <w:spacing w:after="0"/>
              <w:rPr>
                <w:sz w:val="18"/>
                <w:szCs w:val="18"/>
                <w:color w:val="auto"/>
              </w:rPr>
            </w:pPr>
          </w:p>
        </w:tc>
        <w:tc>
          <w:tcPr>
            <w:tcW w:w="1060" w:type="dxa"/>
            <w:vAlign w:val="bottom"/>
            <w:tcBorders>
              <w:right w:val="single" w:sz="8" w:color="EEEEEE"/>
            </w:tcBorders>
            <w:gridSpan w:val="7"/>
            <w:shd w:val="clear" w:color="auto" w:fill="EEEEEE"/>
          </w:tcPr>
          <w:p>
            <w:pPr>
              <w:jc w:val="right"/>
              <w:spacing w:after="0"/>
              <w:rPr>
                <w:sz w:val="20"/>
                <w:szCs w:val="20"/>
                <w:color w:val="auto"/>
              </w:rPr>
            </w:pPr>
            <w:r>
              <w:rPr>
                <w:rFonts w:ascii="Arial" w:cs="Arial" w:eastAsia="Arial" w:hAnsi="Arial"/>
                <w:sz w:val="18"/>
                <w:szCs w:val="18"/>
                <w:color w:val="auto"/>
              </w:rPr>
              <w:t>$2,986</w:t>
            </w:r>
          </w:p>
        </w:tc>
        <w:tc>
          <w:tcPr>
            <w:tcW w:w="320" w:type="dxa"/>
            <w:vAlign w:val="bottom"/>
            <w:shd w:val="clear" w:color="auto" w:fill="EEEEEE"/>
          </w:tcPr>
          <w:p>
            <w:pPr>
              <w:spacing w:after="0"/>
              <w:rPr>
                <w:sz w:val="18"/>
                <w:szCs w:val="18"/>
                <w:color w:val="auto"/>
              </w:rPr>
            </w:pPr>
          </w:p>
        </w:tc>
        <w:tc>
          <w:tcPr>
            <w:tcW w:w="92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$2,732</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60" w:type="dxa"/>
            <w:vAlign w:val="bottom"/>
            <w:shd w:val="clear" w:color="auto" w:fill="EEEEEE"/>
          </w:tcPr>
          <w:p>
            <w:pPr>
              <w:spacing w:after="0"/>
              <w:rPr>
                <w:sz w:val="3"/>
                <w:szCs w:val="3"/>
                <w:color w:val="auto"/>
              </w:rPr>
            </w:pPr>
          </w:p>
        </w:tc>
        <w:tc>
          <w:tcPr>
            <w:tcW w:w="200" w:type="dxa"/>
            <w:vAlign w:val="bottom"/>
            <w:tcBorders>
              <w:right w:val="single" w:sz="8" w:color="808080"/>
            </w:tcBorders>
            <w:shd w:val="clear" w:color="auto" w:fill="EEEEEE"/>
          </w:tcPr>
          <w:p>
            <w:pPr>
              <w:spacing w:after="0"/>
              <w:rPr>
                <w:sz w:val="3"/>
                <w:szCs w:val="3"/>
                <w:color w:val="auto"/>
              </w:rPr>
            </w:pPr>
          </w:p>
        </w:tc>
        <w:tc>
          <w:tcPr>
            <w:tcW w:w="400" w:type="dxa"/>
            <w:vAlign w:val="bottom"/>
            <w:tcBorders>
              <w:bottom w:val="single" w:sz="8" w:color="808080"/>
            </w:tcBorders>
            <w:shd w:val="clear" w:color="auto" w:fill="808080"/>
          </w:tcPr>
          <w:p>
            <w:pPr>
              <w:spacing w:after="0"/>
              <w:rPr>
                <w:sz w:val="3"/>
                <w:szCs w:val="3"/>
                <w:color w:val="auto"/>
              </w:rPr>
            </w:pPr>
          </w:p>
        </w:tc>
        <w:tc>
          <w:tcPr>
            <w:tcW w:w="220" w:type="dxa"/>
            <w:vAlign w:val="bottom"/>
            <w:shd w:val="clear" w:color="auto" w:fill="EEEEEE"/>
          </w:tcPr>
          <w:p>
            <w:pPr>
              <w:spacing w:after="0"/>
              <w:rPr>
                <w:sz w:val="3"/>
                <w:szCs w:val="3"/>
                <w:color w:val="auto"/>
              </w:rPr>
            </w:pPr>
          </w:p>
        </w:tc>
        <w:tc>
          <w:tcPr>
            <w:tcW w:w="180" w:type="dxa"/>
            <w:vAlign w:val="bottom"/>
            <w:shd w:val="clear" w:color="auto" w:fill="EEEE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260" w:type="dxa"/>
            <w:vAlign w:val="bottom"/>
            <w:shd w:val="clear" w:color="auto" w:fill="EEEEEE"/>
          </w:tcPr>
          <w:p>
            <w:pPr>
              <w:spacing w:after="0"/>
              <w:rPr>
                <w:sz w:val="3"/>
                <w:szCs w:val="3"/>
                <w:color w:val="auto"/>
              </w:rPr>
            </w:pPr>
          </w:p>
        </w:tc>
        <w:tc>
          <w:tcPr>
            <w:tcW w:w="80" w:type="dxa"/>
            <w:vAlign w:val="bottom"/>
            <w:tcBorders>
              <w:bottom w:val="single" w:sz="8" w:color="808080"/>
            </w:tcBorders>
            <w:shd w:val="clear" w:color="auto" w:fill="808080"/>
          </w:tcPr>
          <w:p>
            <w:pPr>
              <w:spacing w:after="0"/>
              <w:rPr>
                <w:sz w:val="3"/>
                <w:szCs w:val="3"/>
                <w:color w:val="auto"/>
              </w:rPr>
            </w:pPr>
          </w:p>
        </w:tc>
        <w:tc>
          <w:tcPr>
            <w:tcW w:w="40" w:type="dxa"/>
            <w:vAlign w:val="bottom"/>
            <w:tcBorders>
              <w:bottom w:val="single" w:sz="8" w:color="808080"/>
            </w:tcBorders>
            <w:shd w:val="clear" w:color="auto" w:fill="808080"/>
          </w:tcPr>
          <w:p>
            <w:pPr>
              <w:spacing w:after="0"/>
              <w:rPr>
                <w:sz w:val="3"/>
                <w:szCs w:val="3"/>
                <w:color w:val="auto"/>
              </w:rPr>
            </w:pPr>
          </w:p>
        </w:tc>
        <w:tc>
          <w:tcPr>
            <w:tcW w:w="300" w:type="dxa"/>
            <w:vAlign w:val="bottom"/>
            <w:tcBorders>
              <w:bottom w:val="single" w:sz="8" w:color="808080"/>
              <w:right w:val="single" w:sz="8" w:color="808080"/>
            </w:tcBorders>
            <w:shd w:val="clear" w:color="auto" w:fill="808080"/>
          </w:tcPr>
          <w:p>
            <w:pPr>
              <w:spacing w:after="0"/>
              <w:rPr>
                <w:sz w:val="3"/>
                <w:szCs w:val="3"/>
                <w:color w:val="auto"/>
              </w:rPr>
            </w:pPr>
          </w:p>
        </w:tc>
        <w:tc>
          <w:tcPr>
            <w:tcW w:w="320" w:type="dxa"/>
            <w:vAlign w:val="bottom"/>
            <w:shd w:val="clear" w:color="auto" w:fill="EEEEEE"/>
          </w:tcPr>
          <w:p>
            <w:pPr>
              <w:spacing w:after="0"/>
              <w:rPr>
                <w:sz w:val="3"/>
                <w:szCs w:val="3"/>
                <w:color w:val="auto"/>
              </w:rPr>
            </w:pPr>
          </w:p>
        </w:tc>
        <w:tc>
          <w:tcPr>
            <w:tcW w:w="24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220" w:type="dxa"/>
            <w:vAlign w:val="bottom"/>
            <w:tcBorders>
              <w:right w:val="single" w:sz="8" w:color="808080"/>
            </w:tcBorders>
            <w:shd w:val="clear" w:color="auto" w:fill="EEEEEE"/>
          </w:tcPr>
          <w:p>
            <w:pPr>
              <w:spacing w:after="0"/>
              <w:rPr>
                <w:sz w:val="3"/>
                <w:szCs w:val="3"/>
                <w:color w:val="auto"/>
              </w:rPr>
            </w:pPr>
          </w:p>
        </w:tc>
        <w:tc>
          <w:tcPr>
            <w:tcW w:w="260" w:type="dxa"/>
            <w:vAlign w:val="bottom"/>
            <w:tcBorders>
              <w:bottom w:val="single" w:sz="8" w:color="808080"/>
            </w:tcBorders>
            <w:shd w:val="clear" w:color="auto" w:fill="808080"/>
          </w:tcPr>
          <w:p>
            <w:pPr>
              <w:spacing w:after="0"/>
              <w:rPr>
                <w:sz w:val="3"/>
                <w:szCs w:val="3"/>
                <w:color w:val="auto"/>
              </w:rPr>
            </w:pPr>
          </w:p>
        </w:tc>
        <w:tc>
          <w:tcPr>
            <w:tcW w:w="120" w:type="dxa"/>
            <w:vAlign w:val="bottom"/>
            <w:tcBorders>
              <w:bottom w:val="single" w:sz="8" w:color="808080"/>
            </w:tcBorders>
            <w:shd w:val="clear" w:color="auto" w:fill="808080"/>
          </w:tcPr>
          <w:p>
            <w:pPr>
              <w:spacing w:after="0"/>
              <w:rPr>
                <w:sz w:val="3"/>
                <w:szCs w:val="3"/>
                <w:color w:val="auto"/>
              </w:rPr>
            </w:pPr>
          </w:p>
        </w:tc>
        <w:tc>
          <w:tcPr>
            <w:tcW w:w="220" w:type="dxa"/>
            <w:vAlign w:val="bottom"/>
            <w:shd w:val="clear" w:color="auto" w:fill="EEEEEE"/>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8080" w:type="dxa"/>
            <w:vAlign w:val="bottom"/>
            <w:gridSpan w:val="2"/>
          </w:tcPr>
          <w:p>
            <w:pPr>
              <w:spacing w:after="0"/>
              <w:rPr>
                <w:sz w:val="20"/>
                <w:szCs w:val="20"/>
                <w:color w:val="auto"/>
              </w:rPr>
            </w:pPr>
            <w:r>
              <w:rPr>
                <w:rFonts w:ascii="Arial" w:cs="Arial" w:eastAsia="Arial" w:hAnsi="Arial"/>
                <w:sz w:val="18"/>
                <w:szCs w:val="18"/>
                <w:b w:val="1"/>
                <w:bCs w:val="1"/>
                <w:color w:val="auto"/>
              </w:rPr>
              <w:t>Internal Growth of Operating Revenues from Comparable Prior Periods</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Internal growth</w:t>
            </w:r>
          </w:p>
        </w:tc>
        <w:tc>
          <w:tcPr>
            <w:tcW w:w="200" w:type="dxa"/>
            <w:vAlign w:val="bottom"/>
            <w:tcBorders>
              <w:right w:val="single" w:sz="8" w:color="EEEEEE"/>
            </w:tcBorders>
            <w:shd w:val="clear" w:color="auto" w:fill="EEEEEE"/>
          </w:tcPr>
          <w:p>
            <w:pPr>
              <w:spacing w:after="0"/>
              <w:rPr>
                <w:sz w:val="18"/>
                <w:szCs w:val="18"/>
                <w:color w:val="auto"/>
              </w:rPr>
            </w:pPr>
          </w:p>
        </w:tc>
        <w:tc>
          <w:tcPr>
            <w:tcW w:w="6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3.0%</w:t>
            </w: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0.9%</w:t>
            </w: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60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20"/>
              <w:spacing w:after="0"/>
              <w:rPr>
                <w:sz w:val="20"/>
                <w:szCs w:val="20"/>
                <w:color w:val="auto"/>
              </w:rPr>
            </w:pPr>
            <w:r>
              <w:rPr>
                <w:rFonts w:ascii="Arial" w:cs="Arial" w:eastAsia="Arial" w:hAnsi="Arial"/>
                <w:sz w:val="18"/>
                <w:szCs w:val="18"/>
                <w:color w:val="auto"/>
              </w:rPr>
              <w:t>Less: Price changes due to recycling commodities, electricity (IPP), fuel surcharge, and fees</w:t>
            </w:r>
          </w:p>
        </w:tc>
        <w:tc>
          <w:tcPr>
            <w:tcW w:w="2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808080"/>
            </w:tcBorders>
          </w:tcPr>
          <w:p>
            <w:pPr>
              <w:spacing w:after="0" w:line="20" w:lineRule="exact"/>
              <w:rPr>
                <w:sz w:val="1"/>
                <w:szCs w:val="1"/>
                <w:color w:val="auto"/>
              </w:rPr>
            </w:pPr>
          </w:p>
        </w:tc>
        <w:tc>
          <w:tcPr>
            <w:tcW w:w="40" w:type="dxa"/>
            <w:vAlign w:val="bottom"/>
            <w:tcBorders>
              <w:top w:val="single" w:sz="8" w:color="808080"/>
            </w:tcBorders>
          </w:tcPr>
          <w:p>
            <w:pPr>
              <w:spacing w:after="0" w:line="20" w:lineRule="exact"/>
              <w:rPr>
                <w:sz w:val="1"/>
                <w:szCs w:val="1"/>
                <w:color w:val="auto"/>
              </w:rPr>
            </w:pPr>
          </w:p>
        </w:tc>
        <w:tc>
          <w:tcPr>
            <w:tcW w:w="300" w:type="dxa"/>
            <w:vAlign w:val="bottom"/>
            <w:tcBorders>
              <w:top w:val="single" w:sz="8" w:color="80808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808080"/>
            </w:tcBorders>
          </w:tcPr>
          <w:p>
            <w:pPr>
              <w:spacing w:after="0" w:line="20" w:lineRule="exact"/>
              <w:rPr>
                <w:sz w:val="1"/>
                <w:szCs w:val="1"/>
                <w:color w:val="auto"/>
              </w:rPr>
            </w:pPr>
          </w:p>
        </w:tc>
        <w:tc>
          <w:tcPr>
            <w:tcW w:w="120" w:type="dxa"/>
            <w:vAlign w:val="bottom"/>
            <w:tcBorders>
              <w:top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8060" w:type="dxa"/>
            <w:vAlign w:val="bottom"/>
            <w:shd w:val="clear" w:color="auto" w:fill="EEEEEE"/>
          </w:tcPr>
          <w:p>
            <w:pPr>
              <w:ind w:left="400"/>
              <w:spacing w:after="0"/>
              <w:rPr>
                <w:sz w:val="20"/>
                <w:szCs w:val="20"/>
                <w:color w:val="auto"/>
              </w:rPr>
            </w:pPr>
            <w:r>
              <w:rPr>
                <w:rFonts w:ascii="Arial" w:cs="Arial" w:eastAsia="Arial" w:hAnsi="Arial"/>
                <w:sz w:val="18"/>
                <w:szCs w:val="18"/>
                <w:color w:val="auto"/>
              </w:rPr>
              <w:t>Adjusted internal growth</w:t>
            </w:r>
          </w:p>
        </w:tc>
        <w:tc>
          <w:tcPr>
            <w:tcW w:w="200" w:type="dxa"/>
            <w:vAlign w:val="bottom"/>
            <w:tcBorders>
              <w:right w:val="single" w:sz="8" w:color="EEEEEE"/>
            </w:tcBorders>
            <w:shd w:val="clear" w:color="auto" w:fill="EEEEEE"/>
          </w:tcPr>
          <w:p>
            <w:pPr>
              <w:spacing w:after="0"/>
              <w:rPr>
                <w:sz w:val="18"/>
                <w:szCs w:val="18"/>
                <w:color w:val="auto"/>
              </w:rPr>
            </w:pPr>
          </w:p>
        </w:tc>
        <w:tc>
          <w:tcPr>
            <w:tcW w:w="6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0.7%</w:t>
            </w: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60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60" w:type="dxa"/>
            <w:vAlign w:val="bottom"/>
            <w:shd w:val="clear" w:color="auto" w:fill="EEEEEE"/>
          </w:tcPr>
          <w:p>
            <w:pPr>
              <w:spacing w:after="0"/>
              <w:rPr>
                <w:sz w:val="3"/>
                <w:szCs w:val="3"/>
                <w:color w:val="auto"/>
              </w:rPr>
            </w:pPr>
          </w:p>
        </w:tc>
        <w:tc>
          <w:tcPr>
            <w:tcW w:w="200" w:type="dxa"/>
            <w:vAlign w:val="bottom"/>
            <w:tcBorders>
              <w:right w:val="single" w:sz="8" w:color="808080"/>
            </w:tcBorders>
            <w:shd w:val="clear" w:color="auto" w:fill="EEEEEE"/>
          </w:tcPr>
          <w:p>
            <w:pPr>
              <w:spacing w:after="0"/>
              <w:rPr>
                <w:sz w:val="3"/>
                <w:szCs w:val="3"/>
                <w:color w:val="auto"/>
              </w:rPr>
            </w:pPr>
          </w:p>
        </w:tc>
        <w:tc>
          <w:tcPr>
            <w:tcW w:w="400" w:type="dxa"/>
            <w:vAlign w:val="bottom"/>
            <w:tcBorders>
              <w:bottom w:val="single" w:sz="8" w:color="808080"/>
            </w:tcBorders>
            <w:shd w:val="clear" w:color="auto" w:fill="808080"/>
          </w:tcPr>
          <w:p>
            <w:pPr>
              <w:spacing w:after="0"/>
              <w:rPr>
                <w:sz w:val="3"/>
                <w:szCs w:val="3"/>
                <w:color w:val="auto"/>
              </w:rPr>
            </w:pPr>
          </w:p>
        </w:tc>
        <w:tc>
          <w:tcPr>
            <w:tcW w:w="220" w:type="dxa"/>
            <w:vAlign w:val="bottom"/>
            <w:shd w:val="clear" w:color="auto" w:fill="EEEEEE"/>
          </w:tcPr>
          <w:p>
            <w:pPr>
              <w:spacing w:after="0"/>
              <w:rPr>
                <w:sz w:val="3"/>
                <w:szCs w:val="3"/>
                <w:color w:val="auto"/>
              </w:rPr>
            </w:pPr>
          </w:p>
        </w:tc>
        <w:tc>
          <w:tcPr>
            <w:tcW w:w="180" w:type="dxa"/>
            <w:vAlign w:val="bottom"/>
            <w:shd w:val="clear" w:color="auto" w:fill="EEEE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260" w:type="dxa"/>
            <w:vAlign w:val="bottom"/>
            <w:shd w:val="clear" w:color="auto" w:fill="EEEEEE"/>
          </w:tcPr>
          <w:p>
            <w:pPr>
              <w:spacing w:after="0"/>
              <w:rPr>
                <w:sz w:val="3"/>
                <w:szCs w:val="3"/>
                <w:color w:val="auto"/>
              </w:rPr>
            </w:pPr>
          </w:p>
        </w:tc>
        <w:tc>
          <w:tcPr>
            <w:tcW w:w="80" w:type="dxa"/>
            <w:vAlign w:val="bottom"/>
            <w:tcBorders>
              <w:bottom w:val="single" w:sz="8" w:color="808080"/>
            </w:tcBorders>
            <w:shd w:val="clear" w:color="auto" w:fill="808080"/>
          </w:tcPr>
          <w:p>
            <w:pPr>
              <w:spacing w:after="0"/>
              <w:rPr>
                <w:sz w:val="3"/>
                <w:szCs w:val="3"/>
                <w:color w:val="auto"/>
              </w:rPr>
            </w:pPr>
          </w:p>
        </w:tc>
        <w:tc>
          <w:tcPr>
            <w:tcW w:w="40" w:type="dxa"/>
            <w:vAlign w:val="bottom"/>
            <w:tcBorders>
              <w:bottom w:val="single" w:sz="8" w:color="808080"/>
            </w:tcBorders>
            <w:shd w:val="clear" w:color="auto" w:fill="808080"/>
          </w:tcPr>
          <w:p>
            <w:pPr>
              <w:spacing w:after="0"/>
              <w:rPr>
                <w:sz w:val="3"/>
                <w:szCs w:val="3"/>
                <w:color w:val="auto"/>
              </w:rPr>
            </w:pPr>
          </w:p>
        </w:tc>
        <w:tc>
          <w:tcPr>
            <w:tcW w:w="300" w:type="dxa"/>
            <w:vAlign w:val="bottom"/>
            <w:tcBorders>
              <w:bottom w:val="single" w:sz="8" w:color="808080"/>
              <w:right w:val="single" w:sz="8" w:color="808080"/>
            </w:tcBorders>
            <w:shd w:val="clear" w:color="auto" w:fill="808080"/>
          </w:tcPr>
          <w:p>
            <w:pPr>
              <w:spacing w:after="0"/>
              <w:rPr>
                <w:sz w:val="3"/>
                <w:szCs w:val="3"/>
                <w:color w:val="auto"/>
              </w:rPr>
            </w:pPr>
          </w:p>
        </w:tc>
        <w:tc>
          <w:tcPr>
            <w:tcW w:w="320" w:type="dxa"/>
            <w:vAlign w:val="bottom"/>
            <w:shd w:val="clear" w:color="auto" w:fill="EEEEEE"/>
          </w:tcPr>
          <w:p>
            <w:pPr>
              <w:spacing w:after="0"/>
              <w:rPr>
                <w:sz w:val="3"/>
                <w:szCs w:val="3"/>
                <w:color w:val="auto"/>
              </w:rPr>
            </w:pPr>
          </w:p>
        </w:tc>
        <w:tc>
          <w:tcPr>
            <w:tcW w:w="24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220" w:type="dxa"/>
            <w:vAlign w:val="bottom"/>
            <w:tcBorders>
              <w:right w:val="single" w:sz="8" w:color="808080"/>
            </w:tcBorders>
            <w:shd w:val="clear" w:color="auto" w:fill="EEEEEE"/>
          </w:tcPr>
          <w:p>
            <w:pPr>
              <w:spacing w:after="0"/>
              <w:rPr>
                <w:sz w:val="3"/>
                <w:szCs w:val="3"/>
                <w:color w:val="auto"/>
              </w:rPr>
            </w:pPr>
          </w:p>
        </w:tc>
        <w:tc>
          <w:tcPr>
            <w:tcW w:w="260" w:type="dxa"/>
            <w:vAlign w:val="bottom"/>
            <w:tcBorders>
              <w:bottom w:val="single" w:sz="8" w:color="808080"/>
            </w:tcBorders>
            <w:shd w:val="clear" w:color="auto" w:fill="808080"/>
          </w:tcPr>
          <w:p>
            <w:pPr>
              <w:spacing w:after="0"/>
              <w:rPr>
                <w:sz w:val="3"/>
                <w:szCs w:val="3"/>
                <w:color w:val="auto"/>
              </w:rPr>
            </w:pPr>
          </w:p>
        </w:tc>
        <w:tc>
          <w:tcPr>
            <w:tcW w:w="120" w:type="dxa"/>
            <w:vAlign w:val="bottom"/>
            <w:tcBorders>
              <w:bottom w:val="single" w:sz="8" w:color="808080"/>
            </w:tcBorders>
            <w:shd w:val="clear" w:color="auto" w:fill="808080"/>
          </w:tcPr>
          <w:p>
            <w:pPr>
              <w:spacing w:after="0"/>
              <w:rPr>
                <w:sz w:val="3"/>
                <w:szCs w:val="3"/>
                <w:color w:val="auto"/>
              </w:rPr>
            </w:pPr>
          </w:p>
        </w:tc>
        <w:tc>
          <w:tcPr>
            <w:tcW w:w="220" w:type="dxa"/>
            <w:vAlign w:val="bottom"/>
            <w:shd w:val="clear" w:color="auto" w:fill="EEEEEE"/>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8080" w:type="dxa"/>
            <w:vAlign w:val="bottom"/>
            <w:gridSpan w:val="2"/>
          </w:tcPr>
          <w:p>
            <w:pPr>
              <w:spacing w:after="0"/>
              <w:rPr>
                <w:sz w:val="20"/>
                <w:szCs w:val="20"/>
                <w:color w:val="auto"/>
              </w:rPr>
            </w:pPr>
            <w:r>
              <w:rPr>
                <w:rFonts w:ascii="Arial" w:cs="Arial" w:eastAsia="Arial" w:hAnsi="Arial"/>
                <w:sz w:val="18"/>
                <w:szCs w:val="18"/>
                <w:b w:val="1"/>
                <w:bCs w:val="1"/>
                <w:color w:val="auto"/>
              </w:rPr>
              <w:t>Acquisition Summary (b)</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Gross annualized revenue acquired</w:t>
            </w:r>
          </w:p>
        </w:tc>
        <w:tc>
          <w:tcPr>
            <w:tcW w:w="200" w:type="dxa"/>
            <w:vAlign w:val="bottom"/>
            <w:tcBorders>
              <w:right w:val="single" w:sz="8" w:color="EEEEEE"/>
            </w:tcBorders>
            <w:shd w:val="clear" w:color="auto" w:fill="EEEEEE"/>
          </w:tcPr>
          <w:p>
            <w:pPr>
              <w:ind w:left="10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w:t>
            </w:r>
          </w:p>
        </w:tc>
        <w:tc>
          <w:tcPr>
            <w:tcW w:w="220" w:type="dxa"/>
            <w:vAlign w:val="bottom"/>
            <w:shd w:val="clear" w:color="auto" w:fill="EEEEEE"/>
          </w:tcPr>
          <w:p>
            <w:pPr>
              <w:spacing w:after="0"/>
              <w:rPr>
                <w:sz w:val="18"/>
                <w:szCs w:val="18"/>
                <w:color w:val="auto"/>
              </w:rPr>
            </w:pPr>
          </w:p>
        </w:tc>
        <w:tc>
          <w:tcPr>
            <w:tcW w:w="720" w:type="dxa"/>
            <w:vAlign w:val="bottom"/>
            <w:gridSpan w:val="5"/>
            <w:shd w:val="clear" w:color="auto" w:fill="EEEEEE"/>
          </w:tcPr>
          <w:p>
            <w:pPr>
              <w:jc w:val="center"/>
              <w:ind w:left="393"/>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124</w:t>
            </w:r>
          </w:p>
        </w:tc>
        <w:tc>
          <w:tcPr>
            <w:tcW w:w="320" w:type="dxa"/>
            <w:vAlign w:val="bottom"/>
            <w:shd w:val="clear" w:color="auto" w:fill="EEEEEE"/>
          </w:tcPr>
          <w:p>
            <w:pPr>
              <w:spacing w:after="0"/>
              <w:rPr>
                <w:sz w:val="18"/>
                <w:szCs w:val="18"/>
                <w:color w:val="auto"/>
              </w:rPr>
            </w:pPr>
          </w:p>
        </w:tc>
        <w:tc>
          <w:tcPr>
            <w:tcW w:w="540" w:type="dxa"/>
            <w:vAlign w:val="bottom"/>
            <w:tcBorders>
              <w:right w:val="single" w:sz="8" w:color="EEEEEE"/>
            </w:tcBorders>
            <w:gridSpan w:val="3"/>
            <w:shd w:val="clear" w:color="auto" w:fill="EEEEEE"/>
          </w:tcPr>
          <w:p>
            <w:pPr>
              <w:ind w:left="42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256</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60" w:type="dxa"/>
            <w:vAlign w:val="bottom"/>
            <w:tcBorders>
              <w:top w:val="single" w:sz="8" w:color="EEEEEE"/>
            </w:tcBorders>
          </w:tcPr>
          <w:p>
            <w:pPr>
              <w:spacing w:after="0"/>
              <w:rPr>
                <w:sz w:val="3"/>
                <w:szCs w:val="3"/>
                <w:color w:val="auto"/>
              </w:rPr>
            </w:pPr>
          </w:p>
        </w:tc>
        <w:tc>
          <w:tcPr>
            <w:tcW w:w="200" w:type="dxa"/>
            <w:vAlign w:val="bottom"/>
            <w:tcBorders>
              <w:top w:val="single" w:sz="8" w:color="EEEEEE"/>
              <w:right w:val="single" w:sz="8" w:color="808080"/>
            </w:tcBorders>
          </w:tcPr>
          <w:p>
            <w:pPr>
              <w:spacing w:after="0"/>
              <w:rPr>
                <w:sz w:val="3"/>
                <w:szCs w:val="3"/>
                <w:color w:val="auto"/>
              </w:rPr>
            </w:pPr>
          </w:p>
        </w:tc>
        <w:tc>
          <w:tcPr>
            <w:tcW w:w="400" w:type="dxa"/>
            <w:vAlign w:val="bottom"/>
            <w:tcBorders>
              <w:top w:val="single" w:sz="8" w:color="808080"/>
            </w:tcBorders>
            <w:shd w:val="clear" w:color="auto" w:fill="808080"/>
          </w:tcPr>
          <w:p>
            <w:pPr>
              <w:spacing w:after="0"/>
              <w:rPr>
                <w:sz w:val="3"/>
                <w:szCs w:val="3"/>
                <w:color w:val="auto"/>
              </w:rPr>
            </w:pPr>
          </w:p>
        </w:tc>
        <w:tc>
          <w:tcPr>
            <w:tcW w:w="220" w:type="dxa"/>
            <w:vAlign w:val="bottom"/>
            <w:tcBorders>
              <w:top w:val="single" w:sz="8" w:color="EEEEEE"/>
            </w:tcBorders>
          </w:tcPr>
          <w:p>
            <w:pPr>
              <w:spacing w:after="0"/>
              <w:rPr>
                <w:sz w:val="3"/>
                <w:szCs w:val="3"/>
                <w:color w:val="auto"/>
              </w:rPr>
            </w:pPr>
          </w:p>
        </w:tc>
        <w:tc>
          <w:tcPr>
            <w:tcW w:w="18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gridSpan w:val="2"/>
          </w:tcPr>
          <w:p>
            <w:pPr>
              <w:spacing w:after="0"/>
              <w:rPr>
                <w:sz w:val="3"/>
                <w:szCs w:val="3"/>
                <w:color w:val="auto"/>
              </w:rPr>
            </w:pPr>
          </w:p>
        </w:tc>
        <w:tc>
          <w:tcPr>
            <w:tcW w:w="260" w:type="dxa"/>
            <w:vAlign w:val="bottom"/>
            <w:tcBorders>
              <w:top w:val="single" w:sz="8" w:color="EEEEEE"/>
            </w:tcBorders>
          </w:tcPr>
          <w:p>
            <w:pPr>
              <w:spacing w:after="0"/>
              <w:rPr>
                <w:sz w:val="3"/>
                <w:szCs w:val="3"/>
                <w:color w:val="auto"/>
              </w:rPr>
            </w:pPr>
          </w:p>
        </w:tc>
        <w:tc>
          <w:tcPr>
            <w:tcW w:w="80" w:type="dxa"/>
            <w:vAlign w:val="bottom"/>
            <w:tcBorders>
              <w:top w:val="single" w:sz="8" w:color="808080"/>
            </w:tcBorders>
            <w:shd w:val="clear" w:color="auto" w:fill="808080"/>
          </w:tcPr>
          <w:p>
            <w:pPr>
              <w:spacing w:after="0"/>
              <w:rPr>
                <w:sz w:val="3"/>
                <w:szCs w:val="3"/>
                <w:color w:val="auto"/>
              </w:rPr>
            </w:pPr>
          </w:p>
        </w:tc>
        <w:tc>
          <w:tcPr>
            <w:tcW w:w="40" w:type="dxa"/>
            <w:vAlign w:val="bottom"/>
            <w:tcBorders>
              <w:top w:val="single" w:sz="8" w:color="808080"/>
            </w:tcBorders>
            <w:shd w:val="clear" w:color="auto" w:fill="808080"/>
          </w:tcPr>
          <w:p>
            <w:pPr>
              <w:spacing w:after="0"/>
              <w:rPr>
                <w:sz w:val="3"/>
                <w:szCs w:val="3"/>
                <w:color w:val="auto"/>
              </w:rPr>
            </w:pPr>
          </w:p>
        </w:tc>
        <w:tc>
          <w:tcPr>
            <w:tcW w:w="300" w:type="dxa"/>
            <w:vAlign w:val="bottom"/>
            <w:tcBorders>
              <w:top w:val="single" w:sz="8" w:color="808080"/>
              <w:right w:val="single" w:sz="8" w:color="808080"/>
            </w:tcBorders>
            <w:shd w:val="clear" w:color="auto" w:fill="808080"/>
          </w:tcPr>
          <w:p>
            <w:pPr>
              <w:spacing w:after="0"/>
              <w:rPr>
                <w:sz w:val="3"/>
                <w:szCs w:val="3"/>
                <w:color w:val="auto"/>
              </w:rPr>
            </w:pPr>
          </w:p>
        </w:tc>
        <w:tc>
          <w:tcPr>
            <w:tcW w:w="320" w:type="dxa"/>
            <w:vAlign w:val="bottom"/>
            <w:tcBorders>
              <w:top w:val="single" w:sz="8" w:color="EEEEEE"/>
            </w:tcBorders>
          </w:tcPr>
          <w:p>
            <w:pPr>
              <w:spacing w:after="0"/>
              <w:rPr>
                <w:sz w:val="3"/>
                <w:szCs w:val="3"/>
                <w:color w:val="auto"/>
              </w:rPr>
            </w:pPr>
          </w:p>
        </w:tc>
        <w:tc>
          <w:tcPr>
            <w:tcW w:w="240" w:type="dxa"/>
            <w:vAlign w:val="bottom"/>
            <w:tcBorders>
              <w:top w:val="single" w:sz="8" w:color="EEEEEE"/>
            </w:tcBorders>
          </w:tcPr>
          <w:p>
            <w:pPr>
              <w:spacing w:after="0"/>
              <w:rPr>
                <w:sz w:val="3"/>
                <w:szCs w:val="3"/>
                <w:color w:val="auto"/>
              </w:rPr>
            </w:pPr>
          </w:p>
        </w:tc>
        <w:tc>
          <w:tcPr>
            <w:tcW w:w="300" w:type="dxa"/>
            <w:vAlign w:val="bottom"/>
            <w:tcBorders>
              <w:top w:val="single" w:sz="8" w:color="EEEEEE"/>
              <w:right w:val="single" w:sz="8" w:color="808080"/>
            </w:tcBorders>
            <w:gridSpan w:val="2"/>
          </w:tcPr>
          <w:p>
            <w:pPr>
              <w:spacing w:after="0"/>
              <w:rPr>
                <w:sz w:val="3"/>
                <w:szCs w:val="3"/>
                <w:color w:val="auto"/>
              </w:rPr>
            </w:pPr>
          </w:p>
        </w:tc>
        <w:tc>
          <w:tcPr>
            <w:tcW w:w="260" w:type="dxa"/>
            <w:vAlign w:val="bottom"/>
            <w:tcBorders>
              <w:top w:val="single" w:sz="8" w:color="808080"/>
            </w:tcBorders>
            <w:shd w:val="clear" w:color="auto" w:fill="808080"/>
          </w:tcPr>
          <w:p>
            <w:pPr>
              <w:spacing w:after="0"/>
              <w:rPr>
                <w:sz w:val="3"/>
                <w:szCs w:val="3"/>
                <w:color w:val="auto"/>
              </w:rPr>
            </w:pPr>
          </w:p>
        </w:tc>
        <w:tc>
          <w:tcPr>
            <w:tcW w:w="120" w:type="dxa"/>
            <w:vAlign w:val="bottom"/>
            <w:tcBorders>
              <w:top w:val="single" w:sz="8" w:color="808080"/>
            </w:tcBorders>
            <w:shd w:val="clear" w:color="auto" w:fill="808080"/>
          </w:tcPr>
          <w:p>
            <w:pPr>
              <w:spacing w:after="0"/>
              <w:rPr>
                <w:sz w:val="3"/>
                <w:szCs w:val="3"/>
                <w:color w:val="auto"/>
              </w:rPr>
            </w:pPr>
          </w:p>
        </w:tc>
        <w:tc>
          <w:tcPr>
            <w:tcW w:w="220" w:type="dxa"/>
            <w:vAlign w:val="bottom"/>
            <w:tcBorders>
              <w:top w:val="single" w:sz="8" w:color="EEEEEE"/>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60" w:type="dxa"/>
            <w:vAlign w:val="bottom"/>
          </w:tcPr>
          <w:p>
            <w:pPr>
              <w:ind w:left="120"/>
              <w:spacing w:after="0"/>
              <w:rPr>
                <w:sz w:val="20"/>
                <w:szCs w:val="20"/>
                <w:color w:val="auto"/>
              </w:rPr>
            </w:pPr>
            <w:r>
              <w:rPr>
                <w:rFonts w:ascii="Arial" w:cs="Arial" w:eastAsia="Arial" w:hAnsi="Arial"/>
                <w:sz w:val="18"/>
                <w:szCs w:val="18"/>
                <w:color w:val="auto"/>
              </w:rPr>
              <w:t>Total consideration</w:t>
            </w:r>
          </w:p>
        </w:tc>
        <w:tc>
          <w:tcPr>
            <w:tcW w:w="20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20"/>
                <w:szCs w:val="20"/>
                <w:color w:val="auto"/>
              </w:rPr>
            </w:pPr>
          </w:p>
        </w:tc>
        <w:tc>
          <w:tcPr>
            <w:tcW w:w="720" w:type="dxa"/>
            <w:vAlign w:val="bottom"/>
            <w:gridSpan w:val="5"/>
          </w:tcPr>
          <w:p>
            <w:pPr>
              <w:jc w:val="center"/>
              <w:ind w:left="393"/>
              <w:spacing w:after="0"/>
              <w:rPr>
                <w:sz w:val="20"/>
                <w:szCs w:val="20"/>
                <w:color w:val="auto"/>
              </w:rPr>
            </w:pPr>
            <w:r>
              <w:rPr>
                <w:rFonts w:ascii="Arial" w:cs="Arial" w:eastAsia="Arial" w:hAnsi="Arial"/>
                <w:sz w:val="18"/>
                <w:szCs w:val="18"/>
                <w:color w:val="auto"/>
                <w:w w:val="79"/>
              </w:rPr>
              <w:t>$</w:t>
            </w:r>
          </w:p>
        </w:tc>
        <w:tc>
          <w:tcPr>
            <w:tcW w:w="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98</w:t>
            </w:r>
          </w:p>
        </w:tc>
        <w:tc>
          <w:tcPr>
            <w:tcW w:w="320" w:type="dxa"/>
            <w:vAlign w:val="bottom"/>
          </w:tcPr>
          <w:p>
            <w:pPr>
              <w:spacing w:after="0"/>
              <w:rPr>
                <w:sz w:val="20"/>
                <w:szCs w:val="20"/>
                <w:color w:val="auto"/>
              </w:rPr>
            </w:pPr>
          </w:p>
        </w:tc>
        <w:tc>
          <w:tcPr>
            <w:tcW w:w="540" w:type="dxa"/>
            <w:vAlign w:val="bottom"/>
            <w:gridSpan w:val="3"/>
          </w:tcPr>
          <w:p>
            <w:pPr>
              <w:ind w:left="420"/>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6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30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80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Cash paid for acquisitions</w:t>
            </w:r>
          </w:p>
        </w:tc>
        <w:tc>
          <w:tcPr>
            <w:tcW w:w="200" w:type="dxa"/>
            <w:vAlign w:val="bottom"/>
            <w:tcBorders>
              <w:right w:val="single" w:sz="8" w:color="EEEEEE"/>
            </w:tcBorders>
            <w:shd w:val="clear" w:color="auto" w:fill="EEEEEE"/>
          </w:tcPr>
          <w:p>
            <w:pPr>
              <w:ind w:left="10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66</w:t>
            </w:r>
          </w:p>
        </w:tc>
        <w:tc>
          <w:tcPr>
            <w:tcW w:w="220" w:type="dxa"/>
            <w:vAlign w:val="bottom"/>
            <w:shd w:val="clear" w:color="auto" w:fill="EEEEEE"/>
          </w:tcPr>
          <w:p>
            <w:pPr>
              <w:spacing w:after="0"/>
              <w:rPr>
                <w:sz w:val="18"/>
                <w:szCs w:val="18"/>
                <w:color w:val="auto"/>
              </w:rPr>
            </w:pPr>
          </w:p>
        </w:tc>
        <w:tc>
          <w:tcPr>
            <w:tcW w:w="720" w:type="dxa"/>
            <w:vAlign w:val="bottom"/>
            <w:gridSpan w:val="5"/>
            <w:shd w:val="clear" w:color="auto" w:fill="EEEEEE"/>
          </w:tcPr>
          <w:p>
            <w:pPr>
              <w:jc w:val="center"/>
              <w:ind w:left="393"/>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90</w:t>
            </w:r>
          </w:p>
        </w:tc>
        <w:tc>
          <w:tcPr>
            <w:tcW w:w="320" w:type="dxa"/>
            <w:vAlign w:val="bottom"/>
            <w:shd w:val="clear" w:color="auto" w:fill="EEEEEE"/>
          </w:tcPr>
          <w:p>
            <w:pPr>
              <w:spacing w:after="0"/>
              <w:rPr>
                <w:sz w:val="18"/>
                <w:szCs w:val="18"/>
                <w:color w:val="auto"/>
              </w:rPr>
            </w:pPr>
          </w:p>
        </w:tc>
        <w:tc>
          <w:tcPr>
            <w:tcW w:w="540" w:type="dxa"/>
            <w:vAlign w:val="bottom"/>
            <w:tcBorders>
              <w:right w:val="single" w:sz="8" w:color="EEEEEE"/>
            </w:tcBorders>
            <w:gridSpan w:val="3"/>
            <w:shd w:val="clear" w:color="auto" w:fill="EEEEEE"/>
          </w:tcPr>
          <w:p>
            <w:pPr>
              <w:ind w:left="42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83</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60" w:type="dxa"/>
            <w:vAlign w:val="bottom"/>
            <w:shd w:val="clear" w:color="auto" w:fill="EEEEEE"/>
          </w:tcPr>
          <w:p>
            <w:pPr>
              <w:spacing w:after="0"/>
              <w:rPr>
                <w:sz w:val="3"/>
                <w:szCs w:val="3"/>
                <w:color w:val="auto"/>
              </w:rPr>
            </w:pPr>
          </w:p>
        </w:tc>
        <w:tc>
          <w:tcPr>
            <w:tcW w:w="200" w:type="dxa"/>
            <w:vAlign w:val="bottom"/>
            <w:tcBorders>
              <w:right w:val="single" w:sz="8" w:color="808080"/>
            </w:tcBorders>
            <w:shd w:val="clear" w:color="auto" w:fill="EEEEEE"/>
          </w:tcPr>
          <w:p>
            <w:pPr>
              <w:spacing w:after="0"/>
              <w:rPr>
                <w:sz w:val="3"/>
                <w:szCs w:val="3"/>
                <w:color w:val="auto"/>
              </w:rPr>
            </w:pPr>
          </w:p>
        </w:tc>
        <w:tc>
          <w:tcPr>
            <w:tcW w:w="400" w:type="dxa"/>
            <w:vAlign w:val="bottom"/>
            <w:tcBorders>
              <w:bottom w:val="single" w:sz="8" w:color="808080"/>
            </w:tcBorders>
            <w:shd w:val="clear" w:color="auto" w:fill="808080"/>
          </w:tcPr>
          <w:p>
            <w:pPr>
              <w:spacing w:after="0"/>
              <w:rPr>
                <w:sz w:val="3"/>
                <w:szCs w:val="3"/>
                <w:color w:val="auto"/>
              </w:rPr>
            </w:pPr>
          </w:p>
        </w:tc>
        <w:tc>
          <w:tcPr>
            <w:tcW w:w="220" w:type="dxa"/>
            <w:vAlign w:val="bottom"/>
            <w:shd w:val="clear" w:color="auto" w:fill="EEEEEE"/>
          </w:tcPr>
          <w:p>
            <w:pPr>
              <w:spacing w:after="0"/>
              <w:rPr>
                <w:sz w:val="3"/>
                <w:szCs w:val="3"/>
                <w:color w:val="auto"/>
              </w:rPr>
            </w:pPr>
          </w:p>
        </w:tc>
        <w:tc>
          <w:tcPr>
            <w:tcW w:w="180" w:type="dxa"/>
            <w:vAlign w:val="bottom"/>
            <w:shd w:val="clear" w:color="auto" w:fill="EEEE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260" w:type="dxa"/>
            <w:vAlign w:val="bottom"/>
            <w:shd w:val="clear" w:color="auto" w:fill="EEEEEE"/>
          </w:tcPr>
          <w:p>
            <w:pPr>
              <w:spacing w:after="0"/>
              <w:rPr>
                <w:sz w:val="3"/>
                <w:szCs w:val="3"/>
                <w:color w:val="auto"/>
              </w:rPr>
            </w:pPr>
          </w:p>
        </w:tc>
        <w:tc>
          <w:tcPr>
            <w:tcW w:w="80" w:type="dxa"/>
            <w:vAlign w:val="bottom"/>
            <w:tcBorders>
              <w:bottom w:val="single" w:sz="8" w:color="808080"/>
            </w:tcBorders>
            <w:shd w:val="clear" w:color="auto" w:fill="808080"/>
          </w:tcPr>
          <w:p>
            <w:pPr>
              <w:spacing w:after="0"/>
              <w:rPr>
                <w:sz w:val="3"/>
                <w:szCs w:val="3"/>
                <w:color w:val="auto"/>
              </w:rPr>
            </w:pPr>
          </w:p>
        </w:tc>
        <w:tc>
          <w:tcPr>
            <w:tcW w:w="40" w:type="dxa"/>
            <w:vAlign w:val="bottom"/>
            <w:tcBorders>
              <w:bottom w:val="single" w:sz="8" w:color="808080"/>
            </w:tcBorders>
            <w:shd w:val="clear" w:color="auto" w:fill="808080"/>
          </w:tcPr>
          <w:p>
            <w:pPr>
              <w:spacing w:after="0"/>
              <w:rPr>
                <w:sz w:val="3"/>
                <w:szCs w:val="3"/>
                <w:color w:val="auto"/>
              </w:rPr>
            </w:pPr>
          </w:p>
        </w:tc>
        <w:tc>
          <w:tcPr>
            <w:tcW w:w="300" w:type="dxa"/>
            <w:vAlign w:val="bottom"/>
            <w:tcBorders>
              <w:bottom w:val="single" w:sz="8" w:color="808080"/>
              <w:right w:val="single" w:sz="8" w:color="808080"/>
            </w:tcBorders>
            <w:shd w:val="clear" w:color="auto" w:fill="808080"/>
          </w:tcPr>
          <w:p>
            <w:pPr>
              <w:spacing w:after="0"/>
              <w:rPr>
                <w:sz w:val="3"/>
                <w:szCs w:val="3"/>
                <w:color w:val="auto"/>
              </w:rPr>
            </w:pPr>
          </w:p>
        </w:tc>
        <w:tc>
          <w:tcPr>
            <w:tcW w:w="320" w:type="dxa"/>
            <w:vAlign w:val="bottom"/>
            <w:shd w:val="clear" w:color="auto" w:fill="EEEEEE"/>
          </w:tcPr>
          <w:p>
            <w:pPr>
              <w:spacing w:after="0"/>
              <w:rPr>
                <w:sz w:val="3"/>
                <w:szCs w:val="3"/>
                <w:color w:val="auto"/>
              </w:rPr>
            </w:pPr>
          </w:p>
        </w:tc>
        <w:tc>
          <w:tcPr>
            <w:tcW w:w="24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220" w:type="dxa"/>
            <w:vAlign w:val="bottom"/>
            <w:tcBorders>
              <w:right w:val="single" w:sz="8" w:color="808080"/>
            </w:tcBorders>
            <w:shd w:val="clear" w:color="auto" w:fill="EEEEEE"/>
          </w:tcPr>
          <w:p>
            <w:pPr>
              <w:spacing w:after="0"/>
              <w:rPr>
                <w:sz w:val="3"/>
                <w:szCs w:val="3"/>
                <w:color w:val="auto"/>
              </w:rPr>
            </w:pPr>
          </w:p>
        </w:tc>
        <w:tc>
          <w:tcPr>
            <w:tcW w:w="260" w:type="dxa"/>
            <w:vAlign w:val="bottom"/>
            <w:tcBorders>
              <w:bottom w:val="single" w:sz="8" w:color="808080"/>
            </w:tcBorders>
            <w:shd w:val="clear" w:color="auto" w:fill="808080"/>
          </w:tcPr>
          <w:p>
            <w:pPr>
              <w:spacing w:after="0"/>
              <w:rPr>
                <w:sz w:val="3"/>
                <w:szCs w:val="3"/>
                <w:color w:val="auto"/>
              </w:rPr>
            </w:pPr>
          </w:p>
        </w:tc>
        <w:tc>
          <w:tcPr>
            <w:tcW w:w="120" w:type="dxa"/>
            <w:vAlign w:val="bottom"/>
            <w:tcBorders>
              <w:bottom w:val="single" w:sz="8" w:color="808080"/>
            </w:tcBorders>
            <w:shd w:val="clear" w:color="auto" w:fill="808080"/>
          </w:tcPr>
          <w:p>
            <w:pPr>
              <w:spacing w:after="0"/>
              <w:rPr>
                <w:sz w:val="3"/>
                <w:szCs w:val="3"/>
                <w:color w:val="auto"/>
              </w:rPr>
            </w:pPr>
          </w:p>
        </w:tc>
        <w:tc>
          <w:tcPr>
            <w:tcW w:w="220" w:type="dxa"/>
            <w:vAlign w:val="bottom"/>
            <w:shd w:val="clear" w:color="auto" w:fill="EEEEEE"/>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8080" w:type="dxa"/>
            <w:vAlign w:val="bottom"/>
            <w:gridSpan w:val="2"/>
          </w:tcPr>
          <w:p>
            <w:pPr>
              <w:spacing w:after="0"/>
              <w:rPr>
                <w:sz w:val="20"/>
                <w:szCs w:val="20"/>
                <w:color w:val="auto"/>
              </w:rPr>
            </w:pPr>
            <w:r>
              <w:rPr>
                <w:rFonts w:ascii="Arial" w:cs="Arial" w:eastAsia="Arial" w:hAnsi="Arial"/>
                <w:sz w:val="18"/>
                <w:szCs w:val="18"/>
                <w:b w:val="1"/>
                <w:bCs w:val="1"/>
                <w:color w:val="auto"/>
              </w:rPr>
              <w:t>Recycling Segment Supplemental Data (c)</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Operating revenues</w:t>
            </w:r>
          </w:p>
        </w:tc>
        <w:tc>
          <w:tcPr>
            <w:tcW w:w="200" w:type="dxa"/>
            <w:vAlign w:val="bottom"/>
            <w:tcBorders>
              <w:right w:val="single" w:sz="8" w:color="EEEEEE"/>
            </w:tcBorders>
            <w:shd w:val="clear" w:color="auto" w:fill="EEEEEE"/>
          </w:tcPr>
          <w:p>
            <w:pPr>
              <w:ind w:left="10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167</w:t>
            </w:r>
          </w:p>
        </w:tc>
        <w:tc>
          <w:tcPr>
            <w:tcW w:w="220" w:type="dxa"/>
            <w:vAlign w:val="bottom"/>
            <w:shd w:val="clear" w:color="auto" w:fill="EEEEEE"/>
          </w:tcPr>
          <w:p>
            <w:pPr>
              <w:spacing w:after="0"/>
              <w:rPr>
                <w:sz w:val="18"/>
                <w:szCs w:val="18"/>
                <w:color w:val="auto"/>
              </w:rPr>
            </w:pPr>
          </w:p>
        </w:tc>
        <w:tc>
          <w:tcPr>
            <w:tcW w:w="720" w:type="dxa"/>
            <w:vAlign w:val="bottom"/>
            <w:gridSpan w:val="5"/>
            <w:shd w:val="clear" w:color="auto" w:fill="EEEEEE"/>
          </w:tcPr>
          <w:p>
            <w:pPr>
              <w:jc w:val="center"/>
              <w:ind w:left="393"/>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148</w:t>
            </w:r>
          </w:p>
        </w:tc>
        <w:tc>
          <w:tcPr>
            <w:tcW w:w="320" w:type="dxa"/>
            <w:vAlign w:val="bottom"/>
            <w:shd w:val="clear" w:color="auto" w:fill="EEEEEE"/>
          </w:tcPr>
          <w:p>
            <w:pPr>
              <w:spacing w:after="0"/>
              <w:rPr>
                <w:sz w:val="18"/>
                <w:szCs w:val="18"/>
                <w:color w:val="auto"/>
              </w:rPr>
            </w:pPr>
          </w:p>
        </w:tc>
        <w:tc>
          <w:tcPr>
            <w:tcW w:w="540" w:type="dxa"/>
            <w:vAlign w:val="bottom"/>
            <w:tcBorders>
              <w:right w:val="single" w:sz="8" w:color="EEEEEE"/>
            </w:tcBorders>
            <w:gridSpan w:val="3"/>
            <w:shd w:val="clear" w:color="auto" w:fill="EEEEEE"/>
          </w:tcPr>
          <w:p>
            <w:pPr>
              <w:ind w:left="42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130</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60" w:type="dxa"/>
            <w:vAlign w:val="bottom"/>
            <w:tcBorders>
              <w:top w:val="single" w:sz="8" w:color="EEEEEE"/>
            </w:tcBorders>
          </w:tcPr>
          <w:p>
            <w:pPr>
              <w:spacing w:after="0"/>
              <w:rPr>
                <w:sz w:val="3"/>
                <w:szCs w:val="3"/>
                <w:color w:val="auto"/>
              </w:rPr>
            </w:pPr>
          </w:p>
        </w:tc>
        <w:tc>
          <w:tcPr>
            <w:tcW w:w="200" w:type="dxa"/>
            <w:vAlign w:val="bottom"/>
            <w:tcBorders>
              <w:top w:val="single" w:sz="8" w:color="EEEEEE"/>
              <w:right w:val="single" w:sz="8" w:color="808080"/>
            </w:tcBorders>
          </w:tcPr>
          <w:p>
            <w:pPr>
              <w:spacing w:after="0"/>
              <w:rPr>
                <w:sz w:val="3"/>
                <w:szCs w:val="3"/>
                <w:color w:val="auto"/>
              </w:rPr>
            </w:pPr>
          </w:p>
        </w:tc>
        <w:tc>
          <w:tcPr>
            <w:tcW w:w="400" w:type="dxa"/>
            <w:vAlign w:val="bottom"/>
            <w:tcBorders>
              <w:top w:val="single" w:sz="8" w:color="808080"/>
            </w:tcBorders>
            <w:shd w:val="clear" w:color="auto" w:fill="808080"/>
          </w:tcPr>
          <w:p>
            <w:pPr>
              <w:spacing w:after="0"/>
              <w:rPr>
                <w:sz w:val="3"/>
                <w:szCs w:val="3"/>
                <w:color w:val="auto"/>
              </w:rPr>
            </w:pPr>
          </w:p>
        </w:tc>
        <w:tc>
          <w:tcPr>
            <w:tcW w:w="220" w:type="dxa"/>
            <w:vAlign w:val="bottom"/>
            <w:tcBorders>
              <w:top w:val="single" w:sz="8" w:color="EEEEEE"/>
            </w:tcBorders>
          </w:tcPr>
          <w:p>
            <w:pPr>
              <w:spacing w:after="0"/>
              <w:rPr>
                <w:sz w:val="3"/>
                <w:szCs w:val="3"/>
                <w:color w:val="auto"/>
              </w:rPr>
            </w:pPr>
          </w:p>
        </w:tc>
        <w:tc>
          <w:tcPr>
            <w:tcW w:w="18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gridSpan w:val="2"/>
          </w:tcPr>
          <w:p>
            <w:pPr>
              <w:spacing w:after="0"/>
              <w:rPr>
                <w:sz w:val="3"/>
                <w:szCs w:val="3"/>
                <w:color w:val="auto"/>
              </w:rPr>
            </w:pPr>
          </w:p>
        </w:tc>
        <w:tc>
          <w:tcPr>
            <w:tcW w:w="260" w:type="dxa"/>
            <w:vAlign w:val="bottom"/>
            <w:tcBorders>
              <w:top w:val="single" w:sz="8" w:color="EEEEEE"/>
            </w:tcBorders>
          </w:tcPr>
          <w:p>
            <w:pPr>
              <w:spacing w:after="0"/>
              <w:rPr>
                <w:sz w:val="3"/>
                <w:szCs w:val="3"/>
                <w:color w:val="auto"/>
              </w:rPr>
            </w:pPr>
          </w:p>
        </w:tc>
        <w:tc>
          <w:tcPr>
            <w:tcW w:w="80" w:type="dxa"/>
            <w:vAlign w:val="bottom"/>
            <w:tcBorders>
              <w:top w:val="single" w:sz="8" w:color="808080"/>
            </w:tcBorders>
            <w:shd w:val="clear" w:color="auto" w:fill="808080"/>
          </w:tcPr>
          <w:p>
            <w:pPr>
              <w:spacing w:after="0"/>
              <w:rPr>
                <w:sz w:val="3"/>
                <w:szCs w:val="3"/>
                <w:color w:val="auto"/>
              </w:rPr>
            </w:pPr>
          </w:p>
        </w:tc>
        <w:tc>
          <w:tcPr>
            <w:tcW w:w="40" w:type="dxa"/>
            <w:vAlign w:val="bottom"/>
            <w:tcBorders>
              <w:top w:val="single" w:sz="8" w:color="808080"/>
            </w:tcBorders>
            <w:shd w:val="clear" w:color="auto" w:fill="808080"/>
          </w:tcPr>
          <w:p>
            <w:pPr>
              <w:spacing w:after="0"/>
              <w:rPr>
                <w:sz w:val="3"/>
                <w:szCs w:val="3"/>
                <w:color w:val="auto"/>
              </w:rPr>
            </w:pPr>
          </w:p>
        </w:tc>
        <w:tc>
          <w:tcPr>
            <w:tcW w:w="300" w:type="dxa"/>
            <w:vAlign w:val="bottom"/>
            <w:tcBorders>
              <w:top w:val="single" w:sz="8" w:color="808080"/>
              <w:right w:val="single" w:sz="8" w:color="808080"/>
            </w:tcBorders>
            <w:shd w:val="clear" w:color="auto" w:fill="808080"/>
          </w:tcPr>
          <w:p>
            <w:pPr>
              <w:spacing w:after="0"/>
              <w:rPr>
                <w:sz w:val="3"/>
                <w:szCs w:val="3"/>
                <w:color w:val="auto"/>
              </w:rPr>
            </w:pPr>
          </w:p>
        </w:tc>
        <w:tc>
          <w:tcPr>
            <w:tcW w:w="320" w:type="dxa"/>
            <w:vAlign w:val="bottom"/>
            <w:tcBorders>
              <w:top w:val="single" w:sz="8" w:color="EEEEEE"/>
            </w:tcBorders>
          </w:tcPr>
          <w:p>
            <w:pPr>
              <w:spacing w:after="0"/>
              <w:rPr>
                <w:sz w:val="3"/>
                <w:szCs w:val="3"/>
                <w:color w:val="auto"/>
              </w:rPr>
            </w:pPr>
          </w:p>
        </w:tc>
        <w:tc>
          <w:tcPr>
            <w:tcW w:w="240" w:type="dxa"/>
            <w:vAlign w:val="bottom"/>
            <w:tcBorders>
              <w:top w:val="single" w:sz="8" w:color="EEEEEE"/>
            </w:tcBorders>
          </w:tcPr>
          <w:p>
            <w:pPr>
              <w:spacing w:after="0"/>
              <w:rPr>
                <w:sz w:val="3"/>
                <w:szCs w:val="3"/>
                <w:color w:val="auto"/>
              </w:rPr>
            </w:pPr>
          </w:p>
        </w:tc>
        <w:tc>
          <w:tcPr>
            <w:tcW w:w="300" w:type="dxa"/>
            <w:vAlign w:val="bottom"/>
            <w:tcBorders>
              <w:top w:val="single" w:sz="8" w:color="EEEEEE"/>
              <w:right w:val="single" w:sz="8" w:color="808080"/>
            </w:tcBorders>
            <w:gridSpan w:val="2"/>
          </w:tcPr>
          <w:p>
            <w:pPr>
              <w:spacing w:after="0"/>
              <w:rPr>
                <w:sz w:val="3"/>
                <w:szCs w:val="3"/>
                <w:color w:val="auto"/>
              </w:rPr>
            </w:pPr>
          </w:p>
        </w:tc>
        <w:tc>
          <w:tcPr>
            <w:tcW w:w="260" w:type="dxa"/>
            <w:vAlign w:val="bottom"/>
            <w:tcBorders>
              <w:top w:val="single" w:sz="8" w:color="808080"/>
            </w:tcBorders>
            <w:shd w:val="clear" w:color="auto" w:fill="808080"/>
          </w:tcPr>
          <w:p>
            <w:pPr>
              <w:spacing w:after="0"/>
              <w:rPr>
                <w:sz w:val="3"/>
                <w:szCs w:val="3"/>
                <w:color w:val="auto"/>
              </w:rPr>
            </w:pPr>
          </w:p>
        </w:tc>
        <w:tc>
          <w:tcPr>
            <w:tcW w:w="120" w:type="dxa"/>
            <w:vAlign w:val="bottom"/>
            <w:tcBorders>
              <w:top w:val="single" w:sz="8" w:color="808080"/>
            </w:tcBorders>
            <w:shd w:val="clear" w:color="auto" w:fill="808080"/>
          </w:tcPr>
          <w:p>
            <w:pPr>
              <w:spacing w:after="0"/>
              <w:rPr>
                <w:sz w:val="3"/>
                <w:szCs w:val="3"/>
                <w:color w:val="auto"/>
              </w:rPr>
            </w:pPr>
          </w:p>
        </w:tc>
        <w:tc>
          <w:tcPr>
            <w:tcW w:w="220" w:type="dxa"/>
            <w:vAlign w:val="bottom"/>
            <w:tcBorders>
              <w:top w:val="single" w:sz="8" w:color="EEEEEE"/>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60" w:type="dxa"/>
            <w:vAlign w:val="bottom"/>
          </w:tcPr>
          <w:p>
            <w:pPr>
              <w:ind w:left="120"/>
              <w:spacing w:after="0"/>
              <w:rPr>
                <w:sz w:val="20"/>
                <w:szCs w:val="20"/>
                <w:color w:val="auto"/>
              </w:rPr>
            </w:pPr>
            <w:r>
              <w:rPr>
                <w:rFonts w:ascii="Arial" w:cs="Arial" w:eastAsia="Arial" w:hAnsi="Arial"/>
                <w:sz w:val="18"/>
                <w:szCs w:val="18"/>
                <w:color w:val="auto"/>
              </w:rPr>
              <w:t>Operating expenses (exclusive of depreciation and amortization)</w:t>
            </w:r>
          </w:p>
        </w:tc>
        <w:tc>
          <w:tcPr>
            <w:tcW w:w="20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144</w:t>
            </w:r>
          </w:p>
        </w:tc>
        <w:tc>
          <w:tcPr>
            <w:tcW w:w="220" w:type="dxa"/>
            <w:vAlign w:val="bottom"/>
          </w:tcPr>
          <w:p>
            <w:pPr>
              <w:spacing w:after="0"/>
              <w:rPr>
                <w:sz w:val="20"/>
                <w:szCs w:val="20"/>
                <w:color w:val="auto"/>
              </w:rPr>
            </w:pPr>
          </w:p>
        </w:tc>
        <w:tc>
          <w:tcPr>
            <w:tcW w:w="720" w:type="dxa"/>
            <w:vAlign w:val="bottom"/>
            <w:gridSpan w:val="5"/>
          </w:tcPr>
          <w:p>
            <w:pPr>
              <w:jc w:val="center"/>
              <w:ind w:left="393"/>
              <w:spacing w:after="0"/>
              <w:rPr>
                <w:sz w:val="20"/>
                <w:szCs w:val="20"/>
                <w:color w:val="auto"/>
              </w:rPr>
            </w:pPr>
            <w:r>
              <w:rPr>
                <w:rFonts w:ascii="Arial" w:cs="Arial" w:eastAsia="Arial" w:hAnsi="Arial"/>
                <w:sz w:val="18"/>
                <w:szCs w:val="18"/>
                <w:color w:val="auto"/>
                <w:w w:val="79"/>
              </w:rPr>
              <w:t>$</w:t>
            </w:r>
          </w:p>
        </w:tc>
        <w:tc>
          <w:tcPr>
            <w:tcW w:w="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6"/>
              </w:rPr>
              <w:t>130</w:t>
            </w:r>
          </w:p>
        </w:tc>
        <w:tc>
          <w:tcPr>
            <w:tcW w:w="320" w:type="dxa"/>
            <w:vAlign w:val="bottom"/>
          </w:tcPr>
          <w:p>
            <w:pPr>
              <w:spacing w:after="0"/>
              <w:rPr>
                <w:sz w:val="20"/>
                <w:szCs w:val="20"/>
                <w:color w:val="auto"/>
              </w:rPr>
            </w:pPr>
          </w:p>
        </w:tc>
        <w:tc>
          <w:tcPr>
            <w:tcW w:w="540" w:type="dxa"/>
            <w:vAlign w:val="bottom"/>
            <w:gridSpan w:val="3"/>
          </w:tcPr>
          <w:p>
            <w:pPr>
              <w:ind w:left="420"/>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6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40" w:type="dxa"/>
            <w:vAlign w:val="bottom"/>
            <w:tcBorders>
              <w:right w:val="single" w:sz="8" w:color="808080"/>
            </w:tcBorders>
            <w:gridSpan w:val="2"/>
            <w:shd w:val="clear" w:color="auto" w:fill="808080"/>
          </w:tcPr>
          <w:p>
            <w:pPr>
              <w:spacing w:after="0"/>
              <w:rPr>
                <w:sz w:val="5"/>
                <w:szCs w:val="5"/>
                <w:color w:val="auto"/>
              </w:rPr>
            </w:pPr>
          </w:p>
        </w:tc>
        <w:tc>
          <w:tcPr>
            <w:tcW w:w="560" w:type="dxa"/>
            <w:vAlign w:val="bottom"/>
            <w:gridSpan w:val="2"/>
          </w:tcPr>
          <w:p>
            <w:pPr>
              <w:spacing w:after="0"/>
              <w:rPr>
                <w:sz w:val="5"/>
                <w:szCs w:val="5"/>
                <w:color w:val="auto"/>
              </w:rPr>
            </w:pPr>
          </w:p>
        </w:tc>
        <w:tc>
          <w:tcPr>
            <w:tcW w:w="300" w:type="dxa"/>
            <w:vAlign w:val="bottom"/>
            <w:tcBorders>
              <w:right w:val="single" w:sz="8" w:color="808080"/>
            </w:tcBorders>
            <w:gridSpan w:val="2"/>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40" w:type="dxa"/>
            <w:vAlign w:val="bottom"/>
            <w:gridSpan w:val="11"/>
          </w:tcPr>
          <w:p>
            <w:pPr>
              <w:jc w:val="right"/>
              <w:ind w:right="340"/>
              <w:spacing w:after="0"/>
              <w:rPr>
                <w:sz w:val="20"/>
                <w:szCs w:val="20"/>
                <w:color w:val="auto"/>
              </w:rPr>
            </w:pPr>
            <w:r>
              <w:rPr>
                <w:rFonts w:ascii="Arial" w:cs="Arial" w:eastAsia="Arial" w:hAnsi="Arial"/>
                <w:sz w:val="14"/>
                <w:szCs w:val="14"/>
                <w:b w:val="1"/>
                <w:bCs w:val="1"/>
                <w:color w:val="auto"/>
              </w:rPr>
              <w:t>Quarters Ended March 31,</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Borders>
              <w:bottom w:val="single" w:sz="8" w:color="808080"/>
            </w:tcBorders>
            <w:gridSpan w:val="2"/>
          </w:tcPr>
          <w:p>
            <w:pPr>
              <w:spacing w:after="0"/>
              <w:rPr>
                <w:sz w:val="4"/>
                <w:szCs w:val="4"/>
                <w:color w:val="auto"/>
              </w:rPr>
            </w:pPr>
          </w:p>
        </w:tc>
        <w:tc>
          <w:tcPr>
            <w:tcW w:w="340" w:type="dxa"/>
            <w:vAlign w:val="bottom"/>
            <w:tcBorders>
              <w:bottom w:val="single" w:sz="8" w:color="808080"/>
            </w:tcBorders>
            <w:gridSpan w:val="2"/>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gridSpan w:val="6"/>
          </w:tcPr>
          <w:p>
            <w:pPr>
              <w:jc w:val="center"/>
              <w:ind w:left="393"/>
              <w:spacing w:after="0"/>
              <w:rPr>
                <w:sz w:val="20"/>
                <w:szCs w:val="20"/>
                <w:color w:val="auto"/>
              </w:rPr>
            </w:pPr>
            <w:r>
              <w:rPr>
                <w:rFonts w:ascii="Arial" w:cs="Arial" w:eastAsia="Arial" w:hAnsi="Arial"/>
                <w:sz w:val="14"/>
                <w:szCs w:val="14"/>
                <w:b w:val="1"/>
                <w:bCs w:val="1"/>
                <w:color w:val="auto"/>
                <w:w w:val="89"/>
              </w:rPr>
              <w:t>2004</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9"/>
              </w:rPr>
              <w:t>2003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Free Cash Flow Analysis (d)</w:t>
            </w:r>
          </w:p>
        </w:tc>
        <w:tc>
          <w:tcPr>
            <w:tcW w:w="2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5"/>
          </w:tcPr>
          <w:p>
            <w:pPr>
              <w:jc w:val="right"/>
              <w:spacing w:after="0"/>
              <w:rPr>
                <w:sz w:val="20"/>
                <w:szCs w:val="20"/>
                <w:color w:val="auto"/>
              </w:rPr>
            </w:pPr>
            <w:r>
              <w:rPr>
                <w:rFonts w:ascii="Arial" w:cs="Arial" w:eastAsia="Arial" w:hAnsi="Arial"/>
                <w:sz w:val="18"/>
                <w:szCs w:val="18"/>
                <w:color w:val="auto"/>
              </w:rPr>
              <w:t>$ 470</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$ 429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EEEEEE"/>
          </w:tcPr>
          <w:p>
            <w:pPr>
              <w:spacing w:after="0"/>
              <w:rPr>
                <w:sz w:val="20"/>
                <w:szCs w:val="20"/>
                <w:color w:val="auto"/>
              </w:rPr>
            </w:pPr>
            <w:r>
              <w:rPr>
                <w:rFonts w:ascii="Arial" w:cs="Arial" w:eastAsia="Arial" w:hAnsi="Arial"/>
                <w:sz w:val="18"/>
                <w:szCs w:val="18"/>
                <w:color w:val="auto"/>
              </w:rPr>
              <w:t>Capital expenditures</w:t>
            </w:r>
          </w:p>
        </w:tc>
        <w:tc>
          <w:tcPr>
            <w:tcW w:w="2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60" w:type="dxa"/>
            <w:vAlign w:val="bottom"/>
            <w:tcBorders>
              <w:right w:val="single" w:sz="8" w:color="EEEEEE"/>
            </w:tcBorders>
            <w:gridSpan w:val="7"/>
            <w:shd w:val="clear" w:color="auto" w:fill="EEEEEE"/>
          </w:tcPr>
          <w:p>
            <w:pPr>
              <w:jc w:val="right"/>
              <w:ind w:right="190"/>
              <w:spacing w:after="0"/>
              <w:rPr>
                <w:sz w:val="20"/>
                <w:szCs w:val="20"/>
                <w:color w:val="auto"/>
              </w:rPr>
            </w:pPr>
            <w:r>
              <w:rPr>
                <w:rFonts w:ascii="Arial" w:cs="Arial" w:eastAsia="Arial" w:hAnsi="Arial"/>
                <w:sz w:val="18"/>
                <w:szCs w:val="18"/>
                <w:color w:val="auto"/>
              </w:rPr>
              <w:t>(181)</w:t>
            </w:r>
          </w:p>
        </w:tc>
        <w:tc>
          <w:tcPr>
            <w:tcW w:w="320" w:type="dxa"/>
            <w:vAlign w:val="bottom"/>
            <w:shd w:val="clear" w:color="auto" w:fill="EEEEEE"/>
          </w:tcPr>
          <w:p>
            <w:pPr>
              <w:spacing w:after="0"/>
              <w:rPr>
                <w:sz w:val="18"/>
                <w:szCs w:val="18"/>
                <w:color w:val="auto"/>
              </w:rPr>
            </w:pPr>
          </w:p>
        </w:tc>
        <w:tc>
          <w:tcPr>
            <w:tcW w:w="920" w:type="dxa"/>
            <w:vAlign w:val="bottom"/>
            <w:gridSpan w:val="5"/>
            <w:shd w:val="clear" w:color="auto" w:fill="EEEEEE"/>
          </w:tcPr>
          <w:p>
            <w:pPr>
              <w:jc w:val="right"/>
              <w:ind w:right="60"/>
              <w:spacing w:after="0"/>
              <w:rPr>
                <w:sz w:val="20"/>
                <w:szCs w:val="20"/>
                <w:color w:val="auto"/>
              </w:rPr>
            </w:pPr>
            <w:r>
              <w:rPr>
                <w:rFonts w:ascii="Arial" w:cs="Arial" w:eastAsia="Arial" w:hAnsi="Arial"/>
                <w:sz w:val="18"/>
                <w:szCs w:val="18"/>
                <w:color w:val="auto"/>
              </w:rPr>
              <w:t>(212)</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Proceeds from divestitures of businesses, net of cash divested, and other sales of assets</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5"/>
          </w:tcPr>
          <w:p>
            <w:pPr>
              <w:jc w:val="right"/>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808080"/>
            </w:tcBorders>
          </w:tcPr>
          <w:p>
            <w:pPr>
              <w:spacing w:after="0" w:line="20" w:lineRule="exact"/>
              <w:rPr>
                <w:sz w:val="1"/>
                <w:szCs w:val="1"/>
                <w:color w:val="auto"/>
              </w:rPr>
            </w:pPr>
          </w:p>
        </w:tc>
        <w:tc>
          <w:tcPr>
            <w:tcW w:w="80" w:type="dxa"/>
            <w:vAlign w:val="bottom"/>
            <w:tcBorders>
              <w:top w:val="single" w:sz="8" w:color="80808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8060" w:type="dxa"/>
            <w:vAlign w:val="bottom"/>
            <w:shd w:val="clear" w:color="auto" w:fill="EEEEEE"/>
          </w:tcPr>
          <w:p>
            <w:pPr>
              <w:spacing w:after="0"/>
              <w:rPr>
                <w:sz w:val="20"/>
                <w:szCs w:val="20"/>
                <w:color w:val="auto"/>
              </w:rPr>
            </w:pPr>
            <w:r>
              <w:rPr>
                <w:rFonts w:ascii="Arial" w:cs="Arial" w:eastAsia="Arial" w:hAnsi="Arial"/>
                <w:sz w:val="18"/>
                <w:szCs w:val="18"/>
                <w:color w:val="auto"/>
              </w:rPr>
              <w:t>Free cash flow</w:t>
            </w:r>
          </w:p>
        </w:tc>
        <w:tc>
          <w:tcPr>
            <w:tcW w:w="2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2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$ 311</w:t>
            </w:r>
          </w:p>
        </w:tc>
        <w:tc>
          <w:tcPr>
            <w:tcW w:w="4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$ 233</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6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400" w:type="dxa"/>
            <w:vAlign w:val="bottom"/>
            <w:tcBorders>
              <w:top w:val="single" w:sz="8" w:color="EEEEEE"/>
            </w:tcBorders>
          </w:tcPr>
          <w:p>
            <w:pPr>
              <w:spacing w:after="0"/>
              <w:rPr>
                <w:sz w:val="3"/>
                <w:szCs w:val="3"/>
                <w:color w:val="auto"/>
              </w:rPr>
            </w:pPr>
          </w:p>
        </w:tc>
        <w:tc>
          <w:tcPr>
            <w:tcW w:w="220" w:type="dxa"/>
            <w:vAlign w:val="bottom"/>
            <w:tcBorders>
              <w:top w:val="single" w:sz="8" w:color="EEEEEE"/>
            </w:tcBorders>
          </w:tcPr>
          <w:p>
            <w:pPr>
              <w:spacing w:after="0"/>
              <w:rPr>
                <w:sz w:val="3"/>
                <w:szCs w:val="3"/>
                <w:color w:val="auto"/>
              </w:rPr>
            </w:pPr>
          </w:p>
        </w:tc>
        <w:tc>
          <w:tcPr>
            <w:tcW w:w="18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260" w:type="dxa"/>
            <w:vAlign w:val="bottom"/>
            <w:tcBorders>
              <w:top w:val="single" w:sz="8" w:color="808080"/>
            </w:tcBorders>
            <w:shd w:val="clear" w:color="auto" w:fill="808080"/>
          </w:tcPr>
          <w:p>
            <w:pPr>
              <w:spacing w:after="0"/>
              <w:rPr>
                <w:sz w:val="3"/>
                <w:szCs w:val="3"/>
                <w:color w:val="auto"/>
              </w:rPr>
            </w:pPr>
          </w:p>
        </w:tc>
        <w:tc>
          <w:tcPr>
            <w:tcW w:w="80" w:type="dxa"/>
            <w:vAlign w:val="bottom"/>
            <w:tcBorders>
              <w:top w:val="single" w:sz="8" w:color="808080"/>
            </w:tcBorders>
            <w:shd w:val="clear" w:color="auto" w:fill="808080"/>
          </w:tcPr>
          <w:p>
            <w:pPr>
              <w:spacing w:after="0"/>
              <w:rPr>
                <w:sz w:val="3"/>
                <w:szCs w:val="3"/>
                <w:color w:val="auto"/>
              </w:rPr>
            </w:pPr>
          </w:p>
        </w:tc>
        <w:tc>
          <w:tcPr>
            <w:tcW w:w="4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320" w:type="dxa"/>
            <w:vAlign w:val="bottom"/>
            <w:tcBorders>
              <w:top w:val="single" w:sz="8" w:color="EEEEEE"/>
            </w:tcBorders>
          </w:tcPr>
          <w:p>
            <w:pPr>
              <w:spacing w:after="0"/>
              <w:rPr>
                <w:sz w:val="3"/>
                <w:szCs w:val="3"/>
                <w:color w:val="auto"/>
              </w:rPr>
            </w:pPr>
          </w:p>
        </w:tc>
        <w:tc>
          <w:tcPr>
            <w:tcW w:w="24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220" w:type="dxa"/>
            <w:vAlign w:val="bottom"/>
            <w:tcBorders>
              <w:top w:val="single" w:sz="8" w:color="EEEEEE"/>
              <w:right w:val="single" w:sz="8" w:color="808080"/>
            </w:tcBorders>
          </w:tcPr>
          <w:p>
            <w:pPr>
              <w:spacing w:after="0"/>
              <w:rPr>
                <w:sz w:val="3"/>
                <w:szCs w:val="3"/>
                <w:color w:val="auto"/>
              </w:rPr>
            </w:pPr>
          </w:p>
        </w:tc>
        <w:tc>
          <w:tcPr>
            <w:tcW w:w="260" w:type="dxa"/>
            <w:vAlign w:val="bottom"/>
            <w:tcBorders>
              <w:top w:val="single" w:sz="8" w:color="808080"/>
            </w:tcBorders>
            <w:shd w:val="clear" w:color="auto" w:fill="808080"/>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220" w:type="dxa"/>
            <w:vAlign w:val="bottom"/>
            <w:tcBorders>
              <w:top w:val="single" w:sz="8" w:color="EEEEEE"/>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460" w:right="220" w:hanging="452"/>
        <w:spacing w:after="0" w:line="259"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Effective January 1, 2004, revenues and operating expenses have increased as a result of recording certain mandatory fees and taxes that have historically been treated as pass through items on the balance sheet that actually represent direct obligations of the Company. Please note we have conformed the prior year presentation of our revenues with the current year’s presentation by increasing revenues $18 million and $16 million for the quarters ended December 31, 2003 and March 31, 2003, respectively.</w:t>
      </w:r>
    </w:p>
    <w:p>
      <w:pPr>
        <w:spacing w:after="0" w:line="186"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amounts associated with business acquisitions consummated during the indicated periods.</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Information provided is after the elimination of intercompany revenues and related expenses.</w:t>
      </w:r>
    </w:p>
    <w:p>
      <w:pPr>
        <w:spacing w:after="0" w:line="225" w:lineRule="exact"/>
        <w:rPr>
          <w:rFonts w:ascii="Arial" w:cs="Arial" w:eastAsia="Arial" w:hAnsi="Arial"/>
          <w:sz w:val="18"/>
          <w:szCs w:val="18"/>
          <w:color w:val="auto"/>
        </w:rPr>
      </w:pPr>
    </w:p>
    <w:p>
      <w:pPr>
        <w:ind w:left="460" w:right="80" w:hanging="452"/>
        <w:spacing w:after="0" w:line="26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summary of free cash flows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Quarters Ended</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900" w:type="dxa"/>
            <w:vAlign w:val="bottom"/>
          </w:tcPr>
          <w:p>
            <w:pPr>
              <w:spacing w:after="0"/>
              <w:rPr>
                <w:sz w:val="4"/>
                <w:szCs w:val="4"/>
                <w:color w:val="auto"/>
              </w:rPr>
            </w:pPr>
          </w:p>
        </w:tc>
        <w:tc>
          <w:tcPr>
            <w:tcW w:w="2660" w:type="dxa"/>
            <w:vAlign w:val="bottom"/>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7"/>
                <w:szCs w:val="17"/>
                <w:color w:val="auto"/>
              </w:rPr>
            </w:pPr>
          </w:p>
        </w:tc>
        <w:tc>
          <w:tcPr>
            <w:tcW w:w="1200" w:type="dxa"/>
            <w:vAlign w:val="bottom"/>
            <w:gridSpan w:val="3"/>
          </w:tcPr>
          <w:p>
            <w:pPr>
              <w:ind w:left="18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7"/>
                <w:szCs w:val="17"/>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900" w:type="dxa"/>
            <w:vAlign w:val="bottom"/>
          </w:tcPr>
          <w:p>
            <w:pPr>
              <w:spacing w:after="0"/>
              <w:rPr>
                <w:sz w:val="4"/>
                <w:szCs w:val="4"/>
                <w:color w:val="auto"/>
              </w:rPr>
            </w:pPr>
          </w:p>
        </w:tc>
        <w:tc>
          <w:tcPr>
            <w:tcW w:w="2660" w:type="dxa"/>
            <w:vAlign w:val="bottom"/>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900" w:type="dxa"/>
            <w:vAlign w:val="bottom"/>
          </w:tcPr>
          <w:p>
            <w:pPr>
              <w:spacing w:after="0"/>
              <w:rPr>
                <w:sz w:val="6"/>
                <w:szCs w:val="6"/>
                <w:color w:val="auto"/>
              </w:rPr>
            </w:pPr>
          </w:p>
        </w:tc>
        <w:tc>
          <w:tcPr>
            <w:tcW w:w="2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Balance Sheet Data</w:t>
            </w:r>
          </w:p>
        </w:tc>
        <w:tc>
          <w:tcPr>
            <w:tcW w:w="266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689</w:t>
            </w:r>
          </w:p>
        </w:tc>
        <w:tc>
          <w:tcPr>
            <w:tcW w:w="320" w:type="dxa"/>
            <w:vAlign w:val="bottom"/>
          </w:tcPr>
          <w:p>
            <w:pPr>
              <w:spacing w:after="0"/>
              <w:rPr>
                <w:sz w:val="18"/>
                <w:szCs w:val="18"/>
                <w:color w:val="auto"/>
              </w:rPr>
            </w:pP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135</w:t>
            </w:r>
          </w:p>
        </w:tc>
        <w:tc>
          <w:tcPr>
            <w:tcW w:w="4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381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900" w:type="dxa"/>
            <w:vAlign w:val="bottom"/>
          </w:tcPr>
          <w:p>
            <w:pPr>
              <w:spacing w:after="0"/>
              <w:rPr>
                <w:sz w:val="5"/>
                <w:szCs w:val="5"/>
                <w:color w:val="auto"/>
              </w:rPr>
            </w:pPr>
          </w:p>
        </w:tc>
        <w:tc>
          <w:tcPr>
            <w:tcW w:w="266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EEEEEE"/>
          </w:tcPr>
          <w:p>
            <w:pPr>
              <w:spacing w:after="0"/>
              <w:rPr>
                <w:sz w:val="20"/>
                <w:szCs w:val="20"/>
                <w:color w:val="auto"/>
              </w:rPr>
            </w:pPr>
            <w:r>
              <w:rPr>
                <w:rFonts w:ascii="Arial" w:cs="Arial" w:eastAsia="Arial" w:hAnsi="Arial"/>
                <w:sz w:val="18"/>
                <w:szCs w:val="18"/>
                <w:color w:val="auto"/>
              </w:rPr>
              <w:t>Debt-to-total capital ratio:</w:t>
            </w:r>
          </w:p>
        </w:tc>
        <w:tc>
          <w:tcPr>
            <w:tcW w:w="266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20"/>
              <w:spacing w:after="0"/>
              <w:rPr>
                <w:sz w:val="20"/>
                <w:szCs w:val="20"/>
                <w:color w:val="auto"/>
              </w:rPr>
            </w:pPr>
            <w:r>
              <w:rPr>
                <w:rFonts w:ascii="Arial" w:cs="Arial" w:eastAsia="Arial" w:hAnsi="Arial"/>
                <w:sz w:val="18"/>
                <w:szCs w:val="18"/>
                <w:color w:val="auto"/>
              </w:rPr>
              <w:t>Long-term indebtedness, including current maturities</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9,020</w:t>
            </w:r>
          </w:p>
        </w:tc>
        <w:tc>
          <w:tcPr>
            <w:tcW w:w="320" w:type="dxa"/>
            <w:vAlign w:val="bottom"/>
          </w:tcPr>
          <w:p>
            <w:pPr>
              <w:spacing w:after="0"/>
              <w:rPr>
                <w:sz w:val="18"/>
                <w:szCs w:val="18"/>
                <w:color w:val="auto"/>
              </w:rPr>
            </w:pP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8,511</w:t>
            </w:r>
          </w:p>
        </w:tc>
        <w:tc>
          <w:tcPr>
            <w:tcW w:w="4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8,330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Total equity</w:t>
            </w:r>
          </w:p>
        </w:tc>
        <w:tc>
          <w:tcPr>
            <w:tcW w:w="266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5,675</w:t>
            </w: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5,563</w:t>
            </w: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5,344</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900" w:type="dxa"/>
            <w:vAlign w:val="bottom"/>
          </w:tcPr>
          <w:p>
            <w:pPr>
              <w:ind w:left="260"/>
              <w:spacing w:after="0"/>
              <w:rPr>
                <w:sz w:val="20"/>
                <w:szCs w:val="20"/>
                <w:color w:val="auto"/>
              </w:rPr>
            </w:pPr>
            <w:r>
              <w:rPr>
                <w:rFonts w:ascii="Arial" w:cs="Arial" w:eastAsia="Arial" w:hAnsi="Arial"/>
                <w:sz w:val="18"/>
                <w:szCs w:val="18"/>
                <w:color w:val="auto"/>
              </w:rPr>
              <w:t>Total capital</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14,695</w:t>
            </w:r>
          </w:p>
        </w:tc>
        <w:tc>
          <w:tcPr>
            <w:tcW w:w="320" w:type="dxa"/>
            <w:vAlign w:val="bottom"/>
          </w:tcPr>
          <w:p>
            <w:pPr>
              <w:spacing w:after="0"/>
              <w:rPr>
                <w:sz w:val="20"/>
                <w:szCs w:val="20"/>
                <w:color w:val="auto"/>
              </w:rPr>
            </w:pP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14,074</w:t>
            </w:r>
          </w:p>
        </w:tc>
        <w:tc>
          <w:tcPr>
            <w:tcW w:w="42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13,674</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900" w:type="dxa"/>
            <w:vAlign w:val="bottom"/>
          </w:tcPr>
          <w:p>
            <w:pPr>
              <w:spacing w:after="0"/>
              <w:rPr>
                <w:sz w:val="5"/>
                <w:szCs w:val="5"/>
                <w:color w:val="auto"/>
              </w:rPr>
            </w:pPr>
          </w:p>
        </w:tc>
        <w:tc>
          <w:tcPr>
            <w:tcW w:w="266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49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Debt-to-total capital</w:t>
            </w:r>
          </w:p>
        </w:tc>
        <w:tc>
          <w:tcPr>
            <w:tcW w:w="266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8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61.4%</w:t>
            </w:r>
          </w:p>
        </w:tc>
        <w:tc>
          <w:tcPr>
            <w:tcW w:w="3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9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60.5%</w:t>
            </w: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8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4900" w:type="dxa"/>
            <w:vAlign w:val="bottom"/>
            <w:tcBorders>
              <w:top w:val="single" w:sz="8" w:color="EEEEEE"/>
            </w:tcBorders>
          </w:tcPr>
          <w:p>
            <w:pPr>
              <w:spacing w:after="0"/>
              <w:rPr>
                <w:sz w:val="3"/>
                <w:szCs w:val="3"/>
                <w:color w:val="auto"/>
              </w:rPr>
            </w:pPr>
          </w:p>
        </w:tc>
        <w:tc>
          <w:tcPr>
            <w:tcW w:w="2880" w:type="dxa"/>
            <w:vAlign w:val="bottom"/>
            <w:tcBorders>
              <w:top w:val="single" w:sz="8" w:color="EEEEEE"/>
              <w:right w:val="single" w:sz="8" w:color="808080"/>
            </w:tcBorders>
            <w:gridSpan w:val="2"/>
          </w:tcPr>
          <w:p>
            <w:pPr>
              <w:spacing w:after="0"/>
              <w:rPr>
                <w:sz w:val="3"/>
                <w:szCs w:val="3"/>
                <w:color w:val="auto"/>
              </w:rPr>
            </w:pPr>
          </w:p>
        </w:tc>
        <w:tc>
          <w:tcPr>
            <w:tcW w:w="480" w:type="dxa"/>
            <w:vAlign w:val="bottom"/>
            <w:tcBorders>
              <w:top w:val="single" w:sz="8" w:color="808080"/>
            </w:tcBorders>
            <w:shd w:val="clear" w:color="auto" w:fill="808080"/>
          </w:tcPr>
          <w:p>
            <w:pPr>
              <w:spacing w:after="0"/>
              <w:rPr>
                <w:sz w:val="3"/>
                <w:szCs w:val="3"/>
                <w:color w:val="auto"/>
              </w:rPr>
            </w:pPr>
          </w:p>
        </w:tc>
        <w:tc>
          <w:tcPr>
            <w:tcW w:w="320" w:type="dxa"/>
            <w:vAlign w:val="bottom"/>
            <w:tcBorders>
              <w:top w:val="single" w:sz="8" w:color="EEEEEE"/>
            </w:tcBorders>
          </w:tcPr>
          <w:p>
            <w:pPr>
              <w:spacing w:after="0"/>
              <w:rPr>
                <w:sz w:val="3"/>
                <w:szCs w:val="3"/>
                <w:color w:val="auto"/>
              </w:rPr>
            </w:pPr>
          </w:p>
        </w:tc>
        <w:tc>
          <w:tcPr>
            <w:tcW w:w="600" w:type="dxa"/>
            <w:vAlign w:val="bottom"/>
            <w:tcBorders>
              <w:top w:val="single" w:sz="8" w:color="EEEEEE"/>
              <w:right w:val="single" w:sz="8" w:color="808080"/>
            </w:tcBorders>
            <w:gridSpan w:val="2"/>
          </w:tcPr>
          <w:p>
            <w:pPr>
              <w:spacing w:after="0"/>
              <w:rPr>
                <w:sz w:val="3"/>
                <w:szCs w:val="3"/>
                <w:color w:val="auto"/>
              </w:rPr>
            </w:pPr>
          </w:p>
        </w:tc>
        <w:tc>
          <w:tcPr>
            <w:tcW w:w="480" w:type="dxa"/>
            <w:vAlign w:val="bottom"/>
            <w:tcBorders>
              <w:top w:val="single" w:sz="8" w:color="808080"/>
            </w:tcBorders>
            <w:shd w:val="clear" w:color="auto" w:fill="808080"/>
          </w:tcPr>
          <w:p>
            <w:pPr>
              <w:spacing w:after="0"/>
              <w:rPr>
                <w:sz w:val="3"/>
                <w:szCs w:val="3"/>
                <w:color w:val="auto"/>
              </w:rPr>
            </w:pPr>
          </w:p>
        </w:tc>
        <w:tc>
          <w:tcPr>
            <w:tcW w:w="420" w:type="dxa"/>
            <w:vAlign w:val="bottom"/>
            <w:tcBorders>
              <w:top w:val="single" w:sz="8" w:color="EEEEEE"/>
            </w:tcBorders>
          </w:tcPr>
          <w:p>
            <w:pPr>
              <w:spacing w:after="0"/>
              <w:rPr>
                <w:sz w:val="3"/>
                <w:szCs w:val="3"/>
                <w:color w:val="auto"/>
              </w:rPr>
            </w:pPr>
          </w:p>
        </w:tc>
        <w:tc>
          <w:tcPr>
            <w:tcW w:w="520" w:type="dxa"/>
            <w:vAlign w:val="bottom"/>
            <w:tcBorders>
              <w:top w:val="single" w:sz="8" w:color="EEEEEE"/>
              <w:right w:val="single" w:sz="8" w:color="808080"/>
            </w:tcBorders>
            <w:gridSpan w:val="2"/>
          </w:tcPr>
          <w:p>
            <w:pPr>
              <w:spacing w:after="0"/>
              <w:rPr>
                <w:sz w:val="3"/>
                <w:szCs w:val="3"/>
                <w:color w:val="auto"/>
              </w:rPr>
            </w:pPr>
          </w:p>
        </w:tc>
        <w:tc>
          <w:tcPr>
            <w:tcW w:w="480" w:type="dxa"/>
            <w:vAlign w:val="bottom"/>
            <w:tcBorders>
              <w:top w:val="single" w:sz="8" w:color="808080"/>
            </w:tcBorders>
            <w:shd w:val="clear" w:color="auto" w:fill="808080"/>
          </w:tcPr>
          <w:p>
            <w:pPr>
              <w:spacing w:after="0"/>
              <w:rPr>
                <w:sz w:val="3"/>
                <w:szCs w:val="3"/>
                <w:color w:val="auto"/>
              </w:rPr>
            </w:pPr>
          </w:p>
        </w:tc>
        <w:tc>
          <w:tcPr>
            <w:tcW w:w="320" w:type="dxa"/>
            <w:vAlign w:val="bottom"/>
            <w:tcBorders>
              <w:top w:val="single" w:sz="8" w:color="EEEEEE"/>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4920" w:type="dxa"/>
            <w:vAlign w:val="bottom"/>
            <w:gridSpan w:val="2"/>
          </w:tcPr>
          <w:p>
            <w:pPr>
              <w:spacing w:after="0"/>
              <w:rPr>
                <w:sz w:val="20"/>
                <w:szCs w:val="20"/>
                <w:color w:val="auto"/>
              </w:rPr>
            </w:pPr>
            <w:r>
              <w:rPr>
                <w:rFonts w:ascii="Arial" w:cs="Arial" w:eastAsia="Arial" w:hAnsi="Arial"/>
                <w:sz w:val="18"/>
                <w:szCs w:val="18"/>
                <w:color w:val="auto"/>
              </w:rPr>
              <w:t>Capitalized interest</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20"/>
                <w:szCs w:val="20"/>
                <w:color w:val="auto"/>
              </w:rPr>
            </w:pP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42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900" w:type="dxa"/>
            <w:vAlign w:val="bottom"/>
          </w:tcPr>
          <w:p>
            <w:pPr>
              <w:spacing w:after="0"/>
              <w:rPr>
                <w:sz w:val="5"/>
                <w:szCs w:val="5"/>
                <w:color w:val="auto"/>
              </w:rPr>
            </w:pPr>
          </w:p>
        </w:tc>
        <w:tc>
          <w:tcPr>
            <w:tcW w:w="266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Other Operational Data</w:t>
            </w:r>
          </w:p>
        </w:tc>
        <w:tc>
          <w:tcPr>
            <w:tcW w:w="266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Internalization of waste, based on disposal costs</w:t>
            </w:r>
          </w:p>
        </w:tc>
        <w:tc>
          <w:tcPr>
            <w:tcW w:w="2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64.5%</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63.6%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900" w:type="dxa"/>
            <w:vAlign w:val="bottom"/>
          </w:tcPr>
          <w:p>
            <w:pPr>
              <w:spacing w:after="0"/>
              <w:rPr>
                <w:sz w:val="5"/>
                <w:szCs w:val="5"/>
                <w:color w:val="auto"/>
              </w:rPr>
            </w:pPr>
          </w:p>
        </w:tc>
        <w:tc>
          <w:tcPr>
            <w:tcW w:w="266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EEEEEE"/>
          </w:tcPr>
          <w:p>
            <w:pPr>
              <w:spacing w:after="0"/>
              <w:rPr>
                <w:sz w:val="20"/>
                <w:szCs w:val="20"/>
                <w:color w:val="auto"/>
              </w:rPr>
            </w:pPr>
            <w:r>
              <w:rPr>
                <w:rFonts w:ascii="Arial" w:cs="Arial" w:eastAsia="Arial" w:hAnsi="Arial"/>
                <w:sz w:val="18"/>
                <w:szCs w:val="18"/>
                <w:color w:val="auto"/>
              </w:rPr>
              <w:t>Total landfill disposal volumes (tons in millions)</w:t>
            </w:r>
          </w:p>
        </w:tc>
        <w:tc>
          <w:tcPr>
            <w:tcW w:w="266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27.6</w:t>
            </w: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29.4</w:t>
            </w: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25.9</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Total Waste to Energy disposal volumes (tons in millions)</w:t>
            </w:r>
          </w:p>
        </w:tc>
        <w:tc>
          <w:tcPr>
            <w:tcW w:w="2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1.9</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vMerge w:val="continue"/>
          </w:tcPr>
          <w:p>
            <w:pPr>
              <w:spacing w:after="0"/>
              <w:rPr>
                <w:sz w:val="22"/>
                <w:szCs w:val="22"/>
                <w:color w:val="auto"/>
              </w:rPr>
            </w:pPr>
          </w:p>
        </w:tc>
        <w:tc>
          <w:tcPr>
            <w:tcW w:w="490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disposal volumes (tons in millions)</w:t>
            </w:r>
          </w:p>
        </w:tc>
        <w:tc>
          <w:tcPr>
            <w:tcW w:w="2660" w:type="dxa"/>
            <w:vAlign w:val="bottom"/>
            <w:tcBorders>
              <w:bottom w:val="single" w:sz="8" w:color="EEEEEE"/>
            </w:tcBorders>
            <w:shd w:val="clear" w:color="auto" w:fill="EEEEEE"/>
          </w:tcPr>
          <w:p>
            <w:pPr>
              <w:spacing w:after="0"/>
              <w:rPr>
                <w:sz w:val="22"/>
                <w:szCs w:val="22"/>
                <w:color w:val="auto"/>
              </w:rPr>
            </w:pPr>
          </w:p>
        </w:tc>
        <w:tc>
          <w:tcPr>
            <w:tcW w:w="220" w:type="dxa"/>
            <w:vAlign w:val="bottom"/>
            <w:tcBorders>
              <w:bottom w:val="single" w:sz="8" w:color="EEEEEE"/>
              <w:right w:val="single" w:sz="8" w:color="EEEEEE"/>
            </w:tcBorders>
            <w:shd w:val="clear" w:color="auto" w:fill="EEEEEE"/>
          </w:tcPr>
          <w:p>
            <w:pPr>
              <w:spacing w:after="0"/>
              <w:rPr>
                <w:sz w:val="22"/>
                <w:szCs w:val="22"/>
                <w:color w:val="auto"/>
              </w:rPr>
            </w:pPr>
          </w:p>
        </w:tc>
        <w:tc>
          <w:tcPr>
            <w:tcW w:w="4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29.2</w:t>
            </w:r>
          </w:p>
        </w:tc>
        <w:tc>
          <w:tcPr>
            <w:tcW w:w="320" w:type="dxa"/>
            <w:vAlign w:val="bottom"/>
            <w:tcBorders>
              <w:bottom w:val="single" w:sz="8" w:color="EEEEEE"/>
            </w:tcBorders>
            <w:shd w:val="clear" w:color="auto" w:fill="EEEEEE"/>
          </w:tcPr>
          <w:p>
            <w:pPr>
              <w:spacing w:after="0"/>
              <w:rPr>
                <w:sz w:val="22"/>
                <w:szCs w:val="22"/>
                <w:color w:val="auto"/>
              </w:rPr>
            </w:pPr>
          </w:p>
        </w:tc>
        <w:tc>
          <w:tcPr>
            <w:tcW w:w="300" w:type="dxa"/>
            <w:vAlign w:val="bottom"/>
            <w:tcBorders>
              <w:bottom w:val="single" w:sz="8" w:color="EEEEEE"/>
            </w:tcBorders>
            <w:shd w:val="clear" w:color="auto" w:fill="EEEEEE"/>
          </w:tcPr>
          <w:p>
            <w:pPr>
              <w:spacing w:after="0"/>
              <w:rPr>
                <w:sz w:val="22"/>
                <w:szCs w:val="22"/>
                <w:color w:val="auto"/>
              </w:rPr>
            </w:pPr>
          </w:p>
        </w:tc>
        <w:tc>
          <w:tcPr>
            <w:tcW w:w="300" w:type="dxa"/>
            <w:vAlign w:val="bottom"/>
            <w:tcBorders>
              <w:bottom w:val="single" w:sz="8" w:color="EEEEEE"/>
              <w:right w:val="single" w:sz="8" w:color="EEEEEE"/>
            </w:tcBorders>
            <w:shd w:val="clear" w:color="auto" w:fill="EEEEEE"/>
          </w:tcPr>
          <w:p>
            <w:pPr>
              <w:spacing w:after="0"/>
              <w:rPr>
                <w:sz w:val="22"/>
                <w:szCs w:val="22"/>
                <w:color w:val="auto"/>
              </w:rPr>
            </w:pPr>
          </w:p>
        </w:tc>
        <w:tc>
          <w:tcPr>
            <w:tcW w:w="4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31.3</w:t>
            </w:r>
          </w:p>
        </w:tc>
        <w:tc>
          <w:tcPr>
            <w:tcW w:w="420" w:type="dxa"/>
            <w:vAlign w:val="bottom"/>
            <w:tcBorders>
              <w:bottom w:val="single" w:sz="8" w:color="EEEEEE"/>
            </w:tcBorders>
            <w:shd w:val="clear" w:color="auto" w:fill="EEEEEE"/>
          </w:tcPr>
          <w:p>
            <w:pPr>
              <w:spacing w:after="0"/>
              <w:rPr>
                <w:sz w:val="22"/>
                <w:szCs w:val="22"/>
                <w:color w:val="auto"/>
              </w:rPr>
            </w:pPr>
          </w:p>
        </w:tc>
        <w:tc>
          <w:tcPr>
            <w:tcW w:w="300" w:type="dxa"/>
            <w:vAlign w:val="bottom"/>
            <w:tcBorders>
              <w:bottom w:val="single" w:sz="8" w:color="EEEEEE"/>
            </w:tcBorders>
            <w:shd w:val="clear" w:color="auto" w:fill="EEEEEE"/>
          </w:tcPr>
          <w:p>
            <w:pPr>
              <w:spacing w:after="0"/>
              <w:rPr>
                <w:sz w:val="22"/>
                <w:szCs w:val="22"/>
                <w:color w:val="auto"/>
              </w:rPr>
            </w:pPr>
          </w:p>
        </w:tc>
        <w:tc>
          <w:tcPr>
            <w:tcW w:w="220" w:type="dxa"/>
            <w:vAlign w:val="bottom"/>
            <w:tcBorders>
              <w:bottom w:val="single" w:sz="8" w:color="EEEEEE"/>
              <w:right w:val="single" w:sz="8" w:color="EEEEEE"/>
            </w:tcBorders>
            <w:shd w:val="clear" w:color="auto" w:fill="EEEEEE"/>
          </w:tcPr>
          <w:p>
            <w:pPr>
              <w:spacing w:after="0"/>
              <w:rPr>
                <w:sz w:val="22"/>
                <w:szCs w:val="22"/>
                <w:color w:val="auto"/>
              </w:rPr>
            </w:pPr>
          </w:p>
        </w:tc>
        <w:tc>
          <w:tcPr>
            <w:tcW w:w="4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27.8</w:t>
            </w:r>
          </w:p>
        </w:tc>
        <w:tc>
          <w:tcPr>
            <w:tcW w:w="32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920" w:type="dxa"/>
            <w:vAlign w:val="bottom"/>
            <w:gridSpan w:val="2"/>
          </w:tcPr>
          <w:p>
            <w:pPr>
              <w:spacing w:after="0"/>
              <w:rPr>
                <w:sz w:val="20"/>
                <w:szCs w:val="20"/>
                <w:color w:val="auto"/>
              </w:rPr>
            </w:pPr>
            <w:r>
              <w:rPr>
                <w:rFonts w:ascii="Arial" w:cs="Arial" w:eastAsia="Arial" w:hAnsi="Arial"/>
                <w:sz w:val="18"/>
                <w:szCs w:val="18"/>
                <w:color w:val="auto"/>
              </w:rPr>
              <w:t>Active landfills</w:t>
            </w:r>
          </w:p>
        </w:tc>
        <w:tc>
          <w:tcPr>
            <w:tcW w:w="2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289</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289</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290</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900" w:type="dxa"/>
            <w:vAlign w:val="bottom"/>
          </w:tcPr>
          <w:p>
            <w:pPr>
              <w:spacing w:after="0"/>
              <w:rPr>
                <w:sz w:val="5"/>
                <w:szCs w:val="5"/>
                <w:color w:val="auto"/>
              </w:rPr>
            </w:pPr>
          </w:p>
        </w:tc>
        <w:tc>
          <w:tcPr>
            <w:tcW w:w="266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vMerge w:val="continue"/>
          </w:tcPr>
          <w:p>
            <w:pPr>
              <w:spacing w:after="0"/>
              <w:rPr>
                <w:sz w:val="22"/>
                <w:szCs w:val="22"/>
                <w:color w:val="auto"/>
              </w:rPr>
            </w:pPr>
          </w:p>
        </w:tc>
        <w:tc>
          <w:tcPr>
            <w:tcW w:w="490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Landfills reporting volume</w:t>
            </w:r>
          </w:p>
        </w:tc>
        <w:tc>
          <w:tcPr>
            <w:tcW w:w="2660" w:type="dxa"/>
            <w:vAlign w:val="bottom"/>
            <w:tcBorders>
              <w:bottom w:val="single" w:sz="8" w:color="EEEEEE"/>
            </w:tcBorders>
            <w:shd w:val="clear" w:color="auto" w:fill="EEEEEE"/>
          </w:tcPr>
          <w:p>
            <w:pPr>
              <w:spacing w:after="0"/>
              <w:rPr>
                <w:sz w:val="22"/>
                <w:szCs w:val="22"/>
                <w:color w:val="auto"/>
              </w:rPr>
            </w:pPr>
          </w:p>
        </w:tc>
        <w:tc>
          <w:tcPr>
            <w:tcW w:w="220" w:type="dxa"/>
            <w:vAlign w:val="bottom"/>
            <w:tcBorders>
              <w:bottom w:val="single" w:sz="8" w:color="EEEEEE"/>
              <w:right w:val="single" w:sz="8" w:color="EEEEEE"/>
            </w:tcBorders>
            <w:shd w:val="clear" w:color="auto" w:fill="EEEEEE"/>
          </w:tcPr>
          <w:p>
            <w:pPr>
              <w:spacing w:after="0"/>
              <w:rPr>
                <w:sz w:val="22"/>
                <w:szCs w:val="22"/>
                <w:color w:val="auto"/>
              </w:rPr>
            </w:pPr>
          </w:p>
        </w:tc>
        <w:tc>
          <w:tcPr>
            <w:tcW w:w="4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267</w:t>
            </w:r>
          </w:p>
        </w:tc>
        <w:tc>
          <w:tcPr>
            <w:tcW w:w="320" w:type="dxa"/>
            <w:vAlign w:val="bottom"/>
            <w:tcBorders>
              <w:bottom w:val="single" w:sz="8" w:color="EEEEEE"/>
            </w:tcBorders>
            <w:shd w:val="clear" w:color="auto" w:fill="EEEEEE"/>
          </w:tcPr>
          <w:p>
            <w:pPr>
              <w:spacing w:after="0"/>
              <w:rPr>
                <w:sz w:val="22"/>
                <w:szCs w:val="22"/>
                <w:color w:val="auto"/>
              </w:rPr>
            </w:pPr>
          </w:p>
        </w:tc>
        <w:tc>
          <w:tcPr>
            <w:tcW w:w="300" w:type="dxa"/>
            <w:vAlign w:val="bottom"/>
            <w:tcBorders>
              <w:bottom w:val="single" w:sz="8" w:color="EEEEEE"/>
            </w:tcBorders>
            <w:shd w:val="clear" w:color="auto" w:fill="EEEEEE"/>
          </w:tcPr>
          <w:p>
            <w:pPr>
              <w:spacing w:after="0"/>
              <w:rPr>
                <w:sz w:val="22"/>
                <w:szCs w:val="22"/>
                <w:color w:val="auto"/>
              </w:rPr>
            </w:pPr>
          </w:p>
        </w:tc>
        <w:tc>
          <w:tcPr>
            <w:tcW w:w="300" w:type="dxa"/>
            <w:vAlign w:val="bottom"/>
            <w:tcBorders>
              <w:bottom w:val="single" w:sz="8" w:color="EEEEEE"/>
              <w:right w:val="single" w:sz="8" w:color="EEEEEE"/>
            </w:tcBorders>
            <w:shd w:val="clear" w:color="auto" w:fill="EEEEEE"/>
          </w:tcPr>
          <w:p>
            <w:pPr>
              <w:spacing w:after="0"/>
              <w:rPr>
                <w:sz w:val="22"/>
                <w:szCs w:val="22"/>
                <w:color w:val="auto"/>
              </w:rPr>
            </w:pPr>
          </w:p>
        </w:tc>
        <w:tc>
          <w:tcPr>
            <w:tcW w:w="4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265</w:t>
            </w:r>
          </w:p>
        </w:tc>
        <w:tc>
          <w:tcPr>
            <w:tcW w:w="420" w:type="dxa"/>
            <w:vAlign w:val="bottom"/>
            <w:tcBorders>
              <w:bottom w:val="single" w:sz="8" w:color="EEEEEE"/>
            </w:tcBorders>
            <w:shd w:val="clear" w:color="auto" w:fill="EEEEEE"/>
          </w:tcPr>
          <w:p>
            <w:pPr>
              <w:spacing w:after="0"/>
              <w:rPr>
                <w:sz w:val="22"/>
                <w:szCs w:val="22"/>
                <w:color w:val="auto"/>
              </w:rPr>
            </w:pPr>
          </w:p>
        </w:tc>
        <w:tc>
          <w:tcPr>
            <w:tcW w:w="300" w:type="dxa"/>
            <w:vAlign w:val="bottom"/>
            <w:tcBorders>
              <w:bottom w:val="single" w:sz="8" w:color="EEEEEE"/>
            </w:tcBorders>
            <w:shd w:val="clear" w:color="auto" w:fill="EEEEEE"/>
          </w:tcPr>
          <w:p>
            <w:pPr>
              <w:spacing w:after="0"/>
              <w:rPr>
                <w:sz w:val="22"/>
                <w:szCs w:val="22"/>
                <w:color w:val="auto"/>
              </w:rPr>
            </w:pPr>
          </w:p>
        </w:tc>
        <w:tc>
          <w:tcPr>
            <w:tcW w:w="220" w:type="dxa"/>
            <w:vAlign w:val="bottom"/>
            <w:tcBorders>
              <w:bottom w:val="single" w:sz="8" w:color="EEEEEE"/>
              <w:right w:val="single" w:sz="8" w:color="EEEEEE"/>
            </w:tcBorders>
            <w:shd w:val="clear" w:color="auto" w:fill="EEEEEE"/>
          </w:tcPr>
          <w:p>
            <w:pPr>
              <w:spacing w:after="0"/>
              <w:rPr>
                <w:sz w:val="22"/>
                <w:szCs w:val="22"/>
                <w:color w:val="auto"/>
              </w:rPr>
            </w:pPr>
          </w:p>
        </w:tc>
        <w:tc>
          <w:tcPr>
            <w:tcW w:w="4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266</w:t>
            </w:r>
          </w:p>
        </w:tc>
        <w:tc>
          <w:tcPr>
            <w:tcW w:w="32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Amortization and SFAS No. 143 Expenses for</w:t>
            </w:r>
          </w:p>
        </w:tc>
        <w:tc>
          <w:tcPr>
            <w:tcW w:w="2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00" w:type="dxa"/>
            <w:vAlign w:val="bottom"/>
          </w:tcPr>
          <w:p>
            <w:pPr>
              <w:ind w:left="120"/>
              <w:spacing w:after="0"/>
              <w:rPr>
                <w:sz w:val="20"/>
                <w:szCs w:val="20"/>
                <w:color w:val="auto"/>
              </w:rPr>
            </w:pPr>
            <w:r>
              <w:rPr>
                <w:rFonts w:ascii="Arial" w:cs="Arial" w:eastAsia="Arial" w:hAnsi="Arial"/>
                <w:sz w:val="18"/>
                <w:szCs w:val="18"/>
                <w:b w:val="1"/>
                <w:bCs w:val="1"/>
                <w:color w:val="auto"/>
              </w:rPr>
              <w:t>Landfills Included in Operating Groups</w:t>
            </w:r>
          </w:p>
        </w:tc>
        <w:tc>
          <w:tcPr>
            <w:tcW w:w="2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EEEEEE"/>
          </w:tcPr>
          <w:p>
            <w:pPr>
              <w:spacing w:after="0"/>
              <w:rPr>
                <w:sz w:val="20"/>
                <w:szCs w:val="20"/>
                <w:color w:val="auto"/>
              </w:rPr>
            </w:pPr>
            <w:r>
              <w:rPr>
                <w:rFonts w:ascii="Arial" w:cs="Arial" w:eastAsia="Arial" w:hAnsi="Arial"/>
                <w:sz w:val="18"/>
                <w:szCs w:val="18"/>
                <w:color w:val="auto"/>
              </w:rPr>
              <w:t>Non — SFAS No. 143 amortization expense</w:t>
            </w:r>
          </w:p>
        </w:tc>
        <w:tc>
          <w:tcPr>
            <w:tcW w:w="28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86.7</w:t>
            </w:r>
          </w:p>
        </w:tc>
        <w:tc>
          <w:tcPr>
            <w:tcW w:w="320" w:type="dxa"/>
            <w:vAlign w:val="bottom"/>
            <w:shd w:val="clear" w:color="auto" w:fill="EEEEEE"/>
          </w:tcPr>
          <w:p>
            <w:pPr>
              <w:spacing w:after="0"/>
              <w:rPr>
                <w:sz w:val="18"/>
                <w:szCs w:val="18"/>
                <w:color w:val="auto"/>
              </w:rPr>
            </w:pPr>
          </w:p>
        </w:tc>
        <w:tc>
          <w:tcPr>
            <w:tcW w:w="600" w:type="dxa"/>
            <w:vAlign w:val="bottom"/>
            <w:tcBorders>
              <w:right w:val="single" w:sz="8" w:color="EEEEEE"/>
            </w:tcBorders>
            <w:gridSpan w:val="2"/>
            <w:shd w:val="clear" w:color="auto" w:fill="EEEEEE"/>
          </w:tcPr>
          <w:p>
            <w:pPr>
              <w:ind w:left="48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87.3</w:t>
            </w:r>
          </w:p>
        </w:tc>
        <w:tc>
          <w:tcPr>
            <w:tcW w:w="420" w:type="dxa"/>
            <w:vAlign w:val="bottom"/>
            <w:shd w:val="clear" w:color="auto" w:fill="EEEEEE"/>
          </w:tcPr>
          <w:p>
            <w:pPr>
              <w:spacing w:after="0"/>
              <w:rPr>
                <w:sz w:val="18"/>
                <w:szCs w:val="18"/>
                <w:color w:val="auto"/>
              </w:rPr>
            </w:pPr>
          </w:p>
        </w:tc>
        <w:tc>
          <w:tcPr>
            <w:tcW w:w="5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83.8</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Amortization expense related to SFAS No. 143 obligations</w:t>
            </w:r>
          </w:p>
        </w:tc>
        <w:tc>
          <w:tcPr>
            <w:tcW w:w="2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19.6</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11.9</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13.4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Total amortization expense</w:t>
            </w:r>
          </w:p>
        </w:tc>
        <w:tc>
          <w:tcPr>
            <w:tcW w:w="266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106.3</w:t>
            </w: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99.2</w:t>
            </w: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97.2</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Accretion and other related expense</w:t>
            </w:r>
          </w:p>
        </w:tc>
        <w:tc>
          <w:tcPr>
            <w:tcW w:w="2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9.8</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17.8</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11.9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vMerge w:val="continue"/>
          </w:tcPr>
          <w:p>
            <w:pPr>
              <w:spacing w:after="0"/>
              <w:rPr>
                <w:sz w:val="22"/>
                <w:szCs w:val="22"/>
                <w:color w:val="auto"/>
              </w:rPr>
            </w:pPr>
          </w:p>
        </w:tc>
        <w:tc>
          <w:tcPr>
            <w:tcW w:w="4900" w:type="dxa"/>
            <w:vAlign w:val="bottom"/>
            <w:shd w:val="clear" w:color="auto" w:fill="EEEEEE"/>
          </w:tcPr>
          <w:p>
            <w:pPr>
              <w:spacing w:after="0"/>
              <w:rPr>
                <w:sz w:val="20"/>
                <w:szCs w:val="20"/>
                <w:color w:val="auto"/>
              </w:rPr>
            </w:pPr>
            <w:r>
              <w:rPr>
                <w:rFonts w:ascii="Arial" w:cs="Arial" w:eastAsia="Arial" w:hAnsi="Arial"/>
                <w:sz w:val="18"/>
                <w:szCs w:val="18"/>
                <w:color w:val="auto"/>
              </w:rPr>
              <w:t>Landfill amortization, accretion and other related expense</w:t>
            </w:r>
          </w:p>
        </w:tc>
        <w:tc>
          <w:tcPr>
            <w:tcW w:w="28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116.1</w:t>
            </w:r>
          </w:p>
        </w:tc>
        <w:tc>
          <w:tcPr>
            <w:tcW w:w="320" w:type="dxa"/>
            <w:vAlign w:val="bottom"/>
            <w:shd w:val="clear" w:color="auto" w:fill="EEEEEE"/>
          </w:tcPr>
          <w:p>
            <w:pPr>
              <w:spacing w:after="0"/>
              <w:rPr>
                <w:sz w:val="22"/>
                <w:szCs w:val="22"/>
                <w:color w:val="auto"/>
              </w:rPr>
            </w:pPr>
          </w:p>
        </w:tc>
        <w:tc>
          <w:tcPr>
            <w:tcW w:w="600" w:type="dxa"/>
            <w:vAlign w:val="bottom"/>
            <w:tcBorders>
              <w:right w:val="single" w:sz="8" w:color="EEEEEE"/>
            </w:tcBorders>
            <w:gridSpan w:val="2"/>
            <w:shd w:val="clear" w:color="auto" w:fill="EEEEEE"/>
          </w:tcPr>
          <w:p>
            <w:pPr>
              <w:ind w:left="48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117.0</w:t>
            </w:r>
          </w:p>
        </w:tc>
        <w:tc>
          <w:tcPr>
            <w:tcW w:w="420" w:type="dxa"/>
            <w:vAlign w:val="bottom"/>
            <w:shd w:val="clear" w:color="auto" w:fill="EEEEEE"/>
          </w:tcPr>
          <w:p>
            <w:pPr>
              <w:spacing w:after="0"/>
              <w:rPr>
                <w:sz w:val="22"/>
                <w:szCs w:val="22"/>
                <w:color w:val="auto"/>
              </w:rPr>
            </w:pPr>
          </w:p>
        </w:tc>
        <w:tc>
          <w:tcPr>
            <w:tcW w:w="5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109.1</w:t>
            </w:r>
          </w:p>
        </w:tc>
        <w:tc>
          <w:tcPr>
            <w:tcW w:w="320" w:type="dxa"/>
            <w:vAlign w:val="bottom"/>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4900" w:type="dxa"/>
            <w:vAlign w:val="bottom"/>
            <w:tcBorders>
              <w:top w:val="single" w:sz="8" w:color="EEEEEE"/>
            </w:tcBorders>
          </w:tcPr>
          <w:p>
            <w:pPr>
              <w:spacing w:after="0"/>
              <w:rPr>
                <w:sz w:val="24"/>
                <w:szCs w:val="24"/>
                <w:color w:val="auto"/>
              </w:rPr>
            </w:pPr>
          </w:p>
        </w:tc>
        <w:tc>
          <w:tcPr>
            <w:tcW w:w="2660" w:type="dxa"/>
            <w:vAlign w:val="bottom"/>
            <w:tcBorders>
              <w:top w:val="single" w:sz="8" w:color="EEEEEE"/>
            </w:tcBorders>
          </w:tcPr>
          <w:p>
            <w:pPr>
              <w:jc w:val="right"/>
              <w:ind w:right="1670"/>
              <w:spacing w:after="0"/>
              <w:rPr>
                <w:sz w:val="20"/>
                <w:szCs w:val="20"/>
                <w:color w:val="auto"/>
              </w:rPr>
            </w:pPr>
            <w:r>
              <w:rPr>
                <w:rFonts w:ascii="Arial" w:cs="Arial" w:eastAsia="Arial" w:hAnsi="Arial"/>
                <w:sz w:val="18"/>
                <w:szCs w:val="18"/>
                <w:b w:val="1"/>
                <w:bCs w:val="1"/>
                <w:color w:val="auto"/>
              </w:rPr>
              <w:t>(6)</w:t>
            </w:r>
          </w:p>
        </w:tc>
        <w:tc>
          <w:tcPr>
            <w:tcW w:w="220" w:type="dxa"/>
            <w:vAlign w:val="bottom"/>
            <w:tcBorders>
              <w:top w:val="single" w:sz="8" w:color="EEEEEE"/>
            </w:tcBorders>
          </w:tcPr>
          <w:p>
            <w:pPr>
              <w:spacing w:after="0"/>
              <w:rPr>
                <w:sz w:val="24"/>
                <w:szCs w:val="24"/>
                <w:color w:val="auto"/>
              </w:rPr>
            </w:pPr>
          </w:p>
        </w:tc>
        <w:tc>
          <w:tcPr>
            <w:tcW w:w="480" w:type="dxa"/>
            <w:vAlign w:val="bottom"/>
            <w:tcBorders>
              <w:top w:val="single" w:sz="8" w:color="808080"/>
            </w:tcBorders>
          </w:tcPr>
          <w:p>
            <w:pPr>
              <w:spacing w:after="0"/>
              <w:rPr>
                <w:sz w:val="24"/>
                <w:szCs w:val="24"/>
                <w:color w:val="auto"/>
              </w:rPr>
            </w:pPr>
          </w:p>
        </w:tc>
        <w:tc>
          <w:tcPr>
            <w:tcW w:w="320" w:type="dxa"/>
            <w:vAlign w:val="bottom"/>
            <w:tcBorders>
              <w:top w:val="single" w:sz="8" w:color="EEEEEE"/>
            </w:tcBorders>
          </w:tcPr>
          <w:p>
            <w:pPr>
              <w:spacing w:after="0"/>
              <w:rPr>
                <w:sz w:val="24"/>
                <w:szCs w:val="24"/>
                <w:color w:val="auto"/>
              </w:rPr>
            </w:pPr>
          </w:p>
        </w:tc>
        <w:tc>
          <w:tcPr>
            <w:tcW w:w="300" w:type="dxa"/>
            <w:vAlign w:val="bottom"/>
            <w:tcBorders>
              <w:top w:val="single" w:sz="8" w:color="EEEEEE"/>
            </w:tcBorders>
          </w:tcPr>
          <w:p>
            <w:pPr>
              <w:spacing w:after="0"/>
              <w:rPr>
                <w:sz w:val="24"/>
                <w:szCs w:val="24"/>
                <w:color w:val="auto"/>
              </w:rPr>
            </w:pPr>
          </w:p>
        </w:tc>
        <w:tc>
          <w:tcPr>
            <w:tcW w:w="300" w:type="dxa"/>
            <w:vAlign w:val="bottom"/>
            <w:tcBorders>
              <w:top w:val="single" w:sz="8" w:color="EEEEEE"/>
            </w:tcBorders>
          </w:tcPr>
          <w:p>
            <w:pPr>
              <w:spacing w:after="0"/>
              <w:rPr>
                <w:sz w:val="24"/>
                <w:szCs w:val="24"/>
                <w:color w:val="auto"/>
              </w:rPr>
            </w:pPr>
          </w:p>
        </w:tc>
        <w:tc>
          <w:tcPr>
            <w:tcW w:w="480" w:type="dxa"/>
            <w:vAlign w:val="bottom"/>
            <w:tcBorders>
              <w:top w:val="single" w:sz="8" w:color="808080"/>
            </w:tcBorders>
          </w:tcPr>
          <w:p>
            <w:pPr>
              <w:spacing w:after="0"/>
              <w:rPr>
                <w:sz w:val="24"/>
                <w:szCs w:val="24"/>
                <w:color w:val="auto"/>
              </w:rPr>
            </w:pPr>
          </w:p>
        </w:tc>
        <w:tc>
          <w:tcPr>
            <w:tcW w:w="420" w:type="dxa"/>
            <w:vAlign w:val="bottom"/>
            <w:tcBorders>
              <w:top w:val="single" w:sz="8" w:color="EEEEEE"/>
            </w:tcBorders>
          </w:tcPr>
          <w:p>
            <w:pPr>
              <w:spacing w:after="0"/>
              <w:rPr>
                <w:sz w:val="24"/>
                <w:szCs w:val="24"/>
                <w:color w:val="auto"/>
              </w:rPr>
            </w:pPr>
          </w:p>
        </w:tc>
        <w:tc>
          <w:tcPr>
            <w:tcW w:w="300" w:type="dxa"/>
            <w:vAlign w:val="bottom"/>
            <w:tcBorders>
              <w:top w:val="single" w:sz="8" w:color="EEEEEE"/>
            </w:tcBorders>
          </w:tcPr>
          <w:p>
            <w:pPr>
              <w:spacing w:after="0"/>
              <w:rPr>
                <w:sz w:val="24"/>
                <w:szCs w:val="24"/>
                <w:color w:val="auto"/>
              </w:rPr>
            </w:pPr>
          </w:p>
        </w:tc>
        <w:tc>
          <w:tcPr>
            <w:tcW w:w="220" w:type="dxa"/>
            <w:vAlign w:val="bottom"/>
            <w:tcBorders>
              <w:top w:val="single" w:sz="8" w:color="EEEEEE"/>
            </w:tcBorders>
          </w:tcPr>
          <w:p>
            <w:pPr>
              <w:spacing w:after="0"/>
              <w:rPr>
                <w:sz w:val="24"/>
                <w:szCs w:val="24"/>
                <w:color w:val="auto"/>
              </w:rPr>
            </w:pPr>
          </w:p>
        </w:tc>
        <w:tc>
          <w:tcPr>
            <w:tcW w:w="480" w:type="dxa"/>
            <w:vAlign w:val="bottom"/>
            <w:tcBorders>
              <w:top w:val="single" w:sz="8" w:color="808080"/>
            </w:tcBorders>
          </w:tcPr>
          <w:p>
            <w:pPr>
              <w:spacing w:after="0"/>
              <w:rPr>
                <w:sz w:val="24"/>
                <w:szCs w:val="24"/>
                <w:color w:val="auto"/>
              </w:rPr>
            </w:pPr>
          </w:p>
        </w:tc>
        <w:tc>
          <w:tcPr>
            <w:tcW w:w="320" w:type="dxa"/>
            <w:vAlign w:val="bottom"/>
            <w:tcBorders>
              <w:top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Letter"/>
      <w:start w:val="3"/>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lowerLetter"/>
      <w:start w:val="1"/>
    </w:lvl>
    <w:lvl w:ilvl="1">
      <w:lvlJc w:val="left"/>
      <w:lvlText w:val="•"/>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2019-12-11T21:04:19Z</dcterms:created>
  <dcterms:modified xsi:type="dcterms:W3CDTF">2019-12-11T21:04:19Z</dcterms:modified>
</cp:coreProperties>
</file>