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23,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color w:val="auto"/>
        </w:rPr>
        <w:t> Incorporation)</w:t>
      </w:r>
    </w:p>
    <w:p>
      <w:pPr>
        <w:sectPr>
          <w:pgSz w:w="11900" w:h="16838" w:orient="portrait"/>
          <w:cols w:equalWidth="0" w:num="1">
            <w:col w:w="11240"/>
          </w:cols>
          <w:pgMar w:left="320" w:top="729" w:right="339" w:bottom="1440" w:gutter="0" w:footer="0" w:header="0"/>
          <w:type w:val="continuous"/>
        </w:sectPr>
      </w:pPr>
    </w:p>
    <w:p>
      <w:pPr>
        <w:spacing w:after="0" w:line="2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on June 3, 2024, Waste Management,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Stag Merger Sub Inc., an indirect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Stericycle, Inc. (“</w:t>
      </w:r>
      <w:r>
        <w:rPr>
          <w:rFonts w:ascii="Times New Roman" w:cs="Times New Roman" w:eastAsia="Times New Roman" w:hAnsi="Times New Roman"/>
          <w:sz w:val="18"/>
          <w:szCs w:val="18"/>
          <w:u w:val="single" w:color="auto"/>
          <w:color w:val="auto"/>
        </w:rPr>
        <w:t>Stericycle</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upon the terms and subject to the conditions set forth in the Merger Agreement, Merger Sub will merge with and into Stericycle, and Stericycle will continue as the surviving company and an indirect, wholly-owned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23, 2024, each of the Company and Stericycle received a supplementary information request (“</w:t>
      </w:r>
      <w:r>
        <w:rPr>
          <w:rFonts w:ascii="Times New Roman" w:cs="Times New Roman" w:eastAsia="Times New Roman" w:hAnsi="Times New Roman"/>
          <w:sz w:val="18"/>
          <w:szCs w:val="18"/>
          <w:u w:val="single" w:color="auto"/>
          <w:color w:val="auto"/>
        </w:rPr>
        <w:t>SIR</w:t>
      </w:r>
      <w:r>
        <w:rPr>
          <w:rFonts w:ascii="Times New Roman" w:cs="Times New Roman" w:eastAsia="Times New Roman" w:hAnsi="Times New Roman"/>
          <w:sz w:val="18"/>
          <w:szCs w:val="18"/>
          <w:color w:val="auto"/>
        </w:rPr>
        <w:t>”) from the Competition Bureau of Canada (“</w:t>
      </w:r>
      <w:r>
        <w:rPr>
          <w:rFonts w:ascii="Times New Roman" w:cs="Times New Roman" w:eastAsia="Times New Roman" w:hAnsi="Times New Roman"/>
          <w:sz w:val="18"/>
          <w:szCs w:val="18"/>
          <w:u w:val="single" w:color="auto"/>
          <w:color w:val="auto"/>
        </w:rPr>
        <w:t>Competition Bureau</w:t>
      </w:r>
      <w:r>
        <w:rPr>
          <w:rFonts w:ascii="Times New Roman" w:cs="Times New Roman" w:eastAsia="Times New Roman" w:hAnsi="Times New Roman"/>
          <w:sz w:val="18"/>
          <w:szCs w:val="18"/>
          <w:color w:val="auto"/>
        </w:rPr>
        <w:t>”) in connection with the Competition Bureau’s review of the proposed Merger. The SIR has the effect of extending the waiting period applicable to the consummation of the Merger under the Canadian Competition Act until 30 days after the Company and Stericycle have responded to the information requests in the SIR, unless that waiting period is terminated in less than 30 days by the Competition Bureau. The Company and Stericycle are confident in their ability to timely and effectively respond to the SIR. The Company and Stericycle will continue to work closely and cooperatively with the Competition Bureau as the agency conducts its review of the proposed Merger, and will respond to, and expects to expeditiously resolve, any questions from the Competition Bureau.</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Company previously announced, in satisfaction of several of the closing conditions in the Merger Agreement, the waiting period under the Hart-Scott-Rodino Antitrust Improvements Act of 1976, as amended, has expired and the Merger has also received antitrust clearance from the Competition Authority (</w:t>
      </w:r>
      <w:r>
        <w:rPr>
          <w:rFonts w:ascii="Times New Roman" w:cs="Times New Roman" w:eastAsia="Times New Roman" w:hAnsi="Times New Roman"/>
          <w:sz w:val="18"/>
          <w:szCs w:val="18"/>
          <w:i w:val="1"/>
          <w:iCs w:val="1"/>
          <w:color w:val="auto"/>
        </w:rPr>
        <w:t>Autoridade da Concorrência</w:t>
      </w:r>
      <w:r>
        <w:rPr>
          <w:rFonts w:ascii="Times New Roman" w:cs="Times New Roman" w:eastAsia="Times New Roman" w:hAnsi="Times New Roman"/>
          <w:sz w:val="18"/>
          <w:szCs w:val="18"/>
          <w:color w:val="auto"/>
        </w:rPr>
        <w:t>) of Portugal, foreign investment approval from the UK Investment Security Unit within the Cabinet Office and confirmation from the UK Competition and Markets Authority that it has no further questions. In addition, the Merger has received antitrust clearance from the National Markets and Competition Commission (</w:t>
      </w:r>
      <w:r>
        <w:rPr>
          <w:rFonts w:ascii="Times New Roman" w:cs="Times New Roman" w:eastAsia="Times New Roman" w:hAnsi="Times New Roman"/>
          <w:sz w:val="18"/>
          <w:szCs w:val="18"/>
          <w:i w:val="1"/>
          <w:iCs w:val="1"/>
          <w:color w:val="001D35"/>
        </w:rPr>
        <w:t>Comisión Nacional de los Mercados y la Competencia</w:t>
      </w:r>
      <w:r>
        <w:rPr>
          <w:rFonts w:ascii="Times New Roman" w:cs="Times New Roman" w:eastAsia="Times New Roman" w:hAnsi="Times New Roman"/>
          <w:sz w:val="18"/>
          <w:szCs w:val="18"/>
          <w:color w:val="auto"/>
        </w:rPr>
        <w:t>) of Spain. Stericycle previously announced that its stockholders voted to approve the adoption of the Merger Agreement (and thereby approve the Merger) on August 14, 2024, satisfying another closing condition.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remains subject to clearance under the Canadian Competition Act (as discussed above) and other customary closing conditions under the Merger Agreement, including the clearance of the Merger under the foreign investment laws of Spain, but the Company continues to expect to complete the Merger as early as the fourth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and the proposed Merger, including but not limited to all statements about the timing of the closing of the Merger, receipt of regulatory approvals and ability to consummate the Merger, which are made pursuant to the safe harbor provisions of the Private Securities Litigation Reform Act of 1995. You should view these statements with caution and should not place undue reliance on such statements.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satisfy other closing conditions; the occurrence of any event, change or other circumstance that could give rise to the termination of the Merger Agreement; the effects that any termination of the Merger Agreement may have on Stericycle or its business; legal proceedings that may be instituted related to the Merger or otherwise; unexpected costs, charges or expenses; and other risks and uncertainties described in the Company’s and Stericycle’s filings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2024                                                               </w:t>
            </w:r>
          </w:p>
        </w:tc>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4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4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4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2024-09-24T16:23:43Z</dcterms:created>
  <dcterms:modified xsi:type="dcterms:W3CDTF">2024-09-24T16:23:43Z</dcterms:modified>
</cp:coreProperties>
</file>