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73" w:lineRule="exact"/>
        <w:rPr>
          <w:sz w:val="24"/>
          <w:szCs w:val="24"/>
          <w:color w:val="auto"/>
        </w:rPr>
      </w:pPr>
    </w:p>
    <w:tbl>
      <w:tblPr>
        <w:tblLayout w:type="fixed"/>
        <w:tblInd w:w="440" w:type="dxa"/>
        <w:tblCellMar>
          <w:top w:w="0" w:type="dxa"/>
          <w:left w:w="0" w:type="dxa"/>
          <w:bottom w:w="0" w:type="dxa"/>
          <w:right w:w="0" w:type="dxa"/>
        </w:tblCellMar>
      </w:tblPr>
      <w:tr>
        <w:trPr>
          <w:trHeight w:val="50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22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 preliminary</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139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w:t>
            </w:r>
          </w:p>
        </w:tc>
      </w:tr>
      <w:tr>
        <w:trPr>
          <w:trHeight w:val="24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we are not soliciting an offer to</w:t>
            </w:r>
          </w:p>
        </w:tc>
      </w:tr>
      <w:tr>
        <w:trPr>
          <w:trHeight w:val="15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to sell these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6920"/>
        <w:spacing w:after="0"/>
        <w:rPr>
          <w:sz w:val="20"/>
          <w:szCs w:val="20"/>
          <w:color w:val="auto"/>
        </w:rPr>
      </w:pPr>
      <w:r>
        <w:rPr>
          <w:rFonts w:ascii="Times New Roman" w:cs="Times New Roman" w:eastAsia="Times New Roman" w:hAnsi="Times New Roman"/>
          <w:sz w:val="15"/>
          <w:szCs w:val="15"/>
          <w:b w:val="1"/>
          <w:bCs w:val="1"/>
          <w:color w:val="auto"/>
        </w:rPr>
        <w:t> Filed Pursuant to Rule 424(b)(3)</w:t>
      </w:r>
    </w:p>
    <w:p>
      <w:pPr>
        <w:spacing w:after="0" w:line="40" w:lineRule="exact"/>
        <w:rPr>
          <w:sz w:val="24"/>
          <w:szCs w:val="24"/>
          <w:color w:val="auto"/>
        </w:rPr>
      </w:pPr>
    </w:p>
    <w:p>
      <w:pPr>
        <w:ind w:left="6940"/>
        <w:spacing w:after="0"/>
        <w:rPr>
          <w:sz w:val="20"/>
          <w:szCs w:val="20"/>
          <w:color w:val="auto"/>
        </w:rPr>
      </w:pPr>
      <w:r>
        <w:rPr>
          <w:rFonts w:ascii="Times New Roman" w:cs="Times New Roman" w:eastAsia="Times New Roman" w:hAnsi="Times New Roman"/>
          <w:sz w:val="15"/>
          <w:szCs w:val="15"/>
          <w:b w:val="1"/>
          <w:bCs w:val="1"/>
          <w:color w:val="auto"/>
        </w:rPr>
        <w:t> Registration File No. 333-264493​</w:t>
      </w:r>
    </w:p>
    <w:p>
      <w:pPr>
        <w:spacing w:after="0" w:line="8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FC0014"/>
        </w:rPr>
        <w:t>SUBJECT TO COMPLETION, DATED OCTOBER 30, 2024</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26, 2022)</w:t>
      </w:r>
    </w:p>
    <w:p>
      <w:pPr>
        <w:spacing w:after="0" w:line="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1773555</wp:posOffset>
            </wp:positionH>
            <wp:positionV relativeFrom="paragraph">
              <wp:posOffset>99060</wp:posOffset>
            </wp:positionV>
            <wp:extent cx="222885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                     % Senior Notes due 2028</w:t>
      </w:r>
    </w:p>
    <w:p>
      <w:pPr>
        <w:spacing w:after="0" w:line="9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                     % Senior Notes due 2030</w:t>
      </w:r>
    </w:p>
    <w:p>
      <w:pPr>
        <w:spacing w:after="0" w:line="9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                     % Senior Notes due 2032</w:t>
      </w:r>
    </w:p>
    <w:p>
      <w:pPr>
        <w:spacing w:after="0" w:line="9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                     % Senior Notes due 2035</w:t>
      </w:r>
    </w:p>
    <w:p>
      <w:pPr>
        <w:spacing w:after="0" w:line="9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                     % Senior Notes due 2054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125095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4"/>
          <w:szCs w:val="24"/>
          <w:color w:val="auto"/>
        </w:rPr>
      </w:pPr>
    </w:p>
    <w:p>
      <w:pPr>
        <w:ind w:right="260" w:firstLine="360"/>
        <w:spacing w:after="0" w:line="237" w:lineRule="auto"/>
        <w:rPr>
          <w:sz w:val="20"/>
          <w:szCs w:val="20"/>
          <w:color w:val="auto"/>
        </w:rPr>
      </w:pPr>
      <w:r>
        <w:rPr>
          <w:rFonts w:ascii="Times New Roman" w:cs="Times New Roman" w:eastAsia="Times New Roman" w:hAnsi="Times New Roman"/>
          <w:sz w:val="16"/>
          <w:szCs w:val="16"/>
          <w:color w:val="auto"/>
        </w:rPr>
        <w:t>We are offering $            of our senior notes, consisting of $            of our        % senior notes due 2028 (the “2028 notes”), $            of our        % senior notes due 2030 (the “2030 notes”), $            of our        % senior notes due 2032 (the “2032 notes”), $            of our        % senior notes due 2035 (the “2035 notes”) and $             of our        % senior notes due 2054 (the “2054 notes” and, together with the 2028 notes, the 2030 notes, the 2032 notes and the 2035 notes, the “notes”). Interest on the 2028 notes, the 2030 notes, the 2032 notes and the 2035 notes will accrue from                      , 2024 and will be payable on                      and</w:t>
      </w:r>
    </w:p>
    <w:p>
      <w:pPr>
        <w:spacing w:after="0" w:line="1" w:lineRule="exact"/>
        <w:rPr>
          <w:sz w:val="24"/>
          <w:szCs w:val="24"/>
          <w:color w:val="auto"/>
        </w:rPr>
      </w:pPr>
    </w:p>
    <w:p>
      <w:pPr>
        <w:ind w:right="260"/>
        <w:spacing w:after="0" w:line="237" w:lineRule="auto"/>
        <w:tabs>
          <w:tab w:leader="none" w:pos="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of each year, beginning                      , 2025, and interest on the 2054 notes will accrue from                      , 2024 and will be payable on                      and                      of each year, beginning                      , 2025. The 2028 notes will mature</w:t>
      </w:r>
    </w:p>
    <w:p>
      <w:pPr>
        <w:spacing w:after="0" w:line="1" w:lineRule="exact"/>
        <w:rPr>
          <w:rFonts w:ascii="Times New Roman" w:cs="Times New Roman" w:eastAsia="Times New Roman" w:hAnsi="Times New Roman"/>
          <w:sz w:val="16"/>
          <w:szCs w:val="16"/>
          <w:color w:val="auto"/>
        </w:rPr>
      </w:pPr>
    </w:p>
    <w:p>
      <w:pPr>
        <w:ind w:right="14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 2028, the 2030 notes will mature on                     , 2030, the 2032 notes will mature on                     , 2032, the 2035 notes will mature on                     , 2035 and the 2054 notes will mature on                      , 2054.</w:t>
      </w:r>
    </w:p>
    <w:p>
      <w:pPr>
        <w:spacing w:after="0" w:line="61" w:lineRule="exact"/>
        <w:rPr>
          <w:sz w:val="24"/>
          <w:szCs w:val="24"/>
          <w:color w:val="auto"/>
        </w:rPr>
      </w:pPr>
    </w:p>
    <w:p>
      <w:pPr>
        <w:ind w:right="440" w:firstLine="360"/>
        <w:spacing w:after="0" w:line="247" w:lineRule="auto"/>
        <w:rPr>
          <w:sz w:val="20"/>
          <w:szCs w:val="20"/>
          <w:color w:val="auto"/>
        </w:rPr>
      </w:pPr>
      <w:r>
        <w:rPr>
          <w:rFonts w:ascii="Times New Roman" w:cs="Times New Roman" w:eastAsia="Times New Roman" w:hAnsi="Times New Roman"/>
          <w:sz w:val="16"/>
          <w:szCs w:val="16"/>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242" w:lineRule="exact"/>
        <w:rPr>
          <w:sz w:val="24"/>
          <w:szCs w:val="24"/>
          <w:color w:val="auto"/>
        </w:rPr>
      </w:pPr>
    </w:p>
    <w:p>
      <w:pPr>
        <w:ind w:right="80" w:firstLine="360"/>
        <w:spacing w:after="0" w:line="254" w:lineRule="auto"/>
        <w:rPr>
          <w:sz w:val="20"/>
          <w:szCs w:val="20"/>
          <w:color w:val="auto"/>
        </w:rPr>
      </w:pPr>
      <w:r>
        <w:rPr>
          <w:rFonts w:ascii="Times New Roman" w:cs="Times New Roman" w:eastAsia="Times New Roman" w:hAnsi="Times New Roman"/>
          <w:sz w:val="16"/>
          <w:szCs w:val="16"/>
          <w:color w:val="auto"/>
        </w:rPr>
        <w:t xml:space="preserve">We may redeem each series of the notes, in whole or in part, at any time at the redemption prices described beginning on page </w:t>
      </w:r>
      <w:r>
        <w:rPr>
          <w:rFonts w:ascii="Times New Roman" w:cs="Times New Roman" w:eastAsia="Times New Roman" w:hAnsi="Times New Roman"/>
          <w:sz w:val="16"/>
          <w:szCs w:val="16"/>
          <w:u w:val="single" w:color="auto"/>
          <w:color w:val="0000EE"/>
        </w:rPr>
        <w:t>S-15</w:t>
      </w:r>
      <w:r>
        <w:rPr>
          <w:rFonts w:ascii="Times New Roman" w:cs="Times New Roman" w:eastAsia="Times New Roman" w:hAnsi="Times New Roman"/>
          <w:sz w:val="16"/>
          <w:szCs w:val="16"/>
          <w:color w:val="000000"/>
        </w:rPr>
        <w:t>. If a change of control triggering event as described beginning on page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u w:val="single" w:color="auto"/>
          <w:color w:val="0000EE"/>
        </w:rPr>
        <w:t>S-18</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occurs, we may be required to offer to purchase the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notes of each series from holders.</w:t>
      </w:r>
    </w:p>
    <w:p>
      <w:pPr>
        <w:spacing w:after="0" w:line="46" w:lineRule="exact"/>
        <w:rPr>
          <w:sz w:val="24"/>
          <w:szCs w:val="24"/>
          <w:color w:val="auto"/>
        </w:rPr>
      </w:pPr>
    </w:p>
    <w:p>
      <w:pPr>
        <w:ind w:right="500" w:firstLine="360"/>
        <w:spacing w:after="0" w:line="268" w:lineRule="auto"/>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EE"/>
        </w:rPr>
        <w:t>S-8</w:t>
      </w:r>
      <w:r>
        <w:rPr>
          <w:rFonts w:ascii="Times New Roman" w:cs="Times New Roman" w:eastAsia="Times New Roman" w:hAnsi="Times New Roman"/>
          <w:sz w:val="16"/>
          <w:szCs w:val="16"/>
          <w:b w:val="1"/>
          <w:bCs w:val="1"/>
          <w:color w:val="auto"/>
        </w:rPr>
        <w:t xml:space="preserve"> of this prospectus supplement and page </w:t>
      </w:r>
      <w:r>
        <w:rPr>
          <w:rFonts w:ascii="Times New Roman" w:cs="Times New Roman" w:eastAsia="Times New Roman" w:hAnsi="Times New Roman"/>
          <w:sz w:val="16"/>
          <w:szCs w:val="16"/>
          <w:b w:val="1"/>
          <w:bCs w:val="1"/>
          <w:u w:val="single" w:color="auto"/>
          <w:color w:val="0000EE"/>
        </w:rPr>
        <w:t>8</w:t>
      </w:r>
      <w:r>
        <w:rPr>
          <w:rFonts w:ascii="Times New Roman" w:cs="Times New Roman" w:eastAsia="Times New Roman" w:hAnsi="Times New Roman"/>
          <w:sz w:val="16"/>
          <w:szCs w:val="16"/>
          <w:b w:val="1"/>
          <w:bCs w:val="1"/>
          <w:color w:val="auto"/>
        </w:rPr>
        <w:t xml:space="preserve">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93345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3" w:lineRule="exact"/>
        <w:rPr>
          <w:sz w:val="24"/>
          <w:szCs w:val="24"/>
          <w:color w:val="auto"/>
        </w:rPr>
      </w:pPr>
    </w:p>
    <w:p>
      <w:pPr>
        <w:ind w:right="80" w:firstLine="360"/>
        <w:spacing w:after="0" w:line="25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90805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9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2032 Notes</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2035 Notes</w:t>
            </w:r>
          </w:p>
        </w:tc>
        <w:tc>
          <w:tcPr>
            <w:tcW w:w="1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2054 Notes</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6"/>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7"/>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gridSpan w:val="14"/>
          </w:tcPr>
          <w:p>
            <w:pPr>
              <w:ind w:left="2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Per Note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Total</w:t>
            </w:r>
          </w:p>
        </w:tc>
        <w:tc>
          <w:tcPr>
            <w:tcW w:w="3160" w:type="dxa"/>
            <w:vAlign w:val="bottom"/>
            <w:gridSpan w:val="20"/>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Per Note</w:t>
            </w:r>
          </w:p>
        </w:tc>
        <w:tc>
          <w:tcPr>
            <w:tcW w:w="56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vMerge w:val="continue"/>
            <w:shd w:val="clear" w:color="auto" w:fill="CCEEFF"/>
          </w:tcPr>
          <w:p>
            <w:pPr>
              <w:spacing w:after="0"/>
              <w:rPr>
                <w:sz w:val="19"/>
                <w:szCs w:val="19"/>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 ​​$       ​​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 ​ ​$</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 ​ ​$</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 ​$</w:t>
            </w:r>
          </w:p>
        </w:tc>
        <w:tc>
          <w:tcPr>
            <w:tcW w:w="1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 ​$</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 ​$</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(excluding expenses)</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8"/>
              </w:rPr>
              <w:t>​%</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 ​$</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 ​$</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 ​$</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5433695</wp:posOffset>
            </wp:positionH>
            <wp:positionV relativeFrom="paragraph">
              <wp:posOffset>-410845</wp:posOffset>
            </wp:positionV>
            <wp:extent cx="102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-410845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-410845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4182110</wp:posOffset>
            </wp:positionH>
            <wp:positionV relativeFrom="paragraph">
              <wp:posOffset>-410845</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-410845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-410845</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-410845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-410845</wp:posOffset>
            </wp:positionV>
            <wp:extent cx="2743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5" w:lineRule="exact"/>
        <w:rPr>
          <w:sz w:val="24"/>
          <w:szCs w:val="24"/>
          <w:color w:val="auto"/>
        </w:rPr>
      </w:pPr>
    </w:p>
    <w:p>
      <w:pPr>
        <w:ind w:left="360" w:hanging="360"/>
        <w:spacing w:after="0"/>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Plus accrued interest from              , 2024, if delivery occurs after that date.</w:t>
      </w:r>
    </w:p>
    <w:p>
      <w:pPr>
        <w:spacing w:after="0" w:line="91" w:lineRule="exact"/>
        <w:rPr>
          <w:rFonts w:ascii="Times New Roman" w:cs="Times New Roman" w:eastAsia="Times New Roman" w:hAnsi="Times New Roman"/>
          <w:sz w:val="17"/>
          <w:szCs w:val="17"/>
          <w:color w:val="auto"/>
        </w:rPr>
      </w:pP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notes will not be listed on any securities exchange. Currently, there is no public market for the notes.</w:t>
      </w:r>
    </w:p>
    <w:p>
      <w:pPr>
        <w:spacing w:after="0" w:line="86" w:lineRule="exact"/>
        <w:rPr>
          <w:sz w:val="24"/>
          <w:szCs w:val="24"/>
          <w:color w:val="auto"/>
        </w:rPr>
      </w:pPr>
    </w:p>
    <w:p>
      <w:pPr>
        <w:ind w:right="140" w:firstLine="360"/>
        <w:spacing w:after="0" w:line="254" w:lineRule="auto"/>
        <w:rPr>
          <w:sz w:val="20"/>
          <w:szCs w:val="20"/>
          <w:color w:val="auto"/>
        </w:rPr>
      </w:pPr>
      <w:r>
        <w:rPr>
          <w:rFonts w:ascii="Times New Roman" w:cs="Times New Roman" w:eastAsia="Times New Roman" w:hAnsi="Times New Roman"/>
          <w:sz w:val="16"/>
          <w:szCs w:val="16"/>
          <w:color w:val="auto"/>
        </w:rPr>
        <w:t>The underwriters expect to deliver the notes to investors on or about                      , 2024 only in book-entry form through the facilities of The Depository Trust Company and its participants, including Clearstream Banking S.A. and Euroclear Bank SA/NV, as operator of the Euroclear System.</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03"/>
        </w:trPr>
        <w:tc>
          <w:tcPr>
            <w:tcW w:w="4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w:t>
            </w:r>
          </w:p>
        </w:tc>
        <w:tc>
          <w:tcPr>
            <w:tcW w:w="2540" w:type="dxa"/>
            <w:vAlign w:val="bottom"/>
          </w:tcPr>
          <w:p>
            <w:pPr>
              <w:ind w:left="400"/>
              <w:spacing w:after="0"/>
              <w:rPr>
                <w:sz w:val="20"/>
                <w:szCs w:val="20"/>
                <w:color w:val="auto"/>
              </w:rPr>
            </w:pPr>
            <w:r>
              <w:rPr>
                <w:rFonts w:ascii="Times New Roman" w:cs="Times New Roman" w:eastAsia="Times New Roman" w:hAnsi="Times New Roman"/>
                <w:sz w:val="25"/>
                <w:szCs w:val="25"/>
                <w:b w:val="1"/>
                <w:bCs w:val="1"/>
                <w:color w:val="auto"/>
              </w:rPr>
              <w:t>J.P. Morgan</w:t>
            </w:r>
          </w:p>
        </w:tc>
        <w:tc>
          <w:tcPr>
            <w:tcW w:w="30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25"/>
                <w:szCs w:val="25"/>
                <w:b w:val="1"/>
                <w:bCs w:val="1"/>
                <w:color w:val="auto"/>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4"/>
              </w:rPr>
              <w:t>Barclays</w:t>
            </w:r>
          </w:p>
        </w:tc>
        <w:tc>
          <w:tcPr>
            <w:tcW w:w="600" w:type="dxa"/>
            <w:vAlign w:val="bottom"/>
          </w:tcPr>
          <w:p>
            <w:pPr>
              <w:ind w:left="240"/>
              <w:spacing w:after="0"/>
              <w:rPr>
                <w:sz w:val="20"/>
                <w:szCs w:val="20"/>
                <w:color w:val="auto"/>
              </w:rPr>
            </w:pPr>
            <w:r>
              <w:rPr>
                <w:rFonts w:ascii="Times New Roman" w:cs="Times New Roman" w:eastAsia="Times New Roman" w:hAnsi="Times New Roman"/>
                <w:sz w:val="25"/>
                <w:szCs w:val="25"/>
                <w:b w:val="1"/>
                <w:bCs w:val="1"/>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6"/>
              </w:rPr>
              <w:t>Deutsche Bank Securities</w:t>
            </w:r>
          </w:p>
        </w:tc>
        <w:tc>
          <w:tcPr>
            <w:tcW w:w="240" w:type="dxa"/>
            <w:vAlign w:val="bottom"/>
          </w:tcPr>
          <w:p>
            <w:pPr>
              <w:ind w:left="180"/>
              <w:spacing w:after="0"/>
              <w:rPr>
                <w:sz w:val="20"/>
                <w:szCs w:val="20"/>
                <w:color w:val="auto"/>
              </w:rPr>
            </w:pPr>
            <w:r>
              <w:rPr>
                <w:rFonts w:ascii="Times New Roman" w:cs="Times New Roman" w:eastAsia="Times New Roman" w:hAnsi="Times New Roman"/>
                <w:sz w:val="25"/>
                <w:szCs w:val="25"/>
                <w:b w:val="1"/>
                <w:bCs w:val="1"/>
                <w:color w:val="auto"/>
              </w:rPr>
              <w:t>​</w:t>
            </w:r>
          </w:p>
        </w:tc>
      </w:tr>
      <w:tr>
        <w:trPr>
          <w:trHeight w:val="598"/>
        </w:trPr>
        <w:tc>
          <w:tcPr>
            <w:tcW w:w="3020" w:type="dxa"/>
            <w:vAlign w:val="bottom"/>
            <w:gridSpan w:val="2"/>
          </w:tcPr>
          <w:p>
            <w:pPr>
              <w:spacing w:after="0"/>
              <w:rPr>
                <w:sz w:val="20"/>
                <w:szCs w:val="20"/>
                <w:color w:val="auto"/>
              </w:rPr>
            </w:pPr>
            <w:r>
              <w:rPr>
                <w:rFonts w:ascii="Times New Roman" w:cs="Times New Roman" w:eastAsia="Times New Roman" w:hAnsi="Times New Roman"/>
                <w:sz w:val="50"/>
                <w:szCs w:val="50"/>
                <w:b w:val="1"/>
                <w:bCs w:val="1"/>
                <w:color w:val="auto"/>
                <w:vertAlign w:val="superscript"/>
              </w:rPr>
              <w:t>​</w:t>
            </w:r>
            <w:r>
              <w:rPr>
                <w:rFonts w:ascii="Times New Roman" w:cs="Times New Roman" w:eastAsia="Times New Roman" w:hAnsi="Times New Roman"/>
                <w:sz w:val="25"/>
                <w:szCs w:val="25"/>
                <w:b w:val="1"/>
                <w:bCs w:val="1"/>
                <w:color w:val="auto"/>
              </w:rPr>
              <w:t>Goldman Sachs &amp; Co. LLC</w:t>
            </w:r>
          </w:p>
        </w:tc>
        <w:tc>
          <w:tcPr>
            <w:tcW w:w="30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25"/>
                <w:szCs w:val="25"/>
                <w:b w:val="1"/>
                <w:bCs w:val="1"/>
                <w:color w:val="auto"/>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7"/>
              </w:rPr>
              <w:t>Mizuho</w:t>
            </w:r>
          </w:p>
        </w:tc>
        <w:tc>
          <w:tcPr>
            <w:tcW w:w="600" w:type="dxa"/>
            <w:vAlign w:val="bottom"/>
          </w:tcPr>
          <w:p>
            <w:pPr>
              <w:ind w:left="240"/>
              <w:spacing w:after="0"/>
              <w:rPr>
                <w:sz w:val="20"/>
                <w:szCs w:val="20"/>
                <w:color w:val="auto"/>
              </w:rPr>
            </w:pPr>
            <w:r>
              <w:rPr>
                <w:rFonts w:ascii="Times New Roman" w:cs="Times New Roman" w:eastAsia="Times New Roman" w:hAnsi="Times New Roman"/>
                <w:sz w:val="25"/>
                <w:szCs w:val="25"/>
                <w:b w:val="1"/>
                <w:bCs w:val="1"/>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7"/>
              </w:rPr>
              <w:t>Scotiabank</w:t>
            </w:r>
          </w:p>
        </w:tc>
        <w:tc>
          <w:tcPr>
            <w:tcW w:w="240" w:type="dxa"/>
            <w:vAlign w:val="bottom"/>
          </w:tcPr>
          <w:p>
            <w:pPr>
              <w:ind w:left="180"/>
              <w:spacing w:after="0"/>
              <w:rPr>
                <w:sz w:val="20"/>
                <w:szCs w:val="20"/>
                <w:color w:val="auto"/>
              </w:rPr>
            </w:pPr>
            <w:r>
              <w:rPr>
                <w:rFonts w:ascii="Times New Roman" w:cs="Times New Roman" w:eastAsia="Times New Roman" w:hAnsi="Times New Roman"/>
                <w:sz w:val="25"/>
                <w:szCs w:val="25"/>
                <w:b w:val="1"/>
                <w:bCs w:val="1"/>
                <w:color w:val="auto"/>
              </w:rPr>
              <w:t>​</w:t>
            </w:r>
          </w:p>
        </w:tc>
      </w:tr>
    </w:tbl>
    <w:p>
      <w:pPr>
        <w:spacing w:after="0" w:line="1"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6"/>
          <w:szCs w:val="16"/>
          <w:color w:val="auto"/>
        </w:rPr>
        <w:t>October 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39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208915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right="640"/>
        <w:spacing w:after="0" w:line="358" w:lineRule="auto"/>
        <w:rPr>
          <w:sz w:val="20"/>
          <w:szCs w:val="20"/>
          <w:color w:val="auto"/>
        </w:rPr>
      </w:pPr>
      <w:r>
        <w:rPr>
          <w:rFonts w:ascii="Times New Roman" w:cs="Times New Roman" w:eastAsia="Times New Roman" w:hAnsi="Times New Roman"/>
          <w:sz w:val="18"/>
          <w:szCs w:val="18"/>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right="940"/>
        <w:spacing w:after="0" w:line="344"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1680"/>
        <w:spacing w:after="0" w:line="337" w:lineRule="auto"/>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 WHERE YOU CAN FIND MORE INFORMATION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-73660</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GUARANTEES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OTHER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12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1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46" w:lineRule="exact"/>
        <w:rPr>
          <w:sz w:val="20"/>
          <w:szCs w:val="20"/>
          <w:color w:val="auto"/>
        </w:rPr>
      </w:pPr>
    </w:p>
    <w:p>
      <w:pPr>
        <w:ind w:left="1280" w:right="459" w:firstLine="360"/>
        <w:spacing w:after="0" w:line="23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07" w:lineRule="exact"/>
        <w:rPr>
          <w:sz w:val="20"/>
          <w:szCs w:val="20"/>
          <w:color w:val="auto"/>
        </w:rPr>
      </w:pPr>
    </w:p>
    <w:p>
      <w:pPr>
        <w:ind w:left="128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48" w:lineRule="exact"/>
        <w:rPr>
          <w:sz w:val="20"/>
          <w:szCs w:val="20"/>
          <w:color w:val="auto"/>
        </w:rPr>
      </w:pPr>
    </w:p>
    <w:p>
      <w:pPr>
        <w:ind w:left="1280" w:right="479" w:firstLine="360"/>
        <w:spacing w:after="0" w:line="232"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business is operated and managed locally by our subsidiaries that focus on distinct geographic areas and provide collection, transfer, disposal, recycling and resource recovery services. Through our subsidiaries, including our Waste Management Renewable Energy business,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112" w:lineRule="exact"/>
        <w:rPr>
          <w:sz w:val="20"/>
          <w:szCs w:val="20"/>
          <w:color w:val="auto"/>
        </w:rPr>
      </w:pPr>
    </w:p>
    <w:p>
      <w:pPr>
        <w:ind w:left="1280" w:right="439" w:firstLine="360"/>
        <w:spacing w:after="0" w:line="23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Our annual reports on Form 10-K, quarterly reports on Form 10-Q and current reports on Form 8 -K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w:t>
      </w:r>
    </w:p>
    <w:p>
      <w:pPr>
        <w:spacing w:after="0" w:line="27" w:lineRule="exact"/>
        <w:rPr>
          <w:sz w:val="20"/>
          <w:szCs w:val="20"/>
          <w:color w:val="auto"/>
        </w:rPr>
      </w:pPr>
    </w:p>
    <w:p>
      <w:pPr>
        <w:ind w:left="1280" w:right="879"/>
        <w:spacing w:after="0" w:line="245" w:lineRule="auto"/>
        <w:rPr>
          <w:sz w:val="20"/>
          <w:szCs w:val="20"/>
          <w:color w:val="auto"/>
        </w:rPr>
      </w:pPr>
      <w:r>
        <w:rPr>
          <w:rFonts w:ascii="Times New Roman" w:cs="Times New Roman" w:eastAsia="Times New Roman" w:hAnsi="Times New Roman"/>
          <w:sz w:val="18"/>
          <w:szCs w:val="18"/>
          <w:color w:val="auto"/>
        </w:rPr>
        <w:t>Holdings,” is a direct wholly owned subsidiary of Waste Management, Inc. WM Holdings is a holding company and all operations are conducted by subsidiaries.</w:t>
      </w:r>
    </w:p>
    <w:p>
      <w:pPr>
        <w:spacing w:after="0" w:line="1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Pending Acquisition of Stericycle</w:t>
      </w:r>
    </w:p>
    <w:p>
      <w:pPr>
        <w:spacing w:after="0" w:line="160" w:lineRule="exact"/>
        <w:rPr>
          <w:sz w:val="20"/>
          <w:szCs w:val="20"/>
          <w:color w:val="auto"/>
        </w:rPr>
      </w:pPr>
    </w:p>
    <w:p>
      <w:pPr>
        <w:ind w:left="1280" w:right="419" w:firstLine="360"/>
        <w:spacing w:after="0" w:line="246" w:lineRule="auto"/>
        <w:rPr>
          <w:sz w:val="20"/>
          <w:szCs w:val="20"/>
          <w:color w:val="auto"/>
        </w:rPr>
      </w:pPr>
      <w:r>
        <w:rPr>
          <w:rFonts w:ascii="Times New Roman" w:cs="Times New Roman" w:eastAsia="Times New Roman" w:hAnsi="Times New Roman"/>
          <w:sz w:val="18"/>
          <w:szCs w:val="18"/>
          <w:color w:val="auto"/>
        </w:rPr>
        <w:t>On June 3, 2024, Waste Management, Inc., Stag Merger Sub Inc., our indirect wholly-owned subsidiary (“Merger Sub”), and Stericycle, Inc., a Delaware corporation (“Stericycle”) entered into an Agreement and Plan of Merger (the “Merger Agreement”) pursuant to which, upon the terms and subject to the conditions set forth in the Merger Agreement, Merger Sub will merge with and into Stericycle, and Stericycle will continue as the surviving company and our indirect, wholly-owned subsidiary (the “Merger”).</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expect closing of the Merger to occur in the fourth quarter of 2024.</w:t>
      </w:r>
    </w:p>
    <w:p>
      <w:pPr>
        <w:spacing w:after="0" w:line="2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Exchange Offer and Consent Solicitation</w:t>
      </w:r>
    </w:p>
    <w:p>
      <w:pPr>
        <w:spacing w:after="0" w:line="160" w:lineRule="exact"/>
        <w:rPr>
          <w:sz w:val="20"/>
          <w:szCs w:val="20"/>
          <w:color w:val="auto"/>
        </w:rPr>
      </w:pPr>
    </w:p>
    <w:p>
      <w:pPr>
        <w:ind w:left="1280" w:right="539" w:firstLine="360"/>
        <w:spacing w:after="0" w:line="266" w:lineRule="auto"/>
        <w:rPr>
          <w:sz w:val="20"/>
          <w:szCs w:val="20"/>
          <w:color w:val="auto"/>
        </w:rPr>
      </w:pPr>
      <w:r>
        <w:rPr>
          <w:rFonts w:ascii="Times New Roman" w:cs="Times New Roman" w:eastAsia="Times New Roman" w:hAnsi="Times New Roman"/>
          <w:sz w:val="18"/>
          <w:szCs w:val="18"/>
          <w:color w:val="auto"/>
        </w:rPr>
        <w:t>On September 10, 2024, we announced that, in connection with the pending Merger, we commenced a private exchange offer (the “Exchange Offer”) and related consent solicitation on behalf of Stericycle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spacing w:after="0" w:line="261" w:lineRule="auto"/>
        <w:rPr>
          <w:sz w:val="20"/>
          <w:szCs w:val="20"/>
          <w:color w:val="auto"/>
        </w:rPr>
      </w:pPr>
      <w:r>
        <w:rPr>
          <w:rFonts w:ascii="Times New Roman" w:cs="Times New Roman" w:eastAsia="Times New Roman" w:hAnsi="Times New Roman"/>
          <w:sz w:val="18"/>
          <w:szCs w:val="18"/>
          <w:color w:val="auto"/>
        </w:rPr>
        <w:t>“Consent Solicitation”) with respect to the outstanding 3.875% Senior Notes due 2029 issued by Stericycle (the “SRCL Notes”). The Exchange Offer and the Consent Solicitation are being made upon the terms and conditions set forth in an exchange offer memorandum and consent solicitation statement dated September 10, 2024 (the “Offering Memorandum”).</w:t>
      </w:r>
    </w:p>
    <w:p>
      <w:pPr>
        <w:spacing w:after="0" w:line="112"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Pursuant to the Exchange Offer, we are offering to issue new notes (the “WM Notes”) in exchange for any and all of the $500 million aggregate principal amount of the SRCL Notes held by holders eligible to participate in the Exchange Offer (“Eligible Holders”). The WM Notes will have the same interest rate, interest payment dates and maturity date as the exchanged SRCL Notes but will differ in certain respects from the SRCL Notes, including the redemption provisions, as described in the Offering Memorandum. In addition, pursuant to the Consent Solicitation, we solicited on behalf of Stericycle and, as of September 23, 2024, we received consents from the Eligible Holders to amend the SRCL Notes and the related indenture under which they were issued to eliminate substantially all of the restrictive covenants, restrictive provisions and events of default, other than payment-related, guarantee-related and bankruptcy-related events of default (the “Proposed Amendments”).</w:t>
      </w:r>
    </w:p>
    <w:p>
      <w:pPr>
        <w:spacing w:after="0" w:line="337" w:lineRule="exact"/>
        <w:rPr>
          <w:sz w:val="20"/>
          <w:szCs w:val="20"/>
          <w:color w:val="auto"/>
        </w:rPr>
      </w:pPr>
    </w:p>
    <w:p>
      <w:pPr>
        <w:ind w:left="1280" w:right="419" w:firstLine="360"/>
        <w:spacing w:after="0" w:line="263" w:lineRule="auto"/>
        <w:rPr>
          <w:sz w:val="20"/>
          <w:szCs w:val="20"/>
          <w:color w:val="auto"/>
        </w:rPr>
      </w:pPr>
      <w:r>
        <w:rPr>
          <w:rFonts w:ascii="Times New Roman" w:cs="Times New Roman" w:eastAsia="Times New Roman" w:hAnsi="Times New Roman"/>
          <w:sz w:val="18"/>
          <w:szCs w:val="18"/>
          <w:color w:val="auto"/>
        </w:rPr>
        <w:t>The Exchange Offer and Consent Solicitation are being made solely pursuant to the conditions set forth in the Offering Memorandum in a private offering exempt from, or not subject to, registration under the Securities Act of 1933, as amended, and are conditioned upon, among other things, the consummation of the Merger.</w:t>
      </w:r>
    </w:p>
    <w:p>
      <w:pPr>
        <w:spacing w:after="0" w:line="319" w:lineRule="exact"/>
        <w:rPr>
          <w:sz w:val="20"/>
          <w:szCs w:val="20"/>
          <w:color w:val="auto"/>
        </w:rPr>
      </w:pPr>
    </w:p>
    <w:p>
      <w:pPr>
        <w:ind w:left="1280" w:right="579" w:firstLine="360"/>
        <w:spacing w:after="0" w:line="255" w:lineRule="auto"/>
        <w:rPr>
          <w:sz w:val="20"/>
          <w:szCs w:val="20"/>
          <w:color w:val="auto"/>
        </w:rPr>
      </w:pPr>
      <w:r>
        <w:rPr>
          <w:rFonts w:ascii="Times New Roman" w:cs="Times New Roman" w:eastAsia="Times New Roman" w:hAnsi="Times New Roman"/>
          <w:sz w:val="18"/>
          <w:szCs w:val="18"/>
          <w:color w:val="auto"/>
        </w:rPr>
        <w:t>As of September 23, 2024 (the “Early Tender Date”), $474,581,000 in aggregate principal amount of SRCL Notes, representing approximately 94.92% of the aggregate principal amount of SRCL Notes outstanding, had been validly tendered and not validly withdrawn. As a result, we have received the requisite number of consents to adopt the Proposed Amendments. Eligible Holders of SRCL Notes validly tendered and not validly withdrawn by the Early Tender Date, and accepted for exchange, will receive at settlement an equal principal amount of WM Notes and cash consideration of approximately $2.63 per $1,000 principal amount of SRCL Notes.</w:t>
      </w:r>
    </w:p>
    <w:p>
      <w:pPr>
        <w:spacing w:after="0" w:line="121"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On October 8, 2024, we issued a press release extending the expiration date of the Exchange Offer and Consent Solicitation (the “Expiration Date”) from October 8, 2024 to October 31, 2024, which may be further extended by us in our sole discretion. As of October 8, 2024, $485,255,000 in aggregate principal amount of SRCL Notes, representing approximately 97.05% of the aggregate principal amount of SRCL Notes outstanding, had been validly tendered and not validly withdrawn. Eligible Holders of SRCL Notes validly tendered and not validly withdrawn after the Early Tender Deadline but on or prior to the Expiration Date, and accepted for exchange, will receive at settlement $970 principal amount of WM Notes per $1,000 principal amount of SRCL Notes and no cash consideration. We expect to settle the Exchange Offer on or about the third business day after the Expiration Date, as such date may be further extended.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Waste Management,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            aggregate principal amount of notes, consisting of the</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following series:</w:t>
      </w:r>
    </w:p>
    <w:p>
      <w:pPr>
        <w:spacing w:after="0" w:line="139" w:lineRule="exact"/>
        <w:rPr>
          <w:sz w:val="20"/>
          <w:szCs w:val="20"/>
          <w:color w:val="auto"/>
        </w:rPr>
      </w:pPr>
    </w:p>
    <w:p>
      <w:pPr>
        <w:ind w:left="4300" w:right="539"/>
        <w:spacing w:after="0" w:line="266" w:lineRule="auto"/>
        <w:rPr>
          <w:sz w:val="20"/>
          <w:szCs w:val="20"/>
          <w:color w:val="auto"/>
        </w:rPr>
      </w:pPr>
      <w:r>
        <w:rPr>
          <w:rFonts w:ascii="Times New Roman" w:cs="Times New Roman" w:eastAsia="Times New Roman" w:hAnsi="Times New Roman"/>
          <w:sz w:val="18"/>
          <w:szCs w:val="18"/>
          <w:color w:val="auto"/>
        </w:rPr>
        <w:t>            $            aggregate principal amount of        % Senior Notes due 2028</w:t>
      </w:r>
    </w:p>
    <w:p>
      <w:pPr>
        <w:spacing w:after="0" w:line="95" w:lineRule="exact"/>
        <w:rPr>
          <w:sz w:val="20"/>
          <w:szCs w:val="20"/>
          <w:color w:val="auto"/>
        </w:rPr>
      </w:pPr>
    </w:p>
    <w:p>
      <w:pPr>
        <w:ind w:left="4300" w:right="539"/>
        <w:spacing w:after="0" w:line="282" w:lineRule="auto"/>
        <w:rPr>
          <w:sz w:val="20"/>
          <w:szCs w:val="20"/>
          <w:color w:val="auto"/>
        </w:rPr>
      </w:pPr>
      <w:r>
        <w:rPr>
          <w:rFonts w:ascii="Times New Roman" w:cs="Times New Roman" w:eastAsia="Times New Roman" w:hAnsi="Times New Roman"/>
          <w:sz w:val="18"/>
          <w:szCs w:val="18"/>
          <w:color w:val="auto"/>
        </w:rPr>
        <w:t>            $            aggregate principal amount of        % Senior Notes due 2030</w:t>
      </w:r>
    </w:p>
    <w:p>
      <w:pPr>
        <w:spacing w:after="0" w:line="81" w:lineRule="exact"/>
        <w:rPr>
          <w:sz w:val="20"/>
          <w:szCs w:val="20"/>
          <w:color w:val="auto"/>
        </w:rPr>
      </w:pPr>
    </w:p>
    <w:p>
      <w:pPr>
        <w:ind w:left="4300" w:right="539"/>
        <w:spacing w:after="0" w:line="266" w:lineRule="auto"/>
        <w:rPr>
          <w:sz w:val="20"/>
          <w:szCs w:val="20"/>
          <w:color w:val="auto"/>
        </w:rPr>
      </w:pPr>
      <w:r>
        <w:rPr>
          <w:rFonts w:ascii="Times New Roman" w:cs="Times New Roman" w:eastAsia="Times New Roman" w:hAnsi="Times New Roman"/>
          <w:sz w:val="18"/>
          <w:szCs w:val="18"/>
          <w:color w:val="auto"/>
        </w:rPr>
        <w:t>            $            aggregate principal amount of        % Senior Notes due 2032</w:t>
      </w:r>
    </w:p>
    <w:p>
      <w:pPr>
        <w:spacing w:after="0" w:line="95" w:lineRule="exact"/>
        <w:rPr>
          <w:sz w:val="20"/>
          <w:szCs w:val="20"/>
          <w:color w:val="auto"/>
        </w:rPr>
      </w:pPr>
    </w:p>
    <w:p>
      <w:pPr>
        <w:ind w:left="4300" w:right="539"/>
        <w:spacing w:after="0" w:line="282" w:lineRule="auto"/>
        <w:rPr>
          <w:sz w:val="20"/>
          <w:szCs w:val="20"/>
          <w:color w:val="auto"/>
        </w:rPr>
      </w:pPr>
      <w:r>
        <w:rPr>
          <w:rFonts w:ascii="Times New Roman" w:cs="Times New Roman" w:eastAsia="Times New Roman" w:hAnsi="Times New Roman"/>
          <w:sz w:val="18"/>
          <w:szCs w:val="18"/>
          <w:color w:val="auto"/>
        </w:rPr>
        <w:t>            $            aggregate principal amount of        % Senior Notes due 2035</w:t>
      </w:r>
    </w:p>
    <w:p>
      <w:pPr>
        <w:spacing w:after="0" w:line="94" w:lineRule="exact"/>
        <w:rPr>
          <w:sz w:val="20"/>
          <w:szCs w:val="20"/>
          <w:color w:val="auto"/>
        </w:rPr>
      </w:pPr>
    </w:p>
    <w:p>
      <w:pPr>
        <w:ind w:left="4300" w:right="539"/>
        <w:spacing w:after="0" w:line="282" w:lineRule="auto"/>
        <w:rPr>
          <w:sz w:val="20"/>
          <w:szCs w:val="20"/>
          <w:color w:val="auto"/>
        </w:rPr>
      </w:pPr>
      <w:r>
        <w:rPr>
          <w:rFonts w:ascii="Times New Roman" w:cs="Times New Roman" w:eastAsia="Times New Roman" w:hAnsi="Times New Roman"/>
          <w:sz w:val="18"/>
          <w:szCs w:val="18"/>
          <w:color w:val="auto"/>
        </w:rPr>
        <w:t>            $            aggregate principal amount of        % Senior Notes due 2054</w:t>
      </w:r>
    </w:p>
    <w:p>
      <w:pPr>
        <w:spacing w:after="0" w:line="5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Subsidiary Guarantees</w:t>
      </w:r>
      <w:r>
        <w:rPr>
          <w:sz w:val="20"/>
          <w:szCs w:val="20"/>
          <w:color w:val="auto"/>
        </w:rPr>
        <w:tab/>
      </w:r>
      <w:r>
        <w:rPr>
          <w:rFonts w:ascii="Times New Roman" w:cs="Times New Roman" w:eastAsia="Times New Roman" w:hAnsi="Times New Roman"/>
          <w:sz w:val="18"/>
          <w:szCs w:val="18"/>
          <w:color w:val="auto"/>
        </w:rPr>
        <w:t>WM Holdings will fully and unconditionally guarantee, on a senior</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unsecured basis, the full and prompt payment of the principal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any premium and interest on the notes of each series, when and as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they become due and payable, whether at maturity or otherwise.</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8"/>
          <w:szCs w:val="18"/>
          <w:color w:val="auto"/>
        </w:rPr>
        <w:t>2028 notes —                 , 2028</w:t>
      </w:r>
    </w:p>
    <w:p>
      <w:pPr>
        <w:spacing w:after="0" w:line="1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2030 notes —                 , 2030</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2032 notes —                 , 2032</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2035 notes —                 , 2035</w:t>
      </w:r>
    </w:p>
    <w:p>
      <w:pPr>
        <w:spacing w:after="0" w:line="1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2054 notes —                 , 2054</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Rate</w:t>
      </w:r>
      <w:r>
        <w:rPr>
          <w:sz w:val="20"/>
          <w:szCs w:val="20"/>
          <w:color w:val="auto"/>
        </w:rPr>
        <w:tab/>
      </w:r>
      <w:r>
        <w:rPr>
          <w:rFonts w:ascii="Times New Roman" w:cs="Times New Roman" w:eastAsia="Times New Roman" w:hAnsi="Times New Roman"/>
          <w:sz w:val="18"/>
          <w:szCs w:val="18"/>
          <w:color w:val="auto"/>
        </w:rPr>
        <w:t>2028 notes —         % per year</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2030 notes —         % per year</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2032 notes —         % per year</w:t>
      </w:r>
    </w:p>
    <w:p>
      <w:pPr>
        <w:spacing w:after="0" w:line="1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2035 notes —         % per year</w:t>
      </w:r>
    </w:p>
    <w:p>
      <w:pPr>
        <w:spacing w:after="0" w:line="1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2054 notes —         % per year</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                    and                   of each year, beginning                     ,</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2025 for the 2028 notes, the 2030 notes, the 2032 notes and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2035 notes, and on                     and                     of each year,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beginning on                    , 2025 for the 2054 notes.</w:t>
      </w:r>
    </w:p>
    <w:p>
      <w:pPr>
        <w:spacing w:after="0" w:line="99" w:lineRule="exact"/>
        <w:rPr>
          <w:sz w:val="20"/>
          <w:szCs w:val="20"/>
          <w:color w:val="auto"/>
        </w:rPr>
      </w:pPr>
    </w:p>
    <w:p>
      <w:pPr>
        <w:jc w:val="right"/>
        <w:ind w:right="399"/>
        <w:spacing w:after="0"/>
        <w:tabs>
          <w:tab w:leader="none" w:pos="516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We may elect to redeem and repay any or all of the notes at any time</w:t>
      </w:r>
    </w:p>
    <w:p>
      <w:pPr>
        <w:spacing w:after="0" w:line="27" w:lineRule="exact"/>
        <w:rPr>
          <w:sz w:val="20"/>
          <w:szCs w:val="20"/>
          <w:color w:val="auto"/>
        </w:rPr>
      </w:pPr>
    </w:p>
    <w:p>
      <w:pPr>
        <w:ind w:left="4300" w:right="579"/>
        <w:spacing w:after="0" w:line="260" w:lineRule="auto"/>
        <w:rPr>
          <w:sz w:val="20"/>
          <w:szCs w:val="20"/>
          <w:color w:val="auto"/>
        </w:rPr>
      </w:pPr>
      <w:r>
        <w:rPr>
          <w:rFonts w:ascii="Times New Roman" w:cs="Times New Roman" w:eastAsia="Times New Roman" w:hAnsi="Times New Roman"/>
          <w:sz w:val="18"/>
          <w:szCs w:val="18"/>
          <w:color w:val="auto"/>
        </w:rPr>
        <w:t>and from time to time in minimum principal amounts of $2,000 or any integral multiple of $1,000 in excess thereof.</w:t>
      </w:r>
    </w:p>
    <w:p>
      <w:pPr>
        <w:spacing w:after="0" w:line="1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2028 notes — Prior to                     , 2028, we may redeem the 2028</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 from time to</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time, at a redemption price equal to the greater of: (1) (a) the sum</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479"/>
        <w:spacing w:after="0" w:line="243" w:lineRule="auto"/>
        <w:rPr>
          <w:sz w:val="20"/>
          <w:szCs w:val="20"/>
          <w:color w:val="auto"/>
        </w:rPr>
      </w:pPr>
      <w:r>
        <w:rPr>
          <w:rFonts w:ascii="Times New Roman" w:cs="Times New Roman" w:eastAsia="Times New Roman" w:hAnsi="Times New Roman"/>
          <w:sz w:val="18"/>
          <w:szCs w:val="18"/>
          <w:color w:val="auto"/>
        </w:rPr>
        <w:t>of the present values of the remaining scheduled payments of principal and interest thereon discounted to the redemption date (assuming the 2028 notes matured on the applicable Par Call Date (as defined under “Description of Notes — Optional Redemption”)) on a semi-annual basis (assuming a 360-day year consisting of twelve 30-day months) at the Treasury Rate (as defined under “Description of Notes — Optional Redemption”) plus         basis points, less (b) interest accrued to the redemption date, and</w:t>
      </w:r>
    </w:p>
    <w:p>
      <w:pPr>
        <w:spacing w:after="0" w:line="4" w:lineRule="exact"/>
        <w:rPr>
          <w:sz w:val="20"/>
          <w:szCs w:val="20"/>
          <w:color w:val="auto"/>
        </w:rPr>
      </w:pPr>
    </w:p>
    <w:p>
      <w:pPr>
        <w:ind w:left="4300" w:right="459" w:firstLine="2"/>
        <w:spacing w:after="0" w:line="246" w:lineRule="auto"/>
        <w:tabs>
          <w:tab w:leader="none" w:pos="45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2028 notes to be redeemed, plus, in either case, accrued and unpaid interest thereon to the redemption date.</w:t>
      </w:r>
    </w:p>
    <w:p>
      <w:pPr>
        <w:spacing w:after="0" w:line="113" w:lineRule="exact"/>
        <w:rPr>
          <w:sz w:val="20"/>
          <w:szCs w:val="20"/>
          <w:color w:val="auto"/>
        </w:rPr>
      </w:pPr>
    </w:p>
    <w:p>
      <w:pPr>
        <w:ind w:left="4300" w:right="419"/>
        <w:spacing w:after="0" w:line="246" w:lineRule="auto"/>
        <w:rPr>
          <w:sz w:val="20"/>
          <w:szCs w:val="20"/>
          <w:color w:val="auto"/>
        </w:rPr>
      </w:pPr>
      <w:r>
        <w:rPr>
          <w:rFonts w:ascii="Times New Roman" w:cs="Times New Roman" w:eastAsia="Times New Roman" w:hAnsi="Times New Roman"/>
          <w:sz w:val="18"/>
          <w:szCs w:val="18"/>
          <w:color w:val="auto"/>
        </w:rPr>
        <w:t>On or after                     , 2028, we may redeem the 2028 notes at our option, in whole or in part, at any time and from time to time, at a redemption price equal to 100% of the principal amount of the 2028 notes to be redeemed, plus accrued and unpaid interest thereon to the redemption date.</w:t>
      </w:r>
    </w:p>
    <w:p>
      <w:pPr>
        <w:spacing w:after="0" w:line="114" w:lineRule="exact"/>
        <w:rPr>
          <w:sz w:val="20"/>
          <w:szCs w:val="20"/>
          <w:color w:val="auto"/>
        </w:rPr>
      </w:pPr>
    </w:p>
    <w:p>
      <w:pPr>
        <w:ind w:left="4300" w:right="419"/>
        <w:spacing w:after="0" w:line="243" w:lineRule="auto"/>
        <w:rPr>
          <w:sz w:val="20"/>
          <w:szCs w:val="20"/>
          <w:color w:val="auto"/>
        </w:rPr>
      </w:pPr>
      <w:r>
        <w:rPr>
          <w:rFonts w:ascii="Times New Roman" w:cs="Times New Roman" w:eastAsia="Times New Roman" w:hAnsi="Times New Roman"/>
          <w:sz w:val="18"/>
          <w:szCs w:val="18"/>
          <w:color w:val="auto"/>
        </w:rPr>
        <w:t>2030 notes — Prior to                     , 2030, we may redeem the 2030 notes at our option, in whole or in part, at any time and from time to time, at a redemption price equal to the greater of: (1) (a) the sum of the present values of the remaining scheduled payments of principal and interest thereon discounted to the redemption date (assuming the 2030 notes matured on the applicable Par Call Date) on a semi-annual basis (assuming a 360-day year consisting of twelve 30-day months) at the Treasury Rate plus         basis points, less</w:t>
      </w:r>
    </w:p>
    <w:p>
      <w:pPr>
        <w:spacing w:after="0" w:line="2" w:lineRule="exact"/>
        <w:rPr>
          <w:sz w:val="20"/>
          <w:szCs w:val="20"/>
          <w:color w:val="auto"/>
        </w:rPr>
      </w:pPr>
    </w:p>
    <w:p>
      <w:pPr>
        <w:ind w:left="4300" w:right="619" w:firstLine="2"/>
        <w:spacing w:after="0"/>
        <w:tabs>
          <w:tab w:leader="none" w:pos="45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redemption date, and (2) 100% of the principal amount of the 2030 notes to be redeemed, plus, in either case, accrued and unpaid interest thereon to the redemption date.</w:t>
      </w:r>
    </w:p>
    <w:p>
      <w:pPr>
        <w:spacing w:after="0" w:line="117" w:lineRule="exact"/>
        <w:rPr>
          <w:sz w:val="20"/>
          <w:szCs w:val="20"/>
          <w:color w:val="auto"/>
        </w:rPr>
      </w:pPr>
    </w:p>
    <w:p>
      <w:pPr>
        <w:ind w:left="4300" w:right="419"/>
        <w:spacing w:after="0" w:line="250" w:lineRule="auto"/>
        <w:rPr>
          <w:sz w:val="20"/>
          <w:szCs w:val="20"/>
          <w:color w:val="auto"/>
        </w:rPr>
      </w:pPr>
      <w:r>
        <w:rPr>
          <w:rFonts w:ascii="Times New Roman" w:cs="Times New Roman" w:eastAsia="Times New Roman" w:hAnsi="Times New Roman"/>
          <w:sz w:val="18"/>
          <w:szCs w:val="18"/>
          <w:color w:val="auto"/>
        </w:rPr>
        <w:t>On or after                     , 2030, we may redeem the 2030 notes at our option, in whole or in part, at any time and from time to time, at a redemption price equal to 100% of the principal amount of the 2030 notes to be redeemed, plus accrued and unpaid interest thereon to the redemption date.</w:t>
      </w:r>
    </w:p>
    <w:p>
      <w:pPr>
        <w:spacing w:after="0" w:line="110" w:lineRule="exact"/>
        <w:rPr>
          <w:sz w:val="20"/>
          <w:szCs w:val="20"/>
          <w:color w:val="auto"/>
        </w:rPr>
      </w:pPr>
    </w:p>
    <w:p>
      <w:pPr>
        <w:ind w:left="4300" w:right="419"/>
        <w:spacing w:after="0" w:line="241" w:lineRule="auto"/>
        <w:rPr>
          <w:sz w:val="20"/>
          <w:szCs w:val="20"/>
          <w:color w:val="auto"/>
        </w:rPr>
      </w:pPr>
      <w:r>
        <w:rPr>
          <w:rFonts w:ascii="Times New Roman" w:cs="Times New Roman" w:eastAsia="Times New Roman" w:hAnsi="Times New Roman"/>
          <w:sz w:val="18"/>
          <w:szCs w:val="18"/>
          <w:color w:val="auto"/>
        </w:rPr>
        <w:t>2032 notes — Prior to                     , 2032, we may redeem the 2032 notes at our option, in whole or in part, at any time and from time to time, at a redemption price equal to the greater of: (1) (a) the sum of the present values of the remaining scheduled payments of principal and interest thereon discounted to the redemption date (assuming the 2032 notes matured on the applicable Par Call Date) on a semi-annual basis (assuming a 360-day year consisting of twelve 30-day months) at the Treasury Rate plus         basis points, less</w:t>
      </w:r>
    </w:p>
    <w:p>
      <w:pPr>
        <w:spacing w:after="0" w:line="4" w:lineRule="exact"/>
        <w:rPr>
          <w:sz w:val="20"/>
          <w:szCs w:val="20"/>
          <w:color w:val="auto"/>
        </w:rPr>
      </w:pPr>
    </w:p>
    <w:p>
      <w:pPr>
        <w:ind w:left="4300" w:right="619" w:firstLine="2"/>
        <w:spacing w:after="0" w:line="246" w:lineRule="auto"/>
        <w:tabs>
          <w:tab w:leader="none" w:pos="45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redemption date, and (2) 100% of the principal amount of the 2032 notes to be redeemed, plus, in either case, accrued and unpaid interest thereon to the redemption date.</w:t>
      </w:r>
    </w:p>
    <w:p>
      <w:pPr>
        <w:spacing w:after="0" w:line="113" w:lineRule="exact"/>
        <w:rPr>
          <w:sz w:val="20"/>
          <w:szCs w:val="20"/>
          <w:color w:val="auto"/>
        </w:rPr>
      </w:pPr>
    </w:p>
    <w:p>
      <w:pPr>
        <w:ind w:left="4300" w:right="419"/>
        <w:spacing w:after="0" w:line="246" w:lineRule="auto"/>
        <w:rPr>
          <w:sz w:val="20"/>
          <w:szCs w:val="20"/>
          <w:color w:val="auto"/>
        </w:rPr>
      </w:pPr>
      <w:r>
        <w:rPr>
          <w:rFonts w:ascii="Times New Roman" w:cs="Times New Roman" w:eastAsia="Times New Roman" w:hAnsi="Times New Roman"/>
          <w:sz w:val="18"/>
          <w:szCs w:val="18"/>
          <w:color w:val="auto"/>
        </w:rPr>
        <w:t>On or after                     , 2032, we may redeem the 2032 notes at our option, in whole or in part, at any time and from time to time, at a redemption price equal to 100% of the principal amount of the 2032 notes to be redeemed, plus accrued and unpaid interest thereon to the redemption date.</w:t>
      </w:r>
    </w:p>
    <w:p>
      <w:pPr>
        <w:spacing w:after="0" w:line="114" w:lineRule="exact"/>
        <w:rPr>
          <w:sz w:val="20"/>
          <w:szCs w:val="20"/>
          <w:color w:val="auto"/>
        </w:rPr>
      </w:pPr>
    </w:p>
    <w:p>
      <w:pPr>
        <w:jc w:val="both"/>
        <w:ind w:left="4300" w:right="419"/>
        <w:spacing w:after="0" w:line="250" w:lineRule="auto"/>
        <w:rPr>
          <w:sz w:val="20"/>
          <w:szCs w:val="20"/>
          <w:color w:val="auto"/>
        </w:rPr>
      </w:pPr>
      <w:r>
        <w:rPr>
          <w:rFonts w:ascii="Times New Roman" w:cs="Times New Roman" w:eastAsia="Times New Roman" w:hAnsi="Times New Roman"/>
          <w:sz w:val="18"/>
          <w:szCs w:val="18"/>
          <w:color w:val="auto"/>
        </w:rPr>
        <w:t>2035 notes — Prior to                     , 2034, we may redeem the 2035 notes at our option, in whole or in part, at any time and from time to time, at a redemption price equal to the greater of: (1) (a) the sum of the present values of the remaining scheduled payments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(assuming the 2035 notes matured on the applicable Par Call Date)</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on a semi-annual basis (assuming a 360-day year consisting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twelve 30-day months) at the Treasury Rate plus         basis points,</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less (b) interest accrued to the redemption date, and (2) 100% of the</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principal amount of the 2035 notes to be redeemed, plus, in either</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w:t>
            </w:r>
          </w:p>
        </w:tc>
      </w:tr>
      <w:tr>
        <w:trPr>
          <w:trHeight w:val="333"/>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or after                     , 2034, we may redeem the 2035 notes at</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our option, in whole or in part, at any time and from time to time, at</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a redemption price equal to 100% of the principal amount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2035 notes to be redeemed, plus accrued and unpaid interest thereon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319"/>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2054 notes — Prior to                     , 2054, we may redeem the 2054</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notes at our option, in whole or in part, at any time and from time to</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time, at a redemption price equal to the greater of: (1) (a) the sum of</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the present values of the remaining scheduled payments of principal</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and interest thereon discounted to the redemption date (assuming</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2054 notes matured on the applicable Par Call Date) on a semi-</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annual basis (assuming a 360-day year consisting of twelve 30-</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day months) at the Treasury Rate plus         basis points, less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 interest accrued to the redemption date, and (2) 100% of the</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principal amount of the 2054 notes to be redeemed, plus, in either</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w:t>
            </w:r>
          </w:p>
        </w:tc>
      </w:tr>
      <w:tr>
        <w:trPr>
          <w:trHeight w:val="319"/>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or after                     , 2054, we may redeem the 2054 notes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our option, in whole or in part, at any time and from time to time, at</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a redemption price equal to 100% of the principal amount of the</w:t>
            </w:r>
          </w:p>
        </w:tc>
      </w:tr>
      <w:tr>
        <w:trPr>
          <w:trHeight w:val="203"/>
        </w:trPr>
        <w:tc>
          <w:tcPr>
            <w:tcW w:w="2440" w:type="dxa"/>
            <w:vAlign w:val="bottom"/>
          </w:tcPr>
          <w:p>
            <w:pPr>
              <w:spacing w:after="0"/>
              <w:rPr>
                <w:sz w:val="17"/>
                <w:szCs w:val="17"/>
                <w:color w:val="auto"/>
              </w:rPr>
            </w:pPr>
          </w:p>
        </w:tc>
        <w:tc>
          <w:tcPr>
            <w:tcW w:w="576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2054 notes to be redeemed, plus accrued and unpaid interest thereon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333"/>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See “Description of Notes — Optional Redemption” in this</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If a change of control triggering event occurs, holders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each series may require us to purchase all or a portion of such</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holders’ notes at a price equal to 101% of the principal amount, plus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interest, if any, to the date of purchase. See “Description of</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Notes — Change of Control Offer” in this 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notes and the guarantees will constitute the senior unsecured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debt of Waste Management, Inc. and WM Holdings, respectively,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 will rank equally with all of our and its other existing and future</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senior obligations from time to time outstanding.</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will issue the notes under an indenture containing covenants for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your benefit. These covenants restrict our ability, with certain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exceptions, to:</w:t>
            </w:r>
          </w:p>
        </w:tc>
      </w:tr>
      <w:tr>
        <w:trPr>
          <w:trHeight w:val="351"/>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create, incur or assume debt secured by liens;</w:t>
            </w:r>
          </w:p>
        </w:tc>
      </w:tr>
      <w:tr>
        <w:trPr>
          <w:trHeight w:val="365"/>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 and leaseback transactions; and</w:t>
            </w:r>
          </w:p>
        </w:tc>
      </w:tr>
      <w:tr>
        <w:trPr>
          <w:trHeight w:val="346"/>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consolidate or transfer all or substantially all of our</w:t>
            </w:r>
          </w:p>
        </w:tc>
      </w:tr>
      <w:tr>
        <w:trPr>
          <w:trHeight w:val="234"/>
        </w:trPr>
        <w:tc>
          <w:tcPr>
            <w:tcW w:w="2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expect the net proceeds from the offering of the notes to be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 after deducting the underwriting discounts and estimated</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expenses of the offering that we will pay.</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419"/>
        <w:spacing w:after="0" w:line="251" w:lineRule="auto"/>
        <w:rPr>
          <w:sz w:val="20"/>
          <w:szCs w:val="20"/>
          <w:color w:val="auto"/>
        </w:rPr>
      </w:pPr>
      <w:r>
        <w:rPr>
          <w:rFonts w:ascii="Times New Roman" w:cs="Times New Roman" w:eastAsia="Times New Roman" w:hAnsi="Times New Roman"/>
          <w:sz w:val="18"/>
          <w:szCs w:val="18"/>
          <w:color w:val="auto"/>
        </w:rPr>
        <w:t>We have elected to draw $5.2 billion principal amount of borrowings under our delayed draw Term Credit Agreement, dated as of August 28, 2024 (the “Term Credit Agreement”), with the banks party thereto (the “Term Credit Banks”) and JPMorgan Chase Bank, N.A., as administrative agent for the Term Credit Banks. We intend to fund consideration for the Merger and to pay related fees and expenses with borrowings under the Term Credit Agreement, together with borrowings under our commercial paper program and cash on hand. We intend to use the net proceeds from the offering of the notes to repay such borrowings under our Term Credit Agreement upon completion of the Merger. Consummation of this offering is not contingent on the completion of the Merger. If for any reason the Merger is not consummated, we intend to use the net proceeds from this offering for general corporate purposes, which may include (but is not limited to) (i) the repayment or redemption of our senior notes, (ii) the funding of acquisitions and, (iii) upon the Company’s return to target leverage ratios, share repurchases. If the Merger is not consummated, our management team will retain broad discretion as to the allocation of the net proceeds of this offering. Pending application of the net proceeds of this offering for the foregoing purposes, we may use the net proceeds to repay any current or future borrowings under our commercial paper program used to pay the consideration for the Merger and for working capital, which is fully supported by our $3.5 billion revolving credit facility, for short-term investments or for general corporate purposes.</w:t>
      </w:r>
    </w:p>
    <w:p>
      <w:pPr>
        <w:spacing w:after="0" w:line="35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See “Use of Proceeds” in this prospectus supplement.</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Certain underwriters or their respective affiliates in this offering are</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lenders under the Term Credit Agreement and may receive 5% or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more of the net proceeds of this offering by reason of the repayment</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of amounts outstanding under the Term Credit Agreement.</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Additionally, certain underwriters or their respective affiliates in</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this offering are dealers under our commercial paper program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may receive 5% or more of the net proceeds of this offering by</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reason of the repayment of any current or future amounts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outstanding under our commercial paper program, which is fully</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supported by our $3.5 billion revolving credit facility. Accordingly,</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such underwriters are deemed to have a “conflict of interest” within</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meaning of Rule 5121 of the Financial Industry Regulatory</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Authority, Inc. (“FINRA Rule 5121”), and this offering will be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conducted in accordance with FINRA Rule 5121, which requires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prominent disclosure of the nature of the conflict of interest in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 supplement. Pursuant to FINRA Rule 5121(a)(1)(C),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necessary in connection with this offering as the notes offered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hereby are “investment grade rated” (as​ defined in FINRA</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Rule 5121). See “Underwriting (Conflicts of Interest) — Conflicts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of Interest” in this prospectus supplement.</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The Bank of New York Mellon Trust Company, N.A.</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Further Issuances</w:t>
      </w:r>
      <w:r>
        <w:rPr>
          <w:sz w:val="20"/>
          <w:szCs w:val="20"/>
          <w:color w:val="auto"/>
        </w:rPr>
        <w:tab/>
      </w:r>
      <w:r>
        <w:rPr>
          <w:rFonts w:ascii="Times New Roman" w:cs="Times New Roman" w:eastAsia="Times New Roman" w:hAnsi="Times New Roman"/>
          <w:sz w:val="18"/>
          <w:szCs w:val="18"/>
          <w:color w:val="auto"/>
        </w:rPr>
        <w:t>We may create and issue additional notes of each series ranking</w:t>
      </w:r>
    </w:p>
    <w:p>
      <w:pPr>
        <w:spacing w:after="0" w:line="27" w:lineRule="exact"/>
        <w:rPr>
          <w:sz w:val="20"/>
          <w:szCs w:val="20"/>
          <w:color w:val="auto"/>
        </w:rPr>
      </w:pPr>
    </w:p>
    <w:p>
      <w:pPr>
        <w:ind w:left="4300" w:right="499"/>
        <w:spacing w:after="0" w:line="255" w:lineRule="auto"/>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 all respects, so that such additional notes will be consolidated and form a single series with the notes of such</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series offered by this prospectus supplement and will have the same</w:t>
            </w:r>
          </w:p>
        </w:tc>
      </w:t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terms, as to status, redemption or otherwise except for the issue</w:t>
            </w:r>
          </w:p>
        </w:tc>
      </w:t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date, the initial interest payment date, if applicable, and the payment</w:t>
            </w:r>
          </w:p>
        </w:tc>
      </w:t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of interest accruing prior to the issue date of such additional notes;</w:t>
            </w:r>
          </w:p>
        </w:tc>
      </w:t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provided, however, that a separate CUSIP or ISIN will be issued for</w:t>
            </w:r>
          </w:p>
        </w:tc>
      </w:tr>
      <w:tr>
        <w:trPr>
          <w:trHeight w:val="216"/>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additional notes unless the notes and the additional notes are</w:t>
            </w:r>
          </w:p>
        </w:tc>
      </w:tr>
      <w:tr>
        <w:trPr>
          <w:trHeight w:val="234"/>
        </w:trPr>
        <w:tc>
          <w:tcPr>
            <w:tcW w:w="1980" w:type="dxa"/>
            <w:vAlign w:val="bottom"/>
          </w:tcPr>
          <w:p>
            <w:pPr>
              <w:spacing w:after="0"/>
              <w:rPr>
                <w:sz w:val="20"/>
                <w:szCs w:val="20"/>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fungible for U.S. federal income tax purposes.</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color w:val="0000EE"/>
              </w:rPr>
              <w:t>S-8</w:t>
            </w:r>
            <w:r>
              <w:rPr>
                <w:rFonts w:ascii="Times New Roman" w:cs="Times New Roman" w:eastAsia="Times New Roman" w:hAnsi="Times New Roman"/>
                <w:sz w:val="18"/>
                <w:szCs w:val="18"/>
                <w:color w:val="auto"/>
              </w:rPr>
              <w:t xml:space="preserve"> of this prospectus supplement and page </w:t>
            </w: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color w:val="auto"/>
              </w:rPr>
              <w:t xml:space="preserve"> of the</w:t>
            </w:r>
          </w:p>
        </w:tc>
      </w:tr>
      <w:tr>
        <w:trPr>
          <w:trHeight w:val="20"/>
        </w:trPr>
        <w:tc>
          <w:tcPr>
            <w:tcW w:w="1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8"/>
        </w:trPr>
        <w:tc>
          <w:tcPr>
            <w:tcW w:w="1980" w:type="dxa"/>
            <w:vAlign w:val="bottom"/>
          </w:tcPr>
          <w:p>
            <w:pPr>
              <w:spacing w:after="0"/>
              <w:rPr>
                <w:sz w:val="18"/>
                <w:szCs w:val="18"/>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accompanying prospectus for a discussion of the risks you should</w:t>
            </w:r>
          </w:p>
        </w:tc>
      </w:tr>
      <w:tr>
        <w:trPr>
          <w:trHeight w:val="234"/>
        </w:trPr>
        <w:tc>
          <w:tcPr>
            <w:tcW w:w="1980" w:type="dxa"/>
            <w:vAlign w:val="bottom"/>
          </w:tcPr>
          <w:p>
            <w:pPr>
              <w:spacing w:after="0"/>
              <w:rPr>
                <w:sz w:val="20"/>
                <w:szCs w:val="20"/>
                <w:color w:val="auto"/>
              </w:rPr>
            </w:pPr>
          </w:p>
        </w:tc>
        <w:tc>
          <w:tcPr>
            <w:tcW w:w="622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 factors identified in Part I, Item 1A., “Risk Factors,” of our</w:t>
      </w:r>
    </w:p>
    <w:p>
      <w:pPr>
        <w:spacing w:after="0" w:line="18" w:lineRule="exact"/>
        <w:rPr>
          <w:sz w:val="20"/>
          <w:szCs w:val="20"/>
          <w:color w:val="auto"/>
        </w:rPr>
      </w:pPr>
    </w:p>
    <w:p>
      <w:pPr>
        <w:ind w:left="1260"/>
        <w:spacing w:after="0"/>
        <w:rPr>
          <w:rFonts w:ascii="Times New Roman" w:cs="Times New Roman" w:eastAsia="Times New Roman" w:hAnsi="Times New Roman"/>
          <w:sz w:val="18"/>
          <w:szCs w:val="18"/>
          <w:i w:val="1"/>
          <w:iCs w:val="1"/>
          <w:color w:val="0000EE"/>
        </w:rPr>
      </w:pPr>
      <w:hyperlink r:id="rId52">
        <w:r>
          <w:rPr>
            <w:rFonts w:ascii="Times New Roman" w:cs="Times New Roman" w:eastAsia="Times New Roman" w:hAnsi="Times New Roman"/>
            <w:sz w:val="18"/>
            <w:szCs w:val="18"/>
            <w:i w:val="1"/>
            <w:iCs w:val="1"/>
            <w:u w:val="single" w:color="auto"/>
            <w:color w:val="0000EE"/>
          </w:rPr>
          <w:t>Annual Report on Form 10-K for the year ended December 31, 2023</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as updated by Part II, Item 1A., “Risk</w:t>
      </w:r>
    </w:p>
    <w:p>
      <w:pPr>
        <w:spacing w:after="0" w:line="7" w:lineRule="exact"/>
        <w:rPr>
          <w:sz w:val="20"/>
          <w:szCs w:val="20"/>
          <w:color w:val="auto"/>
        </w:rPr>
      </w:pPr>
    </w:p>
    <w:p>
      <w:pPr>
        <w:ind w:left="1260" w:right="459"/>
        <w:spacing w:after="0"/>
        <w:rPr>
          <w:rFonts w:ascii="Times New Roman" w:cs="Times New Roman" w:eastAsia="Times New Roman" w:hAnsi="Times New Roman"/>
          <w:sz w:val="18"/>
          <w:szCs w:val="18"/>
          <w:i w:val="1"/>
          <w:iCs w:val="1"/>
          <w:color w:val="0000EE"/>
        </w:rPr>
      </w:pPr>
      <w:hyperlink r:id="rId53">
        <w:r>
          <w:rPr>
            <w:rFonts w:ascii="Times New Roman" w:cs="Times New Roman" w:eastAsia="Times New Roman" w:hAnsi="Times New Roman"/>
            <w:sz w:val="18"/>
            <w:szCs w:val="18"/>
            <w:i w:val="1"/>
            <w:iCs w:val="1"/>
            <w:color w:val="auto"/>
          </w:rPr>
          <w:t xml:space="preserve">Factors,” of our Quarterly Reports on Form 10- Q for the quarters ended </w:t>
        </w:r>
        <w:r>
          <w:rPr>
            <w:rFonts w:ascii="Times New Roman" w:cs="Times New Roman" w:eastAsia="Times New Roman" w:hAnsi="Times New Roman"/>
            <w:sz w:val="18"/>
            <w:szCs w:val="18"/>
            <w:i w:val="1"/>
            <w:iCs w:val="1"/>
            <w:u w:val="single" w:color="auto"/>
            <w:color w:val="0000EE"/>
          </w:rPr>
          <w:t>March 31, 2024</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0000EE"/>
          </w:rPr>
          <w:t>June 30,</w:t>
        </w:r>
      </w:hyperlink>
      <w:r>
        <w:rPr>
          <w:rFonts w:ascii="Times New Roman" w:cs="Times New Roman" w:eastAsia="Times New Roman" w:hAnsi="Times New Roman"/>
          <w:sz w:val="18"/>
          <w:szCs w:val="18"/>
          <w:i w:val="1"/>
          <w:iCs w:val="1"/>
          <w:color w:val="auto"/>
        </w:rPr>
        <w:t xml:space="preserve"> </w:t>
      </w:r>
      <w:hyperlink r:id="rId53">
        <w:r>
          <w:rPr>
            <w:rFonts w:ascii="Times New Roman" w:cs="Times New Roman" w:eastAsia="Times New Roman" w:hAnsi="Times New Roman"/>
            <w:sz w:val="18"/>
            <w:szCs w:val="18"/>
            <w:i w:val="1"/>
            <w:iCs w:val="1"/>
            <w:u w:val="single" w:color="auto"/>
            <w:color w:val="0000EE"/>
          </w:rPr>
          <w:t>2024</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 xml:space="preserve">and the risks identified in our other filings with the SEC before making an investment in the notes. </w:t>
        </w:r>
      </w:hyperlink>
      <w:r>
        <w:rPr>
          <w:rFonts w:ascii="Times New Roman" w:cs="Times New Roman" w:eastAsia="Times New Roman" w:hAnsi="Times New Roman"/>
          <w:sz w:val="18"/>
          <w:szCs w:val="18"/>
          <w:i w:val="1"/>
          <w:iCs w:val="1"/>
          <w:color w:val="0000EE"/>
        </w:rPr>
        <w:t xml:space="preserve">You </w:t>
      </w:r>
      <w:r>
        <w:rPr>
          <w:rFonts w:ascii="Times New Roman" w:cs="Times New Roman" w:eastAsia="Times New Roman" w:hAnsi="Times New Roman"/>
          <w:sz w:val="18"/>
          <w:szCs w:val="18"/>
          <w:i w:val="1"/>
          <w:iCs w:val="1"/>
          <w:color w:val="000000"/>
        </w:rPr>
        <w:t>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9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have substantial indebtedness. At September 30, 2024, our ratio of total debt to total capitalization was 67.6%, and we had $16.7 billion of total debt. In addition, as of September 30, 2024, we had approximately $1.0 billion of total letters of credit outstanding under our various facilities and certain bi-lateral agreements, including $171 million of such outstanding letters of credit that were issued under and supported by our $3.5 billion revolving credit facility. Our indebtedness that bears interest at a floating rate makes us vulnerable to changes in interest rates. As of September 30, 2024, we had approximately</w:t>
      </w:r>
    </w:p>
    <w:p>
      <w:pPr>
        <w:spacing w:after="0" w:line="5" w:lineRule="exact"/>
        <w:rPr>
          <w:sz w:val="20"/>
          <w:szCs w:val="20"/>
          <w:color w:val="auto"/>
        </w:rPr>
      </w:pPr>
    </w:p>
    <w:p>
      <w:pPr>
        <w:jc w:val="both"/>
        <w:ind w:left="1260" w:right="439"/>
        <w:spacing w:after="0" w:line="250" w:lineRule="auto"/>
        <w:rPr>
          <w:sz w:val="20"/>
          <w:szCs w:val="20"/>
          <w:color w:val="auto"/>
        </w:rPr>
      </w:pPr>
      <w:r>
        <w:rPr>
          <w:rFonts w:ascii="Times New Roman" w:cs="Times New Roman" w:eastAsia="Times New Roman" w:hAnsi="Times New Roman"/>
          <w:sz w:val="18"/>
          <w:szCs w:val="18"/>
          <w:color w:val="auto"/>
        </w:rPr>
        <w:t>$1.9 billion of debt maturing within the next 12 months, including: (i) $1.2 billion of tax-exempt bonds with term interest rate periods that expire within the next 12 months, which is prior to their scheduled maturities;</w:t>
      </w:r>
    </w:p>
    <w:p>
      <w:pPr>
        <w:spacing w:after="0" w:line="1" w:lineRule="exact"/>
        <w:rPr>
          <w:sz w:val="20"/>
          <w:szCs w:val="20"/>
          <w:color w:val="auto"/>
        </w:rPr>
      </w:pPr>
    </w:p>
    <w:p>
      <w:pPr>
        <w:ind w:left="1260" w:right="439"/>
        <w:spacing w:after="0" w:line="253" w:lineRule="auto"/>
        <w:tabs>
          <w:tab w:leader="none" w:pos="15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 million of 3.125% senior notes that mature in March 2025; and (iii) $254 million of other debt with scheduled maturities within the next 12 months, including $110 million of tax-exempt bonds. Our level of indebtedness and the covenants contained in the agreements governing our debt could have important consequences, including:</w:t>
      </w:r>
    </w:p>
    <w:p>
      <w:pPr>
        <w:spacing w:after="0" w:line="80"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53" w:lineRule="exact"/>
        <w:rPr>
          <w:rFonts w:ascii="Times New Roman" w:cs="Times New Roman" w:eastAsia="Times New Roman" w:hAnsi="Times New Roman"/>
          <w:sz w:val="18"/>
          <w:szCs w:val="18"/>
          <w:color w:val="auto"/>
        </w:rPr>
      </w:pPr>
    </w:p>
    <w:p>
      <w:pPr>
        <w:jc w:val="both"/>
        <w:ind w:left="1800" w:right="1039" w:hanging="180"/>
        <w:spacing w:after="0" w:line="266"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are not prohibited under the indenture governing the notes from incurring additional indebtedness. We expect closing of the Merger to occur in the fourth quarter of 2024. 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the notes to repay such borrowings under our Term Credit Agreement upon completion of the Merger. Although our $3.5 billion revolving credit facility and our Term Credit Agreement require us to maintain a specified ratio of Total Debt to EBITDA (as defined in our $3.5 billion revolving credit facility and our Term Credit Agreement, as applicable), following this offering of notes and the use of proceeds contemplated hereby, we expect to have the ability to incur additional indebtedness, including</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indebtedness related to the Merger, while remaining in compliance with this covenant. Our incurrence of additional indebtedness would exacerbate the negative consequences mentioned above, and could adversely affect our ability to service and repay the notes.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Downgrades in our credit ratings or changes in the debt markets may adversely affect the market price of the notes.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market price for the notes will depend on a number of factors, including:</w:t>
      </w:r>
    </w:p>
    <w:p>
      <w:pPr>
        <w:spacing w:after="0" w:line="117"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operating performance and future prospects;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 and global and domestic economies.</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certain of our subsidiaries’ debt and our secured debt.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September 30, 2024 was $373 million. As of September 30, 2024, our operating subsidiaries had $2.3 billion of indebtedness and WM Holdings had $223 million of long-term debt (excluding guarantees of $12.5 billion of our senior debt), in each case excluding intercompany loans. For a description of the ranking of the notes, see “Description of Notes — Ranking” in this prospectus supplement.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notes.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w:t>
      </w: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81"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89" w:lineRule="exact"/>
        <w:rPr>
          <w:sz w:val="20"/>
          <w:szCs w:val="20"/>
          <w:color w:val="auto"/>
        </w:rPr>
      </w:pPr>
    </w:p>
    <w:p>
      <w:pPr>
        <w:ind w:left="1260" w:right="5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offering of the notes is not conditioned on the consummation of the Merger, and if the Merger is not consummated, our management team will retain broad discretion to invest or spend the proceeds of the offering of the notes in ways that you may not support.</w:t>
      </w:r>
    </w:p>
    <w:p>
      <w:pPr>
        <w:spacing w:after="0" w:line="10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estimate that the net proceeds to us, after deducting the underwriting discounts and estimated offering expenses payable by us, will be approximately $            billion. 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the notes to repay such borrowings under our Term Credit Agreement upon completion of the Merger. Consummation of this offering is not contingent on the completion of the Merger. Because the Merger is subject to the satisfaction or waiver of certain conditions, we cannot assure you that the Merger will be consummated in the anticipated timeframe or at all. If for any reason the Merger is not consummated, we intend to use the net proceeds from the offering of the notes for general corporate purposes, which may include (but is not limited to) (i) the repayment or redemption of our senior notes, (ii) the funding of acquisitions and, (iii) upon the Company’s return to target leverage ratios, share repurchases. See “Use of Proceeds.” If the Merger is not consummated, our management team will retain broad discretion in the application of the net proceeds of this offering, and you will not have the opportunity, as part of your investment decision, to assess whether the proceeds are being used in ways that you support.</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 for a profit or at all.</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            , after deducting the underwriting discounts and estimated expenses of the offering that we will pay.</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notes to repay such borrowings under our Term Credit Agreement upon completion of the Merger. Consummation of this offering is not contingent on the completion of the Merger. If for any reason the Merger is not consummated, we intend to use the net proceeds from this offering for general corporate purposes, which may include (but is not limited to) (i) the repayment or redemption of our senior notes, (ii) the funding of acquisitions and, (iii) upon the Company’s return to target leverage ratios, share repurchases. If the Merger is not consummated, our management team will retain broad discretion as to the allocation of the net proceeds of this offering. Pending application of the net proceeds of this offering for the foregoing purposes, we may use the net proceeds to repay any current or future borrowings under our commercial paper program used to pay the consideration for the Merger and for working capital, which is fully supported by our $3.5 billion revolving credit facility, for short-term investments or for general corporate purposes.</w:t>
      </w:r>
    </w:p>
    <w:p>
      <w:pPr>
        <w:spacing w:after="0" w:line="33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under the Term Credit Agreement and may receive 5% or more of the net proceeds of this offering by reason of the repayment of amounts outstanding under the Term Credit Agreement. Additionally, certain underwriters or their respective affiliates in this offering are dealers under our commercial paper program and may receive 5% or more of the net proceeds of this offering by reason of the repayment of any current or future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33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expect the sales of each series of notes will take place concurrently. However, the sales of each series of notes are not conditioned upon each other, and we may consummate the sale of one series and not the others or consummate the sales at different times.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 Credit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28, 2024, we entered into the Term Credit Agreement in a principal amount of up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$7.2 billion with the Term Credit Banks and JPMorgan Chase Bank, N.A., as administrative agent for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 Credit Banks. WM Holdings guarantees our obligations under the Term Credit Agreement. We have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elected to draw $5.2 billion principal amount of borrowings under the Term Credit Agreement to fund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consideration for the Merger and to pay related fees and expenses.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4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September 30, 2024, we had no outstanding borrowings under our commercial paper program. As of October 29, 2024, we had $598 million of outstanding borrowings under our commercial paper program (net of related discount on issuance) with a weighted average interest rate of 4.91% and a weighted average maturity of 25.3 days. We expect any current or future proceeds of our commercial paper program to be used to pay the consideration for the Merger and for working capital.</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consolidated capitalization as of September 30, 2024 on an actual basis and as adjusted to give effect to (A) the offering of the notes and (B) the receipt of the net proceeds therefrom. The following tables do not reflect (1) the application of the net proceeds from the offering of the notes as described under “Use of Proceeds”, (2) the consummation of the Exchange Offer and Consent Solicitation, including up to $500.0 million aggregate principal amount of senior notes that the Company intends to issue in connection with the Exchange Offer,</w:t>
      </w:r>
    </w:p>
    <w:p>
      <w:pPr>
        <w:spacing w:after="0" w:line="5" w:lineRule="exact"/>
        <w:rPr>
          <w:sz w:val="20"/>
          <w:szCs w:val="20"/>
          <w:color w:val="auto"/>
        </w:rPr>
      </w:pPr>
    </w:p>
    <w:p>
      <w:pPr>
        <w:jc w:val="both"/>
        <w:ind w:left="1260" w:right="679"/>
        <w:spacing w:after="0" w:line="260" w:lineRule="auto"/>
        <w:tabs>
          <w:tab w:leader="none" w:pos="15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draw $5.2 billion principal amount of borrowings under the Term Credit Agreement or any issuance of commercial paper in connection with the Merger or (4) the consummation of the Merger.</w:t>
      </w:r>
    </w:p>
    <w:p>
      <w:pPr>
        <w:spacing w:after="0" w:line="11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ectPr>
          <w:pgSz w:w="11900" w:h="16838" w:orient="portrait"/>
          <w:cols w:equalWidth="0" w:num="1">
            <w:col w:w="9879"/>
          </w:cols>
          <w:pgMar w:left="580" w:top="97" w:right="1440" w:bottom="1440" w:gutter="0" w:footer="0" w:header="0"/>
        </w:sectPr>
      </w:pP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8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40" w:type="dxa"/>
            <w:vAlign w:val="bottom"/>
          </w:tcPr>
          <w:p>
            <w:pPr>
              <w:ind w:left="120"/>
              <w:spacing w:after="0" w:line="257"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17"/>
                <w:szCs w:val="17"/>
                <w:b w:val="1"/>
                <w:bCs w:val="1"/>
                <w:color w:val="auto"/>
                <w:vertAlign w:val="superscript"/>
              </w:rPr>
              <w:t>(a)</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3"/>
          <w:szCs w:val="13"/>
          <w:b w:val="1"/>
          <w:bCs w:val="1"/>
          <w:color w:val="auto"/>
        </w:rPr>
        <w:t>(Unaudited, Dollars in millions) ​</w:t>
      </w:r>
    </w:p>
    <w:p>
      <w:pPr>
        <w:spacing w:after="0" w:line="27" w:lineRule="exact"/>
        <w:rPr>
          <w:sz w:val="20"/>
          <w:szCs w:val="20"/>
          <w:color w:val="auto"/>
        </w:rPr>
      </w:pPr>
    </w:p>
    <w:p>
      <w:pPr>
        <w:sectPr>
          <w:pgSz w:w="11900" w:h="16838" w:orient="portrait"/>
          <w:cols w:equalWidth="0" w:num="2">
            <w:col w:w="7500" w:space="20"/>
            <w:col w:w="2359"/>
          </w:cols>
          <w:pgMar w:left="580" w:top="97" w:right="1440" w:bottom="1440" w:gutter="0" w:footer="0" w:header="0"/>
          <w:type w:val="continuous"/>
        </w:sectPr>
      </w:pP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440"/>
        <w:spacing w:after="0" w:line="220" w:lineRule="auto"/>
        <w:rPr>
          <w:sz w:val="20"/>
          <w:szCs w:val="20"/>
          <w:color w:val="auto"/>
        </w:rPr>
      </w:pPr>
      <w:r>
        <w:rPr>
          <w:rFonts w:ascii="Times New Roman" w:cs="Times New Roman" w:eastAsia="Times New Roman" w:hAnsi="Times New Roman"/>
          <w:sz w:val="18"/>
          <w:szCs w:val="18"/>
          <w:color w:val="auto"/>
        </w:rPr>
        <w:t>Commercial paper program</w:t>
      </w:r>
      <w:r>
        <w:rPr>
          <w:rFonts w:ascii="Times New Roman" w:cs="Times New Roman" w:eastAsia="Times New Roman" w:hAnsi="Times New Roman"/>
          <w:sz w:val="23"/>
          <w:szCs w:val="23"/>
          <w:color w:val="auto"/>
          <w:vertAlign w:val="superscript"/>
        </w:rPr>
        <w:t>(b)</w:t>
      </w:r>
    </w:p>
    <w:p>
      <w:pPr>
        <w:ind w:left="1440"/>
        <w:spacing w:after="0" w:line="221" w:lineRule="auto"/>
        <w:rPr>
          <w:sz w:val="20"/>
          <w:szCs w:val="20"/>
          <w:color w:val="auto"/>
        </w:rPr>
      </w:pPr>
      <w:r>
        <w:rPr>
          <w:rFonts w:ascii="Times New Roman" w:cs="Times New Roman" w:eastAsia="Times New Roman" w:hAnsi="Times New Roman"/>
          <w:sz w:val="18"/>
          <w:szCs w:val="18"/>
          <w:color w:val="auto"/>
        </w:rPr>
        <w:t>$3.5 billion revolving credit facility</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Term Credit Agreement</w:t>
      </w:r>
      <w:r>
        <w:rPr>
          <w:rFonts w:ascii="Times New Roman" w:cs="Times New Roman" w:eastAsia="Times New Roman" w:hAnsi="Times New Roman"/>
          <w:sz w:val="23"/>
          <w:szCs w:val="23"/>
          <w:color w:val="auto"/>
          <w:vertAlign w:val="superscript"/>
        </w:rPr>
        <w:t>(c)</w:t>
      </w:r>
    </w:p>
    <w:p>
      <w:pPr>
        <w:spacing w:after="0" w:line="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Senior notes, maturing through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282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212080" cy="282575"/>
                    </a:xfrm>
                    <a:prstGeom prst="rect">
                      <a:avLst/>
                    </a:prstGeom>
                    <a:noFill/>
                  </pic:spPr>
                </pic:pic>
              </a:graphicData>
            </a:graphic>
          </wp:anchor>
        </w:drawing>
      </w:r>
    </w:p>
    <w:p>
      <w:pPr>
        <w:ind w:left="1620" w:right="140" w:hanging="180"/>
        <w:spacing w:after="0" w:line="249" w:lineRule="auto"/>
        <w:tabs>
          <w:tab w:leader="none" w:pos="15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2028 offered hereby (including unamortized discount)</w:t>
      </w:r>
    </w:p>
    <w:p>
      <w:pPr>
        <w:ind w:left="1620" w:right="140" w:hanging="180"/>
        <w:spacing w:after="0" w:line="258" w:lineRule="auto"/>
        <w:tabs>
          <w:tab w:leader="none" w:pos="15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2030 offered hereby (including unamortized discount)</w:t>
      </w:r>
    </w:p>
    <w:p>
      <w:pPr>
        <w:ind w:left="1620" w:hanging="180"/>
        <w:spacing w:after="0" w:line="258" w:lineRule="auto"/>
        <w:tabs>
          <w:tab w:leader="none" w:pos="15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2032 offered hereby (including unamortized discount)</w:t>
      </w:r>
    </w:p>
    <w:p>
      <w:pPr>
        <w:ind w:left="1620" w:hanging="180"/>
        <w:spacing w:after="0" w:line="258" w:lineRule="auto"/>
        <w:tabs>
          <w:tab w:leader="none" w:pos="15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2035 offered hereby (including unamortized discount)</w:t>
      </w:r>
    </w:p>
    <w:p>
      <w:pPr>
        <w:ind w:left="1620" w:hanging="180"/>
        <w:spacing w:after="0" w:line="261" w:lineRule="auto"/>
        <w:tabs>
          <w:tab w:leader="none" w:pos="15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2054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-850900</wp:posOffset>
            </wp:positionV>
            <wp:extent cx="5212080" cy="282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212080" cy="2825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-285115</wp:posOffset>
            </wp:positionV>
            <wp:extent cx="521208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212080" cy="28257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w:t>
      </w:r>
      <w:r>
        <w:rPr>
          <w:rFonts w:ascii="Times New Roman" w:cs="Times New Roman" w:eastAsia="Times New Roman" w:hAnsi="Times New Roman"/>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Tax-exempt bonds, maturing through 2053</w:t>
      </w:r>
      <w:r>
        <w:rPr>
          <w:rFonts w:ascii="Times New Roman" w:cs="Times New Roman" w:eastAsia="Times New Roman" w:hAnsi="Times New Roman"/>
          <w:sz w:val="23"/>
          <w:szCs w:val="23"/>
          <w:color w:val="auto"/>
          <w:vertAlign w:val="superscript"/>
        </w:rPr>
        <w:t>(e)</w:t>
      </w:r>
    </w:p>
    <w:p>
      <w:pPr>
        <w:ind w:left="1440"/>
        <w:spacing w:after="0" w:line="234" w:lineRule="auto"/>
        <w:rPr>
          <w:sz w:val="20"/>
          <w:szCs w:val="20"/>
          <w:color w:val="auto"/>
        </w:rPr>
      </w:pPr>
      <w:r>
        <w:rPr>
          <w:rFonts w:ascii="Times New Roman" w:cs="Times New Roman" w:eastAsia="Times New Roman" w:hAnsi="Times New Roman"/>
          <w:sz w:val="18"/>
          <w:szCs w:val="18"/>
          <w:color w:val="auto"/>
        </w:rPr>
        <w:t>Financing leases and other, maturing through 2082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12,720 ​​ ​</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12,720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19"/>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5"/>
        </w:trPr>
        <w:tc>
          <w:tcPr>
            <w:tcW w:w="480" w:type="dxa"/>
            <w:vAlign w:val="bottom"/>
            <w:gridSpan w:val="2"/>
          </w:tcPr>
          <w:p>
            <w:pPr>
              <w:ind w:left="60"/>
              <w:spacing w:after="0" w:line="206" w:lineRule="exact"/>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865</w:t>
            </w:r>
          </w:p>
        </w:tc>
        <w:tc>
          <w:tcPr>
            <w:tcW w:w="3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line="206"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line="206" w:lineRule="exact"/>
              <w:rPr>
                <w:sz w:val="20"/>
                <w:szCs w:val="20"/>
                <w:color w:val="auto"/>
              </w:rPr>
            </w:pPr>
            <w:r>
              <w:rPr>
                <w:rFonts w:ascii="Times New Roman" w:cs="Times New Roman" w:eastAsia="Times New Roman" w:hAnsi="Times New Roman"/>
                <w:sz w:val="18"/>
                <w:szCs w:val="18"/>
                <w:color w:val="auto"/>
              </w:rPr>
              <w:t>865</w:t>
            </w:r>
          </w:p>
        </w:tc>
        <w:tc>
          <w:tcPr>
            <w:tcW w:w="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80" w:space="320"/>
            <w:col w:w="25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8"/>
        </w:trPr>
        <w:tc>
          <w:tcPr>
            <w:tcW w:w="604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Debt issuance costs, discounts and other</w:t>
            </w:r>
            <w:r>
              <w:rPr>
                <w:rFonts w:ascii="Times New Roman" w:cs="Times New Roman" w:eastAsia="Times New Roman" w:hAnsi="Times New Roman"/>
                <w:sz w:val="23"/>
                <w:szCs w:val="23"/>
                <w:color w:val="auto"/>
                <w:vertAlign w:val="superscript"/>
              </w:rPr>
              <w:t>(f)</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16,653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1,500,000,000 shares authorized;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630,282,461 shares issued</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15,563 ​​ ​</w:t>
            </w:r>
          </w:p>
        </w:tc>
        <w:tc>
          <w:tcPr>
            <w:tcW w:w="880" w:type="dxa"/>
            <w:vAlign w:val="bottom"/>
            <w:tcBorders>
              <w:right w:val="single" w:sz="8" w:color="CCEEFF"/>
            </w:tcBorders>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 15,563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w:t>
            </w:r>
          </w:p>
        </w:tc>
      </w:tr>
      <w:tr>
        <w:trPr>
          <w:trHeight w:val="25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228,928,455 shares</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​(12,999)​​ ​</w:t>
            </w: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and equity</w:t>
            </w:r>
          </w:p>
        </w:tc>
        <w:tc>
          <w:tcPr>
            <w:tcW w:w="128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 ​</w:t>
            </w:r>
            <w:r>
              <w:rPr>
                <w:rFonts w:ascii="Times New Roman" w:cs="Times New Roman" w:eastAsia="Times New Roman" w:hAnsi="Times New Roman"/>
                <w:sz w:val="15"/>
                <w:szCs w:val="15"/>
                <w:color w:val="auto"/>
              </w:rPr>
              <w:t xml:space="preserve">$ 24,625 </w:t>
            </w:r>
            <w:r>
              <w:rPr>
                <w:rFonts w:ascii="Times New Roman" w:cs="Times New Roman" w:eastAsia="Times New Roman" w:hAnsi="Times New Roman"/>
                <w:sz w:val="27"/>
                <w:szCs w:val="27"/>
                <w:color w:val="auto"/>
                <w:vertAlign w:val="subscript"/>
              </w:rPr>
              <w:t>​​ ​</w:t>
            </w:r>
          </w:p>
        </w:tc>
        <w:tc>
          <w:tcPr>
            <w:tcW w:w="280" w:type="dxa"/>
            <w:vAlign w:val="bottom"/>
            <w:gridSpan w:val="2"/>
            <w:shd w:val="clear" w:color="auto" w:fill="CCEEFF"/>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6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5212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459" w:hanging="360"/>
        <w:spacing w:after="0" w:line="25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(1) the application of the net proceeds from the offering of the notes as described under “Use of Proceeds”, (2) the consummation of the Exchange Offer and Consent Solicitation, including up to $500.0 million aggregate principal amount of senior notes that the Company intends to issue in connection with the Exchange Offer, (3) our election to draw $5.2 billion principal amount of borrowings under the Term Credit Agreement or any issuance of commercial paper in connection with the Merger or (4) the consummation of the Merger.</w:t>
      </w:r>
    </w:p>
    <w:p>
      <w:pPr>
        <w:spacing w:after="0" w:line="52"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$3.5 billion revolving credit facility expires in May 2029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 December 2027.</w:t>
      </w:r>
    </w:p>
    <w:p>
      <w:pPr>
        <w:spacing w:after="0" w:line="102"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we pay on outstanding U.S. or Canadian loans are based on a secured overnight financing rate administered by the Federal Reserve Bank of New York (“SOFR”) or the Canadian Overnight Repo Rate Average, as administered by the Bank of Canada (“CORRA”), respectively, plus a spread depending on our senior public debt rating assigned by Moody’s Investors Service, Inc. and Standard and Poor’s Global Ratings. The spread above SOFR or CORRA can range from 0.585% to 1.025% per annum, plus a credit adjustment spread of 0.10% per annum on SOFR-based rates to account for the transition from the use of LIBOR to SOFR in such rate calculations. WM Holdings guarantees all of the obligations under our $3.5 billion revolving credit facility.</w:t>
      </w:r>
    </w:p>
    <w:p>
      <w:pPr>
        <w:spacing w:after="0" w:line="124" w:lineRule="exact"/>
        <w:rPr>
          <w:rFonts w:ascii="Times New Roman" w:cs="Times New Roman" w:eastAsia="Times New Roman" w:hAnsi="Times New Roman"/>
          <w:sz w:val="18"/>
          <w:szCs w:val="18"/>
          <w:color w:val="auto"/>
        </w:rPr>
      </w:pPr>
    </w:p>
    <w:p>
      <w:pPr>
        <w:ind w:left="1620" w:right="59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29, 2024, we had $598 million of outstanding borrowings under our commercial paper program (net of related discount on issuance) with a weighted average interest rate of 4.91% and a weighted average maturity of 25.3 days, which is fully supported by our $3.5 billion revolving credit facility. As of September 30, 2024, we had no borrowings under, and $171 million of letters of credit issued under and supported by, our $3.5 billion revolving credit facility, leaving unused and available credit capacity under this facility of $3.3 billion.</w:t>
      </w:r>
    </w:p>
    <w:p>
      <w:pPr>
        <w:spacing w:after="0" w:line="119" w:lineRule="exact"/>
        <w:rPr>
          <w:rFonts w:ascii="Times New Roman" w:cs="Times New Roman" w:eastAsia="Times New Roman" w:hAnsi="Times New Roman"/>
          <w:sz w:val="18"/>
          <w:szCs w:val="18"/>
          <w:color w:val="auto"/>
        </w:rPr>
      </w:pPr>
    </w:p>
    <w:p>
      <w:pPr>
        <w:ind w:left="1620" w:right="459" w:hanging="360"/>
        <w:spacing w:after="0" w:line="254"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draw $5.2 billion principal amount of borrowings under the Term Credit Agreement to fund consideration for the Merger and to pay related fees and expenses. Borrowings under the Term Credit Agreement will bear interest at a base rate or are based on SOFR for the applicable interest period (a “Term SOFR Loan”), plus a spread depending on our senior public debt rating assigned by Moody’s Investors Service, Inc. and Standard and Poor’s Global Ratings. Under the Term Credit Agreement, (i) the applicable margin for Term SOFR Loans varies between 0.90% and 1.250% per annum and (ii) the applicable margin for base rate loans varies between zero and 0.250% per annum. WM Holdings also guarantees all of the obligations under the Term Credit Agreement.</w:t>
      </w:r>
    </w:p>
    <w:p>
      <w:pPr>
        <w:spacing w:after="0" w:line="110"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Waste Management of Canada Corporation, our indirect wholly owned subsidiary, issued C$500 million, or $370 million based on the conversion rate as of September 30, 2024, of 2.6% senior notes due 2026, all of which are fully and unconditionally guaranteed on a senior unsecured basis by us and WM Holdings.</w:t>
      </w:r>
    </w:p>
    <w:p>
      <w:pPr>
        <w:spacing w:after="0" w:line="112"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12"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with respect to this line item does not include any debt issuance costs or unamortized discounts associated with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offering $            of our senior notes, consisting of $            of our        % senior notes due 2028,</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of our        % senior notes due 2030, $            of our        % senior notes due 2032, $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our        % senior notes due 2035 and $            of our        % senior notes due 2054. The notes of each series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issued under and pursuant to an Indenture dated as of September 10, 1997 (the “Indenture”),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between us and The Bank of New York Mellon Trust Company, N.A. (the current successor to the initial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trustee, Texas Commerce Bank National Association), as trustee (the “Trustee”). The 2028 notes, 2030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 2032 notes, 2035 notes and 2054 notes are separate series of notes under the Indenture. We will issue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notes of each series pursuant to a resolution of our Board of Directors and an accompanying officers’</w:t>
      </w:r>
    </w:p>
    <w:p>
      <w:pPr>
        <w:ind w:left="1260"/>
        <w:spacing w:after="0"/>
        <w:rPr>
          <w:sz w:val="20"/>
          <w:szCs w:val="20"/>
          <w:color w:val="auto"/>
        </w:rPr>
      </w:pPr>
      <w:r>
        <w:rPr>
          <w:rFonts w:ascii="Times New Roman" w:cs="Times New Roman" w:eastAsia="Times New Roman" w:hAnsi="Times New Roman"/>
          <w:sz w:val="18"/>
          <w:szCs w:val="18"/>
          <w:color w:val="auto"/>
        </w:rPr>
        <w:t>certificate setting forth the specific terms applicable to the notes of each series.</w:t>
      </w:r>
    </w:p>
    <w:p>
      <w:pPr>
        <w:spacing w:after="0" w:line="122" w:lineRule="exact"/>
        <w:rPr>
          <w:sz w:val="20"/>
          <w:szCs w:val="20"/>
          <w:color w:val="auto"/>
        </w:rPr>
      </w:pPr>
    </w:p>
    <w:p>
      <w:pPr>
        <w:ind w:left="16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8"/>
          <w:szCs w:val="18"/>
          <w:color w:val="auto"/>
        </w:rPr>
        <w:t>Each series of the notes will:</w:t>
      </w:r>
    </w:p>
    <w:p>
      <w:pPr>
        <w:spacing w:after="0" w:line="119"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and separate series of debt securities issued under the Indenture and will be initially limited to an aggregate principal amount as follows: $            in the case of the 2028 notes,</w:t>
      </w:r>
    </w:p>
    <w:p>
      <w:pPr>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2030 notes, $            in the case of the 2032 notes, $            in the case of the 2035 notes and $            in the case of the 2054 notes;</w:t>
      </w:r>
    </w:p>
    <w:p>
      <w:pPr>
        <w:spacing w:after="0" w:line="59"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 2028, in the case of the 2028 notes,                    , 2030, in the case of the 2030 notes,                    , 2032, in the case of the 2032 notes,                    , 2035, in the case of the 2035 notes and                    , 2054, in the case of the 2054 notes;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1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8"/>
          <w:szCs w:val="18"/>
          <w:color w:val="auto"/>
        </w:rPr>
        <w:t>Interest will:</w:t>
      </w:r>
    </w:p>
    <w:p>
      <w:pPr>
        <w:spacing w:after="0" w:line="11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on the 2028 notes at the rate of        % per annum, accrue on the 2030 notes at the rate</w:t>
      </w:r>
    </w:p>
    <w:p>
      <w:pPr>
        <w:spacing w:after="0" w:line="27" w:lineRule="exact"/>
        <w:rPr>
          <w:rFonts w:ascii="Times New Roman" w:cs="Times New Roman" w:eastAsia="Times New Roman" w:hAnsi="Times New Roman"/>
          <w:sz w:val="18"/>
          <w:szCs w:val="18"/>
          <w:color w:val="auto"/>
        </w:rPr>
      </w:pPr>
    </w:p>
    <w:p>
      <w:pPr>
        <w:jc w:val="both"/>
        <w:ind w:left="1800" w:right="6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 per annum, accrue on the 2032 notes at the rate of        % per annum, accrue on the 2035 notes at the rate of        % per annum and accrue on the 2054 notes at the rate of        % per annum;</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 2024 or the most recent interest payment date;</w:t>
      </w:r>
    </w:p>
    <w:p>
      <w:pPr>
        <w:spacing w:after="0" w:line="117" w:lineRule="exact"/>
        <w:rPr>
          <w:rFonts w:ascii="Times New Roman" w:cs="Times New Roman" w:eastAsia="Times New Roman" w:hAnsi="Times New Roman"/>
          <w:sz w:val="18"/>
          <w:szCs w:val="18"/>
          <w:color w:val="auto"/>
        </w:rPr>
      </w:pPr>
    </w:p>
    <w:p>
      <w:pPr>
        <w:jc w:val="both"/>
        <w:ind w:left="1800" w:right="59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and                     of each year, beginning on                    , 2025 for the 2028 notes, the 2030 notes, the 2032 notes and the 2035 notes, and on</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of each year, beginning on                    , 2025 for the 2054 notes;</w:t>
      </w:r>
    </w:p>
    <w:p>
      <w:pPr>
        <w:spacing w:after="0" w:line="98"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and                     immediately preceding the related interest payment dates for the 2028 notes, the 2030 notes, the 2032 notes and the 2035 notes, and on the                     and                     immediately preceding the related interest payment dates for the 2054 notes; and</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6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w:t>
      </w:r>
    </w:p>
    <w:p>
      <w:pPr>
        <w:spacing w:after="0" w:line="16"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1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w:t>
      </w:r>
    </w:p>
    <w:p>
      <w:pPr>
        <w:spacing w:after="0" w:line="88" w:lineRule="exact"/>
        <w:rPr>
          <w:sz w:val="20"/>
          <w:szCs w:val="20"/>
          <w:color w:val="auto"/>
        </w:rPr>
      </w:pPr>
    </w:p>
    <w:p>
      <w:pPr>
        <w:ind w:left="1260" w:right="479" w:firstLine="360"/>
        <w:spacing w:after="0" w:line="247" w:lineRule="auto"/>
        <w:tabs>
          <w:tab w:leader="none" w:pos="19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basis points for the 2028 notes,</w:t>
      </w:r>
    </w:p>
    <w:p>
      <w:pPr>
        <w:spacing w:after="0" w:line="3" w:lineRule="exact"/>
        <w:rPr>
          <w:rFonts w:ascii="Times New Roman" w:cs="Times New Roman" w:eastAsia="Times New Roman" w:hAnsi="Times New Roman"/>
          <w:sz w:val="18"/>
          <w:szCs w:val="18"/>
          <w:color w:val="auto"/>
        </w:rPr>
      </w:pPr>
    </w:p>
    <w:p>
      <w:pPr>
        <w:ind w:left="1260" w:right="619"/>
        <w:spacing w:after="0" w:line="245" w:lineRule="auto"/>
        <w:tabs>
          <w:tab w:leader="none" w:pos="13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basis points for the 2030 notes,           basis points for the 2032 notes,           basis points for the 2035 notes and           basis points for the 2054 notes, less (b) interest accrued to the redemption date, and</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108" w:lineRule="exact"/>
        <w:rPr>
          <w:sz w:val="20"/>
          <w:szCs w:val="20"/>
          <w:color w:val="auto"/>
        </w:rPr>
      </w:pPr>
    </w:p>
    <w:p>
      <w:pPr>
        <w:ind w:left="1260" w:right="57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 2028 (one month prior to the maturity date), in the case of the 2028 notes, (ii)                    , 2030 (one month prior to the maturity date), in the case of the 2030 notes, (iii)                    , 2032 (two months prior to the maturity date), in the case of the 2032 notes,</w:t>
      </w:r>
    </w:p>
    <w:p>
      <w:pPr>
        <w:spacing w:after="0" w:line="1" w:lineRule="exact"/>
        <w:rPr>
          <w:sz w:val="20"/>
          <w:szCs w:val="20"/>
          <w:color w:val="auto"/>
        </w:rPr>
      </w:pPr>
    </w:p>
    <w:p>
      <w:pPr>
        <w:ind w:left="1260" w:right="1279"/>
        <w:spacing w:after="0" w:line="258" w:lineRule="auto"/>
        <w:rPr>
          <w:sz w:val="20"/>
          <w:szCs w:val="20"/>
          <w:color w:val="auto"/>
        </w:rPr>
      </w:pPr>
      <w:r>
        <w:rPr>
          <w:rFonts w:ascii="Times New Roman" w:cs="Times New Roman" w:eastAsia="Times New Roman" w:hAnsi="Times New Roman"/>
          <w:sz w:val="18"/>
          <w:szCs w:val="18"/>
          <w:color w:val="auto"/>
        </w:rPr>
        <w:t>(iv)                    , 2034 (three months prior to the maturity date), in the case of the 2035 notes and (v)                    , 2054 (six months prior to the maturity date), in the case of the 2054 notes.</w:t>
      </w:r>
    </w:p>
    <w:p>
      <w:pPr>
        <w:spacing w:after="0" w:line="100"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9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 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3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2"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3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43" w:lineRule="auto"/>
        <w:tabs>
          <w:tab w:leader="none" w:pos="23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U.S. legal tender, U.S. Governmental Obligations or a combination thereof,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w:t>
      </w:r>
    </w:p>
    <w:p>
      <w:pPr>
        <w:spacing w:after="0" w:line="1" w:lineRule="exact"/>
        <w:rPr>
          <w:rFonts w:ascii="Times New Roman" w:cs="Times New Roman" w:eastAsia="Times New Roman" w:hAnsi="Times New Roman"/>
          <w:sz w:val="18"/>
          <w:szCs w:val="18"/>
          <w:color w:val="auto"/>
        </w:rPr>
      </w:pPr>
    </w:p>
    <w:p>
      <w:pPr>
        <w:ind w:left="1620" w:right="10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we will deposit any deficit in trust on or prior to the redemption date as necessary to pay the applicable premium as determined by such date);</w:t>
      </w:r>
    </w:p>
    <w:p>
      <w:pPr>
        <w:spacing w:after="0" w:line="112" w:lineRule="exact"/>
        <w:rPr>
          <w:rFonts w:ascii="Times New Roman" w:cs="Times New Roman" w:eastAsia="Times New Roman" w:hAnsi="Times New Roman"/>
          <w:sz w:val="18"/>
          <w:szCs w:val="18"/>
          <w:color w:val="auto"/>
        </w:rPr>
      </w:pPr>
    </w:p>
    <w:p>
      <w:pPr>
        <w:ind w:left="1260" w:right="759" w:firstLine="360"/>
        <w:spacing w:after="0" w:line="266" w:lineRule="auto"/>
        <w:tabs>
          <w:tab w:leader="none" w:pos="19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notes of that series; and</w:t>
      </w:r>
    </w:p>
    <w:p>
      <w:pPr>
        <w:spacing w:after="0" w:line="94" w:lineRule="exact"/>
        <w:rPr>
          <w:rFonts w:ascii="Times New Roman" w:cs="Times New Roman" w:eastAsia="Times New Roman" w:hAnsi="Times New Roman"/>
          <w:sz w:val="18"/>
          <w:szCs w:val="18"/>
          <w:color w:val="auto"/>
        </w:rPr>
      </w:pPr>
    </w:p>
    <w:p>
      <w:pPr>
        <w:ind w:left="1260" w:right="599" w:firstLine="360"/>
        <w:spacing w:after="0" w:line="258" w:lineRule="auto"/>
        <w:tabs>
          <w:tab w:leader="none" w:pos="19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0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Governmental Obligations</w:t>
      </w:r>
      <w:r>
        <w:rPr>
          <w:rFonts w:ascii="Times New Roman" w:cs="Times New Roman" w:eastAsia="Times New Roman" w:hAnsi="Times New Roman"/>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0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11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As of September 30, 2024, our operating subsidiaries had $2.3 billion of indebtedness and WM Holdings had $223 million of long-term debt (excluding guarantees of $12.5 billion of our senior debt), in each case excluding intercompany loans.</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323"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68"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Inc. or its successor;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Inc. or its successor into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of that series;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Inc. under each of its $3.5 billion revolving credit facility (or any replacement or new principal credit facility) and its Term Credit Agreement. Our $3.5 billion revolving credit facility and our Term Credit Agreement each currently state that WM Holdings’ guarantees under such facility can only be released with the written consent of each of the lenders that is a party thereto.</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9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9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4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 owned subsidiary of a holding company and</w:t>
      </w:r>
    </w:p>
    <w:p>
      <w:pPr>
        <w:ind w:left="1260" w:right="439"/>
        <w:spacing w:after="0" w:line="252" w:lineRule="auto"/>
        <w:tabs>
          <w:tab w:leader="none" w:pos="15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09"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44"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5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0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14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references to payments and notices to the holders refer to payments and notices to the nominee of DTC as the registered holder of the notes.</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72"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131" w:lineRule="exact"/>
        <w:rPr>
          <w:sz w:val="20"/>
          <w:szCs w:val="20"/>
          <w:color w:val="auto"/>
        </w:rPr>
      </w:pPr>
    </w:p>
    <w:p>
      <w:pPr>
        <w:ind w:left="1800" w:right="61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9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85"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8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2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whose accounts such notes are credited, which may or may not be the beneficial owners. The direct and indirect DTC participants will remain responsible for keeping account of their holdings on behalf of their customers.</w:t>
      </w:r>
    </w:p>
    <w:p>
      <w:pPr>
        <w:spacing w:after="0" w:line="10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0"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14"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27"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1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6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9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32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4"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324"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2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3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32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THIS SUMMARY IS NOT A SUBSTITUTE FOR AN ANALYSIS OF THE TAX CONSEQUENCES RELATING TO THE PURCHASE, OWNERSHIP OR DISPOSITION OF THE NOTES IN LIGHT OF YOUR OWN SITUATION. WE URGE YOU TO CONSULT A TAX ADVISOR REGARDING THE PARTICULAR FEDERAL, STATE, LOCAL AND FOREIGN TAX CONSEQUENCES RELATING TO THE PURCHASE, OWNERSHIP OR DISPOSITION OF THE NOTES IN LIGHT OF YOUR OWN SITUATION.</w:t>
      </w:r>
    </w:p>
    <w:p>
      <w:pPr>
        <w:spacing w:after="0" w:line="12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8" w:lineRule="exact"/>
        <w:rPr>
          <w:sz w:val="20"/>
          <w:szCs w:val="20"/>
          <w:color w:val="auto"/>
        </w:rPr>
      </w:pPr>
    </w:p>
    <w:p>
      <w:pPr>
        <w:ind w:left="1800" w:right="73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Payments of Additional Amounts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Interest on the Notes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FATCA (as defined herein) withholding requirements discussed below, payments of interest on the notes generally will not be subject to U.S. federal income tax and will be exempt from withholding of U.S. federal income tax under the “portfolio interest” exemption if you properly certify as to your foreign status as described below, and:</w:t>
      </w:r>
    </w:p>
    <w:p>
      <w:pPr>
        <w:spacing w:after="0" w:line="72" w:lineRule="exact"/>
        <w:rPr>
          <w:sz w:val="20"/>
          <w:szCs w:val="20"/>
          <w:color w:val="auto"/>
        </w:rPr>
      </w:pPr>
    </w:p>
    <w:p>
      <w:pPr>
        <w:ind w:left="1800" w:right="5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through actual or constructive stock ownership (as provided in the Code).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327"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11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It is anticipated, and this discussion assumes, that the notes will not be issued with more than de minimis original issue discount for U.S. federal income tax purposes.</w:t>
      </w:r>
    </w:p>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Sale, Redemption, Exchange, Retirement or Other Taxable Disposition of Notes</w:t>
      </w:r>
    </w:p>
    <w:p>
      <w:pPr>
        <w:spacing w:after="0" w:line="162"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69" w:lineRule="exact"/>
        <w:rPr>
          <w:sz w:val="20"/>
          <w:szCs w:val="20"/>
          <w:color w:val="auto"/>
        </w:rPr>
      </w:pPr>
    </w:p>
    <w:p>
      <w:pPr>
        <w:ind w:left="1800" w:right="4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10"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8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Income or Gain Effectively Connected with a U.S. Trade or Business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200" w:lineRule="exact"/>
        <w:rPr>
          <w:sz w:val="20"/>
          <w:szCs w:val="20"/>
          <w:color w:val="auto"/>
        </w:rPr>
      </w:pPr>
    </w:p>
    <w:p>
      <w:pPr>
        <w:spacing w:after="0" w:line="2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3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Payment of the proceeds of a sale, redemption, exchange, retirement or other taxable disposition of a note effected by the U.S. office of a U.S. or foreign broker will be subject to information reporting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is:</w:t>
      </w:r>
    </w:p>
    <w:p>
      <w:pPr>
        <w:spacing w:after="0" w:line="296"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person;</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that derives 50% or more of its gross income for certain periods from the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 or</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Foreign Accounts Tax Compliance Act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1" w:lineRule="exact"/>
        <w:rPr>
          <w:sz w:val="20"/>
          <w:szCs w:val="20"/>
          <w:color w:val="auto"/>
        </w:rPr>
      </w:pPr>
    </w:p>
    <w:p>
      <w:pPr>
        <w:ind w:left="1260" w:right="479"/>
        <w:spacing w:after="0" w:line="251" w:lineRule="auto"/>
        <w:tabs>
          <w:tab w:leader="none" w:pos="15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J.P. Morgan Securities LLC, Barclays Capital Inc., Deutsche Bank Securities Inc., Goldman Sachs &amp; Co. LLC, Mizuho Securities USA LLC and Scotia Capital (USA) Inc. are acting as joint book-running managers of the offering and as representatives of the underwriters named below.</w:t>
      </w:r>
    </w:p>
    <w:p>
      <w:pPr>
        <w:spacing w:after="0" w:line="10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have severally, and not jointly, agreed to purchase, and we have agreed to sell to the underwriters, the principal amount of notes set forth opposite the respective underwriters’ names.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40" w:type="dxa"/>
            <w:vAlign w:val="bottom"/>
          </w:tcPr>
          <w:p>
            <w:pPr>
              <w:spacing w:after="0"/>
              <w:rPr>
                <w:sz w:val="14"/>
                <w:szCs w:val="14"/>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4500" w:type="dxa"/>
            <w:vAlign w:val="bottom"/>
            <w:gridSpan w:val="28"/>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2028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2030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2032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2035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2054 Notes</w:t>
            </w:r>
            <w:r>
              <w:rPr>
                <w:rFonts w:ascii="Times New Roman" w:cs="Times New Roman" w:eastAsia="Times New Roman" w:hAnsi="Times New Roman"/>
                <w:sz w:val="24"/>
                <w:szCs w:val="24"/>
                <w:b w:val="1"/>
                <w:bCs w:val="1"/>
                <w:color w:val="auto"/>
                <w:vertAlign w:val="subscript"/>
              </w:rPr>
              <w:t>​</w:t>
            </w:r>
          </w:p>
        </w:tc>
      </w:tr>
      <w:tr>
        <w:trPr>
          <w:trHeight w:val="20"/>
        </w:trPr>
        <w:tc>
          <w:tcPr>
            <w:tcW w:w="3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3"/>
                <w:szCs w:val="23"/>
                <w:color w:val="auto"/>
              </w:rPr>
            </w:pPr>
          </w:p>
        </w:tc>
        <w:tc>
          <w:tcPr>
            <w:tcW w:w="4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3"/>
                <w:szCs w:val="23"/>
                <w:color w:val="auto"/>
              </w:rPr>
            </w:pPr>
          </w:p>
        </w:tc>
        <w:tc>
          <w:tcPr>
            <w:tcW w:w="4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22"/>
                <w:szCs w:val="22"/>
                <w:color w:val="auto"/>
              </w:rPr>
            </w:pPr>
          </w:p>
        </w:tc>
        <w:tc>
          <w:tcPr>
            <w:tcW w:w="40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-873760</wp:posOffset>
            </wp:positionV>
            <wp:extent cx="474916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9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10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 of the principal amount of the 2028 notes,           % of the principal amount of the 2030 notes,           % of the principal amount of the 2032 notes,           % of the principal amount of the 2035 notes and             % of the principal amount of the 2054 notes. The underwriters may allow, and dealers may reallow, a concession not to exceed            % of the principal amount of the 2028 notes,           % of the principal amount of the 2030 notes,           % of the principal amount of the 2032 notes,           % of the principal amount of the 2035 notes and            % of the principal amount of the 2054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(not including the underwriting discounts) for this offering will be approximately $12.3 million.</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09"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2024,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T+3, to specify an alternate settlement cycle at the time of any such trade to prevent failed settlement and should consult their own advisers.</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Certain of the underwriters or one of their respective affiliates are lenders under our $3.5 billion revolving credit facility and our Term Credit Agreement.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in the past performed, and/or may in the future perform, investment banking, financial advisory, lending and/or commercial banking services for us and our subsidiaries, for which they have received, and/or may in the future receive, customary fees and expense reimbursements.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under the Term Credit Agreement and may receive 5% or more of the net proceeds of this offering by reason of the repayment of amounts outstanding under the Term Credit Agreement. Additionally, certain underwriters or their respective affiliates in this offering are dealers under our commercial paper program and may receive 5% or more of the net proceeds of this offering by reason of the repayment of any current or future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(the “Corporations Act”)) in relation to the notes has been, or will be, lodged with the Australian Securities and Investments Commission (“ASIC”), the Australian Securities Exchange operated by ASX Limited or any other regulatory body or agency in Australia. This document has not been lodged with ASIC and is only directed to certain categories of exempt persons. Accordingly, if you receive this document in Australia:</w:t>
      </w:r>
    </w:p>
    <w:p>
      <w:pPr>
        <w:spacing w:after="0" w:line="114" w:lineRule="exact"/>
        <w:rPr>
          <w:sz w:val="20"/>
          <w:szCs w:val="20"/>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44" w:lineRule="exact"/>
        <w:rPr>
          <w:rFonts w:ascii="Times New Roman" w:cs="Times New Roman" w:eastAsia="Times New Roman" w:hAnsi="Times New Roman"/>
          <w:sz w:val="18"/>
          <w:szCs w:val="18"/>
          <w:color w:val="auto"/>
        </w:rPr>
      </w:pPr>
    </w:p>
    <w:p>
      <w:pPr>
        <w:ind w:left="2340" w:right="459" w:hanging="360"/>
        <w:spacing w:after="0" w:line="263"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33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44" w:lineRule="exact"/>
        <w:rPr>
          <w:rFonts w:ascii="Times New Roman" w:cs="Times New Roman" w:eastAsia="Times New Roman" w:hAnsi="Times New Roman"/>
          <w:sz w:val="18"/>
          <w:szCs w:val="18"/>
          <w:color w:val="auto"/>
        </w:rPr>
      </w:pPr>
    </w:p>
    <w:p>
      <w:pPr>
        <w:ind w:left="2340" w:right="539" w:hanging="360"/>
        <w:spacing w:after="0" w:line="261"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notes for resale in Australia within</w:t>
      </w:r>
    </w:p>
    <w:p>
      <w:pPr>
        <w:spacing w:after="0" w:line="27" w:lineRule="exact"/>
        <w:rPr>
          <w:rFonts w:ascii="Times New Roman" w:cs="Times New Roman" w:eastAsia="Times New Roman" w:hAnsi="Times New Roman"/>
          <w:sz w:val="18"/>
          <w:szCs w:val="18"/>
          <w:color w:val="auto"/>
        </w:rPr>
      </w:pPr>
    </w:p>
    <w:p>
      <w:pPr>
        <w:ind w:left="198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those notes being issued unless any such resale offer is exempt from the requirement to issue a disclosure document under section 708 of the Corporations Act.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99"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5"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11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the notes are subscribed for or acquired pursuant to an offer made in reliance on Section 275 of the SFA by a Relevant Person which is:</w:t>
      </w:r>
    </w:p>
    <w:p>
      <w:pPr>
        <w:spacing w:after="0" w:line="67" w:lineRule="exact"/>
        <w:rPr>
          <w:sz w:val="20"/>
          <w:szCs w:val="20"/>
          <w:color w:val="auto"/>
        </w:rPr>
      </w:pPr>
    </w:p>
    <w:p>
      <w:pPr>
        <w:ind w:left="1980" w:right="759" w:hanging="360"/>
        <w:spacing w:after="0" w:line="266"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7"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322" w:lineRule="exact"/>
        <w:rPr>
          <w:rFonts w:ascii="Times New Roman" w:cs="Times New Roman" w:eastAsia="Times New Roman" w:hAnsi="Times New Roman"/>
          <w:sz w:val="18"/>
          <w:szCs w:val="18"/>
          <w:color w:val="auto"/>
        </w:rPr>
      </w:pPr>
    </w:p>
    <w:p>
      <w:pPr>
        <w:ind w:left="2340" w:right="479" w:hanging="360"/>
        <w:spacing w:after="0" w:line="266" w:lineRule="auto"/>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ind w:left="2340" w:hanging="360"/>
        <w:spacing w:after="0"/>
        <w:tabs>
          <w:tab w:leader="none" w:pos="2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44" w:lineRule="exact"/>
        <w:rPr>
          <w:rFonts w:ascii="Times New Roman" w:cs="Times New Roman" w:eastAsia="Times New Roman" w:hAnsi="Times New Roman"/>
          <w:sz w:val="18"/>
          <w:szCs w:val="18"/>
          <w:color w:val="auto"/>
        </w:rPr>
      </w:pPr>
    </w:p>
    <w:p>
      <w:pPr>
        <w:ind w:left="2340" w:right="939" w:hanging="360"/>
        <w:spacing w:after="0" w:line="282" w:lineRule="auto"/>
        <w:tabs>
          <w:tab w:leader="none" w:pos="2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81"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2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with or the approval of the Financial Supervisory Commission of Taiwan. No person or entity in Taiwan has been authorized to offer, sell, give advice regarding or otherwise intermediate the offering or sale of the 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any retail investor in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Kingdom (“UK”). For these purposes:</w:t>
      </w:r>
    </w:p>
    <w:p>
      <w:pPr>
        <w:spacing w:after="0" w:line="124" w:lineRule="exact"/>
        <w:rPr>
          <w:sz w:val="20"/>
          <w:szCs w:val="20"/>
          <w:color w:val="auto"/>
        </w:rPr>
      </w:pPr>
    </w:p>
    <w:p>
      <w:pPr>
        <w:ind w:left="1980" w:hanging="360"/>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44" w:lineRule="exact"/>
        <w:rPr>
          <w:rFonts w:ascii="Times New Roman" w:cs="Times New Roman" w:eastAsia="Times New Roman" w:hAnsi="Times New Roman"/>
          <w:sz w:val="18"/>
          <w:szCs w:val="18"/>
          <w:color w:val="auto"/>
        </w:rPr>
      </w:pPr>
    </w:p>
    <w:p>
      <w:pPr>
        <w:jc w:val="both"/>
        <w:ind w:left="2340" w:right="519" w:hanging="360"/>
        <w:spacing w:after="0" w:line="282"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domestic law by virtue of the European Union (Withdrawal) Act 2018 (“EUWA”); or</w:t>
      </w:r>
    </w:p>
    <w:p>
      <w:pPr>
        <w:spacing w:after="0" w:line="80" w:lineRule="exact"/>
        <w:rPr>
          <w:rFonts w:ascii="Times New Roman" w:cs="Times New Roman" w:eastAsia="Times New Roman" w:hAnsi="Times New Roman"/>
          <w:sz w:val="18"/>
          <w:szCs w:val="18"/>
          <w:color w:val="auto"/>
        </w:rPr>
      </w:pPr>
    </w:p>
    <w:p>
      <w:pPr>
        <w:ind w:left="2340" w:right="539" w:hanging="360"/>
        <w:spacing w:after="0" w:line="258" w:lineRule="auto"/>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11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the UK Prospectus Regulation, and</w:t>
      </w:r>
    </w:p>
    <w:p>
      <w:pPr>
        <w:spacing w:after="0" w:line="144"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w:t>
      </w:r>
    </w:p>
    <w:p>
      <w:pPr>
        <w:spacing w:after="0" w:line="1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w:t>
      </w: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99"/>
        <w:spacing w:after="0" w:line="282" w:lineRule="auto"/>
        <w:rPr>
          <w:sz w:val="20"/>
          <w:szCs w:val="20"/>
          <w:color w:val="auto"/>
        </w:rPr>
      </w:pPr>
      <w:r>
        <w:rPr>
          <w:rFonts w:ascii="Times New Roman" w:cs="Times New Roman" w:eastAsia="Times New Roman" w:hAnsi="Times New Roman"/>
          <w:sz w:val="18"/>
          <w:szCs w:val="18"/>
          <w:color w:val="auto"/>
        </w:rPr>
        <w:t>prospectus supplement nor any other offering or marketing material relating to the notes may be publicly distributed or otherwise made publicly available in Switzerland.</w:t>
      </w:r>
    </w:p>
    <w:p>
      <w:pPr>
        <w:spacing w:after="0" w:line="94" w:lineRule="exact"/>
        <w:rPr>
          <w:sz w:val="20"/>
          <w:szCs w:val="20"/>
          <w:color w:val="auto"/>
        </w:rPr>
      </w:pPr>
    </w:p>
    <w:p>
      <w:pPr>
        <w:jc w:val="both"/>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w:t>
      </w:r>
    </w:p>
    <w:p>
      <w:pPr>
        <w:spacing w:after="0" w:line="1"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The investor protection afforded to acquirers of interests in collective investment schemes under the CISA does not extend to acquirers of the notes.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52">
        <w:r>
          <w:rPr>
            <w:rFonts w:ascii="Times New Roman" w:cs="Times New Roman" w:eastAsia="Times New Roman" w:hAnsi="Times New Roman"/>
            <w:sz w:val="18"/>
            <w:szCs w:val="18"/>
            <w:u w:val="single" w:color="auto"/>
            <w:color w:val="0000EE"/>
          </w:rPr>
          <w:t>Annual Report (Form 10-K) for the year ended December 31, 2023</w:t>
        </w:r>
      </w:hyperlink>
      <w:r>
        <w:rPr>
          <w:rFonts w:ascii="Times New Roman" w:cs="Times New Roman" w:eastAsia="Times New Roman" w:hAnsi="Times New Roman"/>
          <w:sz w:val="18"/>
          <w:szCs w:val="18"/>
          <w:color w:val="auto"/>
        </w:rPr>
        <w:t>, and the effectiveness of Waste Management,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This prospectus supplement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Without limitation, all statements in this prospectus supplement regarding the pending acquisition of Stericycle, timing and ability to consummate the acquisition, and timing and settlement of the Exchange Offer are forward-looking statements.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the failure to implement our optimization, automation, growth, and cost savings initiatives and overall business strategy; failure to obtain the results anticipated from strategic initiatives, investments, acquisitions, including our pending acquisition of Stericycle, or new lines of business; failure to identify acquisition targets, consummate and integrate acquisitions, including our planned integration of Stericycle; our ability to consummate and finance the acquisition of Stericycle and achieve the anticipated benefits therefrom, including cost synergies; legal, regulatory and other matters that may affect the costs and timing of our ability to complete, integrate and deliver all of the expected benefits of the pending Stericycle acquisition, if at all; our ability to complete the transactions contemplated by the Exchange Offer and Consent Solicitation, including the satisfaction or waiver of any conditions described in the Offering Memorandum;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manage cybersecurity incidents or comply with privacy regulations; inability to adapt and manage the benefits and risks of artificial intelligence; negative outcomes of litigation or governmental proceedings, including those acquired through transactions, including the pending Stericycle acquisition; operations or management decisions or developments that result in impairment charges; other risks discussed in our filings with the SEC, including Part I, Item 1A of our Annual Report on Form 10-K for the year ended December 31, 2023 as updated by Part II, Item 1A of our Quarterly Reports on Form 10-Q; and other risks discussed in “Risk Factors” beginning on page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 xml:space="preserve"> of this prospectus supplement.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960" w:val="left"/>
          <w:tab w:leader="none" w:pos="118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39776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Annual Report on Form 10-K for the year ended December 31, 2023</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Quarterly Report on Form 10-Q for the quarter ended March 31, 2024</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Quarterly Report on Form 10-Q for the quarter ended June 30, 2024</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Quarterly Report on Form 10-Q for the quarter ended September 30, 2024</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 xml:space="preserve">Current Report on Form 8-K </w:t>
        </w:r>
      </w:hyperlink>
      <w:hyperlink r:id="rId108">
        <w:r>
          <w:rPr>
            <w:rFonts w:ascii="Times New Roman" w:cs="Times New Roman" w:eastAsia="Times New Roman" w:hAnsi="Times New Roman"/>
            <w:sz w:val="18"/>
            <w:szCs w:val="18"/>
            <w:u w:val="single" w:color="auto"/>
            <w:color w:val="0000EE"/>
          </w:rPr>
          <w:t>(as amended by Form 8-K/A filed the same day)</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Current Report on Form 8-K</w:t>
        </w:r>
      </w:hyperlink>
    </w:p>
    <w:p>
      <w:pPr>
        <w:spacing w:after="0" w:line="50"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Current Report on Form 8-K</w:t>
        </w:r>
      </w:hyperlink>
    </w:p>
    <w:p>
      <w:pPr>
        <w:spacing w:after="0" w:line="36" w:lineRule="exact"/>
        <w:rPr>
          <w:sz w:val="20"/>
          <w:szCs w:val="20"/>
          <w:color w:val="auto"/>
        </w:rPr>
      </w:pPr>
    </w:p>
    <w:p>
      <w:pPr>
        <w:ind w:left="1440" w:hanging="179"/>
        <w:spacing w:after="0" w:line="266" w:lineRule="auto"/>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The portions of our proxy statement for our 2024 annual meeting of stockholders</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incorporated by reference in our Annual Report on Form 10-K for the year</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ended December 31,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1"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13,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25,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10,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17,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25,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10,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24,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 2024</w:t>
            </w:r>
          </w:p>
        </w:tc>
        <w:tc>
          <w:tcPr>
            <w:tcW w:w="60" w:type="dxa"/>
            <w:vAlign w:val="bottom"/>
          </w:tcPr>
          <w:p>
            <w:pPr>
              <w:spacing w:after="0"/>
              <w:rPr>
                <w:sz w:val="24"/>
                <w:szCs w:val="24"/>
                <w:color w:val="auto"/>
              </w:rPr>
            </w:pPr>
          </w:p>
        </w:tc>
      </w:tr>
    </w:tbl>
    <w:p>
      <w:pPr>
        <w:spacing w:after="0" w:line="15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380" w:space="140"/>
            <w:col w:w="2359"/>
          </w:cols>
          <w:pgMar w:left="580" w:top="97" w:right="1440" w:bottom="1440" w:gutter="0" w:footer="0" w:header="0"/>
          <w:type w:val="continuous"/>
        </w:sect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22" w:lineRule="exact"/>
        <w:rPr>
          <w:rFonts w:ascii="Times New Roman" w:cs="Times New Roman" w:eastAsia="Times New Roman" w:hAnsi="Times New Roman"/>
          <w:sz w:val="18"/>
          <w:szCs w:val="18"/>
          <w:u w:val="single" w:color="auto"/>
          <w:color w:val="0000EE"/>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53" w:lineRule="exact"/>
        <w:rPr>
          <w:rFonts w:ascii="Times New Roman" w:cs="Times New Roman" w:eastAsia="Times New Roman" w:hAnsi="Times New Roman"/>
          <w:sz w:val="18"/>
          <w:szCs w:val="18"/>
          <w:u w:val="single" w:color="auto"/>
          <w:color w:val="0000EE"/>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512-6200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131445</wp:posOffset>
            </wp:positionV>
            <wp:extent cx="2786380" cy="745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27863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PREFERRED STOCK</w:t>
      </w:r>
    </w:p>
    <w:p>
      <w:pPr>
        <w:ind w:left="4740"/>
        <w:spacing w:after="0" w:line="233" w:lineRule="auto"/>
        <w:rPr>
          <w:sz w:val="20"/>
          <w:szCs w:val="20"/>
          <w:color w:val="auto"/>
        </w:rPr>
      </w:pPr>
      <w:r>
        <w:rPr>
          <w:rFonts w:ascii="Times New Roman" w:cs="Times New Roman" w:eastAsia="Times New Roman" w:hAnsi="Times New Roman"/>
          <w:sz w:val="22"/>
          <w:szCs w:val="22"/>
          <w:b w:val="1"/>
          <w:bCs w:val="1"/>
          <w:color w:val="auto"/>
        </w:rPr>
        <w:t>WARRANTS</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2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140"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87"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Forward-Looking Statements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4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680" w:type="dxa"/>
            <w:vAlign w:val="bottom"/>
            <w:gridSpan w:val="8"/>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80" w:type="dxa"/>
            <w:vAlign w:val="bottom"/>
            <w:tcBorders>
              <w:bottom w:val="single" w:sz="8" w:color="CCEEFF"/>
            </w:tcBorders>
            <w:gridSpan w:val="8"/>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5"/>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1" w:lineRule="exact"/>
        <w:rPr>
          <w:sz w:val="20"/>
          <w:szCs w:val="20"/>
          <w:color w:val="auto"/>
        </w:rPr>
      </w:pPr>
    </w:p>
    <w:p>
      <w:pPr>
        <w:ind w:left="1800" w:right="5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61"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1"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30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environmental services and our income from operations margins;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effective tax rate and tax liability could materially change as a result of the adoption of new tax legislation and other factors;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operating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9"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renewable fuel policies could affect our financial performance as a renewable fuel producer and impact our projected future investments;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Annual Report on Form 10-K for the year ended December 31, 2021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No. 1 to Annual Report on Form 10-K for the year ended December 31,</w:t>
              </w:r>
            </w:hyperlink>
          </w:p>
        </w:tc>
        <w:tc>
          <w:tcPr>
            <w:tcW w:w="1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50"/>
        </w:trPr>
        <w:tc>
          <w:tcPr>
            <w:tcW w:w="5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Quarterly Report on Form 10-Q for the quarter ended March 31, 2022</w:t>
              </w:r>
            </w:hyperlink>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Current Report on Form 8-K</w:t>
              </w:r>
            </w:hyperlink>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gridSpan w:val="2"/>
          </w:tcPr>
          <w:p>
            <w:pPr>
              <w:spacing w:after="0"/>
              <w:rPr>
                <w:sz w:val="20"/>
                <w:szCs w:val="20"/>
                <w:color w:val="auto"/>
              </w:rPr>
            </w:pPr>
          </w:p>
        </w:tc>
        <w:tc>
          <w:tcPr>
            <w:tcW w:w="6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31">
              <w:r>
                <w:rPr>
                  <w:rFonts w:ascii="Times New Roman" w:cs="Times New Roman" w:eastAsia="Times New Roman" w:hAnsi="Times New Roman"/>
                  <w:sz w:val="18"/>
                  <w:szCs w:val="18"/>
                  <w:color w:val="0000EE"/>
                </w:rPr>
                <w:t>proxy statement for our 2022 annual meeting of stockholders</w:t>
              </w:r>
            </w:hyperlink>
          </w:p>
        </w:tc>
        <w:tc>
          <w:tcPr>
            <w:tcW w:w="1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color w:val="0000EE"/>
                </w:rPr>
                <w:t>Annual Report on Form 10-K for the year ended</w:t>
              </w:r>
            </w:hyperlink>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December 31, 2021</w:t>
              </w:r>
            </w:hyperlink>
          </w:p>
        </w:tc>
        <w:tc>
          <w:tcPr>
            <w:tcW w:w="1000" w:type="dxa"/>
            <w:vAlign w:val="bottom"/>
            <w:gridSpan w:val="3"/>
          </w:tcPr>
          <w:p>
            <w:pPr>
              <w:spacing w:after="0"/>
              <w:rPr>
                <w:sz w:val="17"/>
                <w:szCs w:val="17"/>
                <w:color w:val="auto"/>
              </w:rPr>
            </w:pPr>
          </w:p>
        </w:tc>
        <w:tc>
          <w:tcPr>
            <w:tcW w:w="3660" w:type="dxa"/>
            <w:vAlign w:val="bottom"/>
            <w:tcBorders>
              <w:top w:val="single" w:sz="8" w:color="0000EE"/>
            </w:tcBorders>
            <w:gridSpan w:val="6"/>
          </w:tcPr>
          <w:p>
            <w:pPr>
              <w:spacing w:after="0"/>
              <w:rPr>
                <w:sz w:val="17"/>
                <w:szCs w:val="17"/>
                <w:color w:val="auto"/>
              </w:rPr>
            </w:pPr>
          </w:p>
        </w:tc>
        <w:tc>
          <w:tcPr>
            <w:tcW w:w="280" w:type="dxa"/>
            <w:vAlign w:val="bottom"/>
            <w:gridSpan w:val="4"/>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660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w:t>
            </w:r>
            <w:hyperlink r:id="rId132">
              <w:r>
                <w:rPr>
                  <w:rFonts w:ascii="Times New Roman" w:cs="Times New Roman" w:eastAsia="Times New Roman" w:hAnsi="Times New Roman"/>
                  <w:sz w:val="18"/>
                  <w:szCs w:val="18"/>
                  <w:color w:val="auto"/>
                </w:rPr>
                <w:t xml:space="preserve">of our Common Stock contained in our Registration Statement on </w:t>
              </w:r>
              <w:r>
                <w:rPr>
                  <w:rFonts w:ascii="Times New Roman" w:cs="Times New Roman" w:eastAsia="Times New Roman" w:hAnsi="Times New Roman"/>
                  <w:sz w:val="18"/>
                  <w:szCs w:val="18"/>
                  <w:color w:val="0000EE"/>
                </w:rPr>
                <w:t>Form 8-</w:t>
              </w:r>
            </w:hyperlink>
          </w:p>
        </w:tc>
        <w:tc>
          <w:tcPr>
            <w:tcW w:w="1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w:t>
              </w:r>
              <w:r>
                <w:rPr>
                  <w:rFonts w:ascii="Times New Roman" w:cs="Times New Roman" w:eastAsia="Times New Roman" w:hAnsi="Times New Roman"/>
                  <w:sz w:val="18"/>
                  <w:szCs w:val="18"/>
                  <w:color w:val="000000"/>
                </w:rPr>
                <w:t>, as updated by the description of our Common Stock included in</w:t>
              </w:r>
              <w:r>
                <w:rPr>
                  <w:rFonts w:ascii="Times New Roman" w:cs="Times New Roman" w:eastAsia="Times New Roman" w:hAnsi="Times New Roman"/>
                  <w:sz w:val="18"/>
                  <w:szCs w:val="18"/>
                  <w:color w:val="0000EE"/>
                </w:rPr>
                <w:t xml:space="preserve"> Exhibit 4.9 to our</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Annual Report on Form 10-K for the year ended December 31, 2019 filed with the</w:t>
              </w:r>
            </w:hyperlink>
          </w:p>
        </w:tc>
        <w:tc>
          <w:tcPr>
            <w:tcW w:w="1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420" w:type="dxa"/>
            <w:vAlign w:val="bottom"/>
            <w:gridSpan w:val="1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 on February 13, 2020</w:t>
              </w:r>
              <w:r>
                <w:rPr>
                  <w:rFonts w:ascii="Times New Roman" w:cs="Times New Roman" w:eastAsia="Times New Roman" w:hAnsi="Times New Roman"/>
                  <w:sz w:val="18"/>
                  <w:szCs w:val="18"/>
                  <w:color w:val="000000"/>
                </w:rPr>
                <w:t>, together with any subsequent amendment or report filed</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40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 the purpose of updating such description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2022​</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63"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April 26, 2022</w:t>
        <w:tab/>
        <w:t>​</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March 7, 2022</w:t>
        <w:tab/>
        <w:t>​</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18"/>
          <w:szCs w:val="18"/>
          <w:color w:val="auto"/>
        </w:rPr>
        <w:t>July 13, 1995</w:t>
        <w:tab/>
        <w:t>​</w:t>
      </w:r>
    </w:p>
    <w:p>
      <w:pPr>
        <w:spacing w:after="0" w:line="170" w:lineRule="exact"/>
        <w:rPr>
          <w:sz w:val="20"/>
          <w:szCs w:val="20"/>
          <w:color w:val="auto"/>
        </w:rPr>
      </w:pPr>
    </w:p>
    <w:p>
      <w:pPr>
        <w:sectPr>
          <w:pgSz w:w="11900" w:h="16838" w:orient="portrait"/>
          <w:cols w:equalWidth="0" w:num="2">
            <w:col w:w="8020" w:space="60"/>
            <w:col w:w="179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3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12"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240" w:hanging="463"/>
        <w:spacing w:after="0"/>
        <w:tabs>
          <w:tab w:leader="none" w:pos="5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382"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xml:space="preserve"> Information contained on, or that can be accessed through, our website is not incorporated by reference into this prospectus and does not constitute a part of this prospectus.</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relating to the offering. These terms will include some or all of the following:</w:t>
      </w:r>
    </w:p>
    <w:p>
      <w:pPr>
        <w:spacing w:after="0" w:line="52"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Inc. or any other entity;</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Waste Management, Inc. into another person, or a conveyance, transfer or lease of our properties and assets substantially as an entirety to another person unless:</w:t>
      </w:r>
    </w:p>
    <w:p>
      <w:pPr>
        <w:spacing w:after="0" w:line="67" w:lineRule="exact"/>
        <w:rPr>
          <w:sz w:val="20"/>
          <w:szCs w:val="20"/>
          <w:color w:val="auto"/>
        </w:rPr>
      </w:pPr>
    </w:p>
    <w:p>
      <w:pPr>
        <w:ind w:left="1800" w:right="71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06"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with respect to a series of debt securities:</w:t>
      </w:r>
    </w:p>
    <w:p>
      <w:pPr>
        <w:spacing w:after="0" w:line="52"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67"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2"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9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6" w:lineRule="exact"/>
        <w:rPr>
          <w:sz w:val="20"/>
          <w:szCs w:val="20"/>
          <w:color w:val="auto"/>
        </w:rPr>
      </w:pPr>
    </w:p>
    <w:p>
      <w:pPr>
        <w:ind w:left="1800" w:right="6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2"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7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4" w:lineRule="exact"/>
        <w:rPr>
          <w:sz w:val="20"/>
          <w:szCs w:val="20"/>
          <w:color w:val="auto"/>
        </w:rPr>
      </w:pPr>
    </w:p>
    <w:p>
      <w:pPr>
        <w:ind w:left="1800" w:right="6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2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8"/>
          <w:szCs w:val="18"/>
          <w:color w:val="auto"/>
        </w:rPr>
        <w:t>New York law will govern the indentures and the debt securities.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75"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68"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9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5" w:lineRule="exact"/>
        <w:rPr>
          <w:sz w:val="20"/>
          <w:szCs w:val="20"/>
          <w:color w:val="auto"/>
        </w:rPr>
      </w:pPr>
    </w:p>
    <w:p>
      <w:pPr>
        <w:ind w:left="1260" w:right="459" w:firstLine="360"/>
        <w:spacing w:after="0" w:line="282" w:lineRule="auto"/>
        <w:tabs>
          <w:tab w:leader="none" w:pos="19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82" w:lineRule="auto"/>
        <w:tabs>
          <w:tab w:leader="none" w:pos="19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94" w:lineRule="exact"/>
        <w:rPr>
          <w:rFonts w:ascii="Times New Roman" w:cs="Times New Roman" w:eastAsia="Times New Roman" w:hAnsi="Times New Roman"/>
          <w:sz w:val="18"/>
          <w:szCs w:val="18"/>
          <w:color w:val="auto"/>
        </w:rPr>
      </w:pPr>
    </w:p>
    <w:p>
      <w:pPr>
        <w:ind w:left="1260" w:right="699" w:firstLine="360"/>
        <w:spacing w:after="0" w:line="282" w:lineRule="auto"/>
        <w:tabs>
          <w:tab w:leader="none" w:pos="19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75" w:lineRule="auto"/>
        <w:tabs>
          <w:tab w:leader="none" w:pos="19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160" w:right="499" w:hanging="180"/>
        <w:spacing w:after="0" w:line="259" w:lineRule="auto"/>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335"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157" w:lineRule="exact"/>
        <w:rPr>
          <w:rFonts w:ascii="Times New Roman" w:cs="Times New Roman" w:eastAsia="Times New Roman" w:hAnsi="Times New Roman"/>
          <w:sz w:val="18"/>
          <w:szCs w:val="18"/>
          <w:color w:val="auto"/>
        </w:rPr>
      </w:pPr>
    </w:p>
    <w:p>
      <w:pPr>
        <w:ind w:left="1260" w:right="1039" w:firstLine="360"/>
        <w:spacing w:after="0" w:line="282" w:lineRule="auto"/>
        <w:tabs>
          <w:tab w:leader="none" w:pos="19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9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w:t>
      </w:r>
    </w:p>
    <w:p>
      <w:pPr>
        <w:spacing w:after="0" w:line="125"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19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94"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94" w:lineRule="exact"/>
        <w:rPr>
          <w:rFonts w:ascii="Times New Roman" w:cs="Times New Roman" w:eastAsia="Times New Roman" w:hAnsi="Times New Roman"/>
          <w:sz w:val="18"/>
          <w:szCs w:val="18"/>
          <w:color w:val="auto"/>
        </w:rPr>
      </w:pPr>
    </w:p>
    <w:p>
      <w:pPr>
        <w:ind w:left="1260" w:right="1059" w:firstLine="360"/>
        <w:spacing w:after="0" w:line="282" w:lineRule="auto"/>
        <w:tabs>
          <w:tab w:leader="none" w:pos="19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us or a Restricted Subsidiary to do business, maintain self-insurance or obtain the benefit of or comply with laws;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firstLine="360"/>
        <w:spacing w:after="0" w:line="282" w:lineRule="auto"/>
        <w:tabs>
          <w:tab w:leader="none" w:pos="19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81" w:lineRule="exact"/>
        <w:rPr>
          <w:sz w:val="20"/>
          <w:szCs w:val="20"/>
          <w:color w:val="auto"/>
        </w:rPr>
      </w:pPr>
    </w:p>
    <w:p>
      <w:pPr>
        <w:ind w:left="1260" w:right="779" w:firstLine="360"/>
        <w:spacing w:after="0" w:line="250" w:lineRule="auto"/>
        <w:tabs>
          <w:tab w:leader="none" w:pos="19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6"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09"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19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9"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6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58" w:lineRule="exact"/>
        <w:rPr>
          <w:sz w:val="20"/>
          <w:szCs w:val="20"/>
          <w:color w:val="auto"/>
        </w:rPr>
      </w:pPr>
    </w:p>
    <w:p>
      <w:pPr>
        <w:ind w:left="1620" w:right="699" w:firstLine="360"/>
        <w:spacing w:after="0" w:line="282" w:lineRule="auto"/>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9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42"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6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with or senior to our other subordinated debt that may be outstanding from time to time.</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0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if declared by our Board of Directors. In certain cases, common stockholders may not receive dividends until we satisfy our obligations to any preferred stockholders.</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5"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common stockholders will share ratably in the assets remaining for distribution to stockholders after we pay our creditors and any preferred stockholders.</w:t>
      </w:r>
    </w:p>
    <w:p>
      <w:pPr>
        <w:spacing w:after="0" w:line="99" w:lineRule="exact"/>
        <w:rPr>
          <w:sz w:val="20"/>
          <w:szCs w:val="20"/>
          <w:color w:val="auto"/>
        </w:rPr>
      </w:pPr>
    </w:p>
    <w:p>
      <w:pPr>
        <w:ind w:left="1260" w:right="9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w:t>
      </w:r>
    </w:p>
    <w:p>
      <w:pPr>
        <w:spacing w:after="0" w:line="91"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Jersey City, New Jersey.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1" w:lineRule="auto"/>
        <w:rPr>
          <w:sz w:val="20"/>
          <w:szCs w:val="20"/>
          <w:color w:val="auto"/>
        </w:rPr>
      </w:pPr>
      <w:r>
        <w:rPr>
          <w:rFonts w:ascii="Times New Roman" w:cs="Times New Roman" w:eastAsia="Times New Roman" w:hAnsi="Times New Roman"/>
          <w:sz w:val="18"/>
          <w:szCs w:val="18"/>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2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127">
        <w:r>
          <w:rPr>
            <w:rFonts w:ascii="Times New Roman" w:cs="Times New Roman" w:eastAsia="Times New Roman" w:hAnsi="Times New Roman"/>
            <w:sz w:val="18"/>
            <w:szCs w:val="18"/>
            <w:u w:val="single" w:color="auto"/>
            <w:color w:val="0000EE"/>
          </w:rPr>
          <w:t>Annual Report (Form 10-K) for the year ended December 31, 2021</w:t>
        </w:r>
      </w:hyperlink>
      <w:r>
        <w:rPr>
          <w:rFonts w:ascii="Times New Roman" w:cs="Times New Roman" w:eastAsia="Times New Roman" w:hAnsi="Times New Roman"/>
          <w:sz w:val="18"/>
          <w:szCs w:val="18"/>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178435</wp:posOffset>
            </wp:positionV>
            <wp:extent cx="2786380" cy="7454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27863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2028</w:t>
      </w:r>
    </w:p>
    <w:p>
      <w:pPr>
        <w:spacing w:after="0" w:line="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2030</w:t>
      </w:r>
    </w:p>
    <w:p>
      <w:pPr>
        <w:spacing w:after="0" w:line="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2032</w:t>
      </w:r>
    </w:p>
    <w:p>
      <w:pPr>
        <w:spacing w:after="0" w:line="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2035</w:t>
      </w:r>
    </w:p>
    <w:p>
      <w:pPr>
        <w:spacing w:after="0" w:line="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3"/>
          <w:szCs w:val="23"/>
          <w:b w:val="1"/>
          <w:bCs w:val="1"/>
          <w:color w:val="auto"/>
        </w:rPr>
        <w:t>$                     %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701040</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142240</wp:posOffset>
            </wp:positionV>
            <wp:extent cx="12344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Barclays</w:t>
      </w:r>
    </w:p>
    <w:p>
      <w:pPr>
        <w:ind w:left="3640"/>
        <w:spacing w:after="0" w:line="228" w:lineRule="auto"/>
        <w:rPr>
          <w:sz w:val="20"/>
          <w:szCs w:val="20"/>
          <w:color w:val="auto"/>
        </w:rPr>
      </w:pPr>
      <w:r>
        <w:rPr>
          <w:rFonts w:ascii="Times New Roman" w:cs="Times New Roman" w:eastAsia="Times New Roman" w:hAnsi="Times New Roman"/>
          <w:sz w:val="32"/>
          <w:szCs w:val="32"/>
          <w:b w:val="1"/>
          <w:bCs w:val="1"/>
          <w:color w:val="auto"/>
        </w:rPr>
        <w:t>Deutsche Bank Securities</w:t>
      </w:r>
    </w:p>
    <w:p>
      <w:pPr>
        <w:ind w:left="3480"/>
        <w:spacing w:after="0" w:line="229" w:lineRule="auto"/>
        <w:rPr>
          <w:sz w:val="20"/>
          <w:szCs w:val="20"/>
          <w:color w:val="auto"/>
        </w:rPr>
      </w:pPr>
      <w:r>
        <w:rPr>
          <w:rFonts w:ascii="Times New Roman" w:cs="Times New Roman" w:eastAsia="Times New Roman" w:hAnsi="Times New Roman"/>
          <w:sz w:val="32"/>
          <w:szCs w:val="32"/>
          <w:b w:val="1"/>
          <w:bCs w:val="1"/>
          <w:color w:val="auto"/>
        </w:rPr>
        <w:t>Goldman Sachs &amp; Co. LLC</w:t>
      </w:r>
    </w:p>
    <w:p>
      <w:pPr>
        <w:ind w:left="4820"/>
        <w:spacing w:after="0" w:line="229" w:lineRule="auto"/>
        <w:rPr>
          <w:sz w:val="20"/>
          <w:szCs w:val="20"/>
          <w:color w:val="auto"/>
        </w:rPr>
      </w:pPr>
      <w:r>
        <w:rPr>
          <w:rFonts w:ascii="Times New Roman" w:cs="Times New Roman" w:eastAsia="Times New Roman" w:hAnsi="Times New Roman"/>
          <w:sz w:val="32"/>
          <w:szCs w:val="32"/>
          <w:b w:val="1"/>
          <w:bCs w:val="1"/>
          <w:color w:val="auto"/>
        </w:rPr>
        <w:t>Mizuho</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Scotiabank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October 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437515</wp:posOffset>
            </wp:positionV>
            <wp:extent cx="52120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lowerLetter"/>
      <w:start w:val="2"/>
    </w:lvl>
  </w:abstractNum>
  <w:abstractNum w:abstractNumId="4">
    <w:nsid w:val="22221A70"/>
    <w:multiLevelType w:val="hybridMultilevel"/>
    <w:lvl w:ilvl="0">
      <w:lvlJc w:val="left"/>
      <w:lvlText w:val="(%1)"/>
      <w:numFmt w:val="lowerLetter"/>
      <w:start w:val="2"/>
    </w:lvl>
  </w:abstractNum>
  <w:abstractNum w:abstractNumId="5">
    <w:nsid w:val="4516DDE9"/>
    <w:multiLevelType w:val="hybridMultilevel"/>
    <w:lvl w:ilvl="0">
      <w:lvlJc w:val="left"/>
      <w:lvlText w:val="(%1)"/>
      <w:numFmt w:val="lowerRoman"/>
      <w:start w:val="2"/>
    </w:lvl>
    <w:lvl w:ilvl="1">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 "/>
      <w:numFmt w:val="bullet"/>
      <w:start w:val="1"/>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
      <w:numFmt w:val="bullet"/>
      <w:start w:val="1"/>
    </w:lvl>
    <w:lvl w:ilvl="1">
      <w:lvlJc w:val="left"/>
      <w:lvlText w:val="(%2)"/>
      <w:numFmt w:val="decimal"/>
      <w:start w:val="1"/>
    </w:lvl>
  </w:abstractNum>
  <w:abstractNum w:abstractNumId="13">
    <w:nsid w:val="77465F01"/>
    <w:multiLevelType w:val="hybridMultilevel"/>
    <w:lvl w:ilvl="0">
      <w:lvlJc w:val="left"/>
      <w:lvlText w:val=" "/>
      <w:numFmt w:val="bullet"/>
      <w:start w:val="1"/>
    </w:lvl>
    <w:lvl w:ilvl="1">
      <w:lvlJc w:val="left"/>
      <w:lvlText w:val="(%2)"/>
      <w:numFmt w:val="decimal"/>
      <w:start w:val="2"/>
    </w:lvl>
  </w:abstractNum>
  <w:abstractNum w:abstractNumId="14">
    <w:nsid w:val="7724C67E"/>
    <w:multiLevelType w:val="hybridMultilevel"/>
    <w:lvl w:ilvl="0">
      <w:lvlJc w:val="left"/>
      <w:lvlText w:val="(%1)"/>
      <w:numFmt w:val="decimal"/>
      <w:start w:val="1"/>
    </w:lvl>
    <w:lvl w:ilvl="1">
      <w:lvlJc w:val="left"/>
      <w:lvlText w:val="(%2)"/>
      <w:numFmt w:val="lowerLetter"/>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lowerRoman"/>
      <w:start w:val="2"/>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lowerRoman"/>
      <w:start w:val="3"/>
    </w:lvl>
  </w:abstractNum>
  <w:abstractNum w:abstractNumId="27">
    <w:nsid w:val="725A06FB"/>
    <w:multiLevelType w:val="hybridMultilevel"/>
    <w:lvl w:ilvl="0">
      <w:lvlJc w:val="left"/>
      <w:lvlText w:val="(%1)"/>
      <w:numFmt w:val="lowerLetter"/>
      <w:start w:val="1"/>
    </w:lvl>
    <w:lvl w:ilvl="1">
      <w:lvlJc w:val="left"/>
      <w:lvlText w:val="(%2)"/>
      <w:numFmt w:val="lowerRoman"/>
      <w:start w:val="1"/>
    </w:lvl>
  </w:abstractNum>
  <w:abstractNum w:abstractNumId="28">
    <w:nsid w:val="2CD89A32"/>
    <w:multiLevelType w:val="hybridMultilevel"/>
    <w:lvl w:ilvl="0">
      <w:lvlJc w:val="left"/>
      <w:lvlText w:val="(%1)"/>
      <w:numFmt w:val="lowerRoman"/>
      <w:start w:val="3"/>
    </w:lvl>
  </w:abstractNum>
  <w:abstractNum w:abstractNumId="29">
    <w:nsid w:val="57E4CCAF"/>
    <w:multiLevelType w:val="hybridMultilevel"/>
    <w:lvl w:ilvl="0">
      <w:lvlJc w:val="left"/>
      <w:lvlText w:val="(%1)"/>
      <w:numFmt w:val="lowerRoman"/>
      <w:start w:val="1"/>
    </w:lvl>
    <w:lvl w:ilvl="1">
      <w:lvlJc w:val="left"/>
      <w:lvlText w:val="(%2)"/>
      <w:numFmt w:val="lowerLetter"/>
      <w:start w:val="24"/>
    </w:lvl>
  </w:abstractNum>
  <w:abstractNum w:abstractNumId="30">
    <w:nsid w:val="7A6D8D3C"/>
    <w:multiLevelType w:val="hybridMultilevel"/>
    <w:lvl w:ilvl="0">
      <w:lvlJc w:val="left"/>
      <w:lvlText w:val="(%1)"/>
      <w:numFmt w:val="lowerLetter"/>
      <w:start w:val="27"/>
    </w:lvl>
  </w:abstractNum>
  <w:abstractNum w:abstractNumId="31">
    <w:nsid w:val="4B588F54"/>
    <w:multiLevelType w:val="hybridMultilevel"/>
    <w:lvl w:ilvl="0">
      <w:lvlJc w:val="left"/>
      <w:lvlText w:val="(%1)"/>
      <w:numFmt w:val="lowerLetter"/>
      <w:start w:val="1"/>
    </w:lvl>
    <w:lvl w:ilvl="1">
      <w:lvlJc w:val="left"/>
      <w:lvlText w:val="(%2)"/>
      <w:numFmt w:val="lowerRoman"/>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71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lvl w:ilvl="1">
      <w:lvlJc w:val="left"/>
      <w:lvlText w:val="•"/>
      <w:numFmt w:val="bullet"/>
      <w:start w:val="1"/>
    </w:lvl>
  </w:abstractNum>
  <w:abstractNum w:abstractNumId="54">
    <w:nsid w:val="180115BE"/>
    <w:multiLevelType w:val="hybridMultilevel"/>
    <w:lvl w:ilvl="0">
      <w:lvlJc w:val="left"/>
      <w:lvlText w:val="(%1)"/>
      <w:numFmt w:val="lowerLetter"/>
      <w:start w:val="14"/>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jpe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jpe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52" Type="http://schemas.openxmlformats.org/officeDocument/2006/relationships/hyperlink" Target="https://www.sec.gov/ix?doc=/Archives/edgar/data/823768/000155837024001049/wm-20231231x10k.htm" TargetMode="External"/><Relationship Id="rId53" Type="http://schemas.openxmlformats.org/officeDocument/2006/relationships/hyperlink" Target="https://www.sec.gov/ix?doc=/Archives/edgar/data/823768/000155837024010155/wm-20240630x10q.htm" TargetMode="External"/><Relationship Id="rId101" Type="http://schemas.openxmlformats.org/officeDocument/2006/relationships/hyperlink" Target="https://www.sec.gov/ix?doc=/Archives/edgar/data/823768/000155837024005734/wm-20240331x10q.htm" TargetMode="External"/><Relationship Id="rId102" Type="http://schemas.openxmlformats.org/officeDocument/2006/relationships/hyperlink" Target="https://www.sec.gov/ix?doc=/Archives/edgar/data/823768/000155837024013762/wm-20240930x10q.htm" TargetMode="External"/><Relationship Id="rId103" Type="http://schemas.openxmlformats.org/officeDocument/2006/relationships/hyperlink" Target="https://www.sec.gov/ix?doc=/Archives/edgar/data/823768/000110465924030004/tm247544d1_8k.htm" TargetMode="External"/><Relationship Id="rId104" Type="http://schemas.openxmlformats.org/officeDocument/2006/relationships/hyperlink" Target="https://www.sec.gov/ix?doc=/Archives/edgar/data/823768/000110465924031504/tm247937d1_8k.htm" TargetMode="External"/><Relationship Id="rId105" Type="http://schemas.openxmlformats.org/officeDocument/2006/relationships/hyperlink" Target="https://www.sec.gov/ix?doc=/Archives/edgar/data/823768/000110465924059949/tm2412128d2_8k.htm" TargetMode="External"/><Relationship Id="rId106" Type="http://schemas.openxmlformats.org/officeDocument/2006/relationships/hyperlink" Target="https://www.sec.gov/ix?doc=/Archives/edgar/data/823768/000110465924063047/tm2412128d3_8k.htm" TargetMode="External"/><Relationship Id="rId107" Type="http://schemas.openxmlformats.org/officeDocument/2006/relationships/hyperlink" Target="https://www.sec.gov/ix?doc=/Archives/edgar/data/823768/000110465924068410/tm2416276d1_8k.htm" TargetMode="External"/><Relationship Id="rId108" Type="http://schemas.openxmlformats.org/officeDocument/2006/relationships/hyperlink" Target="https://www.sec.gov/ix?doc=/Archives/edgar/data/823768/000110465924068691/tm2416276d2_8ka.htm" TargetMode="External"/><Relationship Id="rId109" Type="http://schemas.openxmlformats.org/officeDocument/2006/relationships/hyperlink" Target="https://www.sec.gov/ix?doc=/Archives/edgar/data/823768/000110465924074797/tm2417732d5_8k.htm" TargetMode="External"/><Relationship Id="rId110" Type="http://schemas.openxmlformats.org/officeDocument/2006/relationships/hyperlink" Target="https://www.sec.gov/ix?doc=/Archives/edgar/data/823768/000110465924096357/tm2422979d1_8k.htm" TargetMode="External"/><Relationship Id="rId111" Type="http://schemas.openxmlformats.org/officeDocument/2006/relationships/hyperlink" Target="https://www.sec.gov/ix?doc=/Archives/edgar/data/823768/000110465924097567/tm2422979d2_8k.htm" TargetMode="External"/><Relationship Id="rId112" Type="http://schemas.openxmlformats.org/officeDocument/2006/relationships/hyperlink" Target="https://www.sec.gov/ix?doc=/Archives/edgar/data/823768/000110465924098609/tm2423683d1_8k.htm" TargetMode="External"/><Relationship Id="rId113" Type="http://schemas.openxmlformats.org/officeDocument/2006/relationships/hyperlink" Target="https://www.sec.gov/ix?doc=/Archives/edgar/data/823768/000110465924102483/tm2424669d1_8k.htm" TargetMode="External"/><Relationship Id="rId114" Type="http://schemas.openxmlformats.org/officeDocument/2006/relationships/hyperlink" Target="https://www.sec.gov/ix?doc=/Archives/edgar/data/823768/000110465924042337/tm242637d5_def14a.htm" TargetMode="External"/><Relationship Id="rId127" Type="http://schemas.openxmlformats.org/officeDocument/2006/relationships/hyperlink" Target="http://www.sec.gov/ix?doc=/Archives/edgar/data/823768/000155837022001179/wm-20211231x10k.htm" TargetMode="External"/><Relationship Id="rId128" Type="http://schemas.openxmlformats.org/officeDocument/2006/relationships/hyperlink" Target="http://www.sec.gov/ix?doc=/Archives/edgar/data/823768/000155837022004593/wm-20211231x10ka.htm" TargetMode="External"/><Relationship Id="rId129" Type="http://schemas.openxmlformats.org/officeDocument/2006/relationships/hyperlink" Target="http://www.sec.gov/ix?doc=/Archives/edgar/data/823768/000155837022005976/wm-20220331x10q.htm" TargetMode="External"/><Relationship Id="rId130" Type="http://schemas.openxmlformats.org/officeDocument/2006/relationships/hyperlink" Target="http://www.sec.gov/ix?doc=/Archives/edgar/data/823768/000110465922030973/tm228341d1_8k.htm" TargetMode="External"/><Relationship Id="rId131" Type="http://schemas.openxmlformats.org/officeDocument/2006/relationships/hyperlink" Target="http://www.sec.gov/Archives/edgar/data/823768/000110465922039107/tm223363-1_def14a.htm" TargetMode="External"/><Relationship Id="rId132" Type="http://schemas.openxmlformats.org/officeDocument/2006/relationships/hyperlink" Target="http://www.sec.gov/Archives/edgar/data/823768/0000950134-95-001585-index.htm" TargetMode="External"/><Relationship Id="rId133"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2024-10-30T07:45:31Z</dcterms:created>
  <dcterms:modified xsi:type="dcterms:W3CDTF">2024-10-30T07:45:31Z</dcterms:modified>
</cp:coreProperties>
</file>