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4"/>
          <w:szCs w:val="24"/>
          <w:color w:val="auto"/>
        </w:rPr>
      </w:pPr>
    </w:p>
    <w:p>
      <w:pPr>
        <w:ind w:left="4900" w:right="2959" w:hanging="4725"/>
        <w:spacing w:after="0" w:line="246" w:lineRule="auto"/>
        <w:rPr>
          <w:sz w:val="20"/>
          <w:szCs w:val="20"/>
          <w:color w:val="auto"/>
        </w:rPr>
      </w:pPr>
      <w:r>
        <w:rPr>
          <w:rFonts w:ascii="Courier New" w:cs="Courier New" w:eastAsia="Courier New" w:hAnsi="Courier New"/>
          <w:sz w:val="15"/>
          <w:szCs w:val="15"/>
          <w:color w:val="auto"/>
        </w:rPr>
        <w:t>As filed with the Securities and Exchange Commission on September 7, 1995 Registration No. 33-76226</w:t>
      </w:r>
    </w:p>
    <w:p>
      <w:pPr>
        <w:spacing w:after="0" w:line="1"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208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ind w:left="2540"/>
        <w:spacing w:after="0"/>
        <w:tabs>
          <w:tab w:leader="none" w:pos="416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5"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___________________</w:t>
      </w:r>
    </w:p>
    <w:p>
      <w:pPr>
        <w:spacing w:after="0" w:line="180"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POST-EFFECTIVE AMENDMENT NO. 1</w:t>
      </w:r>
    </w:p>
    <w:p>
      <w:pPr>
        <w:spacing w:after="0" w:line="180"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TO</w:t>
      </w:r>
    </w:p>
    <w:p>
      <w:pPr>
        <w:spacing w:after="0" w:line="180"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FORM S-3</w:t>
      </w:r>
    </w:p>
    <w:p>
      <w:pPr>
        <w:spacing w:after="0" w:line="180"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REGISTRATION STATEMENT UNDER</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SECURITIES ACT OF 1933</w:t>
      </w:r>
    </w:p>
    <w:p>
      <w:pPr>
        <w:spacing w:after="0" w:line="5"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___________________</w:t>
      </w:r>
    </w:p>
    <w:p>
      <w:pPr>
        <w:spacing w:after="0" w:line="180"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35" w:right="1440" w:bottom="1440" w:gutter="0" w:footer="0" w:header="0"/>
        </w:sectPr>
      </w:pPr>
    </w:p>
    <w:p>
      <w:pPr>
        <w:spacing w:after="0" w:line="180" w:lineRule="exact"/>
        <w:rPr>
          <w:sz w:val="24"/>
          <w:szCs w:val="24"/>
          <w:color w:val="auto"/>
        </w:rPr>
      </w:pPr>
    </w:p>
    <w:p>
      <w:pPr>
        <w:ind w:left="90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(State or other jurisdiction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73-1309529</w:t>
      </w:r>
    </w:p>
    <w:p>
      <w:pPr>
        <w:spacing w:after="0" w:line="5"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0" w:lineRule="exact"/>
        <w:rPr>
          <w:sz w:val="24"/>
          <w:szCs w:val="24"/>
          <w:color w:val="auto"/>
        </w:rPr>
      </w:pPr>
    </w:p>
    <w:p>
      <w:pPr>
        <w:sectPr>
          <w:pgSz w:w="11900" w:h="16838" w:orient="portrait"/>
          <w:cols w:equalWidth="0" w:num="2">
            <w:col w:w="4820" w:space="720"/>
            <w:col w:w="4679"/>
          </w:cols>
          <w:pgMar w:left="240" w:top="235" w:right="1440" w:bottom="1440" w:gutter="0" w:footer="0" w:header="0"/>
          <w:type w:val="continuous"/>
        </w:sectPr>
      </w:pPr>
    </w:p>
    <w:p>
      <w:pPr>
        <w:jc w:val="center"/>
        <w:ind w:right="3159"/>
        <w:spacing w:after="0"/>
        <w:rPr>
          <w:sz w:val="20"/>
          <w:szCs w:val="20"/>
          <w:color w:val="auto"/>
        </w:rPr>
      </w:pPr>
      <w:r>
        <w:rPr>
          <w:rFonts w:ascii="Courier New" w:cs="Courier New" w:eastAsia="Courier New" w:hAnsi="Courier New"/>
          <w:sz w:val="15"/>
          <w:szCs w:val="15"/>
          <w:color w:val="auto"/>
        </w:rPr>
        <w:t>5000 Quorum Drive, Suite 300</w:t>
      </w:r>
    </w:p>
    <w:p>
      <w:pPr>
        <w:spacing w:after="0" w:line="5" w:lineRule="exact"/>
        <w:rPr>
          <w:sz w:val="24"/>
          <w:szCs w:val="24"/>
          <w:color w:val="auto"/>
        </w:rPr>
      </w:pPr>
    </w:p>
    <w:p>
      <w:pPr>
        <w:jc w:val="center"/>
        <w:ind w:right="3159"/>
        <w:spacing w:after="0"/>
        <w:tabs>
          <w:tab w:leader="none" w:pos="160" w:val="left"/>
        </w:tabs>
        <w:rPr>
          <w:sz w:val="20"/>
          <w:szCs w:val="20"/>
          <w:color w:val="auto"/>
        </w:rPr>
      </w:pPr>
      <w:r>
        <w:rPr>
          <w:rFonts w:ascii="Courier New" w:cs="Courier New" w:eastAsia="Courier New" w:hAnsi="Courier New"/>
          <w:sz w:val="15"/>
          <w:szCs w:val="15"/>
          <w:color w:val="auto"/>
        </w:rPr>
        <w:t>Dallas, Texas</w:t>
      </w:r>
      <w:r>
        <w:rPr>
          <w:sz w:val="20"/>
          <w:szCs w:val="20"/>
          <w:color w:val="auto"/>
        </w:rPr>
        <w:tab/>
      </w:r>
      <w:r>
        <w:rPr>
          <w:rFonts w:ascii="Courier New" w:cs="Courier New" w:eastAsia="Courier New" w:hAnsi="Courier New"/>
          <w:sz w:val="14"/>
          <w:szCs w:val="14"/>
          <w:color w:val="auto"/>
        </w:rPr>
        <w:t>75240</w:t>
      </w:r>
    </w:p>
    <w:p>
      <w:pPr>
        <w:sectPr>
          <w:pgSz w:w="11900" w:h="16838" w:orient="portrait"/>
          <w:cols w:equalWidth="0" w:num="1">
            <w:col w:w="10219"/>
          </w:cols>
          <w:pgMar w:left="240" w:top="235" w:right="1440" w:bottom="1440" w:gutter="0" w:footer="0" w:header="0"/>
          <w:type w:val="continuous"/>
        </w:sectPr>
      </w:pPr>
    </w:p>
    <w:p>
      <w:pPr>
        <w:spacing w:after="0" w:line="5" w:lineRule="exact"/>
        <w:rPr>
          <w:sz w:val="24"/>
          <w:szCs w:val="24"/>
          <w:color w:val="auto"/>
        </w:rPr>
      </w:pPr>
    </w:p>
    <w:p>
      <w:pPr>
        <w:ind w:left="172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0" w:lineRule="exact"/>
        <w:rPr>
          <w:sz w:val="24"/>
          <w:szCs w:val="24"/>
          <w:color w:val="auto"/>
        </w:rPr>
      </w:pPr>
    </w:p>
    <w:p>
      <w:pPr>
        <w:spacing w:after="0" w:line="329"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GREGORY T. SANGALIS</w:t>
      </w:r>
    </w:p>
    <w:p>
      <w:pPr>
        <w:spacing w:after="0" w:line="5"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4"/>
          <w:szCs w:val="24"/>
          <w:color w:val="auto"/>
        </w:rPr>
      </w:pPr>
    </w:p>
    <w:p>
      <w:pPr>
        <w:ind w:left="2360"/>
        <w:spacing w:after="0"/>
        <w:rPr>
          <w:sz w:val="20"/>
          <w:szCs w:val="20"/>
          <w:color w:val="auto"/>
        </w:rPr>
      </w:pPr>
      <w:r>
        <w:rPr>
          <w:rFonts w:ascii="Courier New" w:cs="Courier New" w:eastAsia="Courier New" w:hAnsi="Courier New"/>
          <w:sz w:val="15"/>
          <w:szCs w:val="15"/>
          <w:color w:val="auto"/>
        </w:rPr>
        <w:t>5000 QUORUM DRIVE, SUITE 300</w:t>
      </w:r>
    </w:p>
    <w:p>
      <w:pPr>
        <w:spacing w:after="0" w:line="5" w:lineRule="exact"/>
        <w:rPr>
          <w:sz w:val="24"/>
          <w:szCs w:val="24"/>
          <w:color w:val="auto"/>
        </w:rPr>
      </w:pPr>
    </w:p>
    <w:p>
      <w:pPr>
        <w:ind w:left="2720"/>
        <w:spacing w:after="0"/>
        <w:tabs>
          <w:tab w:leader="none" w:pos="4060" w:val="left"/>
        </w:tabs>
        <w:rPr>
          <w:sz w:val="20"/>
          <w:szCs w:val="20"/>
          <w:color w:val="auto"/>
        </w:rPr>
      </w:pPr>
      <w:r>
        <w:rPr>
          <w:rFonts w:ascii="Courier New" w:cs="Courier New" w:eastAsia="Courier New" w:hAnsi="Courier New"/>
          <w:sz w:val="15"/>
          <w:szCs w:val="15"/>
          <w:color w:val="auto"/>
        </w:rPr>
        <w:t>DALLAS, TEXAS</w:t>
        <w:tab/>
        <w:t>75240</w:t>
      </w:r>
    </w:p>
    <w:p>
      <w:pPr>
        <w:spacing w:after="0" w:line="5"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(214) 233-4212</w:t>
      </w:r>
    </w:p>
    <w:p>
      <w:pPr>
        <w:spacing w:after="0" w:line="5" w:lineRule="exact"/>
        <w:rPr>
          <w:sz w:val="24"/>
          <w:szCs w:val="24"/>
          <w:color w:val="auto"/>
        </w:rPr>
      </w:pPr>
    </w:p>
    <w:p>
      <w:pPr>
        <w:ind w:left="1000"/>
        <w:spacing w:after="0"/>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80"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Copies to:</w:t>
      </w:r>
    </w:p>
    <w:p>
      <w:pPr>
        <w:spacing w:after="0" w:line="180"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JOHN T. UNGER</w:t>
      </w:r>
    </w:p>
    <w:p>
      <w:pPr>
        <w:spacing w:after="0" w:line="5" w:lineRule="exact"/>
        <w:rPr>
          <w:sz w:val="24"/>
          <w:szCs w:val="24"/>
          <w:color w:val="auto"/>
        </w:rPr>
      </w:pPr>
    </w:p>
    <w:p>
      <w:pPr>
        <w:ind w:left="1720"/>
        <w:spacing w:after="0"/>
        <w:rPr>
          <w:sz w:val="20"/>
          <w:szCs w:val="20"/>
          <w:color w:val="auto"/>
        </w:rPr>
      </w:pPr>
      <w:r>
        <w:rPr>
          <w:rFonts w:ascii="Courier New" w:cs="Courier New" w:eastAsia="Courier New" w:hAnsi="Courier New"/>
          <w:sz w:val="15"/>
          <w:szCs w:val="15"/>
          <w:color w:val="auto"/>
        </w:rPr>
        <w:t>SNELL &amp; SMITH, A PROFESSIONAL CORPORATION</w:t>
      </w:r>
    </w:p>
    <w:p>
      <w:pPr>
        <w:spacing w:after="0" w:line="5" w:lineRule="exact"/>
        <w:rPr>
          <w:sz w:val="24"/>
          <w:szCs w:val="24"/>
          <w:color w:val="auto"/>
        </w:rPr>
      </w:pPr>
    </w:p>
    <w:p>
      <w:pPr>
        <w:ind w:left="2440"/>
        <w:spacing w:after="0"/>
        <w:rPr>
          <w:sz w:val="20"/>
          <w:szCs w:val="20"/>
          <w:color w:val="auto"/>
        </w:rPr>
      </w:pPr>
      <w:r>
        <w:rPr>
          <w:rFonts w:ascii="Courier New" w:cs="Courier New" w:eastAsia="Courier New" w:hAnsi="Courier New"/>
          <w:sz w:val="15"/>
          <w:szCs w:val="15"/>
          <w:color w:val="auto"/>
        </w:rPr>
        <w:t>1000 LOUISIANA, SUITE 3650</w:t>
      </w:r>
    </w:p>
    <w:p>
      <w:pPr>
        <w:spacing w:after="0" w:line="5" w:lineRule="exact"/>
        <w:rPr>
          <w:sz w:val="24"/>
          <w:szCs w:val="24"/>
          <w:color w:val="auto"/>
        </w:rPr>
      </w:pPr>
    </w:p>
    <w:p>
      <w:pPr>
        <w:ind w:left="2620"/>
        <w:spacing w:after="0"/>
        <w:tabs>
          <w:tab w:leader="none" w:pos="4060" w:val="left"/>
        </w:tabs>
        <w:rPr>
          <w:sz w:val="20"/>
          <w:szCs w:val="20"/>
          <w:color w:val="auto"/>
        </w:rPr>
      </w:pPr>
      <w:r>
        <w:rPr>
          <w:rFonts w:ascii="Courier New" w:cs="Courier New" w:eastAsia="Courier New" w:hAnsi="Courier New"/>
          <w:sz w:val="15"/>
          <w:szCs w:val="15"/>
          <w:color w:val="auto"/>
        </w:rPr>
        <w:t>HOUSTON, TEXAS</w:t>
        <w:tab/>
        <w:t>77002</w:t>
      </w:r>
    </w:p>
    <w:p>
      <w:pPr>
        <w:spacing w:after="0" w:line="5"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___________________</w:t>
      </w:r>
    </w:p>
    <w:p>
      <w:pPr>
        <w:spacing w:after="0" w:line="200" w:lineRule="exact"/>
        <w:rPr>
          <w:sz w:val="24"/>
          <w:szCs w:val="24"/>
          <w:color w:val="auto"/>
        </w:rPr>
      </w:pPr>
    </w:p>
    <w:p>
      <w:pPr>
        <w:spacing w:after="0" w:line="329" w:lineRule="exact"/>
        <w:rPr>
          <w:sz w:val="24"/>
          <w:szCs w:val="24"/>
          <w:color w:val="auto"/>
        </w:rPr>
      </w:pPr>
    </w:p>
    <w:p>
      <w:pPr>
        <w:ind w:right="3139" w:firstLine="545"/>
        <w:spacing w:after="0" w:line="246" w:lineRule="auto"/>
        <w:rPr>
          <w:sz w:val="20"/>
          <w:szCs w:val="20"/>
          <w:color w:val="auto"/>
        </w:rPr>
      </w:pPr>
      <w:r>
        <w:rPr>
          <w:rFonts w:ascii="Courier New" w:cs="Courier New" w:eastAsia="Courier New" w:hAnsi="Courier New"/>
          <w:sz w:val="15"/>
          <w:szCs w:val="15"/>
          <w:color w:val="auto"/>
        </w:rPr>
        <w:t>THIS POST-EFFECTIVE AMENDMENT IS BEING FILED PURSUANT TO RULE 414 UNDER THE SECURITIES ACT OF 1933, AS AMENDED (THE "ACT"), BY USA WASTE SERVICES, INC., A DELAWARE CORPORATION ("USA WASTE DELAWARE"), AS SUCCESSOR TO USA WASTE SERVICES, INC., AN OKLAHOMA CORPORATION. USA WASTE DELAWARE HEREBY EXPRESSLY ADOPTS THIS REGISTRATION STATEMENT ON FORM S-3 (FILE NO. 33-76226) AS ITS OWN REGSITRATION STATEMENT FOR ALL PURPOSES OF THE ACT AND THE SECURITIES EXCHANGE ACT OF 1934.</w:t>
      </w:r>
    </w:p>
    <w:p>
      <w:pPr>
        <w:spacing w:after="0" w:line="3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35"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PART II</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INFORMATION REQUIRED IN THE REGISTRATION STATEMENT</w:t>
      </w:r>
    </w:p>
    <w:p>
      <w:pPr>
        <w:spacing w:after="0" w:line="35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15.</w:t>
        <w:tab/>
        <w:t>INDEMNIFICATION OF DIRECTORS AND OFFICERS.</w:t>
      </w:r>
    </w:p>
    <w:p>
      <w:pPr>
        <w:spacing w:after="0" w:line="180"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Section 102(b)(7) of the Delaware General Corporation Law provides that the certificate of incorporated of a Delaware 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involved intentional misconduct or a knowing violation of law, (iii) under Section 174 of this title,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82" w:lineRule="exact"/>
        <w:rPr>
          <w:sz w:val="20"/>
          <w:szCs w:val="20"/>
          <w:color w:val="auto"/>
        </w:rPr>
      </w:pPr>
    </w:p>
    <w:p>
      <w:pPr>
        <w:ind w:right="3039" w:firstLine="545"/>
        <w:spacing w:after="0" w:line="247" w:lineRule="auto"/>
        <w:rPr>
          <w:sz w:val="20"/>
          <w:szCs w:val="20"/>
          <w:color w:val="auto"/>
        </w:rPr>
      </w:pPr>
      <w:r>
        <w:rPr>
          <w:rFonts w:ascii="Courier New" w:cs="Courier New" w:eastAsia="Courier New" w:hAnsi="Courier New"/>
          <w:sz w:val="15"/>
          <w:szCs w:val="15"/>
          <w:color w:val="auto"/>
        </w:rPr>
        <w:t>The Certificate of Incorporation of the registrant includes the following provisions:</w:t>
      </w:r>
    </w:p>
    <w:p>
      <w:pPr>
        <w:spacing w:after="0" w:line="175" w:lineRule="exact"/>
        <w:rPr>
          <w:sz w:val="20"/>
          <w:szCs w:val="20"/>
          <w:color w:val="auto"/>
        </w:rPr>
      </w:pPr>
    </w:p>
    <w:p>
      <w:pPr>
        <w:ind w:left="720"/>
        <w:spacing w:after="0"/>
        <w:tabs>
          <w:tab w:leader="none" w:pos="1600" w:val="left"/>
        </w:tabs>
        <w:rPr>
          <w:sz w:val="20"/>
          <w:szCs w:val="20"/>
          <w:color w:val="auto"/>
        </w:rPr>
      </w:pPr>
      <w:r>
        <w:rPr>
          <w:rFonts w:ascii="Courier New" w:cs="Courier New" w:eastAsia="Courier New" w:hAnsi="Courier New"/>
          <w:sz w:val="15"/>
          <w:szCs w:val="15"/>
          <w:color w:val="auto"/>
        </w:rPr>
        <w:t>Seventh:</w:t>
        <w:tab/>
        <w:t>No director of the Corporation shall be personally liable</w:t>
      </w:r>
    </w:p>
    <w:p>
      <w:pPr>
        <w:spacing w:after="0" w:line="5" w:lineRule="exact"/>
        <w:rPr>
          <w:sz w:val="20"/>
          <w:szCs w:val="20"/>
          <w:color w:val="auto"/>
        </w:rPr>
      </w:pPr>
    </w:p>
    <w:p>
      <w:pPr>
        <w:ind w:left="540" w:right="3039"/>
        <w:spacing w:after="0" w:line="246" w:lineRule="auto"/>
        <w:rPr>
          <w:sz w:val="20"/>
          <w:szCs w:val="20"/>
          <w:color w:val="auto"/>
        </w:rPr>
      </w:pPr>
      <w:r>
        <w:rPr>
          <w:rFonts w:ascii="Courier New" w:cs="Courier New" w:eastAsia="Courier New" w:hAnsi="Courier New"/>
          <w:sz w:val="15"/>
          <w:szCs w:val="15"/>
          <w:color w:val="auto"/>
        </w:rPr>
        <w:t>to the Corporation or its stockholders for monetary damages for breach of fiduciary duty as a director, provided that this provision shall not eliminate or limit the liability of a director for liability (i) for any breach of the director's duty of loyalty to the Corporation or its stockholders, (ii) for acts or omissions not in good faith or which involve intentional misconduct or a knowing violation of law, (iii) under Section 174 of the General Corporation Law of Delaware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Any repeal or modification of this paragraph by the stockholders of the Corporation shall be prospective only, and shall not adversely affect any limitation on the personal liability of a director of the Corporation existing at the time of such repeal or modification. Neither this Restated Certificate of Incorporation nor any amendment, alteration, or repeal of this Article, nor the adoption of any provision of the Restated Certificate of Incorporation inconsistent with this Article, shall adversely effect, eliminate, or reduce any right or protection of a director of the Corporation 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19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145 of the Delaware General Corporation Law provides as follows:</w:t>
      </w:r>
    </w:p>
    <w:p>
      <w:pPr>
        <w:spacing w:after="0" w:line="180" w:lineRule="exact"/>
        <w:rPr>
          <w:sz w:val="20"/>
          <w:szCs w:val="20"/>
          <w:color w:val="auto"/>
        </w:rPr>
      </w:pPr>
    </w:p>
    <w:p>
      <w:pPr>
        <w:ind w:right="3039" w:firstLine="538"/>
        <w:spacing w:after="0" w:line="246" w:lineRule="auto"/>
        <w:tabs>
          <w:tab w:leader="none" w:pos="109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OFFICERS DIRECTORS, EMPLOYEES AND AGENTS; INSURANCE. -- (a)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8" w:lineRule="exact"/>
        <w:rPr>
          <w:rFonts w:ascii="Courier New" w:cs="Courier New" w:eastAsia="Courier New" w:hAnsi="Courier New"/>
          <w:sz w:val="15"/>
          <w:szCs w:val="15"/>
          <w:color w:val="auto"/>
        </w:rPr>
      </w:pPr>
    </w:p>
    <w:p>
      <w:pPr>
        <w:ind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any action, suit or proceeding by judgment, order, settlement, conviction, or upon a plea of nolo contendere or its equivalent,</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93"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177" w:lineRule="exact"/>
        <w:rPr>
          <w:sz w:val="20"/>
          <w:szCs w:val="20"/>
          <w:color w:val="auto"/>
        </w:rPr>
      </w:pPr>
    </w:p>
    <w:p>
      <w:pPr>
        <w:ind w:right="3039" w:firstLine="538"/>
        <w:spacing w:after="0" w:line="246" w:lineRule="auto"/>
        <w:tabs>
          <w:tab w:leader="none" w:pos="109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5" w:lineRule="exact"/>
        <w:rPr>
          <w:rFonts w:ascii="Courier New" w:cs="Courier New" w:eastAsia="Courier New" w:hAnsi="Courier New"/>
          <w:sz w:val="15"/>
          <w:szCs w:val="15"/>
          <w:color w:val="auto"/>
        </w:rPr>
      </w:pPr>
    </w:p>
    <w:p>
      <w:pPr>
        <w:ind w:right="3319" w:firstLine="538"/>
        <w:spacing w:after="0" w:line="246" w:lineRule="auto"/>
        <w:tabs>
          <w:tab w:leader="none" w:pos="109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 director, officer, employee or agent of a corporation has been successful on the merits or otherwise in defense of any action, suit or proceeding referred to in subsection (a) or (b) of this section, or in defense of any claim, issue or matter therein, he shall be indemnified against expenses (including attorneys' fees), actually and reasonably incurred by him in connection therewith.</w:t>
      </w:r>
    </w:p>
    <w:p>
      <w:pPr>
        <w:spacing w:after="0" w:line="178" w:lineRule="exact"/>
        <w:rPr>
          <w:rFonts w:ascii="Courier New" w:cs="Courier New" w:eastAsia="Courier New" w:hAnsi="Courier New"/>
          <w:sz w:val="15"/>
          <w:szCs w:val="15"/>
          <w:color w:val="auto"/>
        </w:rPr>
      </w:pPr>
    </w:p>
    <w:p>
      <w:pPr>
        <w:ind w:right="3039" w:firstLine="538"/>
        <w:spacing w:after="0" w:line="246" w:lineRule="auto"/>
        <w:tabs>
          <w:tab w:leader="none" w:pos="109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indemnification under the provisions of subsection (a) or (b) 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 (a) or (b) of this section. Such determination shall be made (1) by a majority vote of directors who were not parties to such action suit or proceeding even though less than a quorum, or (2) if there are no such directors, or if such directors so direct, by independent legal counsel in a written opinion, or (3) by the stockholders.</w:t>
      </w:r>
    </w:p>
    <w:p>
      <w:pPr>
        <w:spacing w:after="0" w:line="180" w:lineRule="exact"/>
        <w:rPr>
          <w:rFonts w:ascii="Courier New" w:cs="Courier New" w:eastAsia="Courier New" w:hAnsi="Courier New"/>
          <w:sz w:val="15"/>
          <w:szCs w:val="15"/>
          <w:color w:val="auto"/>
        </w:rPr>
      </w:pPr>
    </w:p>
    <w:p>
      <w:pPr>
        <w:ind w:right="3039" w:firstLine="538"/>
        <w:spacing w:after="0" w:line="246" w:lineRule="auto"/>
        <w:tabs>
          <w:tab w:leader="none" w:pos="109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by the provisions of this section. Such expenses (including attorneys' fees) incurred by other employees and agents may be so paid upon such terms and conditions, if any, as the board of directors deems appropriate.</w:t>
      </w:r>
    </w:p>
    <w:p>
      <w:pPr>
        <w:spacing w:after="0" w:line="180" w:lineRule="exact"/>
        <w:rPr>
          <w:rFonts w:ascii="Courier New" w:cs="Courier New" w:eastAsia="Courier New" w:hAnsi="Courier New"/>
          <w:sz w:val="15"/>
          <w:szCs w:val="15"/>
          <w:color w:val="auto"/>
        </w:rPr>
      </w:pPr>
    </w:p>
    <w:p>
      <w:pPr>
        <w:ind w:right="3139" w:firstLine="538"/>
        <w:spacing w:after="0" w:line="246" w:lineRule="auto"/>
        <w:tabs>
          <w:tab w:leader="none" w:pos="109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and advancement of expense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179" w:lineRule="exact"/>
        <w:rPr>
          <w:rFonts w:ascii="Courier New" w:cs="Courier New" w:eastAsia="Courier New" w:hAnsi="Courier New"/>
          <w:sz w:val="15"/>
          <w:szCs w:val="15"/>
          <w:color w:val="auto"/>
        </w:rPr>
      </w:pPr>
    </w:p>
    <w:p>
      <w:pPr>
        <w:ind w:right="3039" w:firstLine="538"/>
        <w:spacing w:after="0" w:line="246" w:lineRule="auto"/>
        <w:tabs>
          <w:tab w:leader="none" w:pos="109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shall have power to purchase and maintain insurance on behalf of any person who is or was a director, officer, employee or agent of the corporation, or is or was servicing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179" w:lineRule="exact"/>
        <w:rPr>
          <w:rFonts w:ascii="Courier New" w:cs="Courier New" w:eastAsia="Courier New" w:hAnsi="Courier New"/>
          <w:sz w:val="15"/>
          <w:szCs w:val="15"/>
          <w:color w:val="auto"/>
        </w:rPr>
      </w:pPr>
    </w:p>
    <w:p>
      <w:pPr>
        <w:ind w:right="3039" w:firstLine="538"/>
        <w:spacing w:after="0" w:line="246" w:lineRule="auto"/>
        <w:tabs>
          <w:tab w:leader="none" w:pos="109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w:t>
      </w:r>
    </w:p>
    <w:p>
      <w:pPr>
        <w:sectPr>
          <w:pgSz w:w="11900" w:h="16838" w:orient="portrait"/>
          <w:cols w:equalWidth="0" w:num="1">
            <w:col w:w="10219"/>
          </w:cols>
          <w:pgMar w:left="240" w:top="293" w:right="1440" w:bottom="9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93" w:right="1440" w:bottom="955"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77" w:lineRule="exact"/>
        <w:rPr>
          <w:sz w:val="20"/>
          <w:szCs w:val="20"/>
          <w:color w:val="auto"/>
        </w:rPr>
      </w:pPr>
    </w:p>
    <w:p>
      <w:pPr>
        <w:ind w:right="3039" w:firstLine="538"/>
        <w:spacing w:after="0" w:line="246" w:lineRule="auto"/>
        <w:tabs>
          <w:tab w:leader="none" w:pos="109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182" w:lineRule="exact"/>
        <w:rPr>
          <w:rFonts w:ascii="Courier New" w:cs="Courier New" w:eastAsia="Courier New" w:hAnsi="Courier New"/>
          <w:sz w:val="15"/>
          <w:szCs w:val="15"/>
          <w:color w:val="auto"/>
        </w:rPr>
      </w:pPr>
    </w:p>
    <w:p>
      <w:pPr>
        <w:ind w:right="3039" w:firstLine="538"/>
        <w:spacing w:after="0" w:line="246" w:lineRule="auto"/>
        <w:tabs>
          <w:tab w:leader="none" w:pos="109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and advancement of expenses provided by, or granted pursuant to, this section, unless otherwise provided when authorized or ratified, shall continue as to a person who has ceased to be a director, officer, employee or agent and shall inure to the benefit of the heirs, executors and administrators of such a person.</w:t>
      </w:r>
    </w:p>
    <w:p>
      <w:pPr>
        <w:spacing w:after="0" w:line="177" w:lineRule="exact"/>
        <w:rPr>
          <w:rFonts w:ascii="Courier New" w:cs="Courier New" w:eastAsia="Courier New" w:hAnsi="Courier New"/>
          <w:sz w:val="15"/>
          <w:szCs w:val="15"/>
          <w:color w:val="auto"/>
        </w:rPr>
      </w:pPr>
    </w:p>
    <w:p>
      <w:pPr>
        <w:ind w:right="3039" w:firstLine="538"/>
        <w:spacing w:after="0" w:line="246" w:lineRule="auto"/>
        <w:tabs>
          <w:tab w:leader="none" w:pos="109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78" w:lineRule="exact"/>
        <w:rPr>
          <w:sz w:val="20"/>
          <w:szCs w:val="20"/>
          <w:color w:val="auto"/>
        </w:rPr>
      </w:pPr>
    </w:p>
    <w:p>
      <w:pPr>
        <w:ind w:right="3039" w:firstLine="545"/>
        <w:spacing w:after="0" w:line="247" w:lineRule="auto"/>
        <w:rPr>
          <w:sz w:val="20"/>
          <w:szCs w:val="20"/>
          <w:color w:val="auto"/>
        </w:rPr>
      </w:pPr>
      <w:r>
        <w:rPr>
          <w:rFonts w:ascii="Courier New" w:cs="Courier New" w:eastAsia="Courier New" w:hAnsi="Courier New"/>
          <w:sz w:val="15"/>
          <w:szCs w:val="15"/>
          <w:color w:val="auto"/>
        </w:rPr>
        <w:t>The Certificate of Incorporation of the registrant includes the following provision:</w:t>
      </w:r>
    </w:p>
    <w:p>
      <w:pPr>
        <w:spacing w:after="0" w:line="175" w:lineRule="exact"/>
        <w:rPr>
          <w:sz w:val="20"/>
          <w:szCs w:val="20"/>
          <w:color w:val="auto"/>
        </w:rPr>
      </w:pPr>
    </w:p>
    <w:p>
      <w:pPr>
        <w:ind w:left="540" w:right="3039" w:firstLine="182"/>
        <w:spacing w:after="0" w:line="246" w:lineRule="auto"/>
        <w:rPr>
          <w:sz w:val="20"/>
          <w:szCs w:val="20"/>
          <w:color w:val="auto"/>
        </w:rPr>
      </w:pPr>
      <w:r>
        <w:rPr>
          <w:rFonts w:ascii="Courier New" w:cs="Courier New" w:eastAsia="Courier New" w:hAnsi="Courier New"/>
          <w:sz w:val="15"/>
          <w:szCs w:val="15"/>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Article shall be deemed to have met the standard of conduct required for such indemnification unless the contrary shall be established.</w:t>
      </w:r>
    </w:p>
    <w:p>
      <w:pPr>
        <w:spacing w:after="0" w:line="190" w:lineRule="exact"/>
        <w:rPr>
          <w:sz w:val="20"/>
          <w:szCs w:val="20"/>
          <w:color w:val="auto"/>
        </w:rPr>
      </w:pPr>
    </w:p>
    <w:p>
      <w:pPr>
        <w:ind w:right="3219" w:firstLine="545"/>
        <w:spacing w:after="0" w:line="246" w:lineRule="auto"/>
        <w:rPr>
          <w:sz w:val="20"/>
          <w:szCs w:val="20"/>
          <w:color w:val="auto"/>
        </w:rPr>
      </w:pPr>
      <w:r>
        <w:rPr>
          <w:rFonts w:ascii="Courier New" w:cs="Courier New" w:eastAsia="Courier New" w:hAnsi="Courier New"/>
          <w:sz w:val="15"/>
          <w:szCs w:val="15"/>
          <w:color w:val="auto"/>
        </w:rPr>
        <w:t>The Bylaws of the registrant include indemnification provisions that generally provide indemnification to directors and officers of the registrant in the manner and to the extent permitted by Section 145 of the Delaware General Corporation Law. However, the provisions corresponding to subsections 145(a) and (b) are mandatory rather than permissive.</w:t>
      </w:r>
    </w:p>
    <w:p>
      <w:pPr>
        <w:spacing w:after="0" w:line="178"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The registrant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w:t>
      </w:r>
    </w:p>
    <w:p>
      <w:pPr>
        <w:sectPr>
          <w:pgSz w:w="11900" w:h="16838" w:orient="portrait"/>
          <w:cols w:equalWidth="0" w:num="1">
            <w:col w:w="10219"/>
          </w:cols>
          <w:pgMar w:left="240" w:top="293" w:right="1440" w:bottom="7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93" w:right="1440" w:bottom="780" w:gutter="0" w:footer="0" w:header="0"/>
          <w:type w:val="continuous"/>
        </w:sectPr>
      </w:pPr>
    </w:p>
    <w:bookmarkStart w:id="4" w:name="page5"/>
    <w:bookmarkEnd w:id="4"/>
    <w:p>
      <w:pPr>
        <w:ind w:left="267"/>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a director, officer, employee, fiduciary or representative of another enterprise. Such Indemnification 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353"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7.</w:t>
        <w:tab/>
        <w:t>EXEMPTION FROM REGISTRATION CLAIMED.</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5820" w:type="dxa"/>
            <w:vAlign w:val="bottom"/>
          </w:tcPr>
          <w:p>
            <w:pPr>
              <w:ind w:left="1540"/>
              <w:spacing w:after="0"/>
              <w:rPr>
                <w:sz w:val="20"/>
                <w:szCs w:val="20"/>
                <w:color w:val="auto"/>
              </w:rPr>
            </w:pPr>
            <w:r>
              <w:rPr>
                <w:rFonts w:ascii="Courier New" w:cs="Courier New" w:eastAsia="Courier New" w:hAnsi="Courier New"/>
                <w:sz w:val="15"/>
                <w:szCs w:val="15"/>
                <w:color w:val="auto"/>
              </w:rPr>
              <w:t>Not applicable.</w:t>
            </w:r>
          </w:p>
        </w:tc>
      </w:tr>
      <w:tr>
        <w:trPr>
          <w:trHeight w:val="524"/>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ITEM 8.  EXHIBITS.</w:t>
            </w:r>
          </w:p>
        </w:tc>
      </w:tr>
      <w:tr>
        <w:trPr>
          <w:trHeight w:val="350"/>
        </w:trPr>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w:t>
            </w:r>
          </w:p>
        </w:tc>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175"/>
        </w:trPr>
        <w:tc>
          <w:tcPr>
            <w:tcW w:w="136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[Incorporated by reference to Exhibit 3.1 of the Registrant's</w:t>
            </w:r>
          </w:p>
        </w:tc>
      </w:tr>
      <w:tr>
        <w:trPr>
          <w:trHeight w:val="175"/>
        </w:trPr>
        <w:tc>
          <w:tcPr>
            <w:tcW w:w="136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Registration Statement on Form S-4, File No. 33-60103]</w:t>
            </w:r>
          </w:p>
        </w:tc>
      </w:tr>
      <w:tr>
        <w:trPr>
          <w:trHeight w:val="175"/>
        </w:trPr>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w:t>
            </w:r>
          </w:p>
        </w:tc>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Bylaws of the Registrant [Incorporated by reference to Exhibit</w:t>
            </w:r>
          </w:p>
        </w:tc>
      </w:tr>
      <w:tr>
        <w:trPr>
          <w:trHeight w:val="175"/>
        </w:trPr>
        <w:tc>
          <w:tcPr>
            <w:tcW w:w="136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3.2 of the Registrant's Registration Statement on Form S-4,</w:t>
            </w:r>
          </w:p>
        </w:tc>
      </w:tr>
      <w:tr>
        <w:trPr>
          <w:trHeight w:val="175"/>
        </w:trPr>
        <w:tc>
          <w:tcPr>
            <w:tcW w:w="136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File No. 33-60103]</w:t>
            </w:r>
          </w:p>
        </w:tc>
      </w:tr>
      <w:tr>
        <w:trPr>
          <w:trHeight w:val="175"/>
        </w:trPr>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w:t>
            </w:r>
          </w:p>
        </w:tc>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Specimen Stock Certificate [Incorporated by reference to</w:t>
            </w:r>
          </w:p>
        </w:tc>
      </w:tr>
      <w:tr>
        <w:trPr>
          <w:trHeight w:val="175"/>
        </w:trPr>
        <w:tc>
          <w:tcPr>
            <w:tcW w:w="136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Exhibit 4.3 of the Registrant's Registration Statement on Form</w:t>
            </w:r>
          </w:p>
        </w:tc>
      </w:tr>
      <w:tr>
        <w:trPr>
          <w:trHeight w:val="175"/>
        </w:trPr>
        <w:tc>
          <w:tcPr>
            <w:tcW w:w="136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S-3, File No. 33-76224]</w:t>
            </w:r>
          </w:p>
        </w:tc>
      </w:tr>
      <w:tr>
        <w:trPr>
          <w:trHeight w:val="175"/>
        </w:trPr>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w:t>
            </w:r>
          </w:p>
        </w:tc>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Opinion of Snell &amp; Smith, A Professional Corporation</w:t>
            </w:r>
          </w:p>
        </w:tc>
      </w:tr>
      <w:tr>
        <w:trPr>
          <w:trHeight w:val="175"/>
        </w:trPr>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23.1</w:t>
            </w:r>
          </w:p>
        </w:tc>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Consent of Snell &amp; Smith, A Professional Corporation [Included</w:t>
            </w:r>
          </w:p>
        </w:tc>
      </w:tr>
      <w:tr>
        <w:trPr>
          <w:trHeight w:val="175"/>
        </w:trPr>
        <w:tc>
          <w:tcPr>
            <w:tcW w:w="136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in Exhibit 5.1]</w:t>
            </w:r>
          </w:p>
        </w:tc>
      </w:tr>
      <w:tr>
        <w:trPr>
          <w:trHeight w:val="175"/>
        </w:trPr>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23.2</w:t>
            </w:r>
          </w:p>
        </w:tc>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Consent of Coopers &amp; Lybrand, L.L.P. [Incorporated by</w:t>
            </w:r>
          </w:p>
        </w:tc>
      </w:tr>
      <w:tr>
        <w:trPr>
          <w:trHeight w:val="175"/>
        </w:trPr>
        <w:tc>
          <w:tcPr>
            <w:tcW w:w="136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reference to Exhibit 23.1  of the Registrant's Annual Report</w:t>
            </w:r>
          </w:p>
        </w:tc>
      </w:tr>
      <w:tr>
        <w:trPr>
          <w:trHeight w:val="175"/>
        </w:trPr>
        <w:tc>
          <w:tcPr>
            <w:tcW w:w="136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on Form 10-K for the year ended December 31, 1994 and Exhibit</w:t>
            </w:r>
          </w:p>
        </w:tc>
      </w:tr>
      <w:tr>
        <w:trPr>
          <w:trHeight w:val="175"/>
        </w:trPr>
        <w:tc>
          <w:tcPr>
            <w:tcW w:w="136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23.2  of the Registrant's Current Report on Form 8-K dated</w:t>
            </w:r>
          </w:p>
        </w:tc>
      </w:tr>
      <w:tr>
        <w:trPr>
          <w:trHeight w:val="175"/>
        </w:trPr>
        <w:tc>
          <w:tcPr>
            <w:tcW w:w="136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June 30, 1995]</w:t>
            </w:r>
          </w:p>
        </w:tc>
      </w:tr>
      <w:tr>
        <w:trPr>
          <w:trHeight w:val="175"/>
        </w:trPr>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23.3</w:t>
            </w:r>
          </w:p>
        </w:tc>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Consent of Arthur Andersen LLP [Incorporated by reference to</w:t>
            </w:r>
          </w:p>
        </w:tc>
      </w:tr>
      <w:tr>
        <w:trPr>
          <w:trHeight w:val="175"/>
        </w:trPr>
        <w:tc>
          <w:tcPr>
            <w:tcW w:w="136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Exhibit 23.2 of the Registrant's Annual Report on Form 10-K</w:t>
            </w:r>
          </w:p>
        </w:tc>
      </w:tr>
      <w:tr>
        <w:trPr>
          <w:trHeight w:val="175"/>
        </w:trPr>
        <w:tc>
          <w:tcPr>
            <w:tcW w:w="136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for the year ended December 31, 1994]</w:t>
            </w:r>
          </w:p>
        </w:tc>
      </w:tr>
      <w:tr>
        <w:trPr>
          <w:trHeight w:val="175"/>
        </w:trPr>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23.4</w:t>
            </w:r>
          </w:p>
        </w:tc>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Consent of Deloitte &amp; Touche LLP [Incorporated by reference to</w:t>
            </w:r>
          </w:p>
        </w:tc>
      </w:tr>
      <w:tr>
        <w:trPr>
          <w:trHeight w:val="175"/>
        </w:trPr>
        <w:tc>
          <w:tcPr>
            <w:tcW w:w="136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Exhibit 23.2 of the Registrant's Registration Statement on</w:t>
            </w:r>
          </w:p>
        </w:tc>
      </w:tr>
    </w:tbl>
    <w:p>
      <w:pPr>
        <w:spacing w:after="0" w:line="5" w:lineRule="exact"/>
        <w:rPr>
          <w:sz w:val="20"/>
          <w:szCs w:val="20"/>
          <w:color w:val="auto"/>
        </w:rPr>
      </w:pPr>
    </w:p>
    <w:p>
      <w:pPr>
        <w:ind w:left="1547" w:right="3219"/>
        <w:spacing w:after="0" w:line="246" w:lineRule="auto"/>
        <w:rPr>
          <w:sz w:val="20"/>
          <w:szCs w:val="20"/>
          <w:color w:val="auto"/>
        </w:rPr>
      </w:pPr>
      <w:r>
        <w:rPr>
          <w:rFonts w:ascii="Courier New" w:cs="Courier New" w:eastAsia="Courier New" w:hAnsi="Courier New"/>
          <w:sz w:val="15"/>
          <w:szCs w:val="15"/>
          <w:color w:val="auto"/>
        </w:rPr>
        <w:t>Form S-4 (File No. 33-59259] and Exhibit 23.1 of the Registrant's Current Report on Form 8-K dated June 30, 1995]</w:t>
      </w:r>
    </w:p>
    <w:p>
      <w:pPr>
        <w:spacing w:after="0" w:line="1" w:lineRule="exact"/>
        <w:rPr>
          <w:sz w:val="20"/>
          <w:szCs w:val="20"/>
          <w:color w:val="auto"/>
        </w:rPr>
      </w:pPr>
    </w:p>
    <w:p>
      <w:pPr>
        <w:ind w:left="827" w:hanging="827"/>
        <w:spacing w:after="0"/>
        <w:tabs>
          <w:tab w:leader="none" w:pos="82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24.1Powers of Attorney (Included on Page II-7)</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827" w:hanging="827"/>
        <w:spacing w:after="0"/>
        <w:tabs>
          <w:tab w:leader="none" w:pos="82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200" w:lineRule="exact"/>
        <w:rPr>
          <w:sz w:val="20"/>
          <w:szCs w:val="20"/>
          <w:color w:val="auto"/>
        </w:rPr>
      </w:pPr>
    </w:p>
    <w:p>
      <w:pPr>
        <w:spacing w:after="0" w:line="329"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9.</w:t>
        <w:tab/>
        <w:t>UNDERTAKINGS.</w:t>
      </w:r>
    </w:p>
    <w:p>
      <w:pPr>
        <w:spacing w:after="0" w:line="180" w:lineRule="exact"/>
        <w:rPr>
          <w:sz w:val="20"/>
          <w:szCs w:val="20"/>
          <w:color w:val="auto"/>
        </w:rPr>
      </w:pPr>
    </w:p>
    <w:p>
      <w:pPr>
        <w:ind w:left="1547" w:hanging="729"/>
        <w:spacing w:after="0"/>
        <w:tabs>
          <w:tab w:leader="none" w:pos="154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9" w:lineRule="exact"/>
        <w:rPr>
          <w:rFonts w:ascii="Courier New" w:cs="Courier New" w:eastAsia="Courier New" w:hAnsi="Courier New"/>
          <w:sz w:val="15"/>
          <w:szCs w:val="15"/>
          <w:color w:val="auto"/>
        </w:rPr>
      </w:pPr>
    </w:p>
    <w:p>
      <w:pPr>
        <w:ind w:left="827" w:right="3219" w:firstLine="718"/>
        <w:spacing w:after="0" w:line="247" w:lineRule="auto"/>
        <w:tabs>
          <w:tab w:leader="none" w:pos="2372"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4" w:lineRule="exact"/>
        <w:rPr>
          <w:rFonts w:ascii="Courier New" w:cs="Courier New" w:eastAsia="Courier New" w:hAnsi="Courier New"/>
          <w:sz w:val="15"/>
          <w:szCs w:val="15"/>
          <w:color w:val="auto"/>
        </w:rPr>
      </w:pPr>
    </w:p>
    <w:p>
      <w:pPr>
        <w:ind w:left="1547" w:right="3039" w:firstLine="816"/>
        <w:spacing w:after="0" w:line="247" w:lineRule="auto"/>
        <w:tabs>
          <w:tab w:leader="none" w:pos="3092" w:val="left"/>
        </w:tabs>
        <w:numPr>
          <w:ilvl w:val="2"/>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4" w:lineRule="exact"/>
        <w:rPr>
          <w:rFonts w:ascii="Courier New" w:cs="Courier New" w:eastAsia="Courier New" w:hAnsi="Courier New"/>
          <w:sz w:val="15"/>
          <w:szCs w:val="15"/>
          <w:color w:val="auto"/>
        </w:rPr>
      </w:pPr>
    </w:p>
    <w:p>
      <w:pPr>
        <w:ind w:left="1547" w:right="3139" w:firstLine="816"/>
        <w:spacing w:after="0" w:line="246" w:lineRule="auto"/>
        <w:tabs>
          <w:tab w:leader="none" w:pos="3092" w:val="left"/>
        </w:tabs>
        <w:numPr>
          <w:ilvl w:val="2"/>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78" w:lineRule="exact"/>
        <w:rPr>
          <w:rFonts w:ascii="Courier New" w:cs="Courier New" w:eastAsia="Courier New" w:hAnsi="Courier New"/>
          <w:sz w:val="15"/>
          <w:szCs w:val="15"/>
          <w:color w:val="auto"/>
        </w:rPr>
      </w:pPr>
    </w:p>
    <w:p>
      <w:pPr>
        <w:ind w:left="1547" w:right="3219" w:firstLine="816"/>
        <w:spacing w:after="0" w:line="246" w:lineRule="auto"/>
        <w:tabs>
          <w:tab w:leader="none" w:pos="3092" w:val="left"/>
        </w:tabs>
        <w:numPr>
          <w:ilvl w:val="2"/>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7" w:lineRule="exact"/>
        <w:rPr>
          <w:sz w:val="20"/>
          <w:szCs w:val="20"/>
          <w:color w:val="auto"/>
        </w:rPr>
      </w:pPr>
    </w:p>
    <w:p>
      <w:pPr>
        <w:ind w:left="1547" w:right="3039"/>
        <w:spacing w:after="0" w:line="246" w:lineRule="auto"/>
        <w:rPr>
          <w:sz w:val="20"/>
          <w:szCs w:val="20"/>
          <w:color w:val="auto"/>
        </w:rPr>
      </w:pPr>
      <w:r>
        <w:rPr>
          <w:rFonts w:ascii="Courier New" w:cs="Courier New" w:eastAsia="Courier New" w:hAnsi="Courier New"/>
          <w:sz w:val="15"/>
          <w:szCs w:val="15"/>
          <w:color w:val="auto"/>
        </w:rPr>
        <w:t>Provided, however, that paragraph (a)(1)(i) and (a)(1)(ii) shall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ectPr>
          <w:pgSz w:w="11900" w:h="16838" w:orient="portrait"/>
          <w:cols w:equalWidth="0" w:num="1">
            <w:col w:w="10226"/>
          </w:cols>
          <w:pgMar w:left="233"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6"/>
          </w:cols>
          <w:pgMar w:left="233" w:top="293"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560" w:right="3219" w:firstLine="718"/>
        <w:spacing w:after="0" w:line="246" w:lineRule="auto"/>
        <w:tabs>
          <w:tab w:leader="none" w:pos="210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2100" w:hanging="822"/>
        <w:spacing w:after="0"/>
        <w:tabs>
          <w:tab w:leader="none" w:pos="2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w:t>
      </w:r>
    </w:p>
    <w:p>
      <w:pPr>
        <w:spacing w:after="0" w:line="5" w:lineRule="exact"/>
        <w:rPr>
          <w:sz w:val="20"/>
          <w:szCs w:val="20"/>
          <w:color w:val="auto"/>
        </w:rPr>
      </w:pPr>
    </w:p>
    <w:p>
      <w:pPr>
        <w:ind w:left="560" w:right="3139"/>
        <w:spacing w:after="0" w:line="247" w:lineRule="auto"/>
        <w:rPr>
          <w:sz w:val="20"/>
          <w:szCs w:val="20"/>
          <w:color w:val="auto"/>
        </w:rPr>
      </w:pPr>
      <w:r>
        <w:rPr>
          <w:rFonts w:ascii="Courier New" w:cs="Courier New" w:eastAsia="Courier New" w:hAnsi="Courier New"/>
          <w:sz w:val="15"/>
          <w:szCs w:val="15"/>
          <w:color w:val="auto"/>
        </w:rPr>
        <w:t>post-effective amendment any of the securities being registered which remain unsold at the termination of the offering.</w:t>
      </w:r>
    </w:p>
    <w:p>
      <w:pPr>
        <w:spacing w:after="0" w:line="175" w:lineRule="exact"/>
        <w:rPr>
          <w:sz w:val="20"/>
          <w:szCs w:val="20"/>
          <w:color w:val="auto"/>
        </w:rPr>
      </w:pPr>
    </w:p>
    <w:p>
      <w:pPr>
        <w:ind w:left="-260" w:right="3039" w:firstLine="811"/>
        <w:spacing w:after="0" w:line="246" w:lineRule="auto"/>
        <w:tabs>
          <w:tab w:leader="none" w:pos="128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80" w:lineRule="exact"/>
        <w:rPr>
          <w:sz w:val="20"/>
          <w:szCs w:val="20"/>
          <w:color w:val="auto"/>
        </w:rPr>
      </w:pPr>
    </w:p>
    <w:p>
      <w:pPr>
        <w:ind w:left="-260" w:right="3139" w:firstLine="811"/>
        <w:spacing w:after="0" w:line="246" w:lineRule="auto"/>
        <w:tabs>
          <w:tab w:leader="none" w:pos="128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deliver or cause to be delivered with the prospectus, to each person to whom the prospectus is sent or given, the latest annual report to security holders that is incorporated by reference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81" w:lineRule="exact"/>
        <w:rPr>
          <w:sz w:val="20"/>
          <w:szCs w:val="20"/>
          <w:color w:val="auto"/>
        </w:rPr>
      </w:pPr>
    </w:p>
    <w:p>
      <w:pPr>
        <w:ind w:left="-260" w:right="3039" w:firstLine="811"/>
        <w:spacing w:after="0" w:line="246" w:lineRule="auto"/>
        <w:tabs>
          <w:tab w:leader="none" w:pos="128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9959"/>
          </w:cols>
          <w:pgMar w:left="500" w:top="29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S-3 and has duly caused this registration statement or amendment thereto to be signed on its behalf by the undersigned, thereunto duly authorized, in the City of Dallas, State of Texas on September 7, 1995.</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USA Waste Services, Inc.</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E. Drury</w:t>
      </w:r>
    </w:p>
    <w:p>
      <w:pPr>
        <w:spacing w:after="0" w:line="5" w:lineRule="exact"/>
        <w:rPr>
          <w:sz w:val="20"/>
          <w:szCs w:val="20"/>
          <w:color w:val="auto"/>
        </w:rPr>
      </w:pPr>
    </w:p>
    <w:p>
      <w:pPr>
        <w:sectPr>
          <w:pgSz w:w="11900" w:h="16838" w:orient="portrait"/>
          <w:cols w:equalWidth="0" w:num="2">
            <w:col w:w="3820" w:space="720"/>
            <w:col w:w="5679"/>
          </w:cols>
          <w:pgMar w:left="240" w:top="293" w:right="1440" w:bottom="1440" w:gutter="0" w:footer="0" w:header="0"/>
          <w:type w:val="continuous"/>
        </w:sect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John E. Drury, Chief Executive</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293" w:right="1440" w:bottom="1440" w:gutter="0" w:footer="0" w:header="0"/>
          <w:type w:val="continuous"/>
        </w:sectPr>
      </w:pPr>
    </w:p>
    <w:bookmarkStart w:id="7" w:name="page8"/>
    <w:bookmarkEnd w:id="7"/>
    <w:p>
      <w:pPr>
        <w:ind w:left="267"/>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POWER OF ATTORNEY</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We, the undersigned officers and directors of USA Waste Services, Inc., hereby severally constitute Earl E. DeFrates and Gregory T. Sangalis, and each of them singly, our true and lawful attorneys with full power to them, and each of them singly, to sign for us and in our names, in the capacities indicated below, the Registration Statement on Form S-3 (File No. 33-76226) filed herewith and any amendments to said Registration Statement, and generally to do all such things in our name and behalf in our capacities as officers and directors to enable USA Waste Services,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82"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Witness our hands on the date set forth below.</w:t>
      </w:r>
    </w:p>
    <w:p>
      <w:pPr>
        <w:spacing w:after="0" w:line="180" w:lineRule="exact"/>
        <w:rPr>
          <w:sz w:val="20"/>
          <w:szCs w:val="20"/>
          <w:color w:val="auto"/>
        </w:rPr>
      </w:pPr>
    </w:p>
    <w:p>
      <w:pPr>
        <w:ind w:left="7" w:right="3319" w:firstLine="818"/>
        <w:spacing w:after="0" w:line="247"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or amendment thereto has been signed by the following persons in the capacities and on September 7, 1995.</w:t>
      </w:r>
    </w:p>
    <w:p>
      <w:pPr>
        <w:spacing w:after="0" w:line="200" w:lineRule="exact"/>
        <w:rPr>
          <w:sz w:val="20"/>
          <w:szCs w:val="20"/>
          <w:color w:val="auto"/>
        </w:rPr>
      </w:pPr>
    </w:p>
    <w:p>
      <w:pPr>
        <w:spacing w:after="0" w:line="324" w:lineRule="exact"/>
        <w:rPr>
          <w:sz w:val="20"/>
          <w:szCs w:val="20"/>
          <w:color w:val="auto"/>
        </w:rPr>
      </w:pPr>
    </w:p>
    <w:p>
      <w:pPr>
        <w:jc w:val="both"/>
        <w:ind w:left="1907"/>
        <w:spacing w:after="0"/>
        <w:tabs>
          <w:tab w:leader="none" w:pos="7526"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5" w:lineRule="exact"/>
        <w:rPr>
          <w:sz w:val="20"/>
          <w:szCs w:val="20"/>
          <w:color w:val="auto"/>
        </w:rPr>
      </w:pPr>
    </w:p>
    <w:p>
      <w:pPr>
        <w:ind w:left="1907"/>
        <w:spacing w:after="0"/>
        <w:tabs>
          <w:tab w:leader="none" w:pos="7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tabs>
          <w:tab w:leader="none" w:pos="5426" w:val="left"/>
        </w:tabs>
        <w:rPr>
          <w:sz w:val="20"/>
          <w:szCs w:val="20"/>
          <w:color w:val="auto"/>
        </w:rPr>
      </w:pPr>
      <w:r>
        <w:rPr>
          <w:rFonts w:ascii="Courier New" w:cs="Courier New" w:eastAsia="Courier New" w:hAnsi="Courier New"/>
          <w:sz w:val="15"/>
          <w:szCs w:val="15"/>
          <w:color w:val="auto"/>
        </w:rPr>
        <w:t>/s/ JOHN E. DRURY</w:t>
      </w:r>
      <w:r>
        <w:rPr>
          <w:sz w:val="20"/>
          <w:szCs w:val="20"/>
          <w:color w:val="auto"/>
        </w:rPr>
        <w:tab/>
      </w:r>
      <w:r>
        <w:rPr>
          <w:rFonts w:ascii="Courier New" w:cs="Courier New" w:eastAsia="Courier New" w:hAnsi="Courier New"/>
          <w:sz w:val="15"/>
          <w:szCs w:val="15"/>
          <w:color w:val="auto"/>
        </w:rPr>
        <w:t>Chairman of the Boatd and Chief Executive Officer</w:t>
      </w:r>
    </w:p>
    <w:p>
      <w:pPr>
        <w:spacing w:after="0" w:line="5" w:lineRule="exact"/>
        <w:rPr>
          <w:sz w:val="20"/>
          <w:szCs w:val="20"/>
          <w:color w:val="auto"/>
        </w:rPr>
      </w:pPr>
    </w:p>
    <w:p>
      <w:pPr>
        <w:ind w:left="187" w:hanging="187"/>
        <w:spacing w:after="0"/>
        <w:tabs>
          <w:tab w:leader="none" w:pos="18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E. Drury</w:t>
      </w:r>
    </w:p>
    <w:p>
      <w:pPr>
        <w:spacing w:after="0" w:line="180" w:lineRule="exact"/>
        <w:rPr>
          <w:sz w:val="20"/>
          <w:szCs w:val="20"/>
          <w:color w:val="auto"/>
        </w:rPr>
      </w:pPr>
    </w:p>
    <w:p>
      <w:pPr>
        <w:ind w:left="7"/>
        <w:spacing w:after="0"/>
        <w:tabs>
          <w:tab w:leader="none" w:pos="5426" w:val="left"/>
        </w:tabs>
        <w:rPr>
          <w:sz w:val="20"/>
          <w:szCs w:val="20"/>
          <w:color w:val="auto"/>
        </w:rPr>
      </w:pPr>
      <w:r>
        <w:rPr>
          <w:rFonts w:ascii="Courier New" w:cs="Courier New" w:eastAsia="Courier New" w:hAnsi="Courier New"/>
          <w:sz w:val="15"/>
          <w:szCs w:val="15"/>
          <w:color w:val="auto"/>
        </w:rPr>
        <w:t>/s/ DONALD F. MOOREHEAD, JR.</w:t>
      </w:r>
      <w:r>
        <w:rPr>
          <w:sz w:val="20"/>
          <w:szCs w:val="20"/>
          <w:color w:val="auto"/>
        </w:rPr>
        <w:tab/>
      </w:r>
      <w:r>
        <w:rPr>
          <w:rFonts w:ascii="Courier New" w:cs="Courier New" w:eastAsia="Courier New" w:hAnsi="Courier New"/>
          <w:sz w:val="15"/>
          <w:szCs w:val="15"/>
          <w:color w:val="auto"/>
        </w:rPr>
        <w:t>Vice Chairman of the Board and Chief Development</w:t>
      </w:r>
    </w:p>
    <w:p>
      <w:pPr>
        <w:spacing w:after="0" w:line="5" w:lineRule="exact"/>
        <w:rPr>
          <w:sz w:val="20"/>
          <w:szCs w:val="20"/>
          <w:color w:val="auto"/>
        </w:rPr>
      </w:pPr>
    </w:p>
    <w:p>
      <w:pPr>
        <w:ind w:left="7"/>
        <w:spacing w:after="0"/>
        <w:tabs>
          <w:tab w:leader="none" w:pos="560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Officer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Donald F. Moorehead, Jr.</w:t>
      </w:r>
    </w:p>
    <w:p>
      <w:pPr>
        <w:spacing w:after="0" w:line="180" w:lineRule="exact"/>
        <w:rPr>
          <w:sz w:val="20"/>
          <w:szCs w:val="20"/>
          <w:color w:val="auto"/>
        </w:rPr>
      </w:pPr>
    </w:p>
    <w:p>
      <w:pPr>
        <w:ind w:left="7"/>
        <w:spacing w:after="0"/>
        <w:tabs>
          <w:tab w:leader="none" w:pos="5426" w:val="left"/>
        </w:tabs>
        <w:rPr>
          <w:sz w:val="20"/>
          <w:szCs w:val="20"/>
          <w:color w:val="auto"/>
        </w:rPr>
      </w:pPr>
      <w:r>
        <w:rPr>
          <w:rFonts w:ascii="Courier New" w:cs="Courier New" w:eastAsia="Courier New" w:hAnsi="Courier New"/>
          <w:sz w:val="15"/>
          <w:szCs w:val="15"/>
          <w:color w:val="auto"/>
        </w:rPr>
        <w:t>/s/ DAVID SUTHERLAND-YOEST</w:t>
      </w:r>
      <w:r>
        <w:rPr>
          <w:sz w:val="20"/>
          <w:szCs w:val="20"/>
          <w:color w:val="auto"/>
        </w:rPr>
        <w:tab/>
      </w:r>
      <w:r>
        <w:rPr>
          <w:rFonts w:ascii="Courier New" w:cs="Courier New" w:eastAsia="Courier New" w:hAnsi="Courier New"/>
          <w:sz w:val="15"/>
          <w:szCs w:val="15"/>
          <w:color w:val="auto"/>
        </w:rPr>
        <w:t>President, Chief Operating Officer, and Director</w:t>
      </w:r>
    </w:p>
    <w:p>
      <w:pPr>
        <w:spacing w:after="0" w:line="5" w:lineRule="exact"/>
        <w:rPr>
          <w:sz w:val="20"/>
          <w:szCs w:val="20"/>
          <w:color w:val="auto"/>
        </w:rPr>
      </w:pPr>
    </w:p>
    <w:p>
      <w:pPr>
        <w:ind w:left="187" w:hanging="187"/>
        <w:spacing w:after="0"/>
        <w:tabs>
          <w:tab w:leader="none" w:pos="18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Sutherland-Yoest</w:t>
      </w:r>
    </w:p>
    <w:p>
      <w:pPr>
        <w:spacing w:after="0" w:line="180" w:lineRule="exact"/>
        <w:rPr>
          <w:sz w:val="20"/>
          <w:szCs w:val="20"/>
          <w:color w:val="auto"/>
        </w:rPr>
      </w:pPr>
    </w:p>
    <w:p>
      <w:pPr>
        <w:ind w:left="7"/>
        <w:spacing w:after="0"/>
        <w:tabs>
          <w:tab w:leader="none" w:pos="5426" w:val="left"/>
        </w:tabs>
        <w:rPr>
          <w:sz w:val="20"/>
          <w:szCs w:val="20"/>
          <w:color w:val="auto"/>
        </w:rPr>
      </w:pPr>
      <w:r>
        <w:rPr>
          <w:rFonts w:ascii="Courier New" w:cs="Courier New" w:eastAsia="Courier New" w:hAnsi="Courier New"/>
          <w:sz w:val="15"/>
          <w:szCs w:val="15"/>
          <w:color w:val="auto"/>
        </w:rPr>
        <w:t>/s/ EARL E. DEFRATES</w:t>
      </w:r>
      <w:r>
        <w:rPr>
          <w:sz w:val="20"/>
          <w:szCs w:val="20"/>
          <w:color w:val="auto"/>
        </w:rPr>
        <w:tab/>
      </w:r>
      <w:r>
        <w:rPr>
          <w:rFonts w:ascii="Courier New" w:cs="Courier New" w:eastAsia="Courier New" w:hAnsi="Courier New"/>
          <w:sz w:val="15"/>
          <w:szCs w:val="15"/>
          <w:color w:val="auto"/>
        </w:rPr>
        <w:t>Executive Vice President, Chief Finnaical Officer</w:t>
      </w:r>
    </w:p>
    <w:p>
      <w:pPr>
        <w:spacing w:after="0" w:line="5" w:lineRule="exact"/>
        <w:rPr>
          <w:sz w:val="20"/>
          <w:szCs w:val="20"/>
          <w:color w:val="auto"/>
        </w:rPr>
      </w:pPr>
    </w:p>
    <w:p>
      <w:pPr>
        <w:ind w:left="7"/>
        <w:spacing w:after="0"/>
        <w:tabs>
          <w:tab w:leader="none" w:pos="560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and Treasurer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Earl E. DeFrates</w:t>
      </w:r>
    </w:p>
    <w:p>
      <w:pPr>
        <w:spacing w:after="0" w:line="180" w:lineRule="exact"/>
        <w:rPr>
          <w:sz w:val="20"/>
          <w:szCs w:val="20"/>
          <w:color w:val="auto"/>
        </w:rPr>
      </w:pPr>
    </w:p>
    <w:p>
      <w:pPr>
        <w:ind w:left="7"/>
        <w:spacing w:after="0"/>
        <w:tabs>
          <w:tab w:leader="none" w:pos="5426" w:val="left"/>
        </w:tabs>
        <w:rPr>
          <w:sz w:val="20"/>
          <w:szCs w:val="20"/>
          <w:color w:val="auto"/>
        </w:rPr>
      </w:pPr>
      <w:r>
        <w:rPr>
          <w:rFonts w:ascii="Courier New" w:cs="Courier New" w:eastAsia="Courier New" w:hAnsi="Courier New"/>
          <w:sz w:val="15"/>
          <w:szCs w:val="15"/>
          <w:color w:val="auto"/>
        </w:rPr>
        <w:t>/s/ BRUCE E. SNYDER</w:t>
      </w:r>
      <w:r>
        <w:rPr>
          <w:sz w:val="20"/>
          <w:szCs w:val="20"/>
          <w:color w:val="auto"/>
        </w:rPr>
        <w:tab/>
      </w:r>
      <w:r>
        <w:rPr>
          <w:rFonts w:ascii="Courier New" w:cs="Courier New" w:eastAsia="Courier New" w:hAnsi="Courier New"/>
          <w:sz w:val="15"/>
          <w:szCs w:val="15"/>
          <w:color w:val="auto"/>
        </w:rPr>
        <w:t>Vice President and Corporate Controller (Chief</w:t>
      </w:r>
    </w:p>
    <w:p>
      <w:pPr>
        <w:spacing w:after="0" w:line="5" w:lineRule="exact"/>
        <w:rPr>
          <w:sz w:val="20"/>
          <w:szCs w:val="20"/>
          <w:color w:val="auto"/>
        </w:rPr>
      </w:pPr>
    </w:p>
    <w:p>
      <w:pPr>
        <w:ind w:left="7"/>
        <w:spacing w:after="0"/>
        <w:tabs>
          <w:tab w:leader="none" w:pos="560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Accounting Officer)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Bruce E. Snyder</w:t>
      </w:r>
    </w:p>
    <w:p>
      <w:pPr>
        <w:spacing w:after="0" w:line="180" w:lineRule="exact"/>
        <w:rPr>
          <w:sz w:val="20"/>
          <w:szCs w:val="20"/>
          <w:color w:val="auto"/>
        </w:rPr>
      </w:pPr>
    </w:p>
    <w:p>
      <w:pPr>
        <w:ind w:left="7"/>
        <w:spacing w:after="0"/>
        <w:tabs>
          <w:tab w:leader="none" w:pos="5426" w:val="left"/>
        </w:tabs>
        <w:rPr>
          <w:sz w:val="20"/>
          <w:szCs w:val="20"/>
          <w:color w:val="auto"/>
        </w:rPr>
      </w:pPr>
      <w:r>
        <w:rPr>
          <w:rFonts w:ascii="Courier New" w:cs="Courier New" w:eastAsia="Courier New" w:hAnsi="Courier New"/>
          <w:sz w:val="15"/>
          <w:szCs w:val="15"/>
          <w:color w:val="auto"/>
        </w:rPr>
        <w:t>/s/ JOHN G. RANGOS, SR.</w:t>
      </w:r>
      <w:r>
        <w:rPr>
          <w:sz w:val="20"/>
          <w:szCs w:val="20"/>
          <w:color w:val="auto"/>
        </w:rPr>
        <w:tab/>
      </w:r>
      <w:r>
        <w:rPr>
          <w:rFonts w:ascii="Courier New" w:cs="Courier New" w:eastAsia="Courier New" w:hAnsi="Courier New"/>
          <w:sz w:val="15"/>
          <w:szCs w:val="15"/>
          <w:color w:val="auto"/>
        </w:rPr>
        <w:t>Vice Chairman of the Board</w:t>
      </w:r>
    </w:p>
    <w:p>
      <w:pPr>
        <w:spacing w:after="0" w:line="5" w:lineRule="exact"/>
        <w:rPr>
          <w:sz w:val="20"/>
          <w:szCs w:val="20"/>
          <w:color w:val="auto"/>
        </w:rPr>
      </w:pPr>
    </w:p>
    <w:p>
      <w:pPr>
        <w:ind w:left="187" w:hanging="187"/>
        <w:spacing w:after="0"/>
        <w:tabs>
          <w:tab w:leader="none" w:pos="18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G. Rangos, Sr.</w:t>
      </w:r>
    </w:p>
    <w:p>
      <w:pPr>
        <w:spacing w:after="0" w:line="180" w:lineRule="exact"/>
        <w:rPr>
          <w:sz w:val="20"/>
          <w:szCs w:val="20"/>
          <w:color w:val="auto"/>
        </w:rPr>
      </w:pPr>
    </w:p>
    <w:p>
      <w:pPr>
        <w:ind w:left="7"/>
        <w:spacing w:after="0"/>
        <w:tabs>
          <w:tab w:leader="none" w:pos="5426" w:val="left"/>
        </w:tabs>
        <w:rPr>
          <w:sz w:val="20"/>
          <w:szCs w:val="20"/>
          <w:color w:val="auto"/>
        </w:rPr>
      </w:pPr>
      <w:r>
        <w:rPr>
          <w:rFonts w:ascii="Courier New" w:cs="Courier New" w:eastAsia="Courier New" w:hAnsi="Courier New"/>
          <w:sz w:val="15"/>
          <w:szCs w:val="15"/>
          <w:color w:val="auto"/>
        </w:rPr>
        <w:t>/s/ ALEXANDER W. RANGOS</w:t>
      </w:r>
      <w:r>
        <w:rPr>
          <w:sz w:val="20"/>
          <w:szCs w:val="20"/>
          <w:color w:val="auto"/>
        </w:rPr>
        <w:tab/>
      </w:r>
      <w:r>
        <w:rPr>
          <w:rFonts w:ascii="Courier New" w:cs="Courier New" w:eastAsia="Courier New" w:hAnsi="Courier New"/>
          <w:sz w:val="15"/>
          <w:szCs w:val="15"/>
          <w:color w:val="auto"/>
        </w:rPr>
        <w:t>Executive Vice President for Development and</w:t>
      </w:r>
    </w:p>
    <w:p>
      <w:pPr>
        <w:spacing w:after="0" w:line="5" w:lineRule="exact"/>
        <w:rPr>
          <w:sz w:val="20"/>
          <w:szCs w:val="20"/>
          <w:color w:val="auto"/>
        </w:rPr>
      </w:pPr>
    </w:p>
    <w:p>
      <w:pPr>
        <w:ind w:left="7"/>
        <w:spacing w:after="0"/>
        <w:tabs>
          <w:tab w:leader="none" w:pos="560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Alexander W. Rangos</w:t>
      </w:r>
    </w:p>
    <w:p>
      <w:pPr>
        <w:spacing w:after="0" w:line="180" w:lineRule="exact"/>
        <w:rPr>
          <w:sz w:val="20"/>
          <w:szCs w:val="20"/>
          <w:color w:val="auto"/>
        </w:rPr>
      </w:pPr>
    </w:p>
    <w:p>
      <w:pPr>
        <w:ind w:left="7"/>
        <w:spacing w:after="0"/>
        <w:tabs>
          <w:tab w:leader="none" w:pos="5426" w:val="left"/>
        </w:tabs>
        <w:rPr>
          <w:sz w:val="20"/>
          <w:szCs w:val="20"/>
          <w:color w:val="auto"/>
        </w:rPr>
      </w:pPr>
      <w:r>
        <w:rPr>
          <w:rFonts w:ascii="Courier New" w:cs="Courier New" w:eastAsia="Courier New" w:hAnsi="Courier New"/>
          <w:sz w:val="15"/>
          <w:szCs w:val="15"/>
          <w:color w:val="auto"/>
        </w:rPr>
        <w:t>/s/ GEORGE L. BALL</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187" w:hanging="187"/>
        <w:spacing w:after="0"/>
        <w:tabs>
          <w:tab w:leader="none" w:pos="18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George L. Ball</w:t>
      </w:r>
    </w:p>
    <w:p>
      <w:pPr>
        <w:spacing w:after="0" w:line="180" w:lineRule="exact"/>
        <w:rPr>
          <w:sz w:val="20"/>
          <w:szCs w:val="20"/>
          <w:color w:val="auto"/>
        </w:rPr>
      </w:pPr>
    </w:p>
    <w:p>
      <w:pPr>
        <w:ind w:left="7"/>
        <w:spacing w:after="0"/>
        <w:tabs>
          <w:tab w:leader="none" w:pos="5426" w:val="left"/>
        </w:tabs>
        <w:rPr>
          <w:sz w:val="20"/>
          <w:szCs w:val="20"/>
          <w:color w:val="auto"/>
        </w:rPr>
      </w:pPr>
      <w:r>
        <w:rPr>
          <w:rFonts w:ascii="Courier New" w:cs="Courier New" w:eastAsia="Courier New" w:hAnsi="Courier New"/>
          <w:sz w:val="15"/>
          <w:szCs w:val="15"/>
          <w:color w:val="auto"/>
        </w:rPr>
        <w:t>/s/ RICHARD J. HECKMANN</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187" w:hanging="187"/>
        <w:spacing w:after="0"/>
        <w:tabs>
          <w:tab w:leader="none" w:pos="18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J. Heckmann</w:t>
      </w:r>
    </w:p>
    <w:p>
      <w:pPr>
        <w:spacing w:after="0" w:line="180" w:lineRule="exact"/>
        <w:rPr>
          <w:sz w:val="20"/>
          <w:szCs w:val="20"/>
          <w:color w:val="auto"/>
        </w:rPr>
      </w:pPr>
    </w:p>
    <w:p>
      <w:pPr>
        <w:ind w:left="7"/>
        <w:spacing w:after="0"/>
        <w:tabs>
          <w:tab w:leader="none" w:pos="5426" w:val="left"/>
        </w:tabs>
        <w:rPr>
          <w:sz w:val="20"/>
          <w:szCs w:val="20"/>
          <w:color w:val="auto"/>
        </w:rPr>
      </w:pPr>
      <w:r>
        <w:rPr>
          <w:rFonts w:ascii="Courier New" w:cs="Courier New" w:eastAsia="Courier New" w:hAnsi="Courier New"/>
          <w:sz w:val="15"/>
          <w:szCs w:val="15"/>
          <w:color w:val="auto"/>
        </w:rPr>
        <w:t>/s/ WILLIAM E. MOFFETT</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187" w:hanging="187"/>
        <w:spacing w:after="0"/>
        <w:tabs>
          <w:tab w:leader="none" w:pos="18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E. Moffett</w:t>
      </w:r>
    </w:p>
    <w:p>
      <w:pPr>
        <w:spacing w:after="0" w:line="180" w:lineRule="exact"/>
        <w:rPr>
          <w:sz w:val="20"/>
          <w:szCs w:val="20"/>
          <w:color w:val="auto"/>
        </w:rPr>
      </w:pPr>
    </w:p>
    <w:p>
      <w:pPr>
        <w:ind w:left="7"/>
        <w:spacing w:after="0"/>
        <w:tabs>
          <w:tab w:leader="none" w:pos="5426" w:val="left"/>
        </w:tabs>
        <w:rPr>
          <w:sz w:val="20"/>
          <w:szCs w:val="20"/>
          <w:color w:val="auto"/>
        </w:rPr>
      </w:pPr>
      <w:r>
        <w:rPr>
          <w:rFonts w:ascii="Courier New" w:cs="Courier New" w:eastAsia="Courier New" w:hAnsi="Courier New"/>
          <w:sz w:val="15"/>
          <w:szCs w:val="15"/>
          <w:color w:val="auto"/>
        </w:rPr>
        <w:t>/s/ PETER J. GIBBONS</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187" w:hanging="187"/>
        <w:spacing w:after="0"/>
        <w:tabs>
          <w:tab w:leader="none" w:pos="18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Peter J. Gibbons</w:t>
      </w:r>
    </w:p>
    <w:p>
      <w:pPr>
        <w:sectPr>
          <w:pgSz w:w="11900" w:h="16838" w:orient="portrait"/>
          <w:cols w:equalWidth="0" w:num="1">
            <w:col w:w="10226"/>
          </w:cols>
          <w:pgMar w:left="233"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II-7</w:t>
      </w:r>
    </w:p>
    <w:sectPr>
      <w:pgSz w:w="11900" w:h="16838" w:orient="portrait"/>
      <w:cols w:equalWidth="0" w:num="1">
        <w:col w:w="10226"/>
      </w:cols>
      <w:pgMar w:left="233" w:top="29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45"/>
    </w:lvl>
  </w:abstractNum>
  <w:abstractNum w:abstractNumId="1">
    <w:nsid w:val="5BD062C2"/>
    <w:multiLevelType w:val="hybridMultilevel"/>
    <w:lvl w:ilvl="0">
      <w:lvlJc w:val="left"/>
      <w:lvlText w:val="(%1)"/>
      <w:numFmt w:val="lowerLetter"/>
      <w:start w:val="2"/>
    </w:lvl>
  </w:abstractNum>
  <w:abstractNum w:abstractNumId="2">
    <w:nsid w:val="12200854"/>
    <w:multiLevelType w:val="hybridMultilevel"/>
    <w:lvl w:ilvl="0">
      <w:lvlJc w:val="left"/>
      <w:lvlText w:val="(%1)"/>
      <w:numFmt w:val="lowerLetter"/>
      <w:start w:val="9"/>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1)"/>
      <w:numFmt w:val="lowerLetter"/>
      <w:start w:val="2"/>
    </w:lvl>
  </w:abstractNum>
  <w:abstractNum w:abstractNumId="7">
    <w:nsid w:val="66EF438D"/>
    <w:multiLevelType w:val="hybridMultilevel"/>
    <w:lvl w:ilvl="0">
      <w:lvlJc w:val="left"/>
      <w:lvlText w:val="(%1)"/>
      <w:numFmt w:val="lowerLetter"/>
      <w:start w:val="5"/>
    </w:lvl>
  </w:abstractNum>
  <w:abstractNum w:abstractNumId="8">
    <w:nsid w:val="140E0F76"/>
    <w:multiLevelType w:val="hybridMultilevel"/>
    <w:lvl w:ilvl="0">
      <w:lvlJc w:val="left"/>
      <w:lvlText w:val="(%1)"/>
      <w:numFmt w:val="lowerLetter"/>
      <w:start w:val="8"/>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2019-12-20T05:08:19Z</dcterms:created>
  <dcterms:modified xsi:type="dcterms:W3CDTF">2019-12-20T05:08:19Z</dcterms:modified>
</cp:coreProperties>
</file>