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
        <w:spacing w:after="0"/>
        <w:rPr>
          <w:sz w:val="20"/>
          <w:szCs w:val="20"/>
          <w:color w:val="auto"/>
        </w:rPr>
      </w:pPr>
      <w:r>
        <w:rPr>
          <w:rFonts w:ascii="Courier New" w:cs="Courier New" w:eastAsia="Courier New" w:hAnsi="Courier New"/>
          <w:sz w:val="15"/>
          <w:szCs w:val="15"/>
          <w:color w:val="auto"/>
        </w:rPr>
        <w:t>Filed Pursuant to Rule 424(b)(2)</w:t>
      </w:r>
    </w:p>
    <w:p>
      <w:pPr>
        <w:spacing w:after="0" w:line="3" w:lineRule="exact"/>
        <w:rPr>
          <w:sz w:val="24"/>
          <w:szCs w:val="24"/>
          <w:color w:val="auto"/>
        </w:rPr>
      </w:pPr>
    </w:p>
    <w:p>
      <w:pPr>
        <w:jc w:val="center"/>
        <w:ind w:right="-87"/>
        <w:spacing w:after="0"/>
        <w:rPr>
          <w:sz w:val="20"/>
          <w:szCs w:val="20"/>
          <w:color w:val="auto"/>
        </w:rPr>
      </w:pPr>
      <w:r>
        <w:rPr>
          <w:rFonts w:ascii="Courier New" w:cs="Courier New" w:eastAsia="Courier New" w:hAnsi="Courier New"/>
          <w:sz w:val="15"/>
          <w:szCs w:val="15"/>
          <w:color w:val="auto"/>
        </w:rPr>
        <w:t>Registration No. 333-52197</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PROSPECTUS SUPPLEMENT</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JULY 14, 1998</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(TO PROSPECTUS DATED JUNE 17, 1998)</w:t>
      </w:r>
    </w:p>
    <w:p>
      <w:pPr>
        <w:spacing w:after="0" w:line="177" w:lineRule="exact"/>
        <w:rPr>
          <w:sz w:val="24"/>
          <w:szCs w:val="24"/>
          <w:color w:val="auto"/>
        </w:rPr>
      </w:pPr>
    </w:p>
    <w:p>
      <w:pPr>
        <w:jc w:val="center"/>
        <w:ind w:right="3692"/>
        <w:spacing w:after="0"/>
        <w:rPr>
          <w:sz w:val="20"/>
          <w:szCs w:val="20"/>
          <w:color w:val="auto"/>
        </w:rPr>
      </w:pPr>
      <w:r>
        <w:rPr>
          <w:rFonts w:ascii="Courier New" w:cs="Courier New" w:eastAsia="Courier New" w:hAnsi="Courier New"/>
          <w:sz w:val="15"/>
          <w:szCs w:val="15"/>
          <w:color w:val="auto"/>
        </w:rPr>
        <w:t>$600,000,000</w:t>
      </w:r>
    </w:p>
    <w:p>
      <w:pPr>
        <w:spacing w:after="0" w:line="3"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7% SENIOR NOTES DUE 2028</w:t>
      </w:r>
    </w:p>
    <w:p>
      <w:pPr>
        <w:spacing w:after="0" w:line="178" w:lineRule="exact"/>
        <w:rPr>
          <w:sz w:val="24"/>
          <w:szCs w:val="24"/>
          <w:color w:val="auto"/>
        </w:rPr>
      </w:pPr>
    </w:p>
    <w:p>
      <w:pPr>
        <w:ind w:left="8" w:right="3700" w:firstLine="361"/>
        <w:spacing w:after="0" w:line="244" w:lineRule="auto"/>
        <w:rPr>
          <w:sz w:val="20"/>
          <w:szCs w:val="20"/>
          <w:color w:val="auto"/>
        </w:rPr>
      </w:pPr>
      <w:r>
        <w:rPr>
          <w:rFonts w:ascii="Courier New" w:cs="Courier New" w:eastAsia="Courier New" w:hAnsi="Courier New"/>
          <w:sz w:val="15"/>
          <w:szCs w:val="15"/>
          <w:color w:val="auto"/>
        </w:rPr>
        <w:t>The 7% Senior Notes due 2028 are being issued by USA Waste Services, Inc., a Delaware corporation. Interest on the 7% Senior Notes due 2028 is payable semi-annually on January 15 and July 15 of each year commencing on January 15, 1999. The 7% Senior Notes due 2028 constitute senior and unsecured obligations of the Company, ranking PARI PASSU in right of payment with all other senior and unsecured obligations of the Company. See "Description of Notes--General."</w:t>
      </w:r>
    </w:p>
    <w:p>
      <w:pPr>
        <w:spacing w:after="0" w:line="176" w:lineRule="exact"/>
        <w:rPr>
          <w:sz w:val="24"/>
          <w:szCs w:val="24"/>
          <w:color w:val="auto"/>
        </w:rPr>
      </w:pPr>
    </w:p>
    <w:p>
      <w:pPr>
        <w:ind w:left="368"/>
        <w:spacing w:after="0"/>
        <w:rPr>
          <w:sz w:val="20"/>
          <w:szCs w:val="20"/>
          <w:color w:val="auto"/>
        </w:rPr>
      </w:pPr>
      <w:r>
        <w:rPr>
          <w:rFonts w:ascii="Courier New" w:cs="Courier New" w:eastAsia="Courier New" w:hAnsi="Courier New"/>
          <w:sz w:val="15"/>
          <w:szCs w:val="15"/>
          <w:color w:val="auto"/>
        </w:rPr>
        <w:t>The 7% Senior Notes due 2028 are redeemable, in whole or in part, at the</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option of the Company at any time and from time to time at a redemption price</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equal to the Make-Whole Price set forth herein. See "Description of</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Notes--Redemption at the Company's Option." The 7% Senior Notes due 2028 are not</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subject to any sinking fund.</w:t>
      </w:r>
    </w:p>
    <w:p>
      <w:pPr>
        <w:spacing w:after="0" w:line="178" w:lineRule="exact"/>
        <w:rPr>
          <w:sz w:val="24"/>
          <w:szCs w:val="24"/>
          <w:color w:val="auto"/>
        </w:rPr>
      </w:pPr>
    </w:p>
    <w:p>
      <w:pPr>
        <w:ind w:left="8" w:right="3880" w:firstLine="361"/>
        <w:spacing w:after="0" w:line="244" w:lineRule="auto"/>
        <w:rPr>
          <w:sz w:val="20"/>
          <w:szCs w:val="20"/>
          <w:color w:val="auto"/>
        </w:rPr>
      </w:pPr>
      <w:r>
        <w:rPr>
          <w:rFonts w:ascii="Courier New" w:cs="Courier New" w:eastAsia="Courier New" w:hAnsi="Courier New"/>
          <w:sz w:val="15"/>
          <w:szCs w:val="15"/>
          <w:color w:val="auto"/>
        </w:rPr>
        <w:t>The 7% Senior Notes due 2028 will be represented by a Global Security registered in the name of the nominee of The Depository Trust Company, which will act as securities depositary. Beneficial interests in such Global Securities will be shown on, and transfers thereof will be effected only through, records maintained by The Depository Trust Company and its direct and indirect participants. Except as described herein, the 7% Notes due 2028 will not be issued in definitive form. See "Description of Notes--Book-Entry, Delivery and Form."</w:t>
      </w:r>
    </w:p>
    <w:p>
      <w:pPr>
        <w:spacing w:after="0" w:line="178" w:lineRule="exact"/>
        <w:rPr>
          <w:sz w:val="24"/>
          <w:szCs w:val="24"/>
          <w:color w:val="auto"/>
        </w:rPr>
      </w:pPr>
    </w:p>
    <w:p>
      <w:pPr>
        <w:ind w:left="8" w:right="3700" w:firstLine="361"/>
        <w:spacing w:after="0" w:line="244" w:lineRule="auto"/>
        <w:rPr>
          <w:sz w:val="20"/>
          <w:szCs w:val="20"/>
          <w:color w:val="auto"/>
        </w:rPr>
      </w:pPr>
      <w:r>
        <w:rPr>
          <w:rFonts w:ascii="Courier New" w:cs="Courier New" w:eastAsia="Courier New" w:hAnsi="Courier New"/>
          <w:sz w:val="15"/>
          <w:szCs w:val="15"/>
          <w:color w:val="auto"/>
        </w:rPr>
        <w:t>Concurrent with this Offering, the Company is offering pursuant to a separate Prospectus Supplement $600,000,000 aggregate principal amount of 6 1/8% Mandatorily Tendered Senior Notes due 2011. Consummation of this Offering is not a condition to consummation of the offering of the 6 1/8% Mandatorily Tendered Senior Notes due 2011, and consummation of the offering of the 6 1/8% Mandatorily Tendered Senior Notes due 2011 is not a condition to consummation of this Offering.</w:t>
      </w:r>
    </w:p>
    <w:p>
      <w:pPr>
        <w:spacing w:after="0" w:line="177"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3" w:lineRule="exact"/>
        <w:rPr>
          <w:sz w:val="24"/>
          <w:szCs w:val="24"/>
          <w:color w:val="auto"/>
        </w:rPr>
      </w:pPr>
    </w:p>
    <w:p>
      <w:pPr>
        <w:ind w:left="548"/>
        <w:spacing w:after="0"/>
        <w:rPr>
          <w:sz w:val="20"/>
          <w:szCs w:val="20"/>
          <w:color w:val="auto"/>
        </w:rPr>
      </w:pPr>
      <w:r>
        <w:rPr>
          <w:rFonts w:ascii="Courier New" w:cs="Courier New" w:eastAsia="Courier New" w:hAnsi="Courier New"/>
          <w:sz w:val="15"/>
          <w:szCs w:val="15"/>
          <w:color w:val="auto"/>
        </w:rPr>
        <w:t>EXCHANGE COMMISSION OR ANY STATE SECURITIES COMMISSION NOR HAS THE</w:t>
      </w:r>
    </w:p>
    <w:p>
      <w:pPr>
        <w:spacing w:after="0" w:line="3"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SECURITIES AND EXCHANGE COMMISSION OR ANY STATE SECURITIES COMMISSION</w:t>
      </w:r>
    </w:p>
    <w:p>
      <w:pPr>
        <w:spacing w:after="0" w:line="3" w:lineRule="exact"/>
        <w:rPr>
          <w:sz w:val="24"/>
          <w:szCs w:val="24"/>
          <w:color w:val="auto"/>
        </w:rPr>
      </w:pPr>
    </w:p>
    <w:p>
      <w:pPr>
        <w:ind w:left="548"/>
        <w:spacing w:after="0"/>
        <w:rPr>
          <w:sz w:val="20"/>
          <w:szCs w:val="20"/>
          <w:color w:val="auto"/>
        </w:rPr>
      </w:pPr>
      <w:r>
        <w:rPr>
          <w:rFonts w:ascii="Courier New" w:cs="Courier New" w:eastAsia="Courier New" w:hAnsi="Courier New"/>
          <w:sz w:val="15"/>
          <w:szCs w:val="15"/>
          <w:color w:val="auto"/>
        </w:rPr>
        <w:t>PASSED UPON THE ACCURACY OR ADEQUACY OF THIS PROSPECTUS SUPPLEMENT</w:t>
      </w:r>
    </w:p>
    <w:p>
      <w:pPr>
        <w:spacing w:after="0" w:line="3" w:lineRule="exact"/>
        <w:rPr>
          <w:sz w:val="24"/>
          <w:szCs w:val="24"/>
          <w:color w:val="auto"/>
        </w:rPr>
      </w:pPr>
    </w:p>
    <w:p>
      <w:pPr>
        <w:ind w:left="988"/>
        <w:spacing w:after="0"/>
        <w:rPr>
          <w:sz w:val="20"/>
          <w:szCs w:val="20"/>
          <w:color w:val="auto"/>
        </w:rPr>
      </w:pPr>
      <w:r>
        <w:rPr>
          <w:rFonts w:ascii="Courier New" w:cs="Courier New" w:eastAsia="Courier New" w:hAnsi="Courier New"/>
          <w:sz w:val="15"/>
          <w:szCs w:val="15"/>
          <w:color w:val="auto"/>
        </w:rPr>
        <w:t>OR PROSPECTUS. ANY REPRESENTATION TO THE CONTRARY IS A</w:t>
      </w:r>
    </w:p>
    <w:p>
      <w:pPr>
        <w:spacing w:after="0" w:line="3"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CRIMINAL OFFENSE.</w:t>
      </w:r>
    </w:p>
    <w:p>
      <w:pPr>
        <w:spacing w:after="0" w:line="200" w:lineRule="exact"/>
        <w:rPr>
          <w:sz w:val="24"/>
          <w:szCs w:val="24"/>
          <w:color w:val="auto"/>
        </w:rPr>
      </w:pPr>
    </w:p>
    <w:p>
      <w:pPr>
        <w:spacing w:after="0" w:line="32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4"/>
          <w:szCs w:val="24"/>
          <w:color w:val="auto"/>
        </w:rPr>
      </w:pPr>
    </w:p>
    <w:p>
      <w:pPr>
        <w:ind w:left="6668"/>
        <w:spacing w:after="0"/>
        <w:tabs>
          <w:tab w:leader="none" w:pos="8087" w:val="left"/>
          <w:tab w:leader="none" w:pos="9527" w:val="left"/>
        </w:tabs>
        <w:rPr>
          <w:sz w:val="20"/>
          <w:szCs w:val="20"/>
          <w:color w:val="auto"/>
        </w:rPr>
      </w:pPr>
      <w:r>
        <w:rPr>
          <w:rFonts w:ascii="Courier New" w:cs="Courier New" w:eastAsia="Courier New" w:hAnsi="Courier New"/>
          <w:sz w:val="15"/>
          <w:szCs w:val="15"/>
          <w:color w:val="auto"/>
        </w:rPr>
        <w:t>PRICE TO</w:t>
      </w:r>
      <w:r>
        <w:rPr>
          <w:sz w:val="20"/>
          <w:szCs w:val="20"/>
          <w:color w:val="auto"/>
        </w:rPr>
        <w:tab/>
      </w: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PROCEEDS TO</w:t>
      </w:r>
    </w:p>
    <w:p>
      <w:pPr>
        <w:spacing w:after="0" w:line="4" w:lineRule="exact"/>
        <w:rPr>
          <w:sz w:val="24"/>
          <w:szCs w:val="24"/>
          <w:color w:val="auto"/>
        </w:rPr>
      </w:pPr>
    </w:p>
    <w:p>
      <w:pPr>
        <w:ind w:left="6588"/>
        <w:spacing w:after="0"/>
        <w:tabs>
          <w:tab w:leader="none" w:pos="8087" w:val="left"/>
          <w:tab w:leader="none" w:pos="9527" w:val="left"/>
        </w:tabs>
        <w:rPr>
          <w:sz w:val="20"/>
          <w:szCs w:val="20"/>
          <w:color w:val="auto"/>
        </w:rPr>
      </w:pPr>
      <w:r>
        <w:rPr>
          <w:rFonts w:ascii="Courier New" w:cs="Courier New" w:eastAsia="Courier New" w:hAnsi="Courier New"/>
          <w:sz w:val="15"/>
          <w:szCs w:val="15"/>
          <w:color w:val="auto"/>
        </w:rPr>
        <w:t>PUBLIC (1)</w:t>
      </w:r>
      <w:r>
        <w:rPr>
          <w:sz w:val="20"/>
          <w:szCs w:val="20"/>
          <w:color w:val="auto"/>
        </w:rPr>
        <w:tab/>
      </w:r>
      <w:r>
        <w:rPr>
          <w:rFonts w:ascii="Courier New" w:cs="Courier New" w:eastAsia="Courier New" w:hAnsi="Courier New"/>
          <w:sz w:val="15"/>
          <w:szCs w:val="15"/>
          <w:color w:val="auto"/>
        </w:rPr>
        <w:t>DISCOUNT (2)</w:t>
      </w:r>
      <w:r>
        <w:rPr>
          <w:sz w:val="20"/>
          <w:szCs w:val="20"/>
          <w:color w:val="auto"/>
        </w:rPr>
        <w:tab/>
      </w:r>
      <w:r>
        <w:rPr>
          <w:rFonts w:ascii="Courier New" w:cs="Courier New" w:eastAsia="Courier New" w:hAnsi="Courier New"/>
          <w:sz w:val="15"/>
          <w:szCs w:val="15"/>
          <w:color w:val="auto"/>
        </w:rPr>
        <w:t>COMPANY (3)</w:t>
      </w:r>
    </w:p>
    <w:p>
      <w:pPr>
        <w:spacing w:after="0" w:line="34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4"/>
          <w:szCs w:val="24"/>
          <w:color w:val="auto"/>
        </w:rPr>
      </w:pPr>
    </w:p>
    <w:p>
      <w:pPr>
        <w:ind w:left="8"/>
        <w:spacing w:after="0"/>
        <w:tabs>
          <w:tab w:leader="none" w:pos="6747" w:val="left"/>
          <w:tab w:leader="none" w:pos="8367" w:val="left"/>
          <w:tab w:leader="none" w:pos="9707" w:val="left"/>
        </w:tabs>
        <w:rPr>
          <w:sz w:val="20"/>
          <w:szCs w:val="20"/>
          <w:color w:val="auto"/>
        </w:rPr>
      </w:pPr>
      <w:r>
        <w:rPr>
          <w:rFonts w:ascii="Courier New" w:cs="Courier New" w:eastAsia="Courier New" w:hAnsi="Courier New"/>
          <w:sz w:val="15"/>
          <w:szCs w:val="15"/>
          <w:color w:val="auto"/>
        </w:rPr>
        <w:t>Per 7% Senior Note due 2028.........................................</w:t>
      </w:r>
      <w:r>
        <w:rPr>
          <w:sz w:val="20"/>
          <w:szCs w:val="20"/>
          <w:color w:val="auto"/>
        </w:rPr>
        <w:tab/>
      </w:r>
      <w:r>
        <w:rPr>
          <w:rFonts w:ascii="Courier New" w:cs="Courier New" w:eastAsia="Courier New" w:hAnsi="Courier New"/>
          <w:sz w:val="15"/>
          <w:szCs w:val="15"/>
          <w:color w:val="auto"/>
        </w:rPr>
        <w:t>98.887%</w:t>
      </w:r>
      <w:r>
        <w:rPr>
          <w:sz w:val="20"/>
          <w:szCs w:val="20"/>
          <w:color w:val="auto"/>
        </w:rPr>
        <w:tab/>
      </w:r>
      <w:r>
        <w:rPr>
          <w:rFonts w:ascii="Courier New" w:cs="Courier New" w:eastAsia="Courier New" w:hAnsi="Courier New"/>
          <w:sz w:val="15"/>
          <w:szCs w:val="15"/>
          <w:color w:val="auto"/>
        </w:rPr>
        <w:t>0.875%</w:t>
      </w:r>
      <w:r>
        <w:rPr>
          <w:sz w:val="20"/>
          <w:szCs w:val="20"/>
          <w:color w:val="auto"/>
        </w:rPr>
        <w:tab/>
      </w:r>
      <w:r>
        <w:rPr>
          <w:rFonts w:ascii="Courier New" w:cs="Courier New" w:eastAsia="Courier New" w:hAnsi="Courier New"/>
          <w:sz w:val="15"/>
          <w:szCs w:val="15"/>
          <w:color w:val="auto"/>
        </w:rPr>
        <w:t>98.012%</w:t>
      </w:r>
    </w:p>
    <w:p>
      <w:pPr>
        <w:spacing w:after="0" w:line="3" w:lineRule="exact"/>
        <w:rPr>
          <w:sz w:val="24"/>
          <w:szCs w:val="24"/>
          <w:color w:val="auto"/>
        </w:rPr>
      </w:pPr>
    </w:p>
    <w:p>
      <w:pPr>
        <w:ind w:left="8"/>
        <w:spacing w:after="0"/>
        <w:tabs>
          <w:tab w:leader="none" w:pos="6387" w:val="left"/>
          <w:tab w:leader="none" w:pos="6747" w:val="left"/>
          <w:tab w:leader="none" w:pos="8007" w:val="left"/>
          <w:tab w:leader="none" w:pos="9447" w:val="left"/>
          <w:tab w:leader="none" w:pos="9707"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593,322,000</w:t>
      </w:r>
      <w:r>
        <w:rPr>
          <w:sz w:val="20"/>
          <w:szCs w:val="20"/>
          <w:color w:val="auto"/>
        </w:rPr>
        <w:tab/>
      </w:r>
      <w:r>
        <w:rPr>
          <w:rFonts w:ascii="Courier New" w:cs="Courier New" w:eastAsia="Courier New" w:hAnsi="Courier New"/>
          <w:sz w:val="15"/>
          <w:szCs w:val="15"/>
          <w:color w:val="auto"/>
        </w:rPr>
        <w:t>$ 5,250,000</w:t>
      </w:r>
      <w:r>
        <w:rPr>
          <w:sz w:val="20"/>
          <w:szCs w:val="20"/>
          <w:color w:val="auto"/>
        </w:rPr>
        <w:tab/>
      </w:r>
      <w:r>
        <w:rPr>
          <w:rFonts w:ascii="Courier New" w:cs="Courier New" w:eastAsia="Courier New" w:hAnsi="Courier New"/>
          <w:sz w:val="15"/>
          <w:szCs w:val="15"/>
          <w:color w:val="auto"/>
        </w:rPr>
        <w:t>$</w:t>
        <w:tab/>
        <w:t>588,072,000</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50" w:lineRule="exact"/>
        <w:rPr>
          <w:sz w:val="24"/>
          <w:szCs w:val="24"/>
          <w:color w:val="auto"/>
        </w:rPr>
      </w:pPr>
    </w:p>
    <w:p>
      <w:pPr>
        <w:ind w:left="368" w:hanging="368"/>
        <w:spacing w:after="0"/>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ACCRUED INTEREST, IF ANY, FROM THE DATE OF ISSUANCE.</w:t>
      </w:r>
    </w:p>
    <w:p>
      <w:pPr>
        <w:spacing w:after="0" w:line="177" w:lineRule="exact"/>
        <w:rPr>
          <w:rFonts w:ascii="Courier New" w:cs="Courier New" w:eastAsia="Courier New" w:hAnsi="Courier New"/>
          <w:sz w:val="15"/>
          <w:szCs w:val="15"/>
          <w:color w:val="auto"/>
        </w:rPr>
      </w:pPr>
    </w:p>
    <w:p>
      <w:pPr>
        <w:ind w:left="368" w:right="4140" w:hanging="368"/>
        <w:spacing w:after="0" w:line="244" w:lineRule="auto"/>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INDEMNIFY THE UNDERWRITERS AGAINST CERTAIN LIABILITIES, INCLUDING LIABILITIES UNDER THE SECURITIES ACT OF 1933, AS AMENDED. SEE "UNDERWRITING."</w:t>
      </w:r>
    </w:p>
    <w:p>
      <w:pPr>
        <w:spacing w:after="0" w:line="174"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PAYABLE BY THE COMPANY ESTIMATED AT $250,000.</w:t>
      </w:r>
    </w:p>
    <w:p>
      <w:pPr>
        <w:spacing w:after="0" w:line="178" w:lineRule="exact"/>
        <w:rPr>
          <w:sz w:val="24"/>
          <w:szCs w:val="24"/>
          <w:color w:val="auto"/>
        </w:rPr>
      </w:pPr>
    </w:p>
    <w:p>
      <w:pPr>
        <w:ind w:left="8" w:right="3700" w:firstLine="361"/>
        <w:spacing w:after="0" w:line="244" w:lineRule="auto"/>
        <w:rPr>
          <w:sz w:val="20"/>
          <w:szCs w:val="20"/>
          <w:color w:val="auto"/>
        </w:rPr>
      </w:pPr>
      <w:r>
        <w:rPr>
          <w:rFonts w:ascii="Courier New" w:cs="Courier New" w:eastAsia="Courier New" w:hAnsi="Courier New"/>
          <w:sz w:val="15"/>
          <w:szCs w:val="15"/>
          <w:color w:val="auto"/>
        </w:rPr>
        <w:t>The 7% Senior Notes due 2028 are offered by the several underwriters when, as and if delivered to and accepted by them, subject to certain conditions, including their rights to withdraw, cancel or reject orders in whole or in part. It is expected that delivery of the 7% Senior Notes due 2028 will be made in New York, New York, on or about July 17, 1998, in book-entry form through the facilities of The Depository Trust Company against payment therefor in immediately available funds.</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DONALDSON, LUFKIN &amp; JENRETTE</w:t>
      </w:r>
    </w:p>
    <w:p>
      <w:pPr>
        <w:spacing w:after="0" w:line="177" w:lineRule="exact"/>
        <w:rPr>
          <w:sz w:val="24"/>
          <w:szCs w:val="24"/>
          <w:color w:val="auto"/>
        </w:rPr>
      </w:pPr>
    </w:p>
    <w:p>
      <w:pPr>
        <w:ind w:left="908"/>
        <w:spacing w:after="0"/>
        <w:rPr>
          <w:sz w:val="20"/>
          <w:szCs w:val="20"/>
          <w:color w:val="auto"/>
        </w:rPr>
      </w:pPr>
      <w:r>
        <w:rPr>
          <w:rFonts w:ascii="Courier New" w:cs="Courier New" w:eastAsia="Courier New" w:hAnsi="Courier New"/>
          <w:sz w:val="15"/>
          <w:szCs w:val="15"/>
          <w:color w:val="auto"/>
        </w:rPr>
        <w:t>CREDIT SUISSE FIRST BOSTON</w:t>
      </w:r>
    </w:p>
    <w:p>
      <w:pPr>
        <w:spacing w:after="0" w:line="177" w:lineRule="exact"/>
        <w:rPr>
          <w:sz w:val="24"/>
          <w:szCs w:val="24"/>
          <w:color w:val="auto"/>
        </w:rPr>
      </w:pPr>
    </w:p>
    <w:p>
      <w:pPr>
        <w:ind w:left="1808"/>
        <w:spacing w:after="0"/>
        <w:rPr>
          <w:sz w:val="20"/>
          <w:szCs w:val="20"/>
          <w:color w:val="auto"/>
        </w:rPr>
      </w:pPr>
      <w:r>
        <w:rPr>
          <w:rFonts w:ascii="Courier New" w:cs="Courier New" w:eastAsia="Courier New" w:hAnsi="Courier New"/>
          <w:sz w:val="15"/>
          <w:szCs w:val="15"/>
          <w:color w:val="auto"/>
        </w:rPr>
        <w:t>GOLDMAN, SACHS &amp; CO.</w:t>
      </w:r>
    </w:p>
    <w:p>
      <w:pPr>
        <w:spacing w:after="0" w:line="177"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MERRILL LYNCH &amp; CO.</w:t>
      </w:r>
    </w:p>
    <w:p>
      <w:pPr>
        <w:spacing w:after="0" w:line="177" w:lineRule="exact"/>
        <w:rPr>
          <w:sz w:val="24"/>
          <w:szCs w:val="24"/>
          <w:color w:val="auto"/>
        </w:rPr>
      </w:pPr>
    </w:p>
    <w:p>
      <w:pPr>
        <w:ind w:left="3688"/>
        <w:spacing w:after="0"/>
        <w:rPr>
          <w:sz w:val="20"/>
          <w:szCs w:val="20"/>
          <w:color w:val="auto"/>
        </w:rPr>
      </w:pPr>
      <w:r>
        <w:rPr>
          <w:rFonts w:ascii="Courier New" w:cs="Courier New" w:eastAsia="Courier New" w:hAnsi="Courier New"/>
          <w:sz w:val="15"/>
          <w:szCs w:val="15"/>
          <w:color w:val="auto"/>
        </w:rPr>
        <w:t>SALOMON SMITH BARNEY</w:t>
      </w:r>
    </w:p>
    <w:p>
      <w:pPr>
        <w:sectPr>
          <w:pgSz w:w="11900" w:h="16838" w:orient="portrait"/>
          <w:cols w:equalWidth="0" w:num="1">
            <w:col w:w="10908"/>
          </w:cols>
          <w:pgMar w:left="232" w:top="407" w:right="759" w:bottom="1133" w:gutter="0" w:footer="0" w:header="0"/>
        </w:sectPr>
      </w:pPr>
    </w:p>
    <w:bookmarkStart w:id="1" w:name="page2"/>
    <w:bookmarkEnd w:id="1"/>
    <w:p>
      <w:pPr>
        <w:ind w:right="3019" w:firstLine="361"/>
        <w:spacing w:after="0" w:line="244" w:lineRule="auto"/>
        <w:rPr>
          <w:sz w:val="20"/>
          <w:szCs w:val="20"/>
          <w:color w:val="auto"/>
        </w:rPr>
      </w:pPr>
      <w:r>
        <w:rPr>
          <w:rFonts w:ascii="Courier New" w:cs="Courier New" w:eastAsia="Courier New" w:hAnsi="Courier New"/>
          <w:sz w:val="15"/>
          <w:szCs w:val="15"/>
          <w:color w:val="auto"/>
        </w:rPr>
        <w:t>CERTAIN PERSONS PARTICIPATING IN THIS OFFERING MAY ENGAGE IN TRANSACTIONS THAT STABILIZE, MAINTAIN OR OTHERWISE AFFECT THE PRICE OF THE OFFERED SECURITIES. SPECIFICALLY, THE UNDERWRITERS MAY OVERALLOT IN CONNECTION WITH THE OFFERING AND MAY BID FOR AND PURCHASE THE OFFERED SECURITIES IN THE OPEN MARKET. FOR A DESCRIPTION OF THESE ACTIVITIES, SEE "UNDERWRITING."</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465" w:right="1440" w:bottom="1440" w:gutter="0" w:footer="0" w:header="0"/>
        </w:sectPr>
      </w:pPr>
    </w:p>
    <w:bookmarkStart w:id="2" w:name="page3"/>
    <w:bookmarkEnd w:id="2"/>
    <w:p>
      <w:pPr>
        <w:jc w:val="center"/>
        <w:ind w:right="3092"/>
        <w:spacing w:after="0"/>
        <w:rPr>
          <w:sz w:val="20"/>
          <w:szCs w:val="20"/>
          <w:color w:val="auto"/>
        </w:rPr>
      </w:pPr>
      <w:r>
        <w:rPr>
          <w:rFonts w:ascii="Courier New" w:cs="Courier New" w:eastAsia="Courier New" w:hAnsi="Courier New"/>
          <w:sz w:val="15"/>
          <w:szCs w:val="15"/>
          <w:color w:val="auto"/>
        </w:rPr>
        <w:t>PROSPECTUS SUPPLEMENT SUMMARY</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FOLLOWING SUMMARY IS QUALIFIED IN ITS ENTIRETY BY THE MORE DETAILED INFORMATION, INCLUDING THE USA WASTE SELECTED HISTORICAL FINANCIAL DATA, THE USA WASTE AND WASTE MANAGEMENT SUMMARY COMBINED UNAUDITED PRO FORMA CONDENSED FINANCIAL INFORMATION, AND THE CONSOLIDATED FINANCIAL STATEMENTS AND NOTES THERETO, INCLUDED OR INCORPORATED BY REFERENCE IN THIS PROSPECTUS SUPPLEMENT AND THE ACCOMPANYING PROSPECTUS. THE "COMPANY" AND "USA WASTE" REFER TO USA WASTE SERVICES, INC. AND ITS SUBSIDIARIES AND PREDECESSORS, UNLESS OTHERWISE INDICATED OR THE CONTEXT REQUIRES OTHERWISE.</w:t>
      </w:r>
    </w:p>
    <w:p>
      <w:pPr>
        <w:spacing w:after="0" w:line="178"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THE COMPANY</w:t>
      </w:r>
    </w:p>
    <w:p>
      <w:pPr>
        <w:spacing w:after="0" w:line="178" w:lineRule="exact"/>
        <w:rPr>
          <w:sz w:val="20"/>
          <w:szCs w:val="20"/>
          <w:color w:val="auto"/>
        </w:rPr>
      </w:pPr>
    </w:p>
    <w:p>
      <w:pPr>
        <w:ind w:left="8" w:right="3019" w:firstLine="361"/>
        <w:spacing w:after="0" w:line="264" w:lineRule="auto"/>
        <w:rPr>
          <w:sz w:val="20"/>
          <w:szCs w:val="20"/>
          <w:color w:val="auto"/>
        </w:rPr>
      </w:pPr>
      <w:r>
        <w:rPr>
          <w:rFonts w:ascii="Courier New" w:cs="Courier New" w:eastAsia="Courier New" w:hAnsi="Courier New"/>
          <w:sz w:val="14"/>
          <w:szCs w:val="14"/>
          <w:color w:val="auto"/>
        </w:rPr>
        <w:t>USA Waste is the third largest integrated, nonhazardous solid waste management company in North America, as measured by revenues for the 1997 fiscal year, and currently serves commercial, industrial, municipal and residential customers in various locations in the United States, Canada and Puerto Rico. The Company's solid waste management services include collection, transfer and disposal operations and, to a lesser extent, recycling and certain other waste management services. As of March 31, 1998, USA Waste, through its subsidiaries, owned or operated an extensive network of landfills, transfer stations and collection operations and served in excess of eight million customers.</w:t>
      </w:r>
    </w:p>
    <w:p>
      <w:pPr>
        <w:spacing w:after="0" w:line="164"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The Company believes that providing fully-integrated waste management services gives it a competitive advantage in its markets and allows for a relatively higher level of waste internalization and profitability. For the three months ended March 31, 1998, approximately 64% of the Company's revenues were attributable to collection operations, approximately 21% were attributable to landfill operations, approximately 12% were attributable to transfer operations, and approximately 3% were attributable to recycling and other waste management services.</w:t>
      </w:r>
    </w:p>
    <w:p>
      <w:pPr>
        <w:spacing w:after="0" w:line="178" w:lineRule="exact"/>
        <w:rPr>
          <w:sz w:val="20"/>
          <w:szCs w:val="20"/>
          <w:color w:val="auto"/>
        </w:rPr>
      </w:pPr>
    </w:p>
    <w:p>
      <w:pPr>
        <w:ind w:left="8" w:right="3199" w:firstLine="361"/>
        <w:spacing w:after="0" w:line="267" w:lineRule="auto"/>
        <w:rPr>
          <w:sz w:val="20"/>
          <w:szCs w:val="20"/>
          <w:color w:val="auto"/>
        </w:rPr>
      </w:pPr>
      <w:r>
        <w:rPr>
          <w:rFonts w:ascii="Courier New" w:cs="Courier New" w:eastAsia="Courier New" w:hAnsi="Courier New"/>
          <w:sz w:val="14"/>
          <w:szCs w:val="14"/>
          <w:color w:val="auto"/>
        </w:rPr>
        <w:t>The Company operates on a decentralized basis through five geographic regions with a diversified customer base. Based on collection revenues for the three months ended March 31, 1998, the Company's customers were approximately 40% commercial, 30% industrial and 30% municipal and residential.</w:t>
      </w:r>
    </w:p>
    <w:p>
      <w:pPr>
        <w:spacing w:after="0" w:line="161" w:lineRule="exact"/>
        <w:rPr>
          <w:sz w:val="20"/>
          <w:szCs w:val="20"/>
          <w:color w:val="auto"/>
        </w:rPr>
      </w:pPr>
    </w:p>
    <w:p>
      <w:pPr>
        <w:ind w:left="8" w:right="3199" w:firstLine="361"/>
        <w:spacing w:after="0" w:line="262" w:lineRule="auto"/>
        <w:rPr>
          <w:sz w:val="20"/>
          <w:szCs w:val="20"/>
          <w:color w:val="auto"/>
        </w:rPr>
      </w:pPr>
      <w:r>
        <w:rPr>
          <w:rFonts w:ascii="Courier New" w:cs="Courier New" w:eastAsia="Courier New" w:hAnsi="Courier New"/>
          <w:sz w:val="14"/>
          <w:szCs w:val="14"/>
          <w:color w:val="auto"/>
        </w:rPr>
        <w:t>The Company's strategy includes the following key elements: (i) increasing productivity and operating efficiencies in existing and acquired operations,</w:t>
      </w:r>
    </w:p>
    <w:p>
      <w:pPr>
        <w:ind w:left="8" w:right="3099" w:hanging="8"/>
        <w:spacing w:after="0" w:line="244" w:lineRule="auto"/>
        <w:tabs>
          <w:tab w:leader="none" w:pos="45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revenues and enhancing profitability in its existing markets through "tuck-in" acquisitions, and (iii) expanding into new markets through acquisitions. The Company seeks to become the low-cost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In addition, the Company regularly pursues merger or acquisition transactions, some of which are significant, in new markets where the Company believes it can strengthen its overall competitive position as a national provider of integrated solid waste management services.</w:t>
      </w:r>
    </w:p>
    <w:p>
      <w:pPr>
        <w:spacing w:after="0" w:line="182"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USA Waste was incorporated under the laws of the State of Delaware in April 1995 to become the successor to USA Waste Services, Inc., an Oklahoma corporation organized in 1987. The principal executive offices of USA Waste are located at 1001 Fannin Street, Suite 4000, Houston, Texas 77002 and its telephone number is (713) 512-6200.</w:t>
      </w:r>
    </w:p>
    <w:p>
      <w:pPr>
        <w:spacing w:after="0" w:line="176"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RECENT DEVELOPMENTS</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On March 10, 1998, the Company entered into a definitive agreement and plan of merger pursuant to which a subsidiary of the Company will be merged with and into Waste Management, Inc. ("Waste Management") and Waste Management will become a wholly-owned subsidiary of the Company (the "Merger"). Waste Management is a leading international provider of waste management and related services to governmental, residential, commercial and industrial customers in the United States and select</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S-3</w:t>
      </w:r>
    </w:p>
    <w:p>
      <w:pPr>
        <w:sectPr>
          <w:pgSz w:w="11900" w:h="16838" w:orient="portrait"/>
          <w:cols w:equalWidth="0" w:num="1">
            <w:col w:w="10227"/>
          </w:cols>
          <w:pgMar w:left="232" w:top="464" w:right="1440" w:bottom="1440" w:gutter="0" w:footer="0" w:header="0"/>
        </w:sectPr>
      </w:pPr>
    </w:p>
    <w:bookmarkStart w:id="3" w:name="page4"/>
    <w:bookmarkEnd w:id="3"/>
    <w:p>
      <w:pPr>
        <w:ind w:right="3019"/>
        <w:spacing w:after="0" w:line="244" w:lineRule="auto"/>
        <w:rPr>
          <w:sz w:val="20"/>
          <w:szCs w:val="20"/>
          <w:color w:val="auto"/>
        </w:rPr>
      </w:pPr>
      <w:r>
        <w:rPr>
          <w:rFonts w:ascii="Courier New" w:cs="Courier New" w:eastAsia="Courier New" w:hAnsi="Courier New"/>
          <w:sz w:val="15"/>
          <w:szCs w:val="15"/>
          <w:color w:val="auto"/>
        </w:rPr>
        <w:t>international markets, and had revenues in 1997 of approximately $9.2 billion. As of the effective time of the Merger, each outstanding share of Waste Management common stock ("Waste Management Common Stock"), other than shares held in Waste Management's treasury or owned by Waste Management, the Company or any wholly-owned subsidiaries of either of them, will be converted into the right to receive 0.725 of a share of the Company's common stock ("USA Waste Common Stock"). It is anticipated that the Company will issue approximately 353 million shares of its common stock (not including shares reserved for option and warrant exercises and convertible debt) in connection with the Merger and that the Merger will be accounted for as a pooling of interests. Following the Merger, the Company will be renamed "Waste Management, Inc." ("New Waste Management"). The consummation of the Merger is subject to a number of conditions, including obtaining all consents, approvals and authorizations legally required to be obtained to consummate the Merger (including under the Hart-Scott-Rodino Antitrust Improvements Act of 1976, as amended) and approval by the stockholders of the Company and Waste Management. It is expected that the Merger will be consummated shortly after the later of (a) authorization from the Department of Justice and (b) approval by the stockholders of the Company and Waste Management. The Company and Waste Management each received a second request for information from the Department of Justice, and they have each set July 15, 1998 as the date of their stockholders' meeting to vote on the Merger. There can be no assurance that the conditions to the Merger will be satisfied or waived, and therefore, there can be no assurance that the Merger will be consummated.</w:t>
      </w:r>
    </w:p>
    <w:p>
      <w:pPr>
        <w:spacing w:after="0" w:line="18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Following the consummation of the Merger, John E. Drury, the current Chief Executive Officer of the Company will remain in such position with New Waste Management, and the current President and Chief Operating Officer, and Executive Vice President and Chief Financial Officer of the Company are expected to remain in such positions with New Waste Management. The current Chairman of the Board and Chief Executive Officer of Waste Management will become non-executive Chairman of the New Waste Management Board of Directors for a 12-month term, after which Mr. Drury will become Chairman of the Board and will continue as Chief Executive Officer of New Waste Management. The Board of Directors of New Waste Management immediately following the effective time of the Merger will consist of 14 members, seven of whom will be designated by the Company and seven of whom will be designated by Waste Management.</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Pursuant to the Merger, as a condition to receiving pooling of interests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 Waste Management was required to issue approximately 20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shares of Waste Management Common Stock. This offering was completed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15, 1998, resulting in net proceeds to Waste Management of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$607.5 million. In addition, on May 15, 1998 Waste Management announced that its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has adopted a new dividend policy, reducing regular quarterly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from $0.17 per share to $0.01 per share.</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On June 29, 1998, Waste Management announced that it had reached an agreement to acquire the publicly owned shares of its subsidiary, Waste Management International plc. Waste Management has indicated that the transaction is not expected to have a material impact on its future earnings.</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Upon the consummation of the Merger, it is expected that New Waste Management will enter into a revolving credit facility in the amount of $3.0 billion (the "New Credit Facility"), which will be in addition to the Company's existing $2.0 billion revolving credit facility (the "Credit Facility"). It is further expected that the New Credit Facility and the Credit Facility will each be guaranteed by Waste Management, Inc., as a subsidiary of New Waste Management. Further, upon the consummation of the Merger, New Waste Management will unconditionally guarantee the outstanding senior indebtedness of Waste Management, and Waste Management will unconditionally guarantee the outstanding senior indebtedness of New Waste Management, including the 7% Senior Notes due 2028 and the 6 1/8% Mandatorily Tendered Senior Notes due 2011 (the "2011 Notes"). As a consequence of such guarantees, the New Credit Facility, the Credit Facility, the senior indebtedness of New Waste Management and the senior indebtedness of Waste Management will be ranked on a PARI PASSU basis. Upon any release by the lenders under the New Credit Facility and the Credit Facility (or any replacement or new principal credit facility of New Waste</w:t>
      </w:r>
    </w:p>
    <w:p>
      <w:pPr>
        <w:spacing w:after="0" w:line="1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S-4</w:t>
      </w:r>
    </w:p>
    <w:p>
      <w:pPr>
        <w:sectPr>
          <w:pgSz w:w="11900" w:h="16838" w:orient="portrait"/>
          <w:cols w:equalWidth="0" w:num="1">
            <w:col w:w="10219"/>
          </w:cols>
          <w:pgMar w:left="240" w:top="465" w:right="1440" w:bottom="1440" w:gutter="0" w:footer="0" w:header="0"/>
        </w:sectPr>
      </w:pPr>
    </w:p>
    <w:bookmarkStart w:id="4" w:name="page5"/>
    <w:bookmarkEnd w:id="4"/>
    <w:p>
      <w:pPr>
        <w:ind w:right="3019"/>
        <w:spacing w:after="0" w:line="267" w:lineRule="auto"/>
        <w:rPr>
          <w:sz w:val="20"/>
          <w:szCs w:val="20"/>
          <w:color w:val="auto"/>
        </w:rPr>
      </w:pPr>
      <w:r>
        <w:rPr>
          <w:rFonts w:ascii="Courier New" w:cs="Courier New" w:eastAsia="Courier New" w:hAnsi="Courier New"/>
          <w:sz w:val="14"/>
          <w:szCs w:val="14"/>
          <w:color w:val="auto"/>
        </w:rPr>
        <w:t>Management) of the Waste Management guarantee, Waste Management and New Waste Management shall each be deemed automatically and unconditionally released and discharged from their respective obligations under the guarantees of such senior indebtedness of the other so guaranteed. See "Description of Notes--General."</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3340" w:type="dxa"/>
            <w:vAlign w:val="bottom"/>
          </w:tcPr>
          <w:p>
            <w:pPr>
              <w:ind w:left="280"/>
              <w:spacing w:after="0"/>
              <w:rPr>
                <w:sz w:val="20"/>
                <w:szCs w:val="20"/>
                <w:color w:val="auto"/>
              </w:rPr>
            </w:pPr>
            <w:r>
              <w:rPr>
                <w:rFonts w:ascii="Courier New" w:cs="Courier New" w:eastAsia="Courier New" w:hAnsi="Courier New"/>
                <w:sz w:val="15"/>
                <w:szCs w:val="15"/>
                <w:color w:val="auto"/>
              </w:rPr>
              <w:t>THE OFFERING</w:t>
            </w:r>
          </w:p>
        </w:tc>
        <w:tc>
          <w:tcPr>
            <w:tcW w:w="820" w:type="dxa"/>
            <w:vAlign w:val="bottom"/>
          </w:tcPr>
          <w:p>
            <w:pPr>
              <w:spacing w:after="0"/>
              <w:rPr>
                <w:sz w:val="14"/>
                <w:szCs w:val="14"/>
                <w:color w:val="auto"/>
              </w:rPr>
            </w:pP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Securities Offered............</w:t>
            </w: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$600,000,000 aggregate principal amount of 7%</w:t>
            </w:r>
          </w:p>
        </w:tc>
      </w:tr>
      <w:tr>
        <w:trPr>
          <w:trHeight w:val="173"/>
        </w:trPr>
        <w:tc>
          <w:tcPr>
            <w:tcW w:w="2780" w:type="dxa"/>
            <w:vAlign w:val="bottom"/>
          </w:tcPr>
          <w:p>
            <w:pPr>
              <w:spacing w:after="0"/>
              <w:rPr>
                <w:sz w:val="15"/>
                <w:szCs w:val="15"/>
                <w:color w:val="auto"/>
              </w:rPr>
            </w:pPr>
          </w:p>
        </w:tc>
        <w:tc>
          <w:tcPr>
            <w:tcW w:w="3340" w:type="dxa"/>
            <w:vAlign w:val="bottom"/>
          </w:tcPr>
          <w:p>
            <w:pPr>
              <w:ind w:left="100"/>
              <w:spacing w:after="0"/>
              <w:rPr>
                <w:sz w:val="20"/>
                <w:szCs w:val="20"/>
                <w:color w:val="auto"/>
              </w:rPr>
            </w:pPr>
            <w:r>
              <w:rPr>
                <w:rFonts w:ascii="Courier New" w:cs="Courier New" w:eastAsia="Courier New" w:hAnsi="Courier New"/>
                <w:sz w:val="15"/>
                <w:szCs w:val="15"/>
                <w:color w:val="auto"/>
                <w:w w:val="99"/>
              </w:rPr>
              <w:t>Senior Notes due 2028 (the "Notes").</w:t>
            </w:r>
          </w:p>
        </w:tc>
        <w:tc>
          <w:tcPr>
            <w:tcW w:w="820" w:type="dxa"/>
            <w:vAlign w:val="bottom"/>
          </w:tcPr>
          <w:p>
            <w:pPr>
              <w:spacing w:after="0"/>
              <w:rPr>
                <w:sz w:val="15"/>
                <w:szCs w:val="15"/>
                <w:color w:val="auto"/>
              </w:rPr>
            </w:pP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Maturity......................</w:t>
            </w:r>
          </w:p>
        </w:tc>
        <w:tc>
          <w:tcPr>
            <w:tcW w:w="3340" w:type="dxa"/>
            <w:vAlign w:val="bottom"/>
          </w:tcPr>
          <w:p>
            <w:pPr>
              <w:ind w:left="100"/>
              <w:spacing w:after="0"/>
              <w:rPr>
                <w:sz w:val="20"/>
                <w:szCs w:val="20"/>
                <w:color w:val="auto"/>
              </w:rPr>
            </w:pPr>
            <w:r>
              <w:rPr>
                <w:rFonts w:ascii="Courier New" w:cs="Courier New" w:eastAsia="Courier New" w:hAnsi="Courier New"/>
                <w:sz w:val="15"/>
                <w:szCs w:val="15"/>
                <w:color w:val="auto"/>
              </w:rPr>
              <w:t>July 15, 2028.</w:t>
            </w:r>
          </w:p>
        </w:tc>
        <w:tc>
          <w:tcPr>
            <w:tcW w:w="820" w:type="dxa"/>
            <w:vAlign w:val="bottom"/>
          </w:tcPr>
          <w:p>
            <w:pPr>
              <w:spacing w:after="0"/>
              <w:rPr>
                <w:sz w:val="24"/>
                <w:szCs w:val="24"/>
                <w:color w:val="auto"/>
              </w:rPr>
            </w:pP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Interest Payment Dates........</w:t>
            </w:r>
          </w:p>
        </w:tc>
        <w:tc>
          <w:tcPr>
            <w:tcW w:w="3340" w:type="dxa"/>
            <w:vAlign w:val="bottom"/>
          </w:tcPr>
          <w:p>
            <w:pPr>
              <w:ind w:left="100"/>
              <w:spacing w:after="0"/>
              <w:rPr>
                <w:sz w:val="20"/>
                <w:szCs w:val="20"/>
                <w:color w:val="auto"/>
              </w:rPr>
            </w:pPr>
            <w:r>
              <w:rPr>
                <w:rFonts w:ascii="Courier New" w:cs="Courier New" w:eastAsia="Courier New" w:hAnsi="Courier New"/>
                <w:sz w:val="15"/>
                <w:szCs w:val="15"/>
                <w:color w:val="auto"/>
                <w:w w:val="99"/>
              </w:rPr>
              <w:t>January 15 and July 15 of each year,</w:t>
            </w:r>
          </w:p>
        </w:tc>
        <w:tc>
          <w:tcPr>
            <w:tcW w:w="820" w:type="dxa"/>
            <w:vAlign w:val="bottom"/>
          </w:tcPr>
          <w:p>
            <w:pPr>
              <w:spacing w:after="0"/>
              <w:rPr>
                <w:sz w:val="24"/>
                <w:szCs w:val="24"/>
                <w:color w:val="auto"/>
              </w:rPr>
            </w:pPr>
          </w:p>
        </w:tc>
      </w:tr>
      <w:tr>
        <w:trPr>
          <w:trHeight w:val="173"/>
        </w:trPr>
        <w:tc>
          <w:tcPr>
            <w:tcW w:w="2780" w:type="dxa"/>
            <w:vAlign w:val="bottom"/>
          </w:tcPr>
          <w:p>
            <w:pPr>
              <w:spacing w:after="0"/>
              <w:rPr>
                <w:sz w:val="15"/>
                <w:szCs w:val="15"/>
                <w:color w:val="auto"/>
              </w:rPr>
            </w:pPr>
          </w:p>
        </w:tc>
        <w:tc>
          <w:tcPr>
            <w:tcW w:w="3340" w:type="dxa"/>
            <w:vAlign w:val="bottom"/>
          </w:tcPr>
          <w:p>
            <w:pPr>
              <w:ind w:left="100"/>
              <w:spacing w:after="0"/>
              <w:rPr>
                <w:sz w:val="20"/>
                <w:szCs w:val="20"/>
                <w:color w:val="auto"/>
              </w:rPr>
            </w:pPr>
            <w:r>
              <w:rPr>
                <w:rFonts w:ascii="Courier New" w:cs="Courier New" w:eastAsia="Courier New" w:hAnsi="Courier New"/>
                <w:sz w:val="15"/>
                <w:szCs w:val="15"/>
                <w:color w:val="auto"/>
              </w:rPr>
              <w:t>commencing January 15, 1999.</w:t>
            </w:r>
          </w:p>
        </w:tc>
        <w:tc>
          <w:tcPr>
            <w:tcW w:w="820" w:type="dxa"/>
            <w:vAlign w:val="bottom"/>
          </w:tcPr>
          <w:p>
            <w:pPr>
              <w:spacing w:after="0"/>
              <w:rPr>
                <w:sz w:val="15"/>
                <w:szCs w:val="15"/>
                <w:color w:val="auto"/>
              </w:rPr>
            </w:pP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Optional Redemption...........</w:t>
            </w: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Notes are redeemable, in whole or in</w:t>
            </w:r>
          </w:p>
        </w:tc>
      </w:tr>
      <w:tr>
        <w:trPr>
          <w:trHeight w:val="173"/>
        </w:trPr>
        <w:tc>
          <w:tcPr>
            <w:tcW w:w="2780" w:type="dxa"/>
            <w:vAlign w:val="bottom"/>
          </w:tcPr>
          <w:p>
            <w:pPr>
              <w:spacing w:after="0"/>
              <w:rPr>
                <w:sz w:val="15"/>
                <w:szCs w:val="15"/>
                <w:color w:val="auto"/>
              </w:rPr>
            </w:pP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part, at the option of the Company at any</w:t>
            </w:r>
          </w:p>
        </w:tc>
      </w:tr>
      <w:tr>
        <w:trPr>
          <w:trHeight w:val="173"/>
        </w:trPr>
        <w:tc>
          <w:tcPr>
            <w:tcW w:w="2780" w:type="dxa"/>
            <w:vAlign w:val="bottom"/>
          </w:tcPr>
          <w:p>
            <w:pPr>
              <w:spacing w:after="0"/>
              <w:rPr>
                <w:sz w:val="15"/>
                <w:szCs w:val="15"/>
                <w:color w:val="auto"/>
              </w:rPr>
            </w:pP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time and from time to time at a redemption</w:t>
            </w:r>
          </w:p>
        </w:tc>
      </w:tr>
      <w:tr>
        <w:trPr>
          <w:trHeight w:val="173"/>
        </w:trPr>
        <w:tc>
          <w:tcPr>
            <w:tcW w:w="2780" w:type="dxa"/>
            <w:vAlign w:val="bottom"/>
          </w:tcPr>
          <w:p>
            <w:pPr>
              <w:spacing w:after="0"/>
              <w:rPr>
                <w:sz w:val="15"/>
                <w:szCs w:val="15"/>
                <w:color w:val="auto"/>
              </w:rPr>
            </w:pP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price equal to the Make-Whole Price (as</w:t>
            </w:r>
          </w:p>
        </w:tc>
      </w:tr>
      <w:tr>
        <w:trPr>
          <w:trHeight w:val="173"/>
        </w:trPr>
        <w:tc>
          <w:tcPr>
            <w:tcW w:w="2780" w:type="dxa"/>
            <w:vAlign w:val="bottom"/>
          </w:tcPr>
          <w:p>
            <w:pPr>
              <w:spacing w:after="0"/>
              <w:rPr>
                <w:sz w:val="15"/>
                <w:szCs w:val="15"/>
                <w:color w:val="auto"/>
              </w:rPr>
            </w:pPr>
          </w:p>
        </w:tc>
        <w:tc>
          <w:tcPr>
            <w:tcW w:w="3340" w:type="dxa"/>
            <w:vAlign w:val="bottom"/>
          </w:tcPr>
          <w:p>
            <w:pPr>
              <w:ind w:left="100"/>
              <w:spacing w:after="0"/>
              <w:rPr>
                <w:sz w:val="20"/>
                <w:szCs w:val="20"/>
                <w:color w:val="auto"/>
              </w:rPr>
            </w:pPr>
            <w:r>
              <w:rPr>
                <w:rFonts w:ascii="Courier New" w:cs="Courier New" w:eastAsia="Courier New" w:hAnsi="Courier New"/>
                <w:sz w:val="15"/>
                <w:szCs w:val="15"/>
                <w:color w:val="auto"/>
                <w:w w:val="99"/>
              </w:rPr>
              <w:t>defined herein). See "Description of</w:t>
            </w:r>
          </w:p>
        </w:tc>
        <w:tc>
          <w:tcPr>
            <w:tcW w:w="820" w:type="dxa"/>
            <w:vAlign w:val="bottom"/>
          </w:tcPr>
          <w:p>
            <w:pPr>
              <w:spacing w:after="0"/>
              <w:rPr>
                <w:sz w:val="15"/>
                <w:szCs w:val="15"/>
                <w:color w:val="auto"/>
              </w:rPr>
            </w:pPr>
          </w:p>
        </w:tc>
      </w:tr>
      <w:tr>
        <w:trPr>
          <w:trHeight w:val="173"/>
        </w:trPr>
        <w:tc>
          <w:tcPr>
            <w:tcW w:w="2780" w:type="dxa"/>
            <w:vAlign w:val="bottom"/>
          </w:tcPr>
          <w:p>
            <w:pPr>
              <w:spacing w:after="0"/>
              <w:rPr>
                <w:sz w:val="15"/>
                <w:szCs w:val="15"/>
                <w:color w:val="auto"/>
              </w:rPr>
            </w:pP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Notes--Redemption at the Company's Option."</w:t>
            </w: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Sinking Fund..................</w:t>
            </w:r>
          </w:p>
        </w:tc>
        <w:tc>
          <w:tcPr>
            <w:tcW w:w="3340" w:type="dxa"/>
            <w:vAlign w:val="bottom"/>
          </w:tcPr>
          <w:p>
            <w:pPr>
              <w:ind w:left="100"/>
              <w:spacing w:after="0"/>
              <w:rPr>
                <w:sz w:val="20"/>
                <w:szCs w:val="20"/>
                <w:color w:val="auto"/>
              </w:rPr>
            </w:pPr>
            <w:r>
              <w:rPr>
                <w:rFonts w:ascii="Courier New" w:cs="Courier New" w:eastAsia="Courier New" w:hAnsi="Courier New"/>
                <w:sz w:val="15"/>
                <w:szCs w:val="15"/>
                <w:color w:val="auto"/>
              </w:rPr>
              <w:t>None.</w:t>
            </w:r>
          </w:p>
        </w:tc>
        <w:tc>
          <w:tcPr>
            <w:tcW w:w="820" w:type="dxa"/>
            <w:vAlign w:val="bottom"/>
          </w:tcPr>
          <w:p>
            <w:pPr>
              <w:spacing w:after="0"/>
              <w:rPr>
                <w:sz w:val="24"/>
                <w:szCs w:val="24"/>
                <w:color w:val="auto"/>
              </w:rPr>
            </w:pP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Ranking.......................</w:t>
            </w: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Notes constitute senior and unsecured</w:t>
            </w:r>
          </w:p>
        </w:tc>
      </w:tr>
      <w:tr>
        <w:trPr>
          <w:trHeight w:val="173"/>
        </w:trPr>
        <w:tc>
          <w:tcPr>
            <w:tcW w:w="2780" w:type="dxa"/>
            <w:vAlign w:val="bottom"/>
          </w:tcPr>
          <w:p>
            <w:pPr>
              <w:spacing w:after="0"/>
              <w:rPr>
                <w:sz w:val="15"/>
                <w:szCs w:val="15"/>
                <w:color w:val="auto"/>
              </w:rPr>
            </w:pP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obligations of the Company, ranking PARI</w:t>
            </w:r>
          </w:p>
        </w:tc>
      </w:tr>
      <w:tr>
        <w:trPr>
          <w:trHeight w:val="173"/>
        </w:trPr>
        <w:tc>
          <w:tcPr>
            <w:tcW w:w="2780" w:type="dxa"/>
            <w:vAlign w:val="bottom"/>
          </w:tcPr>
          <w:p>
            <w:pPr>
              <w:spacing w:after="0"/>
              <w:rPr>
                <w:sz w:val="15"/>
                <w:szCs w:val="15"/>
                <w:color w:val="auto"/>
              </w:rPr>
            </w:pP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PASSU in right of payment with all other</w:t>
            </w:r>
          </w:p>
        </w:tc>
      </w:tr>
      <w:tr>
        <w:trPr>
          <w:trHeight w:val="173"/>
        </w:trPr>
        <w:tc>
          <w:tcPr>
            <w:tcW w:w="2780" w:type="dxa"/>
            <w:vAlign w:val="bottom"/>
          </w:tcPr>
          <w:p>
            <w:pPr>
              <w:spacing w:after="0"/>
              <w:rPr>
                <w:sz w:val="15"/>
                <w:szCs w:val="15"/>
                <w:color w:val="auto"/>
              </w:rPr>
            </w:pPr>
          </w:p>
        </w:tc>
        <w:tc>
          <w:tcPr>
            <w:tcW w:w="3340" w:type="dxa"/>
            <w:vAlign w:val="bottom"/>
          </w:tcPr>
          <w:p>
            <w:pPr>
              <w:ind w:left="100"/>
              <w:spacing w:after="0"/>
              <w:rPr>
                <w:sz w:val="20"/>
                <w:szCs w:val="20"/>
                <w:color w:val="auto"/>
              </w:rPr>
            </w:pPr>
            <w:r>
              <w:rPr>
                <w:rFonts w:ascii="Courier New" w:cs="Courier New" w:eastAsia="Courier New" w:hAnsi="Courier New"/>
                <w:sz w:val="15"/>
                <w:szCs w:val="15"/>
                <w:color w:val="auto"/>
              </w:rPr>
              <w:t>senior and unsecured obligations of</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the</w:t>
            </w:r>
          </w:p>
        </w:tc>
      </w:tr>
      <w:tr>
        <w:trPr>
          <w:trHeight w:val="173"/>
        </w:trPr>
        <w:tc>
          <w:tcPr>
            <w:tcW w:w="2780" w:type="dxa"/>
            <w:vAlign w:val="bottom"/>
          </w:tcPr>
          <w:p>
            <w:pPr>
              <w:spacing w:after="0"/>
              <w:rPr>
                <w:sz w:val="15"/>
                <w:szCs w:val="15"/>
                <w:color w:val="auto"/>
              </w:rPr>
            </w:pPr>
          </w:p>
        </w:tc>
        <w:tc>
          <w:tcPr>
            <w:tcW w:w="3340" w:type="dxa"/>
            <w:vAlign w:val="bottom"/>
          </w:tcPr>
          <w:p>
            <w:pPr>
              <w:ind w:left="100"/>
              <w:spacing w:after="0"/>
              <w:rPr>
                <w:sz w:val="20"/>
                <w:szCs w:val="20"/>
                <w:color w:val="auto"/>
              </w:rPr>
            </w:pPr>
            <w:r>
              <w:rPr>
                <w:rFonts w:ascii="Courier New" w:cs="Courier New" w:eastAsia="Courier New" w:hAnsi="Courier New"/>
                <w:sz w:val="15"/>
                <w:szCs w:val="15"/>
                <w:color w:val="auto"/>
                <w:w w:val="99"/>
              </w:rPr>
              <w:t>Company. See "Description of Notes--</w:t>
            </w:r>
          </w:p>
        </w:tc>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General."</w:t>
            </w: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Covenants.....................</w:t>
            </w: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indenture governing the Notes contains</w:t>
            </w:r>
          </w:p>
        </w:tc>
      </w:tr>
      <w:tr>
        <w:trPr>
          <w:trHeight w:val="173"/>
        </w:trPr>
        <w:tc>
          <w:tcPr>
            <w:tcW w:w="2780" w:type="dxa"/>
            <w:vAlign w:val="bottom"/>
          </w:tcPr>
          <w:p>
            <w:pPr>
              <w:spacing w:after="0"/>
              <w:rPr>
                <w:sz w:val="15"/>
                <w:szCs w:val="15"/>
                <w:color w:val="auto"/>
              </w:rPr>
            </w:pP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covenants, including, but not limited to,</w:t>
            </w:r>
          </w:p>
        </w:tc>
      </w:tr>
      <w:tr>
        <w:trPr>
          <w:trHeight w:val="173"/>
        </w:trPr>
        <w:tc>
          <w:tcPr>
            <w:tcW w:w="2780" w:type="dxa"/>
            <w:vAlign w:val="bottom"/>
          </w:tcPr>
          <w:p>
            <w:pPr>
              <w:spacing w:after="0"/>
              <w:rPr>
                <w:sz w:val="15"/>
                <w:szCs w:val="15"/>
                <w:color w:val="auto"/>
              </w:rPr>
            </w:pP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covenants limiting (i) the creation of liens</w:t>
            </w:r>
          </w:p>
        </w:tc>
      </w:tr>
      <w:tr>
        <w:trPr>
          <w:trHeight w:val="173"/>
        </w:trPr>
        <w:tc>
          <w:tcPr>
            <w:tcW w:w="2780" w:type="dxa"/>
            <w:vAlign w:val="bottom"/>
          </w:tcPr>
          <w:p>
            <w:pPr>
              <w:spacing w:after="0"/>
              <w:rPr>
                <w:sz w:val="15"/>
                <w:szCs w:val="15"/>
                <w:color w:val="auto"/>
              </w:rPr>
            </w:pP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securing indebtedness, and (ii) sale and</w:t>
            </w:r>
          </w:p>
        </w:tc>
      </w:tr>
      <w:tr>
        <w:trPr>
          <w:trHeight w:val="173"/>
        </w:trPr>
        <w:tc>
          <w:tcPr>
            <w:tcW w:w="2780" w:type="dxa"/>
            <w:vAlign w:val="bottom"/>
          </w:tcPr>
          <w:p>
            <w:pPr>
              <w:spacing w:after="0"/>
              <w:rPr>
                <w:sz w:val="15"/>
                <w:szCs w:val="15"/>
                <w:color w:val="auto"/>
              </w:rPr>
            </w:pPr>
          </w:p>
        </w:tc>
        <w:tc>
          <w:tcPr>
            <w:tcW w:w="3340" w:type="dxa"/>
            <w:vAlign w:val="bottom"/>
          </w:tcPr>
          <w:p>
            <w:pPr>
              <w:ind w:left="100"/>
              <w:spacing w:after="0"/>
              <w:rPr>
                <w:sz w:val="20"/>
                <w:szCs w:val="20"/>
                <w:color w:val="auto"/>
              </w:rPr>
            </w:pPr>
            <w:r>
              <w:rPr>
                <w:rFonts w:ascii="Courier New" w:cs="Courier New" w:eastAsia="Courier New" w:hAnsi="Courier New"/>
                <w:sz w:val="15"/>
                <w:szCs w:val="15"/>
                <w:color w:val="auto"/>
              </w:rPr>
              <w:t>leaseback transactions.</w:t>
            </w:r>
          </w:p>
        </w:tc>
        <w:tc>
          <w:tcPr>
            <w:tcW w:w="820" w:type="dxa"/>
            <w:vAlign w:val="bottom"/>
          </w:tcPr>
          <w:p>
            <w:pPr>
              <w:spacing w:after="0"/>
              <w:rPr>
                <w:sz w:val="15"/>
                <w:szCs w:val="15"/>
                <w:color w:val="auto"/>
              </w:rPr>
            </w:pP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net proceeds from the sale of the Notes</w:t>
            </w:r>
          </w:p>
        </w:tc>
      </w:tr>
      <w:tr>
        <w:trPr>
          <w:trHeight w:val="173"/>
        </w:trPr>
        <w:tc>
          <w:tcPr>
            <w:tcW w:w="2780" w:type="dxa"/>
            <w:vAlign w:val="bottom"/>
          </w:tcPr>
          <w:p>
            <w:pPr>
              <w:spacing w:after="0"/>
              <w:rPr>
                <w:sz w:val="15"/>
                <w:szCs w:val="15"/>
                <w:color w:val="auto"/>
              </w:rPr>
            </w:pP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 this offering (the "Offering") and the</w:t>
            </w:r>
          </w:p>
        </w:tc>
      </w:tr>
      <w:tr>
        <w:trPr>
          <w:trHeight w:val="173"/>
        </w:trPr>
        <w:tc>
          <w:tcPr>
            <w:tcW w:w="2780" w:type="dxa"/>
            <w:vAlign w:val="bottom"/>
          </w:tcPr>
          <w:p>
            <w:pPr>
              <w:spacing w:after="0"/>
              <w:rPr>
                <w:sz w:val="15"/>
                <w:szCs w:val="15"/>
                <w:color w:val="auto"/>
              </w:rPr>
            </w:pP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concurrent offering of 2011 Notes (the "2011</w:t>
            </w:r>
          </w:p>
        </w:tc>
      </w:tr>
      <w:tr>
        <w:trPr>
          <w:trHeight w:val="173"/>
        </w:trPr>
        <w:tc>
          <w:tcPr>
            <w:tcW w:w="2780" w:type="dxa"/>
            <w:vAlign w:val="bottom"/>
          </w:tcPr>
          <w:p>
            <w:pPr>
              <w:spacing w:after="0"/>
              <w:rPr>
                <w:sz w:val="15"/>
                <w:szCs w:val="15"/>
                <w:color w:val="auto"/>
              </w:rPr>
            </w:pP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Notes Offering") are expected to be used to</w:t>
            </w:r>
          </w:p>
        </w:tc>
      </w:tr>
      <w:tr>
        <w:trPr>
          <w:trHeight w:val="173"/>
        </w:trPr>
        <w:tc>
          <w:tcPr>
            <w:tcW w:w="2780" w:type="dxa"/>
            <w:vAlign w:val="bottom"/>
          </w:tcPr>
          <w:p>
            <w:pPr>
              <w:spacing w:after="0"/>
              <w:rPr>
                <w:sz w:val="15"/>
                <w:szCs w:val="15"/>
                <w:color w:val="auto"/>
              </w:rPr>
            </w:pP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repay outstanding indebtedness under the</w:t>
            </w:r>
          </w:p>
        </w:tc>
      </w:tr>
      <w:tr>
        <w:trPr>
          <w:trHeight w:val="173"/>
        </w:trPr>
        <w:tc>
          <w:tcPr>
            <w:tcW w:w="2780" w:type="dxa"/>
            <w:vAlign w:val="bottom"/>
          </w:tcPr>
          <w:p>
            <w:pPr>
              <w:spacing w:after="0"/>
              <w:rPr>
                <w:sz w:val="15"/>
                <w:szCs w:val="15"/>
                <w:color w:val="auto"/>
              </w:rPr>
            </w:pP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Credit Facility. Amounts repaid on the Credit</w:t>
            </w:r>
          </w:p>
        </w:tc>
      </w:tr>
      <w:tr>
        <w:trPr>
          <w:trHeight w:val="173"/>
        </w:trPr>
        <w:tc>
          <w:tcPr>
            <w:tcW w:w="2780" w:type="dxa"/>
            <w:vAlign w:val="bottom"/>
          </w:tcPr>
          <w:p>
            <w:pPr>
              <w:spacing w:after="0"/>
              <w:rPr>
                <w:sz w:val="15"/>
                <w:szCs w:val="15"/>
                <w:color w:val="auto"/>
              </w:rPr>
            </w:pPr>
          </w:p>
        </w:tc>
        <w:tc>
          <w:tcPr>
            <w:tcW w:w="4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Facility may be reborrowed from time to time</w:t>
            </w:r>
          </w:p>
        </w:tc>
      </w:tr>
    </w:tbl>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for capital expenditures and other general</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corporate purposes, including possible future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acquisitions. See "Use of Proceeds."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S-5</w:t>
      </w:r>
    </w:p>
    <w:p>
      <w:pPr>
        <w:sectPr>
          <w:pgSz w:w="11900" w:h="16838" w:orient="portrait"/>
          <w:cols w:equalWidth="0" w:num="1">
            <w:col w:w="10219"/>
          </w:cols>
          <w:pgMar w:left="240" w:top="465" w:right="1440" w:bottom="1440" w:gutter="0" w:footer="0" w:header="0"/>
        </w:sectPr>
      </w:pPr>
    </w:p>
    <w:bookmarkStart w:id="5" w:name="page6"/>
    <w:bookmarkEnd w:id="5"/>
    <w:p>
      <w:pPr>
        <w:ind w:left="2880"/>
        <w:spacing w:after="0"/>
        <w:rPr>
          <w:sz w:val="20"/>
          <w:szCs w:val="20"/>
          <w:color w:val="auto"/>
        </w:rPr>
      </w:pPr>
      <w:r>
        <w:rPr>
          <w:rFonts w:ascii="Courier New" w:cs="Courier New" w:eastAsia="Courier New" w:hAnsi="Courier New"/>
          <w:sz w:val="15"/>
          <w:szCs w:val="15"/>
          <w:color w:val="auto"/>
        </w:rPr>
        <w:t>USE OF PROCEEDS</w:t>
      </w:r>
    </w:p>
    <w:p>
      <w:pPr>
        <w:spacing w:after="0" w:line="178" w:lineRule="exact"/>
        <w:rPr>
          <w:sz w:val="20"/>
          <w:szCs w:val="20"/>
          <w:color w:val="auto"/>
        </w:rPr>
      </w:pPr>
    </w:p>
    <w:p>
      <w:pPr>
        <w:ind w:right="4320" w:firstLine="361"/>
        <w:spacing w:after="0" w:line="244" w:lineRule="auto"/>
        <w:rPr>
          <w:sz w:val="20"/>
          <w:szCs w:val="20"/>
          <w:color w:val="auto"/>
        </w:rPr>
      </w:pPr>
      <w:r>
        <w:rPr>
          <w:rFonts w:ascii="Courier New" w:cs="Courier New" w:eastAsia="Courier New" w:hAnsi="Courier New"/>
          <w:sz w:val="15"/>
          <w:szCs w:val="15"/>
          <w:color w:val="auto"/>
        </w:rPr>
        <w:t>The net proceeds to the Company from the sale of the Notes in this Offering, after deducting underwriting discounts and commissions and estimated offering expenses, are $587.8 million.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0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The net proceeds of this Offering and the concurrent 2011 Notes Offering are</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expected to be used to repay outstanding indebtedness under the Credit Facility.</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At March 31, 1998, the aggregate outstanding balance of loans and letters of</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credit under the Credit Facility was $1.8 billion ($483.3 million of which were</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letters of credit). Borrowings under the Credit Facility bear interest at a rate</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(currently 5.925%) equal to the Eurodollar rate plus an amount not in excess of</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0.575% per annum and mature on August 7, 2002. Amounts currently outstanding</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under the Credit Facility were incurred to refinance existing indebtedness and</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for capital expenditures and other general corporate purposes, including</w:t>
            </w: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acquisitions. Amounts repaid on the Credit Facility may be reborrowed from time</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to time for capital expenditures and other general corporate purposes, including</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possible future acquisitions.</w:t>
            </w: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47"/>
        </w:trPr>
        <w:tc>
          <w:tcPr>
            <w:tcW w:w="5580" w:type="dxa"/>
            <w:vAlign w:val="bottom"/>
            <w:gridSpan w:val="2"/>
          </w:tcPr>
          <w:p>
            <w:pPr>
              <w:jc w:val="right"/>
              <w:ind w:right="374"/>
              <w:spacing w:after="0"/>
              <w:rPr>
                <w:sz w:val="20"/>
                <w:szCs w:val="20"/>
                <w:color w:val="auto"/>
              </w:rPr>
            </w:pPr>
            <w:r>
              <w:rPr>
                <w:rFonts w:ascii="Courier New" w:cs="Courier New" w:eastAsia="Courier New" w:hAnsi="Courier New"/>
                <w:sz w:val="15"/>
                <w:szCs w:val="15"/>
                <w:color w:val="auto"/>
              </w:rPr>
              <w:t>RATIOS OF EARNINGS TO FIXED CHARGES</w:t>
            </w: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7"/>
        </w:trPr>
        <w:tc>
          <w:tcPr>
            <w:tcW w:w="770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The following table sets forth the Company's consolidated ratios of earnings</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to fixed charges for the periods shown:</w:t>
            </w: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694"/>
        </w:trPr>
        <w:tc>
          <w:tcPr>
            <w:tcW w:w="4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40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jc w:val="center"/>
              <w:ind w:left="45"/>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40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3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YEAR ENDED DECEMBER 31,</w:t>
            </w:r>
          </w:p>
        </w:tc>
        <w:tc>
          <w:tcPr>
            <w:tcW w:w="1020" w:type="dxa"/>
            <w:vAlign w:val="bottom"/>
          </w:tcPr>
          <w:p>
            <w:pPr>
              <w:spacing w:after="0"/>
              <w:rPr>
                <w:sz w:val="15"/>
                <w:szCs w:val="15"/>
                <w:color w:val="auto"/>
              </w:rPr>
            </w:pPr>
          </w:p>
        </w:tc>
        <w:tc>
          <w:tcPr>
            <w:tcW w:w="1620" w:type="dxa"/>
            <w:vAlign w:val="bottom"/>
          </w:tcPr>
          <w:p>
            <w:pPr>
              <w:jc w:val="center"/>
              <w:ind w:left="45"/>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4040" w:type="dxa"/>
            <w:vAlign w:val="bottom"/>
          </w:tcPr>
          <w:p>
            <w:pPr>
              <w:spacing w:after="0"/>
              <w:rPr>
                <w:sz w:val="15"/>
                <w:szCs w:val="15"/>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w:t>
            </w: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040" w:type="dxa"/>
            <w:vAlign w:val="bottom"/>
          </w:tcPr>
          <w:p>
            <w:pPr>
              <w:spacing w:after="0"/>
              <w:rPr>
                <w:sz w:val="15"/>
                <w:szCs w:val="15"/>
                <w:color w:val="auto"/>
              </w:rPr>
            </w:pPr>
          </w:p>
        </w:tc>
        <w:tc>
          <w:tcPr>
            <w:tcW w:w="1540" w:type="dxa"/>
            <w:vAlign w:val="bottom"/>
          </w:tcPr>
          <w:p>
            <w:pPr>
              <w:jc w:val="right"/>
              <w:ind w:right="734"/>
              <w:spacing w:after="0"/>
              <w:rPr>
                <w:sz w:val="20"/>
                <w:szCs w:val="20"/>
                <w:color w:val="auto"/>
              </w:rPr>
            </w:pPr>
            <w:r>
              <w:rPr>
                <w:rFonts w:ascii="Courier New" w:cs="Courier New" w:eastAsia="Courier New" w:hAnsi="Courier New"/>
                <w:sz w:val="15"/>
                <w:szCs w:val="15"/>
                <w:color w:val="auto"/>
              </w:rPr>
              <w:t>1993</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1995</w:t>
            </w:r>
          </w:p>
        </w:tc>
        <w:tc>
          <w:tcPr>
            <w:tcW w:w="11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6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1998</w:t>
            </w:r>
          </w:p>
        </w:tc>
      </w:tr>
      <w:tr>
        <w:trPr>
          <w:trHeight w:val="347"/>
        </w:trPr>
        <w:tc>
          <w:tcPr>
            <w:tcW w:w="404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1540" w:type="dxa"/>
            <w:vAlign w:val="bottom"/>
          </w:tcPr>
          <w:p>
            <w:pPr>
              <w:jc w:val="right"/>
              <w:ind w:right="374"/>
              <w:spacing w:after="0"/>
              <w:rPr>
                <w:sz w:val="20"/>
                <w:szCs w:val="20"/>
                <w:color w:val="auto"/>
              </w:rPr>
            </w:pPr>
            <w:r>
              <w:rPr>
                <w:rFonts w:ascii="Courier New" w:cs="Courier New" w:eastAsia="Courier New" w:hAnsi="Courier New"/>
                <w:sz w:val="15"/>
                <w:szCs w:val="15"/>
                <w:color w:val="auto"/>
              </w:rPr>
              <w:t>1.9x</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1.1x</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2.4x</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2.3x</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4.1x</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5.0x</w:t>
            </w:r>
          </w:p>
        </w:tc>
      </w:tr>
      <w:tr>
        <w:trPr>
          <w:trHeight w:val="520"/>
        </w:trPr>
        <w:tc>
          <w:tcPr>
            <w:tcW w:w="770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The Company's consolidated ratios of earnings to fixed charges were computed</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w w:val="99"/>
              </w:rPr>
              <w:t>by dividing earnings available for fixed charges by fixed charges. For this</w:t>
            </w: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purpose, earnings available for fixed charges are the sum of income before</w:t>
            </w: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income taxes, undistributed earnings from affiliated companies minority</w:t>
            </w: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interest, cumulative effect of accounting changes and fixed charges, excluding</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capitalized interest. Fixed charges are interest, whether expensed or</w:t>
            </w: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capitalized, amortization of debt expense and discount on premium relating to</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7700" w:type="dxa"/>
            <w:vAlign w:val="bottom"/>
            <w:gridSpan w:val="4"/>
          </w:tcPr>
          <w:p>
            <w:pPr>
              <w:spacing w:after="0"/>
              <w:rPr>
                <w:sz w:val="20"/>
                <w:szCs w:val="20"/>
                <w:color w:val="auto"/>
              </w:rPr>
            </w:pPr>
            <w:r>
              <w:rPr>
                <w:rFonts w:ascii="Courier New" w:cs="Courier New" w:eastAsia="Courier New" w:hAnsi="Courier New"/>
                <w:sz w:val="15"/>
                <w:szCs w:val="15"/>
                <w:color w:val="auto"/>
              </w:rPr>
              <w:t>indebtedness, and such portion of rental expense that can be demonstrated to be</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representative of the interest factor in the particular case.</w:t>
            </w: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47"/>
        </w:trPr>
        <w:tc>
          <w:tcPr>
            <w:tcW w:w="770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The following table sets forth the Company's consolidated ratios of earnings</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to fixed charges for the periods shown on a supplemental basis excluding</w:t>
            </w: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nonrecurring items:</w:t>
            </w: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694"/>
        </w:trPr>
        <w:tc>
          <w:tcPr>
            <w:tcW w:w="4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40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jc w:val="center"/>
              <w:ind w:left="45"/>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40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3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YEAR ENDED DECEMBER 31,</w:t>
            </w:r>
          </w:p>
        </w:tc>
        <w:tc>
          <w:tcPr>
            <w:tcW w:w="1020" w:type="dxa"/>
            <w:vAlign w:val="bottom"/>
          </w:tcPr>
          <w:p>
            <w:pPr>
              <w:spacing w:after="0"/>
              <w:rPr>
                <w:sz w:val="15"/>
                <w:szCs w:val="15"/>
                <w:color w:val="auto"/>
              </w:rPr>
            </w:pPr>
          </w:p>
        </w:tc>
        <w:tc>
          <w:tcPr>
            <w:tcW w:w="1620" w:type="dxa"/>
            <w:vAlign w:val="bottom"/>
          </w:tcPr>
          <w:p>
            <w:pPr>
              <w:jc w:val="center"/>
              <w:ind w:left="45"/>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4040" w:type="dxa"/>
            <w:vAlign w:val="bottom"/>
          </w:tcPr>
          <w:p>
            <w:pPr>
              <w:spacing w:after="0"/>
              <w:rPr>
                <w:sz w:val="15"/>
                <w:szCs w:val="15"/>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w:t>
            </w:r>
          </w:p>
        </w:tc>
        <w:tc>
          <w:tcPr>
            <w:tcW w:w="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040" w:type="dxa"/>
            <w:vAlign w:val="bottom"/>
          </w:tcPr>
          <w:p>
            <w:pPr>
              <w:spacing w:after="0"/>
              <w:rPr>
                <w:sz w:val="15"/>
                <w:szCs w:val="15"/>
                <w:color w:val="auto"/>
              </w:rPr>
            </w:pPr>
          </w:p>
        </w:tc>
        <w:tc>
          <w:tcPr>
            <w:tcW w:w="1540" w:type="dxa"/>
            <w:vAlign w:val="bottom"/>
          </w:tcPr>
          <w:p>
            <w:pPr>
              <w:jc w:val="right"/>
              <w:ind w:right="734"/>
              <w:spacing w:after="0"/>
              <w:rPr>
                <w:sz w:val="20"/>
                <w:szCs w:val="20"/>
                <w:color w:val="auto"/>
              </w:rPr>
            </w:pPr>
            <w:r>
              <w:rPr>
                <w:rFonts w:ascii="Courier New" w:cs="Courier New" w:eastAsia="Courier New" w:hAnsi="Courier New"/>
                <w:sz w:val="15"/>
                <w:szCs w:val="15"/>
                <w:color w:val="auto"/>
              </w:rPr>
              <w:t>1993</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1995</w:t>
            </w:r>
          </w:p>
        </w:tc>
        <w:tc>
          <w:tcPr>
            <w:tcW w:w="11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6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1998</w:t>
            </w:r>
          </w:p>
        </w:tc>
      </w:tr>
      <w:tr>
        <w:trPr>
          <w:trHeight w:val="347"/>
        </w:trPr>
        <w:tc>
          <w:tcPr>
            <w:tcW w:w="4040" w:type="dxa"/>
            <w:vAlign w:val="bottom"/>
          </w:tcPr>
          <w:p>
            <w:pPr>
              <w:spacing w:after="0"/>
              <w:rPr>
                <w:sz w:val="20"/>
                <w:szCs w:val="20"/>
                <w:color w:val="auto"/>
              </w:rPr>
            </w:pPr>
            <w:r>
              <w:rPr>
                <w:rFonts w:ascii="Courier New" w:cs="Courier New" w:eastAsia="Courier New" w:hAnsi="Courier New"/>
                <w:sz w:val="15"/>
                <w:szCs w:val="15"/>
                <w:color w:val="auto"/>
              </w:rPr>
              <w:t>Supplemental................................</w:t>
            </w:r>
          </w:p>
        </w:tc>
        <w:tc>
          <w:tcPr>
            <w:tcW w:w="1540" w:type="dxa"/>
            <w:vAlign w:val="bottom"/>
          </w:tcPr>
          <w:p>
            <w:pPr>
              <w:jc w:val="right"/>
              <w:ind w:right="374"/>
              <w:spacing w:after="0"/>
              <w:rPr>
                <w:sz w:val="20"/>
                <w:szCs w:val="20"/>
                <w:color w:val="auto"/>
              </w:rPr>
            </w:pPr>
            <w:r>
              <w:rPr>
                <w:rFonts w:ascii="Courier New" w:cs="Courier New" w:eastAsia="Courier New" w:hAnsi="Courier New"/>
                <w:sz w:val="15"/>
                <w:szCs w:val="15"/>
                <w:color w:val="auto"/>
              </w:rPr>
              <w:t>2.0x</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2.4x</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3.2x</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4.5x</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5.1x</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5.0x</w:t>
            </w:r>
          </w:p>
        </w:tc>
      </w:tr>
    </w:tbl>
    <w:p>
      <w:pPr>
        <w:spacing w:after="0" w:line="351" w:lineRule="exact"/>
        <w:rPr>
          <w:sz w:val="20"/>
          <w:szCs w:val="20"/>
          <w:color w:val="auto"/>
        </w:rPr>
      </w:pPr>
    </w:p>
    <w:p>
      <w:pPr>
        <w:ind w:right="4320" w:firstLine="361"/>
        <w:spacing w:after="0" w:line="244" w:lineRule="auto"/>
        <w:rPr>
          <w:sz w:val="20"/>
          <w:szCs w:val="20"/>
          <w:color w:val="auto"/>
        </w:rPr>
      </w:pPr>
      <w:r>
        <w:rPr>
          <w:rFonts w:ascii="Courier New" w:cs="Courier New" w:eastAsia="Courier New" w:hAnsi="Courier New"/>
          <w:sz w:val="15"/>
          <w:szCs w:val="15"/>
          <w:color w:val="auto"/>
        </w:rPr>
        <w:t>Nonrecurring items in 1997 represent merger costs, primarily related to the Company's merger with United Waste Systems, Inc. ("United") in August 1997, and unusual items, primarily related to the closure of two transfer stations in Minnesota, estimated losses related to the closure and abandonment of two landfills in Massachusetts, and various other terminated projects. Nonrecurring items in 1996 represent merger costs, primarily related to mergers with Sanifill, Inc. ("Sanifill") in August 1996 and Western Waste Industries ("Western") in May 1996,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Mexican operations, and various other terminated projects. Nonrecurring items in 1995 primarily represent merger costs related to the merger with Chambers Development Company, Inc. ("Chambers") in June 1995 and nonrecurring interest related to extension fees and other charges associated with the refinancing of</w:t>
      </w:r>
    </w:p>
    <w:p>
      <w:pPr>
        <w:spacing w:after="0" w:line="1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S-6</w:t>
      </w:r>
    </w:p>
    <w:p>
      <w:pPr>
        <w:sectPr>
          <w:pgSz w:w="11900" w:h="16838" w:orient="portrait"/>
          <w:cols w:equalWidth="0" w:num="1">
            <w:col w:w="11520"/>
          </w:cols>
          <w:pgMar w:left="240" w:top="464" w:right="139" w:bottom="1440" w:gutter="0" w:footer="0" w:header="0"/>
        </w:sectPr>
      </w:pPr>
    </w:p>
    <w:bookmarkStart w:id="6" w:name="page7"/>
    <w:bookmarkEnd w:id="6"/>
    <w:p>
      <w:pPr>
        <w:ind w:right="4400"/>
        <w:spacing w:after="0" w:line="244" w:lineRule="auto"/>
        <w:rPr>
          <w:sz w:val="20"/>
          <w:szCs w:val="20"/>
          <w:color w:val="auto"/>
        </w:rPr>
      </w:pPr>
      <w:r>
        <w:rPr>
          <w:rFonts w:ascii="Courier New" w:cs="Courier New" w:eastAsia="Courier New" w:hAnsi="Courier New"/>
          <w:sz w:val="15"/>
          <w:szCs w:val="15"/>
          <w:color w:val="auto"/>
        </w:rPr>
        <w:t>Chambers' pre-merger debt. Nonrecurring items in 1994 primarily represent shareholder litigation costs incurred in connection with a settled class action of consolidated suits on similar claims alleging federal securities law violations against Chambers, certain of its officers and directors, its former auditors, and the underwriters of its securities. Nonrecurring items in 1993 were not material.</w:t>
      </w:r>
    </w:p>
    <w:p>
      <w:pPr>
        <w:spacing w:after="0" w:line="177" w:lineRule="exact"/>
        <w:rPr>
          <w:sz w:val="20"/>
          <w:szCs w:val="20"/>
          <w:color w:val="auto"/>
        </w:rPr>
      </w:pPr>
    </w:p>
    <w:p>
      <w:pPr>
        <w:ind w:right="4680" w:firstLine="361"/>
        <w:spacing w:after="0" w:line="244" w:lineRule="auto"/>
        <w:rPr>
          <w:sz w:val="20"/>
          <w:szCs w:val="20"/>
          <w:color w:val="auto"/>
        </w:rPr>
      </w:pPr>
      <w:r>
        <w:rPr>
          <w:rFonts w:ascii="Courier New" w:cs="Courier New" w:eastAsia="Courier New" w:hAnsi="Courier New"/>
          <w:sz w:val="15"/>
          <w:szCs w:val="15"/>
          <w:color w:val="auto"/>
        </w:rPr>
        <w:t>The following table sets forth for the periods presented the ratios of earnings to fixed charges on a pro forma combined basis giving effect to the Merger and excluding nonrecurring items: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4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jc w:val="center"/>
              <w:ind w:left="45"/>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4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rPr>
              <w:t>YEAR ENDED DECEMBER 31,</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jc w:val="center"/>
              <w:ind w:left="45"/>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5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600" w:type="dxa"/>
            <w:vAlign w:val="bottom"/>
          </w:tcPr>
          <w:p>
            <w:pPr>
              <w:spacing w:after="0"/>
              <w:rPr>
                <w:sz w:val="15"/>
                <w:szCs w:val="15"/>
                <w:color w:val="auto"/>
              </w:rPr>
            </w:pP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6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1998</w:t>
            </w:r>
          </w:p>
        </w:tc>
      </w:tr>
      <w:tr>
        <w:trPr>
          <w:trHeight w:val="347"/>
        </w:trPr>
        <w:tc>
          <w:tcPr>
            <w:tcW w:w="478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99"/>
              </w:rPr>
              <w:t>Pro Forma Combined..........................</w:t>
            </w:r>
          </w:p>
        </w:tc>
        <w:tc>
          <w:tcPr>
            <w:tcW w:w="116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4"/>
              </w:rPr>
              <w:t>3.5x</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3.1x</w:t>
            </w:r>
          </w:p>
        </w:tc>
        <w:tc>
          <w:tcPr>
            <w:tcW w:w="116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4"/>
              </w:rPr>
              <w:t>3.3x</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3.1x</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2.7x</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3.0x</w:t>
            </w:r>
          </w:p>
        </w:tc>
      </w:tr>
    </w:tbl>
    <w:p>
      <w:pPr>
        <w:spacing w:after="0" w:line="35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 addition to the nonrecurring items discussed above, the pro forma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ratios of earnings to fixed charges exclude asset impairment losses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$1,480,262,000 and special charges of $145,990,000 for the year ended December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1997, asset impairment losses of $64,729,000 and special charges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$370,735,000 for the year ended December 31, 1996, asset impairment losses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$53,772,000 and special charges of $335,587,000 for the year ended December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asset impairment losses of $33,970,000 for the year ended December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and asset impairment losses of $29,009,000 and special charges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$524,767,000 for the year ended December 31, 1993.</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S-7</w:t>
      </w:r>
    </w:p>
    <w:p>
      <w:pPr>
        <w:sectPr>
          <w:pgSz w:w="11900" w:h="16838" w:orient="portrait"/>
          <w:cols w:equalWidth="0" w:num="1">
            <w:col w:w="11520"/>
          </w:cols>
          <w:pgMar w:left="240" w:top="465" w:right="139" w:bottom="1440" w:gutter="0" w:footer="0" w:header="0"/>
        </w:sectPr>
      </w:pPr>
    </w:p>
    <w:bookmarkStart w:id="7" w:name="page8"/>
    <w:bookmarkEnd w:id="7"/>
    <w:p>
      <w:pPr>
        <w:jc w:val="center"/>
        <w:ind w:right="3019"/>
        <w:spacing w:after="0"/>
        <w:rPr>
          <w:sz w:val="20"/>
          <w:szCs w:val="20"/>
          <w:color w:val="auto"/>
        </w:rPr>
      </w:pPr>
      <w:r>
        <w:rPr>
          <w:rFonts w:ascii="Courier New" w:cs="Courier New" w:eastAsia="Courier New" w:hAnsi="Courier New"/>
          <w:sz w:val="15"/>
          <w:szCs w:val="15"/>
          <w:color w:val="auto"/>
        </w:rPr>
        <w:t>CAPITALIZATION</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table sets forth the (i) actual consolidated cash and cash equivalents and capitalization of the Company as of March 31, 1998; (ii) the consolidated cash and cash equivalents and capitalization, as adjusted to give effect to this Offering and the 2011 Notes Offering and the anticipated application of the aggregate net proceeds of $1,183.6 million; and (iii) the pro forma combined cash and cash equivalents and capitalization of the Company and Waste Management as of March 31, 1998, giving effect to the Merger and as adjusted in (ii) above for this Offering and the 2011 Notes Offering. See "Use of Proceeds."</w:t>
      </w:r>
    </w:p>
    <w:p>
      <w:pPr>
        <w:spacing w:after="0" w:line="179"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The pro forma as adjusted combined cash and cash equivalents and capitalization reflects the sale of 20 million shares of Waste Management Common Stock that occurred June 15, 1998. For the purposes of this table, net proceeds from the Waste Management Common Stock offering were assumed to have been $614.4 million, as discussed in the pro forma financial information provided herein. The actual proceeds from the Waste Management Common Stock offering did not differ materially from the amounts assumed. A portion of the proceeds from the Waste Management Common Stock offering were used to reduce Waste Management's obligations to former stockholders of Wheelabrator Technologies, Inc. ("WTI").</w:t>
      </w:r>
    </w:p>
    <w:p>
      <w:pPr>
        <w:spacing w:after="0" w:line="164"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This table should be read in conjunction with and is qualified by reference to the Company's Consolidated Financial Statements and Notes thereto and the USA Waste and Waste Management Combined Unaudited Pro Forma Condensed Financial Statements included or incorporated by reference in this Prospectus Supplement and the accompanying Prospectus.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AS OF MARCH 31, 1998</w:t>
            </w:r>
          </w:p>
        </w:tc>
      </w:tr>
      <w:tr>
        <w:trPr>
          <w:trHeight w:val="173"/>
        </w:trPr>
        <w:tc>
          <w:tcPr>
            <w:tcW w:w="5940" w:type="dxa"/>
            <w:vAlign w:val="bottom"/>
          </w:tcPr>
          <w:p>
            <w:pPr>
              <w:spacing w:after="0"/>
              <w:rPr>
                <w:sz w:val="15"/>
                <w:szCs w:val="15"/>
                <w:color w:val="auto"/>
              </w:rPr>
            </w:pPr>
          </w:p>
        </w:tc>
        <w:tc>
          <w:tcPr>
            <w:tcW w:w="42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6"/>
              </w:rPr>
              <w:t>COMPANY AND</w:t>
            </w:r>
          </w:p>
        </w:tc>
      </w:tr>
      <w:tr>
        <w:trPr>
          <w:trHeight w:val="173"/>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WASTE MANAGEMENT</w:t>
            </w:r>
          </w:p>
        </w:tc>
      </w:tr>
      <w:tr>
        <w:trPr>
          <w:trHeight w:val="173"/>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18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COMPANY</w:t>
            </w:r>
          </w:p>
        </w:tc>
        <w:tc>
          <w:tcPr>
            <w:tcW w:w="18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PRO FORMA COMBINED</w:t>
            </w:r>
          </w:p>
        </w:tc>
      </w:tr>
      <w:tr>
        <w:trPr>
          <w:trHeight w:val="173"/>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AS ADJUSTED</w:t>
            </w:r>
          </w:p>
        </w:tc>
        <w:tc>
          <w:tcPr>
            <w:tcW w:w="400" w:type="dxa"/>
            <w:vAlign w:val="bottom"/>
          </w:tcPr>
          <w:p>
            <w:pPr>
              <w:spacing w:after="0"/>
              <w:rPr>
                <w:sz w:val="15"/>
                <w:szCs w:val="15"/>
                <w:color w:val="auto"/>
              </w:rPr>
            </w:pP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6"/>
              </w:rPr>
              <w:t>AS ADJUSTED</w:t>
            </w:r>
          </w:p>
        </w:tc>
      </w:tr>
      <w:tr>
        <w:trPr>
          <w:trHeight w:val="173"/>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1440" w:type="dxa"/>
            <w:vAlign w:val="bottom"/>
          </w:tcPr>
          <w:p>
            <w:pPr>
              <w:spacing w:after="0"/>
              <w:rPr>
                <w:sz w:val="15"/>
                <w:szCs w:val="15"/>
                <w:color w:val="auto"/>
              </w:rPr>
            </w:pPr>
          </w:p>
        </w:tc>
      </w:tr>
      <w:tr>
        <w:trPr>
          <w:trHeight w:val="347"/>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Cash and cash equivalents........................................</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46,260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46,260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358,121</w:t>
            </w:r>
          </w:p>
        </w:tc>
      </w:tr>
      <w:tr>
        <w:trPr>
          <w:trHeight w:val="173"/>
        </w:trPr>
        <w:tc>
          <w:tcPr>
            <w:tcW w:w="594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 maturities):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Credit facility................................................</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1,333,000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149,400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329,400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Commercial paper...............................................</w:t>
            </w:r>
          </w:p>
        </w:tc>
        <w:tc>
          <w:tcPr>
            <w:tcW w:w="28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427,595</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Obligation to former WTI stockholders..........................</w:t>
            </w:r>
          </w:p>
        </w:tc>
        <w:tc>
          <w:tcPr>
            <w:tcW w:w="28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261,832</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Existing Notes and debentures..................................</w:t>
            </w:r>
          </w:p>
        </w:tc>
        <w:tc>
          <w:tcPr>
            <w:tcW w:w="2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1,091,240</w:t>
            </w:r>
          </w:p>
        </w:tc>
        <w:tc>
          <w:tcPr>
            <w:tcW w:w="180" w:type="dxa"/>
            <w:vAlign w:val="bottom"/>
          </w:tcPr>
          <w:p>
            <w:pPr>
              <w:spacing w:after="0"/>
              <w:rPr>
                <w:sz w:val="15"/>
                <w:szCs w:val="15"/>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1,091,240</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4,774,495</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 Senior Notes due 2028.......................................</w:t>
            </w:r>
          </w:p>
        </w:tc>
        <w:tc>
          <w:tcPr>
            <w:tcW w:w="28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600,000</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600,000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 1/8% Mandatorily Tendered Senior Notes due 2011..............</w:t>
            </w:r>
          </w:p>
        </w:tc>
        <w:tc>
          <w:tcPr>
            <w:tcW w:w="28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600,000</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600,000</w:t>
            </w:r>
          </w:p>
        </w:tc>
      </w:tr>
      <w:tr>
        <w:trPr>
          <w:trHeight w:val="173"/>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Convertible subordinated notes and other</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subordinated notes...........................................</w:t>
            </w:r>
          </w:p>
        </w:tc>
        <w:tc>
          <w:tcPr>
            <w:tcW w:w="2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799,775</w:t>
            </w:r>
          </w:p>
        </w:tc>
        <w:tc>
          <w:tcPr>
            <w:tcW w:w="180" w:type="dxa"/>
            <w:vAlign w:val="bottom"/>
          </w:tcPr>
          <w:p>
            <w:pPr>
              <w:spacing w:after="0"/>
              <w:rPr>
                <w:sz w:val="15"/>
                <w:szCs w:val="15"/>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799,775</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1,249,312</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WTI project debt...............................................</w:t>
            </w:r>
          </w:p>
        </w:tc>
        <w:tc>
          <w:tcPr>
            <w:tcW w:w="28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784,146</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407,399</w:t>
            </w:r>
          </w:p>
        </w:tc>
        <w:tc>
          <w:tcPr>
            <w:tcW w:w="180" w:type="dxa"/>
            <w:vAlign w:val="bottom"/>
          </w:tcPr>
          <w:p>
            <w:pPr>
              <w:spacing w:after="0"/>
              <w:rPr>
                <w:sz w:val="15"/>
                <w:szCs w:val="15"/>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407,399</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1,306,683</w:t>
            </w:r>
          </w:p>
        </w:tc>
      </w:tr>
      <w:tr>
        <w:trPr>
          <w:trHeight w:val="173"/>
        </w:trPr>
        <w:tc>
          <w:tcPr>
            <w:tcW w:w="594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Total long-term debt, including</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w:t>
            </w:r>
          </w:p>
        </w:tc>
        <w:tc>
          <w:tcPr>
            <w:tcW w:w="2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3,631,414</w:t>
            </w:r>
          </w:p>
        </w:tc>
        <w:tc>
          <w:tcPr>
            <w:tcW w:w="180" w:type="dxa"/>
            <w:vAlign w:val="bottom"/>
          </w:tcPr>
          <w:p>
            <w:pPr>
              <w:spacing w:after="0"/>
              <w:rPr>
                <w:sz w:val="15"/>
                <w:szCs w:val="15"/>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3,647,814</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10,333,463</w:t>
            </w:r>
          </w:p>
        </w:tc>
      </w:tr>
      <w:tr>
        <w:trPr>
          <w:trHeight w:val="173"/>
        </w:trPr>
        <w:tc>
          <w:tcPr>
            <w:tcW w:w="594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10,000,000 shares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none issued......................................</w:t>
            </w:r>
          </w:p>
        </w:tc>
        <w:tc>
          <w:tcPr>
            <w:tcW w:w="28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44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Common stock, 500,000,000 shares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authorized, 219,834,550 shares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(572,269,938 pro forma</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shares) issued...............................................</w:t>
            </w:r>
          </w:p>
        </w:tc>
        <w:tc>
          <w:tcPr>
            <w:tcW w:w="2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2,198</w:t>
            </w:r>
          </w:p>
        </w:tc>
        <w:tc>
          <w:tcPr>
            <w:tcW w:w="180" w:type="dxa"/>
            <w:vAlign w:val="bottom"/>
          </w:tcPr>
          <w:p>
            <w:pPr>
              <w:spacing w:after="0"/>
              <w:rPr>
                <w:sz w:val="15"/>
                <w:szCs w:val="15"/>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2,198</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5,723</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2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2,436,447</w:t>
            </w:r>
          </w:p>
        </w:tc>
        <w:tc>
          <w:tcPr>
            <w:tcW w:w="180" w:type="dxa"/>
            <w:vAlign w:val="bottom"/>
          </w:tcPr>
          <w:p>
            <w:pPr>
              <w:spacing w:after="0"/>
              <w:rPr>
                <w:sz w:val="15"/>
                <w:szCs w:val="15"/>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2,436,447</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3,267,468</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Retained earnings..............................................</w:t>
            </w:r>
          </w:p>
        </w:tc>
        <w:tc>
          <w:tcPr>
            <w:tcW w:w="2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374,459</w:t>
            </w:r>
          </w:p>
        </w:tc>
        <w:tc>
          <w:tcPr>
            <w:tcW w:w="180" w:type="dxa"/>
            <w:vAlign w:val="bottom"/>
          </w:tcPr>
          <w:p>
            <w:pPr>
              <w:spacing w:after="0"/>
              <w:rPr>
                <w:sz w:val="15"/>
                <w:szCs w:val="15"/>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374,459</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2,033,929</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other comprehensive income.........................</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(37,498)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(37,498)</w:t>
            </w:r>
          </w:p>
        </w:tc>
        <w:tc>
          <w:tcPr>
            <w:tcW w:w="400" w:type="dxa"/>
            <w:vAlign w:val="bottom"/>
          </w:tcPr>
          <w:p>
            <w:pPr>
              <w:spacing w:after="0"/>
              <w:rPr>
                <w:sz w:val="15"/>
                <w:szCs w:val="15"/>
                <w:color w:val="auto"/>
              </w:rPr>
            </w:pP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(316,298)</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Treasury stock.................................................</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c>
          <w:tcPr>
            <w:tcW w:w="400" w:type="dxa"/>
            <w:vAlign w:val="bottom"/>
          </w:tcPr>
          <w:p>
            <w:pPr>
              <w:spacing w:after="0"/>
              <w:rPr>
                <w:sz w:val="15"/>
                <w:szCs w:val="15"/>
                <w:color w:val="auto"/>
              </w:rPr>
            </w:pP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(484)</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Restricted stock unearned compensation.........................</w:t>
            </w:r>
          </w:p>
        </w:tc>
        <w:tc>
          <w:tcPr>
            <w:tcW w:w="28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(10,252)</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Employee stock benefit trust...................................</w:t>
            </w:r>
          </w:p>
        </w:tc>
        <w:tc>
          <w:tcPr>
            <w:tcW w:w="28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(335,436)</w:t>
            </w:r>
          </w:p>
        </w:tc>
      </w:tr>
      <w:tr>
        <w:trPr>
          <w:trHeight w:val="173"/>
        </w:trPr>
        <w:tc>
          <w:tcPr>
            <w:tcW w:w="594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2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2,775,122</w:t>
            </w:r>
          </w:p>
        </w:tc>
        <w:tc>
          <w:tcPr>
            <w:tcW w:w="180" w:type="dxa"/>
            <w:vAlign w:val="bottom"/>
          </w:tcPr>
          <w:p>
            <w:pPr>
              <w:spacing w:after="0"/>
              <w:rPr>
                <w:sz w:val="15"/>
                <w:szCs w:val="15"/>
                <w:color w:val="auto"/>
              </w:rPr>
            </w:pP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2,775,122</w:t>
            </w:r>
          </w:p>
        </w:tc>
        <w:tc>
          <w:tcPr>
            <w:tcW w:w="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4,644,650</w:t>
            </w:r>
          </w:p>
        </w:tc>
      </w:tr>
      <w:tr>
        <w:trPr>
          <w:trHeight w:val="173"/>
        </w:trPr>
        <w:tc>
          <w:tcPr>
            <w:tcW w:w="594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capitalization.........................................</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6,406,536</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$ 6,422,936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14,978,113</w:t>
            </w:r>
          </w:p>
        </w:tc>
      </w:tr>
      <w:tr>
        <w:trPr>
          <w:trHeight w:val="173"/>
        </w:trPr>
        <w:tc>
          <w:tcPr>
            <w:tcW w:w="594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5940" w:type="dxa"/>
            <w:vAlign w:val="bottom"/>
          </w:tcPr>
          <w:p>
            <w:pPr>
              <w:jc w:val="right"/>
              <w:ind w:right="2185"/>
              <w:spacing w:after="0"/>
              <w:rPr>
                <w:sz w:val="20"/>
                <w:szCs w:val="20"/>
                <w:color w:val="auto"/>
              </w:rPr>
            </w:pPr>
            <w:r>
              <w:rPr>
                <w:rFonts w:ascii="Courier New" w:cs="Courier New" w:eastAsia="Courier New" w:hAnsi="Courier New"/>
                <w:sz w:val="15"/>
                <w:szCs w:val="15"/>
                <w:color w:val="auto"/>
              </w:rPr>
              <w:t>S-8</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219"/>
          </w:cols>
          <w:pgMar w:left="240" w:top="464" w:right="1440" w:bottom="1440" w:gutter="0" w:footer="0" w:header="0"/>
        </w:sectPr>
      </w:pPr>
    </w:p>
    <w:bookmarkStart w:id="8" w:name="page9"/>
    <w:bookmarkEnd w:id="8"/>
    <w:p>
      <w:pPr>
        <w:jc w:val="center"/>
        <w:ind w:right="3019"/>
        <w:spacing w:after="0"/>
        <w:rPr>
          <w:sz w:val="20"/>
          <w:szCs w:val="20"/>
          <w:color w:val="auto"/>
        </w:rPr>
      </w:pPr>
      <w:r>
        <w:rPr>
          <w:rFonts w:ascii="Courier New" w:cs="Courier New" w:eastAsia="Courier New" w:hAnsi="Courier New"/>
          <w:sz w:val="15"/>
          <w:szCs w:val="15"/>
          <w:color w:val="auto"/>
        </w:rPr>
        <w:t>SELECTED HISTORICAL AND SUMMARY COMBINED UNAUDITED PRO FORMA</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CONDENSED FINANCIAL INFORMATION</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selected historical financial information of USA Waste for each of the five years in the period ended December 31, 1997 has been derived from its audited historical financial statements. The following selected historical financial information of USA Waste as of and for the three months ended March 31, 1997 and 1998 has been derived from its unaudited historical financial statements and reflects all adjustments management considers necessary for a fair presentation of the financial position and results of operations for these periods. The selected historical financial information should be read in conjunction with the historical financial statements and notes thereto incorporated by reference in this Prospectus Supplement and the accompanying Prospectus.</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summary combined unaudited pro forma condensed financial information is derived from the combined unaudited pro forma condensed financial statements, appearing elsewhere herein, which give effect to the Merger by combining the results of operations of USA Waste and Waste Management using the pooling of interests method of accounting as if the Merger had been consummated as of the beginning of the periods presented and as if Waste Management had issued 20 million shares of Waste Management Common Stock as of March 31, 1998, and should be read in conjunction with such pro forma financial statements and notes thereto included in this Prospectus Supplement. The combined unaudited pro forma condensed financial statements as of March 31, 1998 and for the years ended December 31, 1995, 1996 and 1997 and the three months ended March 31, 1998 were prepared based on the respective historical financial statements of USA Waste and Waste Management.</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combined unaudited pro forma condensed financial information is presented for illustrative purposes only and is not necessarily indicative of the operating results or financial position that would have been achieved had the Merger been consummated as of the beginning of the periods presented, nor is it necessarily indicative of the future operating results or financial position of New Waste Management. The combined unaudited pro forma condensed financial information does not give effect to any possible divestitures of business units (including those which may be required by the antitrust regulatory authorities) or to any cost savings which may result from the integration of USA Waste's and Waste Management's operations nor does such information include the nonrecurring costs directly related to the Merger which are expected to be included in operations of New Waste Management within the 12 months following the Merger. Such nonrecurring costs have yet to be determined; however, such costs are expected to be significant.</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S-9</w:t>
      </w:r>
    </w:p>
    <w:p>
      <w:pPr>
        <w:sectPr>
          <w:pgSz w:w="11900" w:h="16838" w:orient="portrait"/>
          <w:cols w:equalWidth="0" w:num="1">
            <w:col w:w="10219"/>
          </w:cols>
          <w:pgMar w:left="240" w:top="464"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55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USA WASTE SELECTED HISTORICAL FINANCIAL DATA</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94"/>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640"/>
              <w:spacing w:after="0"/>
              <w:rPr>
                <w:sz w:val="20"/>
                <w:szCs w:val="20"/>
                <w:color w:val="auto"/>
              </w:rPr>
            </w:pPr>
            <w:r>
              <w:rPr>
                <w:rFonts w:ascii="Courier New" w:cs="Courier New" w:eastAsia="Courier New" w:hAnsi="Courier New"/>
                <w:sz w:val="15"/>
                <w:szCs w:val="15"/>
                <w:color w:val="auto"/>
                <w:w w:val="93"/>
              </w:rPr>
              <w:t>ENDED</w:t>
            </w:r>
          </w:p>
        </w:tc>
        <w:tc>
          <w:tcPr>
            <w:tcW w:w="920" w:type="dxa"/>
            <w:vAlign w:val="bottom"/>
          </w:tcPr>
          <w:p>
            <w:pPr>
              <w:spacing w:after="0"/>
              <w:rPr>
                <w:sz w:val="15"/>
                <w:szCs w:val="15"/>
                <w:color w:val="auto"/>
              </w:rPr>
            </w:pPr>
          </w:p>
        </w:tc>
      </w:tr>
      <w:tr>
        <w:trPr>
          <w:trHeight w:val="173"/>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gridSpan w:val="5"/>
          </w:tcPr>
          <w:p>
            <w:pPr>
              <w:jc w:val="right"/>
              <w:ind w:right="605"/>
              <w:spacing w:after="0"/>
              <w:rPr>
                <w:sz w:val="20"/>
                <w:szCs w:val="20"/>
                <w:color w:val="auto"/>
              </w:rPr>
            </w:pPr>
            <w:r>
              <w:rPr>
                <w:rFonts w:ascii="Courier New" w:cs="Courier New" w:eastAsia="Courier New" w:hAnsi="Courier New"/>
                <w:sz w:val="15"/>
                <w:szCs w:val="15"/>
                <w:color w:val="auto"/>
              </w:rPr>
              <w:t>YEAR ENDED DECEMBER 31,</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w:t>
            </w:r>
          </w:p>
        </w:tc>
      </w:tr>
      <w:tr>
        <w:trPr>
          <w:trHeight w:val="173"/>
        </w:trPr>
        <w:tc>
          <w:tcPr>
            <w:tcW w:w="324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4"/>
                <w:szCs w:val="4"/>
                <w:color w:val="auto"/>
                <w:w w:val="73"/>
              </w:rPr>
              <w: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12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1993</w:t>
            </w:r>
          </w:p>
        </w:tc>
        <w:tc>
          <w:tcPr>
            <w:tcW w:w="140" w:type="dxa"/>
            <w:vAlign w:val="bottom"/>
          </w:tcPr>
          <w:p>
            <w:pPr>
              <w:spacing w:after="0"/>
              <w:rPr>
                <w:sz w:val="15"/>
                <w:szCs w:val="15"/>
                <w:color w:val="auto"/>
              </w:rPr>
            </w:pP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1994</w:t>
            </w:r>
          </w:p>
        </w:tc>
        <w:tc>
          <w:tcPr>
            <w:tcW w:w="140" w:type="dxa"/>
            <w:vAlign w:val="bottom"/>
          </w:tcPr>
          <w:p>
            <w:pPr>
              <w:spacing w:after="0"/>
              <w:rPr>
                <w:sz w:val="15"/>
                <w:szCs w:val="15"/>
                <w:color w:val="auto"/>
              </w:rPr>
            </w:pP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1995</w:t>
            </w:r>
          </w:p>
        </w:tc>
        <w:tc>
          <w:tcPr>
            <w:tcW w:w="140" w:type="dxa"/>
            <w:vAlign w:val="bottom"/>
          </w:tcPr>
          <w:p>
            <w:pPr>
              <w:spacing w:after="0"/>
              <w:rPr>
                <w:sz w:val="15"/>
                <w:szCs w:val="15"/>
                <w:color w:val="auto"/>
              </w:rPr>
            </w:pPr>
          </w:p>
        </w:tc>
        <w:tc>
          <w:tcPr>
            <w:tcW w:w="96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1996</w:t>
            </w:r>
          </w:p>
        </w:tc>
        <w:tc>
          <w:tcPr>
            <w:tcW w:w="120" w:type="dxa"/>
            <w:vAlign w:val="bottom"/>
          </w:tcPr>
          <w:p>
            <w:pPr>
              <w:spacing w:after="0"/>
              <w:rPr>
                <w:sz w:val="15"/>
                <w:szCs w:val="15"/>
                <w:color w:val="auto"/>
              </w:rPr>
            </w:pPr>
          </w:p>
        </w:tc>
        <w:tc>
          <w:tcPr>
            <w:tcW w:w="96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1997</w:t>
            </w:r>
          </w:p>
        </w:tc>
        <w:tc>
          <w:tcPr>
            <w:tcW w:w="120" w:type="dxa"/>
            <w:vAlign w:val="bottom"/>
          </w:tcPr>
          <w:p>
            <w:pPr>
              <w:spacing w:after="0"/>
              <w:rPr>
                <w:sz w:val="15"/>
                <w:szCs w:val="15"/>
                <w:color w:val="auto"/>
              </w:rPr>
            </w:pPr>
          </w:p>
        </w:tc>
        <w:tc>
          <w:tcPr>
            <w:tcW w:w="96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1997</w:t>
            </w:r>
          </w:p>
        </w:tc>
        <w:tc>
          <w:tcPr>
            <w:tcW w:w="120" w:type="dxa"/>
            <w:vAlign w:val="bottom"/>
          </w:tcPr>
          <w:p>
            <w:pPr>
              <w:spacing w:after="0"/>
              <w:rPr>
                <w:sz w:val="15"/>
                <w:szCs w:val="15"/>
                <w:color w:val="auto"/>
              </w:rPr>
            </w:pPr>
          </w:p>
        </w:tc>
        <w:tc>
          <w:tcPr>
            <w:tcW w:w="9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1998</w:t>
            </w:r>
          </w:p>
        </w:tc>
      </w:tr>
      <w:tr>
        <w:trPr>
          <w:trHeight w:val="347"/>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7"/>
          </w:tcPr>
          <w:p>
            <w:pPr>
              <w:jc w:val="right"/>
              <w:ind w:right="345"/>
              <w:spacing w:after="0"/>
              <w:rPr>
                <w:sz w:val="20"/>
                <w:szCs w:val="20"/>
                <w:color w:val="auto"/>
              </w:rPr>
            </w:pPr>
            <w:r>
              <w:rPr>
                <w:rFonts w:ascii="Courier New" w:cs="Courier New" w:eastAsia="Courier New" w:hAnsi="Courier New"/>
                <w:sz w:val="15"/>
                <w:szCs w:val="15"/>
                <w:color w:val="auto"/>
              </w:rPr>
              <w:t>(IN THOUSANDS, EXCEPT PER SHARE AMOUNTS)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887,972</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$1,043,687</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$1,216,082</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$1,649,131</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$2,613,768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460,484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769,440</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shown below)...................</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514,483</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596,868</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672,117</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881,401</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1,345,769</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241,318</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397,492</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144,623</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159,097</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169,686</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200,101</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284,946</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53,677</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81,916</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108,024</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127,108</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143,878</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191,044</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303,241</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56,178</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86,110</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3,782</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26,539</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126,626</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109,411</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1,996</w:t>
            </w:r>
          </w:p>
        </w:tc>
        <w:tc>
          <w:tcPr>
            <w:tcW w:w="120" w:type="dxa"/>
            <w:vAlign w:val="bottom"/>
          </w:tcPr>
          <w:p>
            <w:pPr>
              <w:spacing w:after="0"/>
              <w:rPr>
                <w:sz w:val="15"/>
                <w:szCs w:val="15"/>
                <w:color w:val="auto"/>
              </w:rPr>
            </w:pPr>
          </w:p>
        </w:tc>
        <w:tc>
          <w:tcPr>
            <w:tcW w:w="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2,672</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8,863</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4,733</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63,800</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24,720</w:t>
            </w:r>
          </w:p>
        </w:tc>
        <w:tc>
          <w:tcPr>
            <w:tcW w:w="12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769,802</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895,718</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1,016,953</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1,462,972</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2,068,087</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353,169</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565,518</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118,170</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147,969</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199,129</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186,159</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545,681</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107,315</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203,922</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Other income (expenses):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Shareholder litigation settlement</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ind w:left="360"/>
              <w:spacing w:after="0"/>
              <w:rPr>
                <w:sz w:val="20"/>
                <w:szCs w:val="20"/>
                <w:color w:val="auto"/>
              </w:rPr>
            </w:pPr>
            <w:r>
              <w:rPr>
                <w:rFonts w:ascii="Courier New" w:cs="Courier New" w:eastAsia="Courier New" w:hAnsi="Courier New"/>
                <w:sz w:val="15"/>
                <w:szCs w:val="15"/>
                <w:color w:val="auto"/>
              </w:rPr>
              <w:t>and other litigation related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costs..........................</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(5,500)</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(79,400)</w:t>
            </w:r>
          </w:p>
        </w:tc>
        <w:tc>
          <w:tcPr>
            <w:tcW w:w="140" w:type="dxa"/>
            <w:vAlign w:val="bottom"/>
          </w:tcPr>
          <w:p>
            <w:pPr>
              <w:spacing w:after="0"/>
              <w:rPr>
                <w:sz w:val="15"/>
                <w:szCs w:val="15"/>
                <w:color w:val="auto"/>
              </w:rPr>
            </w:pPr>
          </w:p>
        </w:tc>
        <w:tc>
          <w:tcPr>
            <w:tcW w:w="9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w:t>
            </w:r>
          </w:p>
        </w:tc>
        <w:tc>
          <w:tcPr>
            <w:tcW w:w="18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(1,254)</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(10,994)</w:t>
            </w:r>
          </w:p>
        </w:tc>
        <w:tc>
          <w:tcPr>
            <w:tcW w:w="14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(50,737)</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(54,102)</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(58,619)</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(60,497)</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(104,261)</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(16,098)</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(38,368)</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5,072</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5,085</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6,682</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6,699</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7,634</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2,053</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1,799</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1,749</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2,629</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4,891</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6,376</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14,213</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3,646</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34,251</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(49,416)</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(127,042)</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(58,040)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(47,422)</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(82,414)</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(10,399)</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(2,318)</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68,754</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20,927</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141,089</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138,737</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463,267</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96,916</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201,604</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29,170</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8,959</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60,313</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70,398</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189,944</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38,954</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80,642</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before extraordinary item...</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39,584</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11,968</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80,776</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68,339</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273,323</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57,962</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120,962</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Extraordinary item related to early</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retirement of debt, net of</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(6,293)</w:t>
            </w:r>
          </w:p>
        </w:tc>
        <w:tc>
          <w:tcPr>
            <w:tcW w:w="12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39,584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11,968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80,776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68,339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267,030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57,962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120,962</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Income before extraordinary</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item...........................</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0.56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12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0.56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Income before extraordinary</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item...........................</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0.54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12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0.54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Dividends per common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15"/>
                <w:szCs w:val="15"/>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SHEET DATA (AT END OF</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PERIOD):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Working capital....................</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37,565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26,134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31,842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86,736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148,997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177,910</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Intangible assets, net.............</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196,353</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250,551</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433,944</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804,251</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1,645,985</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1,110,900</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2,031,811</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Total assets.......................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1,617,422</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1,833,099</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2,455,102</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3,631,547</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6,622,845</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4,591,544</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7,589,405</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maturities.......................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711,014</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759,123</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909,050</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1,504,888</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2,763,729</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1,732,825</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3,631,414</w:t>
            </w:r>
          </w:p>
        </w:tc>
      </w:tr>
      <w:tr>
        <w:trPr>
          <w:trHeight w:val="173"/>
        </w:trPr>
        <w:tc>
          <w:tcPr>
            <w:tcW w:w="32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Stockholders' equity...............</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623,510</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688,603</w:t>
            </w:r>
          </w:p>
        </w:tc>
        <w:tc>
          <w:tcPr>
            <w:tcW w:w="14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1,149,885</w:t>
            </w:r>
          </w:p>
        </w:tc>
        <w:tc>
          <w:tcPr>
            <w:tcW w:w="14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1,473,990</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2,628,976</w:t>
            </w:r>
          </w:p>
        </w:tc>
        <w:tc>
          <w:tcPr>
            <w:tcW w:w="1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2,118,698</w:t>
            </w:r>
          </w:p>
        </w:tc>
        <w:tc>
          <w:tcPr>
            <w:tcW w:w="12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2,775,122</w:t>
            </w:r>
          </w:p>
        </w:tc>
      </w:tr>
      <w:tr>
        <w:trPr>
          <w:trHeight w:val="520"/>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S-10</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820"/>
          </w:cols>
          <w:pgMar w:left="240" w:top="464" w:right="839" w:bottom="1440" w:gutter="0" w:footer="0" w:header="0"/>
        </w:sectPr>
      </w:pPr>
    </w:p>
    <w:bookmarkStart w:id="10" w:name="page11"/>
    <w:bookmarkEnd w:id="10"/>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368" w:right="3199" w:hanging="368"/>
        <w:spacing w:after="0" w:line="244" w:lineRule="auto"/>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of operations in 1997 include charges for merger costs that primarily related to a pooling of interests with United and unusual items for the closure and abandonment of certain landfills and transfer stations and reserves for various other terminated projects.</w:t>
      </w:r>
    </w:p>
    <w:p>
      <w:pPr>
        <w:spacing w:after="0" w:line="175"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1996, USA Waste recorded merger costs primarily related to its poolings of interests with Western and Sanifill,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certain operations in Mexico, and various other terminated projects.</w:t>
      </w:r>
    </w:p>
    <w:p>
      <w:pPr>
        <w:spacing w:after="0" w:line="178" w:lineRule="exact"/>
        <w:rPr>
          <w:rFonts w:ascii="Courier New" w:cs="Courier New" w:eastAsia="Courier New" w:hAnsi="Courier New"/>
          <w:sz w:val="15"/>
          <w:szCs w:val="15"/>
          <w:color w:val="auto"/>
        </w:rPr>
      </w:pPr>
    </w:p>
    <w:p>
      <w:pPr>
        <w:ind w:left="368" w:right="3379" w:hanging="368"/>
        <w:spacing w:after="0" w:line="244" w:lineRule="auto"/>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Waste's results of operations in 1995 include merger costs primarily related to its merger with Chambers and nonrecurring interest related to extension fees and other charges associated with the refinancing of Chambers' pre-merger debt.</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1994 results of operations include nonrecurring charges primarily related to shareholder litigation costs incurred in connection with a settled class action of consolidated suits on similar claims alleging federal securities law violations against Chambers, certain of its officers and directors, its former auditors, and the underwriters of its securities.</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S-11</w:t>
      </w:r>
    </w:p>
    <w:p>
      <w:pPr>
        <w:sectPr>
          <w:pgSz w:w="11900" w:h="16838" w:orient="portrait"/>
          <w:cols w:equalWidth="0" w:num="1">
            <w:col w:w="10227"/>
          </w:cols>
          <w:pgMar w:left="232" w:top="464" w:right="1440" w:bottom="1440" w:gutter="0" w:footer="0" w:header="0"/>
        </w:sectPr>
      </w:pPr>
    </w:p>
    <w:bookmarkStart w:id="11" w:name="page12"/>
    <w:bookmarkEnd w:id="11"/>
    <w:p>
      <w:pPr>
        <w:jc w:val="center"/>
        <w:ind w:right="3019"/>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SUMMARY COMBINED UNAUDITED PRO FORMA CONDENSED FINANCIAL INFORMATION</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4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4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MARCH 31</w:t>
            </w:r>
          </w:p>
        </w:tc>
      </w:tr>
      <w:tr>
        <w:trPr>
          <w:trHeight w:val="173"/>
        </w:trPr>
        <w:tc>
          <w:tcPr>
            <w:tcW w:w="478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6"/>
                <w:szCs w:val="6"/>
                <w:color w:val="auto"/>
                <w:w w:val="82"/>
              </w:rPr>
              <w:t>-------------------------------------------</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1995</w:t>
            </w:r>
          </w:p>
        </w:tc>
        <w:tc>
          <w:tcPr>
            <w:tcW w:w="240" w:type="dxa"/>
            <w:vAlign w:val="bottom"/>
          </w:tcPr>
          <w:p>
            <w:pPr>
              <w:spacing w:after="0"/>
              <w:rPr>
                <w:sz w:val="15"/>
                <w:szCs w:val="15"/>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5"/>
                <w:szCs w:val="15"/>
                <w:color w:val="auto"/>
              </w:rPr>
            </w:pPr>
          </w:p>
        </w:tc>
        <w:tc>
          <w:tcPr>
            <w:tcW w:w="10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4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960" w:type="dxa"/>
            <w:vAlign w:val="bottom"/>
            <w:gridSpan w:val="7"/>
          </w:tcPr>
          <w:p>
            <w:pPr>
              <w:jc w:val="right"/>
              <w:ind w:right="74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7"/>
        </w:trPr>
        <w:tc>
          <w:tcPr>
            <w:tcW w:w="47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10,316,307</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10,874,767</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11,802,350</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$ 2,901,061</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78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Operating (exclusive of depreciation and</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shown below).......................</w:t>
            </w: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6,176,196</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6,498,708</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7,479,745</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1,757,707</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1,260,192</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1,294,471</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1,413,244</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345,581</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1,178,896</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1,256,727</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1,382,356</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351,458</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26,539</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126,626</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109,411</w:t>
            </w:r>
          </w:p>
        </w:tc>
        <w:tc>
          <w:tcPr>
            <w:tcW w:w="220" w:type="dxa"/>
            <w:vAlign w:val="bottom"/>
          </w:tcPr>
          <w:p>
            <w:pPr>
              <w:spacing w:after="0"/>
              <w:rPr>
                <w:sz w:val="15"/>
                <w:szCs w:val="15"/>
                <w:color w:val="auto"/>
              </w:rPr>
            </w:pPr>
          </w:p>
        </w:tc>
        <w:tc>
          <w:tcPr>
            <w:tcW w:w="100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394,092</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499,264</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1,650,972</w:t>
            </w:r>
          </w:p>
        </w:tc>
        <w:tc>
          <w:tcPr>
            <w:tcW w:w="220" w:type="dxa"/>
            <w:vAlign w:val="bottom"/>
          </w:tcPr>
          <w:p>
            <w:pPr>
              <w:spacing w:after="0"/>
              <w:rPr>
                <w:sz w:val="15"/>
                <w:szCs w:val="15"/>
                <w:color w:val="auto"/>
              </w:rPr>
            </w:pPr>
          </w:p>
        </w:tc>
        <w:tc>
          <w:tcPr>
            <w:tcW w:w="100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held for</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 net of minority interest....................</w:t>
            </w: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(25,110)</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9,930</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2,416</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9,010,805</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9,675,481</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12,045,658</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2,457,162</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operations.......................</w:t>
            </w: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1,305,502</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1,199,286</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(243,308)</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443,899</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780" w:type="dxa"/>
            <w:vAlign w:val="bottom"/>
          </w:tcPr>
          <w:p>
            <w:pPr>
              <w:jc w:val="right"/>
              <w:ind w:right="3005"/>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w:t>
            </w: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(10,994)</w:t>
            </w:r>
          </w:p>
        </w:tc>
        <w:tc>
          <w:tcPr>
            <w:tcW w:w="240" w:type="dxa"/>
            <w:vAlign w:val="bottom"/>
          </w:tcPr>
          <w:p>
            <w:pPr>
              <w:spacing w:after="0"/>
              <w:rPr>
                <w:sz w:val="15"/>
                <w:szCs w:val="15"/>
                <w:color w:val="auto"/>
              </w:rPr>
            </w:pPr>
          </w:p>
        </w:tc>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(522,480)</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(522,921)</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(551,149)</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(153,942)</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41,565</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34,603</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45,214</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6,109</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(81,367)</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(41,289)</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(45,442)</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(25,302)</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257,586</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108,390</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126,172</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70,323</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(315,690)</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(421,217)</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(425,205)</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(102,812)</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taxes......................................</w:t>
            </w: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989,812</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778,069</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(668,513)</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341,087</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36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492,885</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486,616</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361,464</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161,815</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continuing operations............</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496,927</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291,453</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6"/>
              </w:rPr>
              <w:t>(1,029,977)</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179,272</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 from</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0.55</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 from</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0.99</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15"/>
                <w:szCs w:val="15"/>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Working capital (deficit)...........................</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$(1,537,137)</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Intangible assets, net..............................</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5,651,426</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Total assets........................................</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21,248,259</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Long-term debt, including current maturities........</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10,317,063</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Stockholders' equity................................</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4,644,650</w:t>
            </w:r>
          </w:p>
        </w:tc>
      </w:tr>
      <w:tr>
        <w:trPr>
          <w:trHeight w:val="520"/>
        </w:trPr>
        <w:tc>
          <w:tcPr>
            <w:tcW w:w="478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S-12</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464" w:right="1440" w:bottom="1440" w:gutter="0" w:footer="0" w:header="0"/>
        </w:sectPr>
      </w:pPr>
    </w:p>
    <w:bookmarkStart w:id="12" w:name="page13"/>
    <w:bookmarkEnd w:id="12"/>
    <w:p>
      <w:pPr>
        <w:jc w:val="center"/>
        <w:ind w:right="3019"/>
        <w:spacing w:after="0"/>
        <w:rPr>
          <w:sz w:val="20"/>
          <w:szCs w:val="20"/>
          <w:color w:val="auto"/>
        </w:rPr>
      </w:pPr>
      <w:r>
        <w:rPr>
          <w:rFonts w:ascii="Courier New" w:cs="Courier New" w:eastAsia="Courier New" w:hAnsi="Courier New"/>
          <w:sz w:val="15"/>
          <w:szCs w:val="15"/>
          <w:color w:val="auto"/>
        </w:rPr>
        <w:t>DESCRIPTION OF THE NOTES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Notes constitute a series of Senior Debt Securities described in the accompanying Prospectus that will be issued under an indenture, dated as of September 10, 1997 (the "Senior Indenture"), between the Company and Chase Bank of Texas, National Association, as trustee (the "Trustee"). The following description of the particular terms of the Notes offered hereby supplements, and to the extent inconsistent therewith replaces, the description of the general terms and provisions of the Senior Debt Securities set forth in the accompanying Prospectus, to which reference is hereby made. Capitalized terms used but not defined herein or in the accompanying Prospectus have the meanings given to them in the Senior Indenture. As used in this section, the "Company" means USA Waste Services, Inc., but not any of its subsidiaries, unless the context otherwise requires. The following summary of the Senior Indenture and the Notes does not purport to be complete and such summary is subject to the detailed provisions of the Senior Indenture and the Notes to which reference is hereby made for a full description of such provisions.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Notes offered by this Prospectus Supplement will be limited in aggregate principal amount to $600,000,000. The Notes constitute senior and unsecured obligations of the Company, ranking PARI PASSU in right of payment with all other senior and unsecured obligations of the Company.</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Notes will mature July 15, 2028 and will bear interest at the rate per annum set forth on the front cover of this Prospectus Supplement. Interest on the Notes will be payable semiannually on January 15 and July 15 of each year, commencing January 15, 1999, to the persons in whose names the Notes are registered at the close of business on the December 31 and June 30 immediately preceding the Interest Payment Date. Interest will be calculated on the basis of a 360-day year consisting of twelve 30-day months. The Notes will be issued only in fully registered form, without coupons, in denominations of $1,000 and integral multiples thereof. There is no sinking fund applicable to the Notes.</w:t>
      </w:r>
    </w:p>
    <w:p>
      <w:pPr>
        <w:spacing w:after="0" w:line="179" w:lineRule="exact"/>
        <w:rPr>
          <w:sz w:val="20"/>
          <w:szCs w:val="20"/>
          <w:color w:val="auto"/>
        </w:rPr>
      </w:pPr>
    </w:p>
    <w:p>
      <w:pPr>
        <w:ind w:right="3019" w:firstLine="361"/>
        <w:spacing w:after="0" w:line="262" w:lineRule="auto"/>
        <w:rPr>
          <w:sz w:val="20"/>
          <w:szCs w:val="20"/>
          <w:color w:val="auto"/>
        </w:rPr>
      </w:pPr>
      <w:r>
        <w:rPr>
          <w:rFonts w:ascii="Courier New" w:cs="Courier New" w:eastAsia="Courier New" w:hAnsi="Courier New"/>
          <w:sz w:val="14"/>
          <w:szCs w:val="14"/>
          <w:color w:val="auto"/>
        </w:rPr>
        <w:t>The Company's obligations under the Credit Facility are currently guaranteed by United and Sanifill, both wholly-owned subsidiaries of the Company. Upon consummation of the Merger, it is expected that New Waste Management will enter into the New Credit Facility, and that each of the Credit Facility and the New Credit Facility will be guaranteed by Waste Management, Inc., as a subsidiary of New Waste Management. Further, upon consummation of the Merger, it is expected that New Waste Management will unconditionally guarantee the outstanding senior indebtedness of Waste Management, and Waste Management will unconditionally guarantee the outstanding senior indebtedness of New Waste Management, including the Notes and the Senior Notes. It is expected that as a consequence of such guarantees, the New Credit Facility, the Credit Facility, the senior indebtedness of New Waste Management and the senior indebtedness of Waste Management will be ranked on a PARI PASSU basis. Upon any release by the lenders under the New Credit Facility and the Credit Facility (or any replacement or new principal credit facility of New Waste Management) of the Waste Management guarantee, Waste Management and New Waste Management shall each be deemed automatically and unconditionally released and discharged from their respective obligations under the guarantees of such senior indebtedness of the other so guaranteed. The Company is seeking, among other proposed amendments, to amend the Credit Facility to have the guarantees provided by United and Sanifill removed, although there can be no assurance such guarantees will be removed. If such guarantees by United and Sanifill are removed, Waste Management, Inc. will be the only subsidiary of New Waste Management guaranteeing the Credit Facility and the New Credit Facility. In such event, the claims of creditors of United, Sanifill and (with the exception of Waste Management assuming the Merger is consummated and the Waste Management guarantee is entered into as described hereinabove) the Company's other subsidiaries (including holders of the $150.0 million aggregate principal amount of outstanding 4 1/2% Convertible Subordinated Debentures due June 1, 2001 of United, and $115.0 million aggregate amount of outstanding 5% Convertible Subordinated Debentures due March 1, 2006 of Sanifill) will effectively have priority with respect to the assets and earnings of such subsidiaries, over the claims of creditors of the Company, including the holders of the Notes. However, upon consummation of the Merger, the claims of creditors of Waste Management will not have such</w:t>
      </w:r>
    </w:p>
    <w:p>
      <w:pPr>
        <w:spacing w:after="0" w:line="200" w:lineRule="exact"/>
        <w:rPr>
          <w:sz w:val="20"/>
          <w:szCs w:val="20"/>
          <w:color w:val="auto"/>
        </w:rPr>
      </w:pP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S-13</w:t>
      </w:r>
    </w:p>
    <w:p>
      <w:pPr>
        <w:sectPr>
          <w:pgSz w:w="11900" w:h="16838" w:orient="portrait"/>
          <w:cols w:equalWidth="0" w:num="1">
            <w:col w:w="10219"/>
          </w:cols>
          <w:pgMar w:left="240" w:top="464" w:right="1440" w:bottom="1440" w:gutter="0" w:footer="0" w:header="0"/>
        </w:sectPr>
      </w:pPr>
    </w:p>
    <w:bookmarkStart w:id="13" w:name="page14"/>
    <w:bookmarkEnd w:id="13"/>
    <w:p>
      <w:pPr>
        <w:jc w:val="both"/>
        <w:ind w:left="8" w:right="3559"/>
        <w:spacing w:after="0" w:line="244" w:lineRule="auto"/>
        <w:rPr>
          <w:sz w:val="20"/>
          <w:szCs w:val="20"/>
          <w:color w:val="auto"/>
        </w:rPr>
      </w:pPr>
      <w:r>
        <w:rPr>
          <w:rFonts w:ascii="Courier New" w:cs="Courier New" w:eastAsia="Courier New" w:hAnsi="Courier New"/>
          <w:sz w:val="15"/>
          <w:szCs w:val="15"/>
          <w:color w:val="auto"/>
        </w:rPr>
        <w:t>priority as a consequence of Waste Management's guarantee of the Company's senior indebtedness described above during the period such guarantee is in effect.</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REDEMPTION AT THE COMPANY'S OPTION</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Notes will be redeemable at the option of the Company at any time and from time to time, in whole or in part, upon not less than 30 nor more than 60 days notice to each Holder of Notes, at a redemption price equal to the Make-Whole Price. "Make-Whole Price" means an amount equal to the greater of (i) 100% of the principal amount of the Notes and (ii) as determined by an Independent Investment Banker, 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Adjusted Treasury Rate, plus, in each case, accrued and unpaid interest thereon to the date of redemption. Unless the Company defaults in payment of the redemption price, on and after the date of redemption, interest will cease to accrue on the Notes or portions thereof called for redemption.</w:t>
      </w:r>
    </w:p>
    <w:p>
      <w:pPr>
        <w:spacing w:after="0" w:line="182"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"Adjusted Treasury Rate" means, with respect to any date of redemption, the rate per annum equal to the semi-annual yield to maturity of the Comparable Treasury Issue, assuming a price for the Comparable Treasury Issue (expressed as a percentage of its principal amount) equal to the Comparable Treasury Price for such date of redemption, plus 0.25%.</w:t>
      </w:r>
    </w:p>
    <w:p>
      <w:pPr>
        <w:spacing w:after="0" w:line="177"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"Comparable Treasury Issue" means the United States Treasury security selected by an Independent Investment Banker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76"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"Comparable Treasury Price" means, with respect to any date of redemption,</w:t>
      </w:r>
    </w:p>
    <w:p>
      <w:pPr>
        <w:spacing w:after="0" w:line="4" w:lineRule="exact"/>
        <w:rPr>
          <w:sz w:val="20"/>
          <w:szCs w:val="20"/>
          <w:color w:val="auto"/>
        </w:rPr>
      </w:pPr>
    </w:p>
    <w:p>
      <w:pPr>
        <w:ind w:left="8" w:right="3019" w:hanging="8"/>
        <w:spacing w:after="0" w:line="244" w:lineRule="auto"/>
        <w:tabs>
          <w:tab w:leader="none" w:pos="36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of the bid and asked prices for the Comparable Treasury Issue (expressed in each case as a percentage of its principal amount) on the third Business Day preceding such date of redemption, as set forth in the daily statistical release (or any successor release) published by the Federal Reserve Bank of New York and designated "Composite 3:30 p.m. Quotations for U.S. Government Securities," or (ii) if such release (or any successor release) is not published or does not contain such prices on such Business Day, (A) the average of the Reference Treasury Dealer Quotations for such date of redemption, after excluding the highest and lowest such Reference Treasury Dealer Quotations, or (B) if the Trustee obtains fewer than three such Reference Treasury Dealer Quotations, the average of all such Reference Treasury Dealer Quotations.</w:t>
      </w:r>
    </w:p>
    <w:p>
      <w:pPr>
        <w:spacing w:after="0" w:line="181" w:lineRule="exact"/>
        <w:rPr>
          <w:sz w:val="20"/>
          <w:szCs w:val="20"/>
          <w:color w:val="auto"/>
        </w:rPr>
      </w:pPr>
    </w:p>
    <w:p>
      <w:pPr>
        <w:ind w:left="8" w:right="3099" w:firstLine="361"/>
        <w:spacing w:after="0" w:line="243" w:lineRule="auto"/>
        <w:rPr>
          <w:sz w:val="20"/>
          <w:szCs w:val="20"/>
          <w:color w:val="auto"/>
        </w:rPr>
      </w:pPr>
      <w:r>
        <w:rPr>
          <w:rFonts w:ascii="Courier New" w:cs="Courier New" w:eastAsia="Courier New" w:hAnsi="Courier New"/>
          <w:sz w:val="15"/>
          <w:szCs w:val="15"/>
          <w:color w:val="auto"/>
        </w:rPr>
        <w:t>"Independent Investment Banker" means one of the Reference Treasury Dealers appointed by the Trustee after consultation with the Company.</w:t>
      </w:r>
    </w:p>
    <w:p>
      <w:pPr>
        <w:spacing w:after="0" w:line="176"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"Reference Treasury Dealer" means each of Donaldson, Lufkin &amp; Jenrette Securities Corporation; Credit Suisse First Boston Corporation; Goldman, Sachs &amp; Co.; Merrill Lynch, Pierce, Fenner &amp; Smith Incorporated; and Salomon Brothers Inc.; and their respective successors; provided, however, that if any of the foregoing shall not be a primary U.S. Government securities dealer in New York City (a "Primary Treasury Dealer"), the Company shall substitute therefor another Primary Treasury Dealer.</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date of redemption.</w:t>
      </w:r>
    </w:p>
    <w:p>
      <w:pPr>
        <w:spacing w:after="0" w:line="177" w:lineRule="exact"/>
        <w:rPr>
          <w:sz w:val="20"/>
          <w:szCs w:val="20"/>
          <w:color w:val="auto"/>
        </w:rPr>
      </w:pPr>
    </w:p>
    <w:p>
      <w:pPr>
        <w:ind w:left="8" w:right="3019" w:firstLine="361"/>
        <w:spacing w:after="0" w:line="267" w:lineRule="auto"/>
        <w:rPr>
          <w:sz w:val="20"/>
          <w:szCs w:val="20"/>
          <w:color w:val="auto"/>
        </w:rPr>
      </w:pPr>
      <w:r>
        <w:rPr>
          <w:rFonts w:ascii="Courier New" w:cs="Courier New" w:eastAsia="Courier New" w:hAnsi="Courier New"/>
          <w:sz w:val="14"/>
          <w:szCs w:val="14"/>
          <w:color w:val="auto"/>
        </w:rPr>
        <w:t>The Company may purchase the Notes in the open market, by tender or otherwise. The Notes so purchased may be held, resold or surrendered to the Trustee for cancellation. If applicable, the Company will comply with the requirements of Rule 14e-1 under the Securities Exchange Act of 1934, as amended</w:t>
      </w:r>
    </w:p>
    <w:p>
      <w:pPr>
        <w:spacing w:after="0" w:line="16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S-14</w:t>
      </w:r>
    </w:p>
    <w:p>
      <w:pPr>
        <w:sectPr>
          <w:pgSz w:w="11900" w:h="16838" w:orient="portrait"/>
          <w:cols w:equalWidth="0" w:num="1">
            <w:col w:w="10227"/>
          </w:cols>
          <w:pgMar w:left="232" w:top="465" w:right="1440" w:bottom="1440" w:gutter="0" w:footer="0" w:header="0"/>
        </w:sectPr>
      </w:pPr>
    </w:p>
    <w:bookmarkStart w:id="14" w:name="page15"/>
    <w:bookmarkEnd w:id="14"/>
    <w:p>
      <w:pPr>
        <w:ind w:right="3099"/>
        <w:spacing w:after="0" w:line="244" w:lineRule="auto"/>
        <w:rPr>
          <w:sz w:val="20"/>
          <w:szCs w:val="20"/>
          <w:color w:val="auto"/>
        </w:rPr>
      </w:pPr>
      <w:r>
        <w:rPr>
          <w:rFonts w:ascii="Courier New" w:cs="Courier New" w:eastAsia="Courier New" w:hAnsi="Courier New"/>
          <w:sz w:val="15"/>
          <w:szCs w:val="15"/>
          <w:color w:val="auto"/>
        </w:rPr>
        <w:t>(the "Exchange Act"), and other securities laws and regulations in connection with any such purchase. The Notes may be defeased in the manner provided in the Senior Indenture.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DELIVERY AND FORM</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Except as set forth below, the Notes will initially be issued in the form of one or more registered Notes in global form (the "Global Notes"). Each Global Note will be deposited on the date of the closing of the sale of the Notes (the "Closing Date") with, or on behalf of, The Depository Trust Company (the "Depositary") and registered in the name of Cede &amp; Co., as nominee of the Depositary.</w:t>
      </w:r>
    </w:p>
    <w:p>
      <w:pPr>
        <w:spacing w:after="0" w:line="177"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The Company has been advised that 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it.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include securities brokers and dealers, banks, trust companies, clearing corporations, and certain other organizations ("Direct Participants"). The Depositary is owned by a number of its Direct Participants and by the New York Stock Exchange, Inc., the American Stock Exchange, Inc. and the National Association of Securities Dealers, Inc. Access to the Depository Trust Company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Commission.</w:t>
      </w:r>
    </w:p>
    <w:p>
      <w:pPr>
        <w:spacing w:after="0" w:line="339"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Company expects that pursuant to procedures established by the Depositary (i) upon deposit of the Global Notes, the Depositary will credit the accounts of Participants designated by the Underwriters with an interest in the Global Notes and (ii) ownership of the Notes evidenced by the Global Notes will be shown on, and the transfer of ownership thereof will be effected only through, records maintained by the Depositary (with respect to the interests of Participants), the Participants and the Indirect Participants.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So long as the Depositary or its nominee is the registered owner of a Note, the Depositary or such nominee, as the case may be, will be considered the sole owner or holder of the Notes represented by the Global Note for all purposes under the Senior Indenture. Except as provided below, owners of beneficial interests in a Global Note will not be entitled to have Notes represented by such Global Note registered in their names, will not receive or be entitled to receive physical delivery of certificated notes (the "Certificated Notes"), and will not be considered the owners or holders thereof under the Senior Indenture for any purpose, including with respect to the giving of any directions, instructions or approvals to the Trustee thereunder. As a result, the ability of a person having a beneficial interest in Notes represented by a Global Note to pledge such interest to persons or entities that do not participate in the Depositary's system, or to otherwise take actions with respect to such interest, may be affected by the lack of a physical certificate evidencing such interest. The Company understands that under existing practices, if the Company requests any action of Holders or if an owner of a beneficial interest in a Global Note desires to give any notice or take any action a Holder is entitled to give or take under the Senior Indenture, the Depositary would authorize the Participants to give such notice or take such action, and Participants would authorize beneficial owners owning through such Participants to give such notice or take such action or would otherwise act upon the instructions of beneficial owners owning through them. Issuance of the Notes in book-entry form may reduce the liquidity of such Notes in the secondary trading market because investors may be unwilling to purchase Notes for which they cannot obtain physical certificates.</w:t>
      </w:r>
    </w:p>
    <w:p>
      <w:pPr>
        <w:spacing w:after="0" w:line="33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Neither the Company nor the Trustee will have any responsibility or liability for any aspect of the records relating to or payments made on account of Notes by the Depositary, or for maintaining, supervising or reviewing any records of the Depositary relating to the Notes.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S-15</w:t>
      </w:r>
    </w:p>
    <w:p>
      <w:pPr>
        <w:sectPr>
          <w:pgSz w:w="11900" w:h="16838" w:orient="portrait"/>
          <w:cols w:equalWidth="0" w:num="1">
            <w:col w:w="10219"/>
          </w:cols>
          <w:pgMar w:left="240" w:top="465" w:right="1440" w:bottom="1440" w:gutter="0" w:footer="0" w:header="0"/>
        </w:sectPr>
      </w:pPr>
    </w:p>
    <w:bookmarkStart w:id="15" w:name="page16"/>
    <w:bookmarkEnd w:id="15"/>
    <w:p>
      <w:pPr>
        <w:ind w:right="3019" w:firstLine="361"/>
        <w:spacing w:after="0" w:line="244" w:lineRule="auto"/>
        <w:rPr>
          <w:sz w:val="20"/>
          <w:szCs w:val="20"/>
          <w:color w:val="auto"/>
        </w:rPr>
      </w:pPr>
      <w:r>
        <w:rPr>
          <w:rFonts w:ascii="Courier New" w:cs="Courier New" w:eastAsia="Courier New" w:hAnsi="Courier New"/>
          <w:sz w:val="15"/>
          <w:szCs w:val="15"/>
          <w:color w:val="auto"/>
        </w:rPr>
        <w:t>Payments with respect to the principal of, premium, if any, and interest on, any Note represented by a Global Note registered in the name of the Depositary or its nominee on the applicable record date will be payable by the Trustee to or at the direction of the Depositary or its nominee in its capacity as the registered Holder of the Global Note representing the Notes under the Senior Indenture. Under the terms of the Senior Indenture, the Company and the Trustee may treat the persons in whose names the Notes, including the Global Notes, are registered as the owners thereof for the purpose of receiving such payments and for any and all other purposes whatsoever. Consequently, neither the Company nor the Trustee has or will have any responsibility or liability for the payment of such amounts to beneficial owners of Notes (including principal, premium, if any, or interest), or to immediately credit the accounts of the relevant Participants with such payment, in amounts proportionate to their respective holdings in principal amount of beneficial interests in the Global Notes as shown on the records of the Depositary. Payments by the Participants and the Indirect Participants to the beneficial owners will be governed by standing instructions and customary practice and will be the sole responsibility of the Participants or the Indirect Participants.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CERTIFICATED NOTES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If (i) the Company notifies the Trustee in writing that the Depositary is no longer willing or able to act as a depositary and the Company is unable to locate a qualified successor, (ii) the Company, at its option, notifies the Trustee in writing that it elects to cause the issuance of Notes in definitive form under the Senior Indenture or (iii) there shall have occurred and be continuing an Event of Default with respect to the Notes, then, upon surrender by the Depositary of the Global Notes, Certificated Notes will be issued to each person that the Depositary identifies as the beneficial owner of the Notes represented by a Global Note. Upon any such issuance, the Trustee is required to register such Certificated Notes in the name of such person or persons (or the nominee of any thereof), and cause the same to be delivered thereto. Certificated Notes may be presented for registration or exchange at the offices of the Company required to be maintained under the Senior Indenture for such purposes.</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Neither the Company nor the Trustee shall be liable for any delay by the Depositary or any Participant or Indirect Participant in identifying the beneficial owners of the Notes, and the Company and the Trustee may conclusively rely on, and shall be protected in relying on, instructions from the Depositary for all purposes (including with respect to the registration and delivery, and the respective principal amounts, of the Notes to be issued).</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information in this and the preceding section concerning the Depositary and the Depositary's book-entry system has been obtained from sources that the Company believes to be reliable. The Company will have no responsibility for the performance by the Depositary, its Participants or the Indirect Participants of their respective obligations as described hereunder or under the rules and procedures governing their respective operations.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SAME-DAY FUNDS SETTLEMENT AND PAYMENT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Payments in respect of the Notes represented by a Global Note (including principal, premium, if any, and interest) will be made by wire transfer of immediately available funds to the accounts specified by the Depositary. With respect to Notes represented by Certificated Notes, all payments (including principal, premium, if any, and interest) will be made at the office or agency of the Company maintained for such purpose, which office or agency shall be maintained in the Borough of Manhattan, The City of New York, except that, at the option of the Company, any payments of interest may be made by mailing a check on or before the due date to the address of the person entitled thereto as such address shall appear in the Security Register. The Notes will trade in the Depositary's Same-Day Funds Settlement System until maturity, or until the Notes are issued in certificated form, and secondary market trading activity in the Notes will therefore be required by the Depositary to settle in immediately available funds. No assurance can be given as to the effect, if any, of settlement in immediately available funds on trading activity in the Notes.</w:t>
      </w:r>
    </w:p>
    <w:p>
      <w:pPr>
        <w:spacing w:after="0" w:line="1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S-16</w:t>
      </w:r>
    </w:p>
    <w:p>
      <w:pPr>
        <w:sectPr>
          <w:pgSz w:w="11900" w:h="16838" w:orient="portrait"/>
          <w:cols w:equalWidth="0" w:num="1">
            <w:col w:w="10219"/>
          </w:cols>
          <w:pgMar w:left="240" w:top="465" w:right="1440" w:bottom="1440" w:gutter="0" w:footer="0" w:header="0"/>
        </w:sectPr>
      </w:pPr>
    </w:p>
    <w:bookmarkStart w:id="16" w:name="page17"/>
    <w:bookmarkEnd w:id="16"/>
    <w:p>
      <w:pPr>
        <w:jc w:val="center"/>
        <w:ind w:right="3080"/>
        <w:spacing w:after="0"/>
        <w:rPr>
          <w:sz w:val="20"/>
          <w:szCs w:val="20"/>
          <w:color w:val="auto"/>
        </w:rPr>
      </w:pPr>
      <w:r>
        <w:rPr>
          <w:rFonts w:ascii="Courier New" w:cs="Courier New" w:eastAsia="Courier New" w:hAnsi="Courier New"/>
          <w:sz w:val="15"/>
          <w:szCs w:val="15"/>
          <w:color w:val="auto"/>
        </w:rPr>
        <w:t>UNDERWRITING</w:t>
      </w:r>
    </w:p>
    <w:p>
      <w:pPr>
        <w:spacing w:after="0" w:line="178" w:lineRule="exact"/>
        <w:rPr>
          <w:sz w:val="20"/>
          <w:szCs w:val="20"/>
          <w:color w:val="auto"/>
        </w:rPr>
      </w:pPr>
    </w:p>
    <w:p>
      <w:pPr>
        <w:ind w:right="3160" w:firstLine="361"/>
        <w:spacing w:after="0" w:line="244" w:lineRule="auto"/>
        <w:rPr>
          <w:sz w:val="20"/>
          <w:szCs w:val="20"/>
          <w:color w:val="auto"/>
        </w:rPr>
      </w:pPr>
      <w:r>
        <w:rPr>
          <w:rFonts w:ascii="Courier New" w:cs="Courier New" w:eastAsia="Courier New" w:hAnsi="Courier New"/>
          <w:sz w:val="15"/>
          <w:szCs w:val="15"/>
          <w:color w:val="auto"/>
        </w:rPr>
        <w:t>Subject to the terms and conditions contained in the Underwriting Agreement relating to the Notes (the "Underwriting Agreement"), the Company has agreed to sell to the several Underwriters named below (the "Underwriters"), and the several Underwriters have agreed to purchase from the Company, the principal amounts of Notes set forth opposite their names below:</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PRINCIPAL AMOUNT</w:t>
            </w:r>
          </w:p>
        </w:tc>
      </w:tr>
      <w:tr>
        <w:trPr>
          <w:trHeight w:val="173"/>
        </w:trPr>
        <w:tc>
          <w:tcPr>
            <w:tcW w:w="620" w:type="dxa"/>
            <w:vAlign w:val="bottom"/>
          </w:tcPr>
          <w:p>
            <w:pPr>
              <w:spacing w:after="0"/>
              <w:rPr>
                <w:sz w:val="15"/>
                <w:szCs w:val="15"/>
                <w:color w:val="auto"/>
              </w:rPr>
            </w:pPr>
          </w:p>
        </w:tc>
        <w:tc>
          <w:tcPr>
            <w:tcW w:w="7940" w:type="dxa"/>
            <w:vAlign w:val="bottom"/>
          </w:tcPr>
          <w:p>
            <w:pPr>
              <w:ind w:left="3060"/>
              <w:spacing w:after="0"/>
              <w:rPr>
                <w:sz w:val="20"/>
                <w:szCs w:val="20"/>
                <w:color w:val="auto"/>
              </w:rPr>
            </w:pPr>
            <w:r>
              <w:rPr>
                <w:rFonts w:ascii="Courier New" w:cs="Courier New" w:eastAsia="Courier New" w:hAnsi="Courier New"/>
                <w:sz w:val="15"/>
                <w:szCs w:val="15"/>
                <w:color w:val="auto"/>
              </w:rPr>
              <w:t>UNDERWRITERS</w:t>
            </w:r>
          </w:p>
        </w:tc>
        <w:tc>
          <w:tcPr>
            <w:tcW w:w="400" w:type="dxa"/>
            <w:vAlign w:val="bottom"/>
          </w:tcPr>
          <w:p>
            <w:pPr>
              <w:spacing w:after="0"/>
              <w:rPr>
                <w:sz w:val="15"/>
                <w:szCs w:val="15"/>
                <w:color w:val="auto"/>
              </w:rPr>
            </w:pPr>
          </w:p>
        </w:tc>
        <w:tc>
          <w:tcPr>
            <w:tcW w:w="13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OF NOTES</w:t>
            </w:r>
          </w:p>
        </w:tc>
      </w:tr>
      <w:tr>
        <w:trPr>
          <w:trHeight w:val="347"/>
        </w:trPr>
        <w:tc>
          <w:tcPr>
            <w:tcW w:w="8560" w:type="dxa"/>
            <w:vAlign w:val="bottom"/>
            <w:gridSpan w:val="2"/>
          </w:tcPr>
          <w:p>
            <w:pPr>
              <w:spacing w:after="0"/>
              <w:rPr>
                <w:sz w:val="20"/>
                <w:szCs w:val="20"/>
                <w:color w:val="auto"/>
              </w:rPr>
            </w:pPr>
            <w:r>
              <w:rPr>
                <w:rFonts w:ascii="Courier New" w:cs="Courier New" w:eastAsia="Courier New" w:hAnsi="Courier New"/>
                <w:sz w:val="15"/>
                <w:szCs w:val="15"/>
                <w:color w:val="auto"/>
              </w:rPr>
              <w:t>Donaldson, Lufkin &amp; Jenrette Securities Corporation...........................................</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120,000,000</w:t>
            </w:r>
          </w:p>
        </w:tc>
      </w:tr>
      <w:tr>
        <w:trPr>
          <w:trHeight w:val="173"/>
        </w:trPr>
        <w:tc>
          <w:tcPr>
            <w:tcW w:w="8560" w:type="dxa"/>
            <w:vAlign w:val="bottom"/>
            <w:gridSpan w:val="2"/>
          </w:tcPr>
          <w:p>
            <w:pPr>
              <w:spacing w:after="0"/>
              <w:rPr>
                <w:sz w:val="20"/>
                <w:szCs w:val="20"/>
                <w:color w:val="auto"/>
              </w:rPr>
            </w:pPr>
            <w:r>
              <w:rPr>
                <w:rFonts w:ascii="Courier New" w:cs="Courier New" w:eastAsia="Courier New" w:hAnsi="Courier New"/>
                <w:sz w:val="15"/>
                <w:szCs w:val="15"/>
                <w:color w:val="auto"/>
              </w:rPr>
              <w:t>Credit Suisse First Boston Corporation........................................................</w:t>
            </w:r>
          </w:p>
        </w:tc>
        <w:tc>
          <w:tcPr>
            <w:tcW w:w="400" w:type="dxa"/>
            <w:vAlign w:val="bottom"/>
          </w:tcPr>
          <w:p>
            <w:pPr>
              <w:spacing w:after="0"/>
              <w:rPr>
                <w:sz w:val="15"/>
                <w:szCs w:val="15"/>
                <w:color w:val="auto"/>
              </w:rPr>
            </w:pP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120,000,000</w:t>
            </w:r>
          </w:p>
        </w:tc>
      </w:tr>
      <w:tr>
        <w:trPr>
          <w:trHeight w:val="173"/>
        </w:trPr>
        <w:tc>
          <w:tcPr>
            <w:tcW w:w="8560" w:type="dxa"/>
            <w:vAlign w:val="bottom"/>
            <w:gridSpan w:val="2"/>
          </w:tcPr>
          <w:p>
            <w:pPr>
              <w:spacing w:after="0"/>
              <w:rPr>
                <w:sz w:val="20"/>
                <w:szCs w:val="20"/>
                <w:color w:val="auto"/>
              </w:rPr>
            </w:pPr>
            <w:r>
              <w:rPr>
                <w:rFonts w:ascii="Courier New" w:cs="Courier New" w:eastAsia="Courier New" w:hAnsi="Courier New"/>
                <w:sz w:val="15"/>
                <w:szCs w:val="15"/>
                <w:color w:val="auto"/>
              </w:rPr>
              <w:t>Goldman, Sachs &amp; Co...........................................................................</w:t>
            </w:r>
          </w:p>
        </w:tc>
        <w:tc>
          <w:tcPr>
            <w:tcW w:w="400" w:type="dxa"/>
            <w:vAlign w:val="bottom"/>
          </w:tcPr>
          <w:p>
            <w:pPr>
              <w:spacing w:after="0"/>
              <w:rPr>
                <w:sz w:val="15"/>
                <w:szCs w:val="15"/>
                <w:color w:val="auto"/>
              </w:rPr>
            </w:pP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120,000,000</w:t>
            </w: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Merrill</w:t>
            </w:r>
          </w:p>
        </w:tc>
        <w:tc>
          <w:tcPr>
            <w:tcW w:w="7940" w:type="dxa"/>
            <w:vAlign w:val="bottom"/>
          </w:tcPr>
          <w:p>
            <w:pPr>
              <w:ind w:left="100"/>
              <w:spacing w:after="0"/>
              <w:rPr>
                <w:sz w:val="20"/>
                <w:szCs w:val="20"/>
                <w:color w:val="auto"/>
              </w:rPr>
            </w:pPr>
            <w:r>
              <w:rPr>
                <w:rFonts w:ascii="Courier New" w:cs="Courier New" w:eastAsia="Courier New" w:hAnsi="Courier New"/>
                <w:sz w:val="15"/>
                <w:szCs w:val="15"/>
                <w:color w:val="auto"/>
              </w:rPr>
              <w:t>Lynch, Pierce, Fenner &amp; Smith</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620" w:type="dxa"/>
            <w:vAlign w:val="bottom"/>
          </w:tcPr>
          <w:p>
            <w:pPr>
              <w:spacing w:after="0"/>
              <w:rPr>
                <w:sz w:val="15"/>
                <w:szCs w:val="15"/>
                <w:color w:val="auto"/>
              </w:rPr>
            </w:pPr>
          </w:p>
        </w:tc>
        <w:tc>
          <w:tcPr>
            <w:tcW w:w="7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Incorporated........................................................................</w:t>
            </w:r>
          </w:p>
        </w:tc>
        <w:tc>
          <w:tcPr>
            <w:tcW w:w="400" w:type="dxa"/>
            <w:vAlign w:val="bottom"/>
          </w:tcPr>
          <w:p>
            <w:pPr>
              <w:spacing w:after="0"/>
              <w:rPr>
                <w:sz w:val="15"/>
                <w:szCs w:val="15"/>
                <w:color w:val="auto"/>
              </w:rPr>
            </w:pP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120,000,000</w:t>
            </w: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Salomon</w:t>
            </w:r>
          </w:p>
        </w:tc>
        <w:tc>
          <w:tcPr>
            <w:tcW w:w="7940" w:type="dxa"/>
            <w:vAlign w:val="bottom"/>
          </w:tcPr>
          <w:p>
            <w:pPr>
              <w:ind w:left="100"/>
              <w:spacing w:after="0"/>
              <w:rPr>
                <w:sz w:val="20"/>
                <w:szCs w:val="20"/>
                <w:color w:val="auto"/>
              </w:rPr>
            </w:pPr>
            <w:r>
              <w:rPr>
                <w:rFonts w:ascii="Courier New" w:cs="Courier New" w:eastAsia="Courier New" w:hAnsi="Courier New"/>
                <w:sz w:val="15"/>
                <w:szCs w:val="15"/>
                <w:color w:val="auto"/>
              </w:rPr>
              <w:t>Brothers Inc..........................................................................</w:t>
            </w:r>
          </w:p>
        </w:tc>
        <w:tc>
          <w:tcPr>
            <w:tcW w:w="400" w:type="dxa"/>
            <w:vAlign w:val="bottom"/>
          </w:tcPr>
          <w:p>
            <w:pPr>
              <w:spacing w:after="0"/>
              <w:rPr>
                <w:sz w:val="15"/>
                <w:szCs w:val="15"/>
                <w:color w:val="auto"/>
              </w:rPr>
            </w:pP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120,000,000</w:t>
            </w:r>
          </w:p>
        </w:tc>
      </w:tr>
      <w:tr>
        <w:trPr>
          <w:trHeight w:val="173"/>
        </w:trPr>
        <w:tc>
          <w:tcPr>
            <w:tcW w:w="6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79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600,000,000</w:t>
            </w:r>
          </w:p>
        </w:tc>
      </w:tr>
      <w:tr>
        <w:trPr>
          <w:trHeight w:val="173"/>
        </w:trPr>
        <w:tc>
          <w:tcPr>
            <w:tcW w:w="6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7940" w:type="dxa"/>
            <w:vAlign w:val="bottom"/>
          </w:tcPr>
          <w:p>
            <w:pPr>
              <w:ind w:left="100"/>
              <w:spacing w:after="0"/>
              <w:rPr>
                <w:sz w:val="20"/>
                <w:szCs w:val="20"/>
                <w:color w:val="auto"/>
              </w:rPr>
            </w:pPr>
            <w:r>
              <w:rPr>
                <w:rFonts w:ascii="Courier New" w:cs="Courier New" w:eastAsia="Courier New" w:hAnsi="Courier New"/>
                <w:sz w:val="15"/>
                <w:szCs w:val="15"/>
                <w:color w:val="auto"/>
              </w:rPr>
              <w:t>Underwriting Agreement provides that the obligations of the several</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3"/>
        </w:trPr>
        <w:tc>
          <w:tcPr>
            <w:tcW w:w="8560" w:type="dxa"/>
            <w:vAlign w:val="bottom"/>
            <w:gridSpan w:val="2"/>
          </w:tcPr>
          <w:p>
            <w:pPr>
              <w:spacing w:after="0"/>
              <w:rPr>
                <w:sz w:val="20"/>
                <w:szCs w:val="20"/>
                <w:color w:val="auto"/>
              </w:rPr>
            </w:pPr>
            <w:r>
              <w:rPr>
                <w:rFonts w:ascii="Courier New" w:cs="Courier New" w:eastAsia="Courier New" w:hAnsi="Courier New"/>
                <w:sz w:val="15"/>
                <w:szCs w:val="15"/>
                <w:color w:val="auto"/>
              </w:rPr>
              <w:t>Underwriters to purchase and accept delivery of the Notes offered hereby are</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subject</w:t>
            </w:r>
          </w:p>
        </w:tc>
        <w:tc>
          <w:tcPr>
            <w:tcW w:w="7940" w:type="dxa"/>
            <w:vAlign w:val="bottom"/>
          </w:tcPr>
          <w:p>
            <w:pPr>
              <w:ind w:left="100"/>
              <w:spacing w:after="0"/>
              <w:rPr>
                <w:sz w:val="20"/>
                <w:szCs w:val="20"/>
                <w:color w:val="auto"/>
              </w:rPr>
            </w:pPr>
            <w:r>
              <w:rPr>
                <w:rFonts w:ascii="Courier New" w:cs="Courier New" w:eastAsia="Courier New" w:hAnsi="Courier New"/>
                <w:sz w:val="15"/>
                <w:szCs w:val="15"/>
                <w:color w:val="auto"/>
              </w:rPr>
              <w:t>to approval of certain legal matters by counsel and to certain other</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8560" w:type="dxa"/>
            <w:vAlign w:val="bottom"/>
            <w:gridSpan w:val="2"/>
          </w:tcPr>
          <w:p>
            <w:pPr>
              <w:spacing w:after="0"/>
              <w:rPr>
                <w:sz w:val="20"/>
                <w:szCs w:val="20"/>
                <w:color w:val="auto"/>
              </w:rPr>
            </w:pPr>
            <w:r>
              <w:rPr>
                <w:rFonts w:ascii="Courier New" w:cs="Courier New" w:eastAsia="Courier New" w:hAnsi="Courier New"/>
                <w:sz w:val="15"/>
                <w:szCs w:val="15"/>
                <w:color w:val="auto"/>
              </w:rPr>
              <w:t>conditions. If any of the Notes are purchased by the Underwriters pursuant to</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8560" w:type="dxa"/>
            <w:vAlign w:val="bottom"/>
            <w:gridSpan w:val="2"/>
          </w:tcPr>
          <w:p>
            <w:pPr>
              <w:spacing w:after="0"/>
              <w:rPr>
                <w:sz w:val="20"/>
                <w:szCs w:val="20"/>
                <w:color w:val="auto"/>
              </w:rPr>
            </w:pPr>
            <w:r>
              <w:rPr>
                <w:rFonts w:ascii="Courier New" w:cs="Courier New" w:eastAsia="Courier New" w:hAnsi="Courier New"/>
                <w:sz w:val="15"/>
                <w:szCs w:val="15"/>
                <w:color w:val="auto"/>
              </w:rPr>
              <w:t>the Underwriting Agreement, all the Notes must be purchased.</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47"/>
        </w:trPr>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7940" w:type="dxa"/>
            <w:vAlign w:val="bottom"/>
          </w:tcPr>
          <w:p>
            <w:pPr>
              <w:ind w:left="100"/>
              <w:spacing w:after="0"/>
              <w:rPr>
                <w:sz w:val="20"/>
                <w:szCs w:val="20"/>
                <w:color w:val="auto"/>
              </w:rPr>
            </w:pPr>
            <w:r>
              <w:rPr>
                <w:rFonts w:ascii="Courier New" w:cs="Courier New" w:eastAsia="Courier New" w:hAnsi="Courier New"/>
                <w:sz w:val="15"/>
                <w:szCs w:val="15"/>
                <w:color w:val="auto"/>
              </w:rPr>
              <w:t>Company has agreed to indemnify the Underwriters against certain</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3"/>
        </w:trPr>
        <w:tc>
          <w:tcPr>
            <w:tcW w:w="8560" w:type="dxa"/>
            <w:vAlign w:val="bottom"/>
            <w:gridSpan w:val="2"/>
          </w:tcPr>
          <w:p>
            <w:pPr>
              <w:spacing w:after="0"/>
              <w:rPr>
                <w:sz w:val="20"/>
                <w:szCs w:val="20"/>
                <w:color w:val="auto"/>
              </w:rPr>
            </w:pPr>
            <w:r>
              <w:rPr>
                <w:rFonts w:ascii="Courier New" w:cs="Courier New" w:eastAsia="Courier New" w:hAnsi="Courier New"/>
                <w:sz w:val="15"/>
                <w:szCs w:val="15"/>
                <w:color w:val="auto"/>
              </w:rPr>
              <w:t>liabilities, including liabilities under the Securities Act of 1933, as amended,</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8560" w:type="dxa"/>
            <w:vAlign w:val="bottom"/>
            <w:gridSpan w:val="2"/>
          </w:tcPr>
          <w:p>
            <w:pPr>
              <w:spacing w:after="0"/>
              <w:rPr>
                <w:sz w:val="20"/>
                <w:szCs w:val="20"/>
                <w:color w:val="auto"/>
              </w:rPr>
            </w:pPr>
            <w:r>
              <w:rPr>
                <w:rFonts w:ascii="Courier New" w:cs="Courier New" w:eastAsia="Courier New" w:hAnsi="Courier New"/>
                <w:sz w:val="15"/>
                <w:szCs w:val="15"/>
                <w:color w:val="auto"/>
              </w:rPr>
              <w:t>or to contribute to payments that the Underwriters may be required to make in</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respect</w:t>
            </w:r>
          </w:p>
        </w:tc>
        <w:tc>
          <w:tcPr>
            <w:tcW w:w="7940" w:type="dxa"/>
            <w:vAlign w:val="bottom"/>
          </w:tcPr>
          <w:p>
            <w:pPr>
              <w:ind w:left="100"/>
              <w:spacing w:after="0"/>
              <w:rPr>
                <w:sz w:val="20"/>
                <w:szCs w:val="20"/>
                <w:color w:val="auto"/>
              </w:rPr>
            </w:pPr>
            <w:r>
              <w:rPr>
                <w:rFonts w:ascii="Courier New" w:cs="Courier New" w:eastAsia="Courier New" w:hAnsi="Courier New"/>
                <w:sz w:val="15"/>
                <w:szCs w:val="15"/>
                <w:color w:val="auto"/>
              </w:rPr>
              <w:t>hereof.</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47"/>
        </w:trPr>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7940" w:type="dxa"/>
            <w:vAlign w:val="bottom"/>
          </w:tcPr>
          <w:p>
            <w:pPr>
              <w:ind w:left="100"/>
              <w:spacing w:after="0"/>
              <w:rPr>
                <w:sz w:val="20"/>
                <w:szCs w:val="20"/>
                <w:color w:val="auto"/>
              </w:rPr>
            </w:pPr>
            <w:r>
              <w:rPr>
                <w:rFonts w:ascii="Courier New" w:cs="Courier New" w:eastAsia="Courier New" w:hAnsi="Courier New"/>
                <w:sz w:val="15"/>
                <w:szCs w:val="15"/>
                <w:color w:val="auto"/>
              </w:rPr>
              <w:t>Underwriters have advised the Company that they propose initially to</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3"/>
        </w:trPr>
        <w:tc>
          <w:tcPr>
            <w:tcW w:w="8560" w:type="dxa"/>
            <w:vAlign w:val="bottom"/>
            <w:gridSpan w:val="2"/>
          </w:tcPr>
          <w:p>
            <w:pPr>
              <w:spacing w:after="0"/>
              <w:rPr>
                <w:sz w:val="20"/>
                <w:szCs w:val="20"/>
                <w:color w:val="auto"/>
              </w:rPr>
            </w:pPr>
            <w:r>
              <w:rPr>
                <w:rFonts w:ascii="Courier New" w:cs="Courier New" w:eastAsia="Courier New" w:hAnsi="Courier New"/>
                <w:sz w:val="15"/>
                <w:szCs w:val="15"/>
                <w:color w:val="auto"/>
              </w:rPr>
              <w:t>offer the Notes to the public at the public offering price set forth on the</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8560" w:type="dxa"/>
            <w:vAlign w:val="bottom"/>
            <w:gridSpan w:val="2"/>
          </w:tcPr>
          <w:p>
            <w:pPr>
              <w:spacing w:after="0"/>
              <w:rPr>
                <w:sz w:val="20"/>
                <w:szCs w:val="20"/>
                <w:color w:val="auto"/>
              </w:rPr>
            </w:pPr>
            <w:r>
              <w:rPr>
                <w:rFonts w:ascii="Courier New" w:cs="Courier New" w:eastAsia="Courier New" w:hAnsi="Courier New"/>
                <w:sz w:val="15"/>
                <w:szCs w:val="15"/>
                <w:color w:val="auto"/>
              </w:rPr>
              <w:t>cover page of this Prospectus Supplement, and to certain dealers (who may</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include</w:t>
            </w:r>
          </w:p>
        </w:tc>
        <w:tc>
          <w:tcPr>
            <w:tcW w:w="7940" w:type="dxa"/>
            <w:vAlign w:val="bottom"/>
          </w:tcPr>
          <w:p>
            <w:pPr>
              <w:ind w:left="100"/>
              <w:spacing w:after="0"/>
              <w:rPr>
                <w:sz w:val="20"/>
                <w:szCs w:val="20"/>
                <w:color w:val="auto"/>
              </w:rPr>
            </w:pPr>
            <w:r>
              <w:rPr>
                <w:rFonts w:ascii="Courier New" w:cs="Courier New" w:eastAsia="Courier New" w:hAnsi="Courier New"/>
                <w:sz w:val="15"/>
                <w:szCs w:val="15"/>
                <w:color w:val="auto"/>
              </w:rPr>
              <w:t>the Underwriters) at such price, less a concession not in excess of</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8560" w:type="dxa"/>
            <w:vAlign w:val="bottom"/>
            <w:gridSpan w:val="2"/>
          </w:tcPr>
          <w:p>
            <w:pPr>
              <w:spacing w:after="0"/>
              <w:rPr>
                <w:sz w:val="20"/>
                <w:szCs w:val="20"/>
                <w:color w:val="auto"/>
              </w:rPr>
            </w:pPr>
            <w:r>
              <w:rPr>
                <w:rFonts w:ascii="Courier New" w:cs="Courier New" w:eastAsia="Courier New" w:hAnsi="Courier New"/>
                <w:sz w:val="15"/>
                <w:szCs w:val="15"/>
                <w:color w:val="auto"/>
              </w:rPr>
              <w:t>0.50% of the principal amount of the Notes. The Underwriters may allow, and such</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dealers</w:t>
            </w:r>
          </w:p>
        </w:tc>
        <w:tc>
          <w:tcPr>
            <w:tcW w:w="7940" w:type="dxa"/>
            <w:vAlign w:val="bottom"/>
          </w:tcPr>
          <w:p>
            <w:pPr>
              <w:ind w:left="100"/>
              <w:spacing w:after="0"/>
              <w:rPr>
                <w:sz w:val="20"/>
                <w:szCs w:val="20"/>
                <w:color w:val="auto"/>
              </w:rPr>
            </w:pPr>
            <w:r>
              <w:rPr>
                <w:rFonts w:ascii="Courier New" w:cs="Courier New" w:eastAsia="Courier New" w:hAnsi="Courier New"/>
                <w:sz w:val="15"/>
                <w:szCs w:val="15"/>
                <w:color w:val="auto"/>
              </w:rPr>
              <w:t>may re-allow, discounts not in excess of 0.35% of the principal amount</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8560" w:type="dxa"/>
            <w:vAlign w:val="bottom"/>
            <w:gridSpan w:val="2"/>
          </w:tcPr>
          <w:p>
            <w:pPr>
              <w:spacing w:after="0"/>
              <w:rPr>
                <w:sz w:val="20"/>
                <w:szCs w:val="20"/>
                <w:color w:val="auto"/>
              </w:rPr>
            </w:pPr>
            <w:r>
              <w:rPr>
                <w:rFonts w:ascii="Courier New" w:cs="Courier New" w:eastAsia="Courier New" w:hAnsi="Courier New"/>
                <w:sz w:val="15"/>
                <w:szCs w:val="15"/>
                <w:color w:val="auto"/>
              </w:rPr>
              <w:t>of the Notes to any other Underwriter and certain other dealers. After the</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initial</w:t>
            </w:r>
          </w:p>
        </w:tc>
        <w:tc>
          <w:tcPr>
            <w:tcW w:w="7940" w:type="dxa"/>
            <w:vAlign w:val="bottom"/>
          </w:tcPr>
          <w:p>
            <w:pPr>
              <w:ind w:left="100"/>
              <w:spacing w:after="0"/>
              <w:rPr>
                <w:sz w:val="20"/>
                <w:szCs w:val="20"/>
                <w:color w:val="auto"/>
              </w:rPr>
            </w:pPr>
            <w:r>
              <w:rPr>
                <w:rFonts w:ascii="Courier New" w:cs="Courier New" w:eastAsia="Courier New" w:hAnsi="Courier New"/>
                <w:sz w:val="15"/>
                <w:szCs w:val="15"/>
                <w:color w:val="auto"/>
              </w:rPr>
              <w:t>offering, the offering price and other selling terms of the Notes may be</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changed</w:t>
            </w:r>
          </w:p>
        </w:tc>
        <w:tc>
          <w:tcPr>
            <w:tcW w:w="7940" w:type="dxa"/>
            <w:vAlign w:val="bottom"/>
          </w:tcPr>
          <w:p>
            <w:pPr>
              <w:ind w:left="100"/>
              <w:spacing w:after="0"/>
              <w:rPr>
                <w:sz w:val="20"/>
                <w:szCs w:val="20"/>
                <w:color w:val="auto"/>
              </w:rPr>
            </w:pPr>
            <w:r>
              <w:rPr>
                <w:rFonts w:ascii="Courier New" w:cs="Courier New" w:eastAsia="Courier New" w:hAnsi="Courier New"/>
                <w:sz w:val="15"/>
                <w:szCs w:val="15"/>
                <w:color w:val="auto"/>
              </w:rPr>
              <w:t>by the Underwriters.</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bl>
    <w:p>
      <w:pPr>
        <w:spacing w:after="0" w:line="178" w:lineRule="exact"/>
        <w:rPr>
          <w:sz w:val="20"/>
          <w:szCs w:val="20"/>
          <w:color w:val="auto"/>
        </w:rPr>
      </w:pPr>
    </w:p>
    <w:p>
      <w:pPr>
        <w:ind w:right="3080" w:firstLine="361"/>
        <w:spacing w:after="0" w:line="264" w:lineRule="auto"/>
        <w:rPr>
          <w:sz w:val="20"/>
          <w:szCs w:val="20"/>
          <w:color w:val="auto"/>
        </w:rPr>
      </w:pPr>
      <w:r>
        <w:rPr>
          <w:rFonts w:ascii="Courier New" w:cs="Courier New" w:eastAsia="Courier New" w:hAnsi="Courier New"/>
          <w:sz w:val="14"/>
          <w:szCs w:val="14"/>
          <w:color w:val="auto"/>
        </w:rPr>
        <w:t>In connection with the Offering, the Underwriters may engage in transactions that stabilize, maintain or otherwise affect the price of the Notes. Specifically, the Underwriters may overallot the Offering, creating a syndicate short position. Underwriters may bid for and purchase the Notes in the open market to cover such a syndicate short position. In addition, the Underwriters may bid for and purchase the Notes in the open market to stabilize the price of the Notes. These activities may stabilize or maintain the market price of the Notes above independent market levels. The Underwriters are not required to engage in these activities and may end these activities at any time.</w:t>
      </w:r>
    </w:p>
    <w:p>
      <w:pPr>
        <w:spacing w:after="0" w:line="164" w:lineRule="exact"/>
        <w:rPr>
          <w:sz w:val="20"/>
          <w:szCs w:val="20"/>
          <w:color w:val="auto"/>
        </w:rPr>
      </w:pPr>
    </w:p>
    <w:p>
      <w:pPr>
        <w:ind w:right="3080" w:firstLine="361"/>
        <w:spacing w:after="0" w:line="244" w:lineRule="auto"/>
        <w:rPr>
          <w:sz w:val="20"/>
          <w:szCs w:val="20"/>
          <w:color w:val="auto"/>
        </w:rPr>
      </w:pPr>
      <w:r>
        <w:rPr>
          <w:rFonts w:ascii="Courier New" w:cs="Courier New" w:eastAsia="Courier New" w:hAnsi="Courier New"/>
          <w:sz w:val="15"/>
          <w:szCs w:val="15"/>
          <w:color w:val="auto"/>
        </w:rPr>
        <w:t>The Notes will constitute a new issue of securities with no established trading market. The Notes will not be listed on any securities exchange and there can be no assurance that there will be a secondary market for the Notes. From time to time, one or more of the Underwriters may make a market in the Notes; however, at this time no determination has been made as to whether any of the Underwriters will make a market in the Notes. Accordingly, there can be no assurance as to whether an active trading market for any of the Notes will develop or as to the liquidity of any trading market for the Notes.</w:t>
      </w:r>
    </w:p>
    <w:p>
      <w:pPr>
        <w:spacing w:after="0" w:line="178" w:lineRule="exact"/>
        <w:rPr>
          <w:sz w:val="20"/>
          <w:szCs w:val="20"/>
          <w:color w:val="auto"/>
        </w:rPr>
      </w:pPr>
    </w:p>
    <w:p>
      <w:pPr>
        <w:ind w:right="3080" w:firstLine="361"/>
        <w:spacing w:after="0" w:line="244" w:lineRule="auto"/>
        <w:rPr>
          <w:sz w:val="20"/>
          <w:szCs w:val="20"/>
          <w:color w:val="auto"/>
        </w:rPr>
      </w:pPr>
      <w:r>
        <w:rPr>
          <w:rFonts w:ascii="Courier New" w:cs="Courier New" w:eastAsia="Courier New" w:hAnsi="Courier New"/>
          <w:sz w:val="15"/>
          <w:szCs w:val="15"/>
          <w:color w:val="auto"/>
        </w:rPr>
        <w:t>In the ordinary course of their respective businesses, certain of the Underwriters and their affiliates have engaged, and in the future may engage, in investment banking and commercial banking services for the Company. Donaldson, Lufkin &amp; Jenrette Securities Corporation served as financial advisor to the Company in connection with the Merger and was paid customary fees in connection therewith. Merrill Lynch, Pierce, Fenner and Smith Incorporated served as financial advisor to Waste Management in connection with the Merger and was paid customary fees in connection therewith. Donaldson, Lufkin &amp;</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S-17</w:t>
      </w:r>
    </w:p>
    <w:p>
      <w:pPr>
        <w:sectPr>
          <w:pgSz w:w="11900" w:h="16838" w:orient="portrait"/>
          <w:cols w:equalWidth="0" w:num="1">
            <w:col w:w="10280"/>
          </w:cols>
          <w:pgMar w:left="240" w:top="464" w:right="1379" w:bottom="1440" w:gutter="0" w:footer="0" w:header="0"/>
        </w:sectPr>
      </w:pPr>
    </w:p>
    <w:bookmarkStart w:id="17" w:name="page18"/>
    <w:bookmarkEnd w:id="17"/>
    <w:p>
      <w:pPr>
        <w:ind w:right="3099"/>
        <w:spacing w:after="0" w:line="244" w:lineRule="auto"/>
        <w:rPr>
          <w:sz w:val="20"/>
          <w:szCs w:val="20"/>
          <w:color w:val="auto"/>
        </w:rPr>
      </w:pPr>
      <w:r>
        <w:rPr>
          <w:rFonts w:ascii="Courier New" w:cs="Courier New" w:eastAsia="Courier New" w:hAnsi="Courier New"/>
          <w:sz w:val="15"/>
          <w:szCs w:val="15"/>
          <w:color w:val="auto"/>
        </w:rPr>
        <w:t>Jenrette Securities Corporation was lead manager, and Merrill Lynch, Pierce, Fenner &amp; Smith Incorporated was a co-manager in a public offering of senior notes of the Company completed in December 1997. Donaldson, Lufkin &amp; Jenrette Securities Corporation was lead manager, and Merrill Lynch, Pierce, Fenner &amp; Smith Incorporated was a co-manager in a public offering of senior notes of the Company completed in September 1997. See "Use of Proceeds."</w:t>
      </w:r>
    </w:p>
    <w:p>
      <w:pPr>
        <w:spacing w:after="0" w:line="17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LEGAL MATTERS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validity of the Notes offered hereby will be passed upon for the Company by Liddell, Sapp, Zivley, Hill &amp; LaBoon, L.L.P., Houston, Texas, and certain legal matters will be passed upon for the underwriters by McDermott, Will &amp; Emery, Chicago, Illinois.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S-18</w:t>
      </w:r>
    </w:p>
    <w:p>
      <w:pPr>
        <w:sectPr>
          <w:pgSz w:w="11900" w:h="16838" w:orient="portrait"/>
          <w:cols w:equalWidth="0" w:num="1">
            <w:col w:w="10219"/>
          </w:cols>
          <w:pgMar w:left="240" w:top="465"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0"/>
        </w:trPr>
        <w:tc>
          <w:tcPr>
            <w:tcW w:w="9820" w:type="dxa"/>
            <w:vAlign w:val="bottom"/>
            <w:gridSpan w:val="3"/>
          </w:tcPr>
          <w:p>
            <w:pPr>
              <w:ind w:left="2240"/>
              <w:spacing w:after="0"/>
              <w:rPr>
                <w:sz w:val="20"/>
                <w:szCs w:val="20"/>
                <w:color w:val="auto"/>
              </w:rPr>
            </w:pPr>
            <w:r>
              <w:rPr>
                <w:rFonts w:ascii="Courier New" w:cs="Courier New" w:eastAsia="Courier New" w:hAnsi="Courier New"/>
                <w:sz w:val="15"/>
                <w:szCs w:val="15"/>
                <w:color w:val="auto"/>
              </w:rPr>
              <w:t>INDEX TO FINANCIAL STATEMENTS</w:t>
            </w:r>
          </w:p>
        </w:tc>
        <w:tc>
          <w:tcPr>
            <w:tcW w:w="820" w:type="dxa"/>
            <w:vAlign w:val="bottom"/>
          </w:tcPr>
          <w:p>
            <w:pPr>
              <w:spacing w:after="0"/>
              <w:rPr>
                <w:sz w:val="14"/>
                <w:szCs w:val="14"/>
                <w:color w:val="auto"/>
              </w:rPr>
            </w:pPr>
          </w:p>
        </w:tc>
      </w:tr>
      <w:tr>
        <w:trPr>
          <w:trHeight w:val="173"/>
        </w:trPr>
        <w:tc>
          <w:tcPr>
            <w:tcW w:w="2600" w:type="dxa"/>
            <w:vAlign w:val="bottom"/>
          </w:tcPr>
          <w:p>
            <w:pPr>
              <w:jc w:val="right"/>
              <w:ind w:right="9"/>
              <w:spacing w:after="0"/>
              <w:rPr>
                <w:sz w:val="20"/>
                <w:szCs w:val="20"/>
                <w:color w:val="auto"/>
              </w:rPr>
            </w:pPr>
            <w:r>
              <w:rPr>
                <w:rFonts w:ascii="Courier New" w:cs="Courier New" w:eastAsia="Courier New" w:hAnsi="Courier New"/>
                <w:sz w:val="15"/>
                <w:szCs w:val="15"/>
                <w:color w:val="auto"/>
              </w:rPr>
              <w:t>USA</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WASTE AND</w:t>
            </w:r>
          </w:p>
        </w:tc>
        <w:tc>
          <w:tcPr>
            <w:tcW w:w="6400" w:type="dxa"/>
            <w:vAlign w:val="bottom"/>
          </w:tcPr>
          <w:p>
            <w:pPr>
              <w:ind w:left="80"/>
              <w:spacing w:after="0"/>
              <w:rPr>
                <w:sz w:val="20"/>
                <w:szCs w:val="20"/>
                <w:color w:val="auto"/>
              </w:rPr>
            </w:pPr>
            <w:r>
              <w:rPr>
                <w:rFonts w:ascii="Courier New" w:cs="Courier New" w:eastAsia="Courier New" w:hAnsi="Courier New"/>
                <w:sz w:val="15"/>
                <w:szCs w:val="15"/>
                <w:color w:val="auto"/>
              </w:rPr>
              <w:t>WASTE MANAGEMENT</w:t>
            </w:r>
          </w:p>
        </w:tc>
        <w:tc>
          <w:tcPr>
            <w:tcW w:w="820" w:type="dxa"/>
            <w:vAlign w:val="bottom"/>
          </w:tcPr>
          <w:p>
            <w:pPr>
              <w:spacing w:after="0"/>
              <w:rPr>
                <w:sz w:val="15"/>
                <w:szCs w:val="15"/>
                <w:color w:val="auto"/>
              </w:rPr>
            </w:pPr>
          </w:p>
        </w:tc>
      </w:tr>
      <w:tr>
        <w:trPr>
          <w:trHeight w:val="173"/>
        </w:trPr>
        <w:tc>
          <w:tcPr>
            <w:tcW w:w="2600" w:type="dxa"/>
            <w:vAlign w:val="bottom"/>
          </w:tcPr>
          <w:p>
            <w:pPr>
              <w:jc w:val="right"/>
              <w:ind w:right="9"/>
              <w:spacing w:after="0"/>
              <w:rPr>
                <w:sz w:val="20"/>
                <w:szCs w:val="20"/>
                <w:color w:val="auto"/>
              </w:rPr>
            </w:pPr>
            <w:r>
              <w:rPr>
                <w:rFonts w:ascii="Courier New" w:cs="Courier New" w:eastAsia="Courier New" w:hAnsi="Courier New"/>
                <w:sz w:val="15"/>
                <w:szCs w:val="15"/>
                <w:color w:val="auto"/>
              </w:rPr>
              <w:t>COMBINED UNAUDITED</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PRO FORMA</w:t>
            </w:r>
          </w:p>
        </w:tc>
        <w:tc>
          <w:tcPr>
            <w:tcW w:w="6400" w:type="dxa"/>
            <w:vAlign w:val="bottom"/>
          </w:tcPr>
          <w:p>
            <w:pPr>
              <w:ind w:left="80"/>
              <w:spacing w:after="0"/>
              <w:rPr>
                <w:sz w:val="20"/>
                <w:szCs w:val="20"/>
                <w:color w:val="auto"/>
              </w:rPr>
            </w:pPr>
            <w:r>
              <w:rPr>
                <w:rFonts w:ascii="Courier New" w:cs="Courier New" w:eastAsia="Courier New" w:hAnsi="Courier New"/>
                <w:sz w:val="15"/>
                <w:szCs w:val="15"/>
                <w:color w:val="auto"/>
              </w:rPr>
              <w:t>CONDENSED FINANCIAL STATEMENTS</w:t>
            </w:r>
          </w:p>
        </w:tc>
        <w:tc>
          <w:tcPr>
            <w:tcW w:w="820" w:type="dxa"/>
            <w:vAlign w:val="bottom"/>
          </w:tcPr>
          <w:p>
            <w:pPr>
              <w:spacing w:after="0"/>
              <w:rPr>
                <w:sz w:val="15"/>
                <w:szCs w:val="15"/>
                <w:color w:val="auto"/>
              </w:rPr>
            </w:pPr>
          </w:p>
        </w:tc>
      </w:tr>
      <w:tr>
        <w:trPr>
          <w:trHeight w:val="694"/>
        </w:trPr>
        <w:tc>
          <w:tcPr>
            <w:tcW w:w="2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PAGE</w:t>
            </w:r>
          </w:p>
        </w:tc>
      </w:tr>
      <w:tr>
        <w:trPr>
          <w:trHeight w:val="347"/>
        </w:trPr>
        <w:tc>
          <w:tcPr>
            <w:tcW w:w="3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88"/>
              </w:rPr>
              <w:t>General....................................................................................................</w:t>
            </w:r>
          </w:p>
        </w:tc>
        <w:tc>
          <w:tcPr>
            <w:tcW w:w="6400" w:type="dxa"/>
            <w:vAlign w:val="bottom"/>
          </w:tcPr>
          <w:p>
            <w:pPr>
              <w:spacing w:after="0"/>
              <w:rPr>
                <w:sz w:val="24"/>
                <w:szCs w:val="24"/>
                <w:color w:val="auto"/>
              </w:rPr>
            </w:pPr>
          </w:p>
        </w:tc>
        <w:tc>
          <w:tcPr>
            <w:tcW w:w="820" w:type="dxa"/>
            <w:vAlign w:val="bottom"/>
          </w:tcPr>
          <w:p>
            <w:pPr>
              <w:ind w:left="540"/>
              <w:spacing w:after="0"/>
              <w:rPr>
                <w:sz w:val="20"/>
                <w:szCs w:val="20"/>
                <w:color w:val="auto"/>
              </w:rPr>
            </w:pPr>
            <w:r>
              <w:rPr>
                <w:rFonts w:ascii="Courier New" w:cs="Courier New" w:eastAsia="Courier New" w:hAnsi="Courier New"/>
                <w:sz w:val="15"/>
                <w:szCs w:val="15"/>
                <w:color w:val="auto"/>
                <w:w w:val="96"/>
              </w:rPr>
              <w:t>F-2</w:t>
            </w:r>
          </w:p>
        </w:tc>
      </w:tr>
      <w:tr>
        <w:trPr>
          <w:trHeight w:val="347"/>
        </w:trPr>
        <w:tc>
          <w:tcPr>
            <w:tcW w:w="2600" w:type="dxa"/>
            <w:vAlign w:val="bottom"/>
          </w:tcPr>
          <w:p>
            <w:pPr>
              <w:jc w:val="right"/>
              <w:ind w:right="9"/>
              <w:spacing w:after="0"/>
              <w:rPr>
                <w:sz w:val="20"/>
                <w:szCs w:val="20"/>
                <w:color w:val="auto"/>
              </w:rPr>
            </w:pPr>
            <w:r>
              <w:rPr>
                <w:rFonts w:ascii="Courier New" w:cs="Courier New" w:eastAsia="Courier New" w:hAnsi="Courier New"/>
                <w:sz w:val="15"/>
                <w:szCs w:val="15"/>
                <w:color w:val="auto"/>
                <w:w w:val="99"/>
              </w:rPr>
              <w:t>Combined Unaudited Pro Forma</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Condensed</w:t>
            </w:r>
          </w:p>
        </w:tc>
        <w:tc>
          <w:tcPr>
            <w:tcW w:w="6400" w:type="dxa"/>
            <w:vAlign w:val="bottom"/>
          </w:tcPr>
          <w:p>
            <w:pPr>
              <w:ind w:left="80"/>
              <w:spacing w:after="0"/>
              <w:rPr>
                <w:sz w:val="20"/>
                <w:szCs w:val="20"/>
                <w:color w:val="auto"/>
              </w:rPr>
            </w:pPr>
            <w:r>
              <w:rPr>
                <w:rFonts w:ascii="Courier New" w:cs="Courier New" w:eastAsia="Courier New" w:hAnsi="Courier New"/>
                <w:sz w:val="15"/>
                <w:szCs w:val="15"/>
                <w:color w:val="auto"/>
              </w:rPr>
              <w:t>Balance Sheet as of March 31, 1998..................................</w:t>
            </w:r>
          </w:p>
        </w:tc>
        <w:tc>
          <w:tcPr>
            <w:tcW w:w="820" w:type="dxa"/>
            <w:vAlign w:val="bottom"/>
          </w:tcPr>
          <w:p>
            <w:pPr>
              <w:ind w:left="540"/>
              <w:spacing w:after="0"/>
              <w:rPr>
                <w:sz w:val="20"/>
                <w:szCs w:val="20"/>
                <w:color w:val="auto"/>
              </w:rPr>
            </w:pPr>
            <w:r>
              <w:rPr>
                <w:rFonts w:ascii="Courier New" w:cs="Courier New" w:eastAsia="Courier New" w:hAnsi="Courier New"/>
                <w:sz w:val="15"/>
                <w:szCs w:val="15"/>
                <w:color w:val="auto"/>
                <w:w w:val="96"/>
              </w:rPr>
              <w:t>F-3</w:t>
            </w:r>
          </w:p>
        </w:tc>
      </w:tr>
      <w:tr>
        <w:trPr>
          <w:trHeight w:val="347"/>
        </w:trPr>
        <w:tc>
          <w:tcPr>
            <w:tcW w:w="2600" w:type="dxa"/>
            <w:vAlign w:val="bottom"/>
          </w:tcPr>
          <w:p>
            <w:pPr>
              <w:jc w:val="right"/>
              <w:ind w:right="9"/>
              <w:spacing w:after="0"/>
              <w:rPr>
                <w:sz w:val="20"/>
                <w:szCs w:val="20"/>
                <w:color w:val="auto"/>
              </w:rPr>
            </w:pPr>
            <w:r>
              <w:rPr>
                <w:rFonts w:ascii="Courier New" w:cs="Courier New" w:eastAsia="Courier New" w:hAnsi="Courier New"/>
                <w:sz w:val="15"/>
                <w:szCs w:val="15"/>
                <w:color w:val="auto"/>
                <w:w w:val="99"/>
              </w:rPr>
              <w:t>Combined Unaudited Pro Forma</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Condensed</w:t>
            </w:r>
          </w:p>
        </w:tc>
        <w:tc>
          <w:tcPr>
            <w:tcW w:w="6400" w:type="dxa"/>
            <w:vAlign w:val="bottom"/>
          </w:tcPr>
          <w:p>
            <w:pPr>
              <w:ind w:left="80"/>
              <w:spacing w:after="0"/>
              <w:rPr>
                <w:sz w:val="20"/>
                <w:szCs w:val="20"/>
                <w:color w:val="auto"/>
              </w:rPr>
            </w:pPr>
            <w:r>
              <w:rPr>
                <w:rFonts w:ascii="Courier New" w:cs="Courier New" w:eastAsia="Courier New" w:hAnsi="Courier New"/>
                <w:sz w:val="15"/>
                <w:szCs w:val="15"/>
                <w:color w:val="auto"/>
              </w:rPr>
              <w:t>Statement of Operations for the Three Months Ended March 31, 1998...</w:t>
            </w:r>
          </w:p>
        </w:tc>
        <w:tc>
          <w:tcPr>
            <w:tcW w:w="820" w:type="dxa"/>
            <w:vAlign w:val="bottom"/>
          </w:tcPr>
          <w:p>
            <w:pPr>
              <w:ind w:left="540"/>
              <w:spacing w:after="0"/>
              <w:rPr>
                <w:sz w:val="20"/>
                <w:szCs w:val="20"/>
                <w:color w:val="auto"/>
              </w:rPr>
            </w:pPr>
            <w:r>
              <w:rPr>
                <w:rFonts w:ascii="Courier New" w:cs="Courier New" w:eastAsia="Courier New" w:hAnsi="Courier New"/>
                <w:sz w:val="15"/>
                <w:szCs w:val="15"/>
                <w:color w:val="auto"/>
                <w:w w:val="96"/>
              </w:rPr>
              <w:t>F-5</w:t>
            </w:r>
          </w:p>
        </w:tc>
      </w:tr>
      <w:tr>
        <w:trPr>
          <w:trHeight w:val="347"/>
        </w:trPr>
        <w:tc>
          <w:tcPr>
            <w:tcW w:w="2600" w:type="dxa"/>
            <w:vAlign w:val="bottom"/>
          </w:tcPr>
          <w:p>
            <w:pPr>
              <w:jc w:val="right"/>
              <w:ind w:right="9"/>
              <w:spacing w:after="0"/>
              <w:rPr>
                <w:sz w:val="20"/>
                <w:szCs w:val="20"/>
                <w:color w:val="auto"/>
              </w:rPr>
            </w:pPr>
            <w:r>
              <w:rPr>
                <w:rFonts w:ascii="Courier New" w:cs="Courier New" w:eastAsia="Courier New" w:hAnsi="Courier New"/>
                <w:sz w:val="15"/>
                <w:szCs w:val="15"/>
                <w:color w:val="auto"/>
                <w:w w:val="99"/>
              </w:rPr>
              <w:t>Combined Unaudited Pro Forma</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Condensed</w:t>
            </w:r>
          </w:p>
        </w:tc>
        <w:tc>
          <w:tcPr>
            <w:tcW w:w="6400" w:type="dxa"/>
            <w:vAlign w:val="bottom"/>
          </w:tcPr>
          <w:p>
            <w:pPr>
              <w:ind w:left="80"/>
              <w:spacing w:after="0"/>
              <w:rPr>
                <w:sz w:val="20"/>
                <w:szCs w:val="20"/>
                <w:color w:val="auto"/>
              </w:rPr>
            </w:pPr>
            <w:r>
              <w:rPr>
                <w:rFonts w:ascii="Courier New" w:cs="Courier New" w:eastAsia="Courier New" w:hAnsi="Courier New"/>
                <w:sz w:val="15"/>
                <w:szCs w:val="15"/>
                <w:color w:val="auto"/>
              </w:rPr>
              <w:t>Statement of Operations for the Year Ended December 31, 1997........</w:t>
            </w:r>
          </w:p>
        </w:tc>
        <w:tc>
          <w:tcPr>
            <w:tcW w:w="820" w:type="dxa"/>
            <w:vAlign w:val="bottom"/>
          </w:tcPr>
          <w:p>
            <w:pPr>
              <w:ind w:left="540"/>
              <w:spacing w:after="0"/>
              <w:rPr>
                <w:sz w:val="20"/>
                <w:szCs w:val="20"/>
                <w:color w:val="auto"/>
              </w:rPr>
            </w:pPr>
            <w:r>
              <w:rPr>
                <w:rFonts w:ascii="Courier New" w:cs="Courier New" w:eastAsia="Courier New" w:hAnsi="Courier New"/>
                <w:sz w:val="15"/>
                <w:szCs w:val="15"/>
                <w:color w:val="auto"/>
                <w:w w:val="96"/>
              </w:rPr>
              <w:t>F-6</w:t>
            </w:r>
          </w:p>
        </w:tc>
      </w:tr>
      <w:tr>
        <w:trPr>
          <w:trHeight w:val="347"/>
        </w:trPr>
        <w:tc>
          <w:tcPr>
            <w:tcW w:w="2600" w:type="dxa"/>
            <w:vAlign w:val="bottom"/>
          </w:tcPr>
          <w:p>
            <w:pPr>
              <w:jc w:val="right"/>
              <w:ind w:right="9"/>
              <w:spacing w:after="0"/>
              <w:rPr>
                <w:sz w:val="20"/>
                <w:szCs w:val="20"/>
                <w:color w:val="auto"/>
              </w:rPr>
            </w:pPr>
            <w:r>
              <w:rPr>
                <w:rFonts w:ascii="Courier New" w:cs="Courier New" w:eastAsia="Courier New" w:hAnsi="Courier New"/>
                <w:sz w:val="15"/>
                <w:szCs w:val="15"/>
                <w:color w:val="auto"/>
                <w:w w:val="99"/>
              </w:rPr>
              <w:t>Combined Unaudited Pro Forma</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Condensed</w:t>
            </w:r>
          </w:p>
        </w:tc>
        <w:tc>
          <w:tcPr>
            <w:tcW w:w="6400" w:type="dxa"/>
            <w:vAlign w:val="bottom"/>
          </w:tcPr>
          <w:p>
            <w:pPr>
              <w:ind w:left="80"/>
              <w:spacing w:after="0"/>
              <w:rPr>
                <w:sz w:val="20"/>
                <w:szCs w:val="20"/>
                <w:color w:val="auto"/>
              </w:rPr>
            </w:pPr>
            <w:r>
              <w:rPr>
                <w:rFonts w:ascii="Courier New" w:cs="Courier New" w:eastAsia="Courier New" w:hAnsi="Courier New"/>
                <w:sz w:val="15"/>
                <w:szCs w:val="15"/>
                <w:color w:val="auto"/>
              </w:rPr>
              <w:t>Statement of Operations for the Year Ended December 31, 1996........</w:t>
            </w:r>
          </w:p>
        </w:tc>
        <w:tc>
          <w:tcPr>
            <w:tcW w:w="820" w:type="dxa"/>
            <w:vAlign w:val="bottom"/>
          </w:tcPr>
          <w:p>
            <w:pPr>
              <w:ind w:left="540"/>
              <w:spacing w:after="0"/>
              <w:rPr>
                <w:sz w:val="20"/>
                <w:szCs w:val="20"/>
                <w:color w:val="auto"/>
              </w:rPr>
            </w:pPr>
            <w:r>
              <w:rPr>
                <w:rFonts w:ascii="Courier New" w:cs="Courier New" w:eastAsia="Courier New" w:hAnsi="Courier New"/>
                <w:sz w:val="15"/>
                <w:szCs w:val="15"/>
                <w:color w:val="auto"/>
                <w:w w:val="96"/>
              </w:rPr>
              <w:t>F-7</w:t>
            </w:r>
          </w:p>
        </w:tc>
      </w:tr>
      <w:tr>
        <w:trPr>
          <w:trHeight w:val="347"/>
        </w:trPr>
        <w:tc>
          <w:tcPr>
            <w:tcW w:w="2600" w:type="dxa"/>
            <w:vAlign w:val="bottom"/>
          </w:tcPr>
          <w:p>
            <w:pPr>
              <w:jc w:val="right"/>
              <w:ind w:right="9"/>
              <w:spacing w:after="0"/>
              <w:rPr>
                <w:sz w:val="20"/>
                <w:szCs w:val="20"/>
                <w:color w:val="auto"/>
              </w:rPr>
            </w:pPr>
            <w:r>
              <w:rPr>
                <w:rFonts w:ascii="Courier New" w:cs="Courier New" w:eastAsia="Courier New" w:hAnsi="Courier New"/>
                <w:sz w:val="15"/>
                <w:szCs w:val="15"/>
                <w:color w:val="auto"/>
                <w:w w:val="99"/>
              </w:rPr>
              <w:t>Combined Unaudited Pro Forma</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Condensed</w:t>
            </w:r>
          </w:p>
        </w:tc>
        <w:tc>
          <w:tcPr>
            <w:tcW w:w="6400" w:type="dxa"/>
            <w:vAlign w:val="bottom"/>
          </w:tcPr>
          <w:p>
            <w:pPr>
              <w:ind w:left="80"/>
              <w:spacing w:after="0"/>
              <w:rPr>
                <w:sz w:val="20"/>
                <w:szCs w:val="20"/>
                <w:color w:val="auto"/>
              </w:rPr>
            </w:pPr>
            <w:r>
              <w:rPr>
                <w:rFonts w:ascii="Courier New" w:cs="Courier New" w:eastAsia="Courier New" w:hAnsi="Courier New"/>
                <w:sz w:val="15"/>
                <w:szCs w:val="15"/>
                <w:color w:val="auto"/>
              </w:rPr>
              <w:t>Statement of Operations for the Year Ended December 31, 1995........</w:t>
            </w:r>
          </w:p>
        </w:tc>
        <w:tc>
          <w:tcPr>
            <w:tcW w:w="820" w:type="dxa"/>
            <w:vAlign w:val="bottom"/>
          </w:tcPr>
          <w:p>
            <w:pPr>
              <w:ind w:left="540"/>
              <w:spacing w:after="0"/>
              <w:rPr>
                <w:sz w:val="20"/>
                <w:szCs w:val="20"/>
                <w:color w:val="auto"/>
              </w:rPr>
            </w:pPr>
            <w:r>
              <w:rPr>
                <w:rFonts w:ascii="Courier New" w:cs="Courier New" w:eastAsia="Courier New" w:hAnsi="Courier New"/>
                <w:sz w:val="15"/>
                <w:szCs w:val="15"/>
                <w:color w:val="auto"/>
                <w:w w:val="96"/>
              </w:rPr>
              <w:t>F-8</w:t>
            </w:r>
          </w:p>
        </w:tc>
      </w:tr>
      <w:tr>
        <w:trPr>
          <w:trHeight w:val="347"/>
        </w:trPr>
        <w:tc>
          <w:tcPr>
            <w:tcW w:w="9820" w:type="dxa"/>
            <w:vAlign w:val="bottom"/>
            <w:gridSpan w:val="3"/>
          </w:tcPr>
          <w:p>
            <w:pPr>
              <w:spacing w:after="0"/>
              <w:rPr>
                <w:sz w:val="20"/>
                <w:szCs w:val="20"/>
                <w:color w:val="auto"/>
              </w:rPr>
            </w:pPr>
            <w:r>
              <w:rPr>
                <w:rFonts w:ascii="Courier New" w:cs="Courier New" w:eastAsia="Courier New" w:hAnsi="Courier New"/>
                <w:sz w:val="15"/>
                <w:szCs w:val="15"/>
                <w:color w:val="auto"/>
              </w:rPr>
              <w:t>Notes to Combined Unaudited Pro Forma Condensed Financial Statements.......................................</w:t>
            </w:r>
          </w:p>
        </w:tc>
        <w:tc>
          <w:tcPr>
            <w:tcW w:w="820" w:type="dxa"/>
            <w:vAlign w:val="bottom"/>
          </w:tcPr>
          <w:p>
            <w:pPr>
              <w:ind w:left="540"/>
              <w:spacing w:after="0"/>
              <w:rPr>
                <w:sz w:val="20"/>
                <w:szCs w:val="20"/>
                <w:color w:val="auto"/>
              </w:rPr>
            </w:pPr>
            <w:r>
              <w:rPr>
                <w:rFonts w:ascii="Courier New" w:cs="Courier New" w:eastAsia="Courier New" w:hAnsi="Courier New"/>
                <w:sz w:val="15"/>
                <w:szCs w:val="15"/>
                <w:color w:val="auto"/>
                <w:w w:val="96"/>
              </w:rPr>
              <w:t>F-9</w:t>
            </w:r>
          </w:p>
        </w:tc>
      </w:tr>
      <w:tr>
        <w:trPr>
          <w:trHeight w:val="520"/>
        </w:trPr>
        <w:tc>
          <w:tcPr>
            <w:tcW w:w="2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Courier New" w:cs="Courier New" w:eastAsia="Courier New" w:hAnsi="Courier New"/>
                <w:sz w:val="15"/>
                <w:szCs w:val="15"/>
                <w:color w:val="auto"/>
              </w:rPr>
              <w:t>F-1</w:t>
            </w:r>
          </w:p>
        </w:tc>
        <w:tc>
          <w:tcPr>
            <w:tcW w:w="820" w:type="dxa"/>
            <w:vAlign w:val="bottom"/>
          </w:tcPr>
          <w:p>
            <w:pPr>
              <w:spacing w:after="0"/>
              <w:rPr>
                <w:sz w:val="24"/>
                <w:szCs w:val="24"/>
                <w:color w:val="auto"/>
              </w:rPr>
            </w:pPr>
          </w:p>
        </w:tc>
      </w:tr>
    </w:tbl>
    <w:p>
      <w:pPr>
        <w:sectPr>
          <w:pgSz w:w="11900" w:h="16838" w:orient="portrait"/>
          <w:cols w:equalWidth="0" w:num="1">
            <w:col w:w="10640"/>
          </w:cols>
          <w:pgMar w:left="240" w:top="464" w:right="1019" w:bottom="1440" w:gutter="0" w:footer="0" w:header="0"/>
        </w:sectPr>
      </w:pPr>
    </w:p>
    <w:bookmarkStart w:id="19" w:name="page20"/>
    <w:bookmarkEnd w:id="19"/>
    <w:p>
      <w:pPr>
        <w:jc w:val="center"/>
        <w:ind w:right="3019"/>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COMBINED UNAUDITED PRO FORMA CONDENSED FINANCIAL STATEMENTS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financial statements are based upon the historical financial statements of USA Waste and of Waste Management and should be read in conjunction with those financial statements and related notes. Such financial statements, as previously filed with the Commission under the Exchange Act, are incorporated by reference in this Prospectus Supplement and the accompanying Prospectus. These combined unaudited pro forma condensed financial statements give effect to the Merger by combining the balance sheets and results of operations of USA Waste and Waste Management using the pooling of interests method of accounting as if the companies had been combined since their inception and as if Waste Management had issued 20 million shares of Waste Management Common Stock as of March 31, 1998. The combined unaudited pro forma condensed financial information is presented for illustrative purposes only and is not necessarily indicative of the operating results or financial position that would have been achieved had the Merger been consummated as of the beginning of the periods presented, nor is it necessarily indicative of the future operating results or financial position of New Waste Management. The combined unaudited pro forma condensed financial information does not give effect to any possible divestitures of business units which may be required by the antitrust regulatory authorities or to any cost savings which may result from the integration of USA Waste's and Waste Management's operations, nor does such information include the nonrecurring costs directly related to the Merger which are expected to be included in operations of New Waste Management within the 12 months following the Merger. Such nonrecurring costs have yet to be determined; however, such costs are expected to be significant.</w:t>
      </w:r>
    </w:p>
    <w:p>
      <w:pPr>
        <w:spacing w:after="0" w:line="1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464" w:right="1440" w:bottom="1440" w:gutter="0" w:footer="0" w:header="0"/>
        </w:sectPr>
      </w:pPr>
    </w:p>
    <w:bookmarkStart w:id="20" w:name="page21"/>
    <w:bookmarkEnd w:id="20"/>
    <w:p>
      <w:pPr>
        <w:jc w:val="center"/>
        <w:ind w:right="3019"/>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COMBINED UNAUDITED PRO FORMA CONDENSED BALANCE SHEET</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MARCH 31, 1998</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balance sheet presents the combined financial position of USA Waste and Waste Management as of March 31, 1998. Such unaudited pro forma combined condensed balance sheet is based on the historical balance sheets of USA Waste and Waste Management as of March 31, 1998, after giving effect to the Merger using the pooling of interests method of accounting and to the pro forma adjustments as described in the notes to combined pro forma condensed financial statements.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WASTE</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PRO</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FORMA</w:t>
            </w:r>
          </w:p>
        </w:tc>
        <w:tc>
          <w:tcPr>
            <w:tcW w:w="2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USA WASTE</w:t>
            </w:r>
          </w:p>
        </w:tc>
        <w:tc>
          <w:tcPr>
            <w:tcW w:w="22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MANAGEMENT</w:t>
            </w:r>
          </w:p>
        </w:tc>
        <w:tc>
          <w:tcPr>
            <w:tcW w:w="260" w:type="dxa"/>
            <w:vAlign w:val="bottom"/>
          </w:tcPr>
          <w:p>
            <w:pPr>
              <w:spacing w:after="0"/>
              <w:rPr>
                <w:sz w:val="15"/>
                <w:szCs w:val="15"/>
                <w:color w:val="auto"/>
              </w:rPr>
            </w:pPr>
          </w:p>
        </w:tc>
        <w:tc>
          <w:tcPr>
            <w:tcW w:w="13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8"/>
              </w:rPr>
              <w:t>ADJUSTMENTS</w:t>
            </w:r>
          </w:p>
        </w:tc>
        <w:tc>
          <w:tcPr>
            <w:tcW w:w="22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46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(IN THOUSANDS, EXCEPT SHARE AND</w:t>
            </w:r>
          </w:p>
        </w:tc>
        <w:tc>
          <w:tcPr>
            <w:tcW w:w="20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PAR VALUE AMOUNTS)</w:t>
            </w:r>
          </w:p>
        </w:tc>
      </w:tr>
      <w:tr>
        <w:trPr>
          <w:trHeight w:val="173"/>
        </w:trPr>
        <w:tc>
          <w:tcPr>
            <w:tcW w:w="4600" w:type="dxa"/>
            <w:vAlign w:val="bottom"/>
          </w:tcPr>
          <w:p>
            <w:pPr>
              <w:jc w:val="right"/>
              <w:ind w:right="2005"/>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311,861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358,121</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Short-term investments..........................</w:t>
            </w:r>
          </w:p>
        </w:tc>
        <w:tc>
          <w:tcPr>
            <w:tcW w:w="180" w:type="dxa"/>
            <w:vAlign w:val="bottom"/>
          </w:tcPr>
          <w:p>
            <w:pPr>
              <w:spacing w:after="0"/>
              <w:rPr>
                <w:sz w:val="15"/>
                <w:szCs w:val="15"/>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3,053</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3,053</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receivable, net........................</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468,619</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1,448,797</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1,917,416</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Notes and other receivables.....................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56,321</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26,577</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82,898</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46,196</w:t>
            </w:r>
          </w:p>
        </w:tc>
        <w:tc>
          <w:tcPr>
            <w:tcW w:w="220" w:type="dxa"/>
            <w:vAlign w:val="bottom"/>
          </w:tcPr>
          <w:p>
            <w:pPr>
              <w:spacing w:after="0"/>
              <w:rPr>
                <w:sz w:val="15"/>
                <w:szCs w:val="15"/>
                <w:color w:val="auto"/>
              </w:rPr>
            </w:pP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46,196</w:t>
            </w:r>
          </w:p>
        </w:tc>
      </w:tr>
      <w:tr>
        <w:trPr>
          <w:trHeight w:val="173"/>
        </w:trPr>
        <w:tc>
          <w:tcPr>
            <w:tcW w:w="460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Costs and estimated earnings in excess of</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billings on uncompleted contracts.............</w:t>
            </w:r>
          </w:p>
        </w:tc>
        <w:tc>
          <w:tcPr>
            <w:tcW w:w="180" w:type="dxa"/>
            <w:vAlign w:val="bottom"/>
          </w:tcPr>
          <w:p>
            <w:pPr>
              <w:spacing w:after="0"/>
              <w:rPr>
                <w:sz w:val="15"/>
                <w:szCs w:val="15"/>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158,964</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158,964</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Prepaid expenses and other......................</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58,891</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230,374</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289,265</w:t>
            </w:r>
          </w:p>
        </w:tc>
      </w:tr>
      <w:tr>
        <w:trPr>
          <w:trHeight w:val="173"/>
        </w:trPr>
        <w:tc>
          <w:tcPr>
            <w:tcW w:w="46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676,287</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2,179,626</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2,855,913</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Notes and other receivables.......................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22,951</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100,044</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122,995</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Property and equipment, net.......................</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4,601,573</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7,126,426</w:t>
            </w:r>
          </w:p>
        </w:tc>
        <w:tc>
          <w:tcPr>
            <w:tcW w:w="260" w:type="dxa"/>
            <w:vAlign w:val="bottom"/>
          </w:tcPr>
          <w:p>
            <w:pPr>
              <w:spacing w:after="0"/>
              <w:rPr>
                <w:sz w:val="15"/>
                <w:szCs w:val="15"/>
                <w:color w:val="auto"/>
              </w:rPr>
            </w:pPr>
          </w:p>
        </w:tc>
        <w:tc>
          <w:tcPr>
            <w:tcW w:w="13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(10,922)(a)</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11,617,441</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(99,636)(b)</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 of acquired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businesses, net.................................</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1,905,285</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3,674,333</w:t>
            </w:r>
          </w:p>
        </w:tc>
        <w:tc>
          <w:tcPr>
            <w:tcW w:w="260" w:type="dxa"/>
            <w:vAlign w:val="bottom"/>
          </w:tcPr>
          <w:p>
            <w:pPr>
              <w:spacing w:after="0"/>
              <w:rPr>
                <w:sz w:val="15"/>
                <w:szCs w:val="15"/>
                <w:color w:val="auto"/>
              </w:rPr>
            </w:pPr>
          </w:p>
        </w:tc>
        <w:tc>
          <w:tcPr>
            <w:tcW w:w="13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(66,464)(a)</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5,513,154</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Other intangible assets, net......................</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126,526</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11,746</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138,272</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assets of continuing businesses held for</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w:t>
            </w:r>
          </w:p>
        </w:tc>
        <w:tc>
          <w:tcPr>
            <w:tcW w:w="180" w:type="dxa"/>
            <w:vAlign w:val="bottom"/>
          </w:tcPr>
          <w:p>
            <w:pPr>
              <w:spacing w:after="0"/>
              <w:rPr>
                <w:sz w:val="15"/>
                <w:szCs w:val="15"/>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137,995</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137,995</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Other assets......................................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256,783</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633,830</w:t>
            </w:r>
          </w:p>
        </w:tc>
        <w:tc>
          <w:tcPr>
            <w:tcW w:w="260" w:type="dxa"/>
            <w:vAlign w:val="bottom"/>
          </w:tcPr>
          <w:p>
            <w:pPr>
              <w:spacing w:after="0"/>
              <w:rPr>
                <w:sz w:val="15"/>
                <w:szCs w:val="15"/>
                <w:color w:val="auto"/>
              </w:rPr>
            </w:pPr>
          </w:p>
        </w:tc>
        <w:tc>
          <w:tcPr>
            <w:tcW w:w="13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(28,124)(c)</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862,489</w:t>
            </w:r>
          </w:p>
        </w:tc>
      </w:tr>
      <w:tr>
        <w:trPr>
          <w:trHeight w:val="173"/>
        </w:trPr>
        <w:tc>
          <w:tcPr>
            <w:tcW w:w="46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7,589,405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13,864,000</w:t>
            </w:r>
          </w:p>
        </w:tc>
        <w:tc>
          <w:tcPr>
            <w:tcW w:w="1580" w:type="dxa"/>
            <w:vAlign w:val="bottom"/>
            <w:gridSpan w:val="3"/>
          </w:tcPr>
          <w:p>
            <w:pPr>
              <w:jc w:val="right"/>
              <w:ind w:right="425"/>
              <w:spacing w:after="0"/>
              <w:rPr>
                <w:sz w:val="20"/>
                <w:szCs w:val="20"/>
                <w:color w:val="auto"/>
              </w:rPr>
            </w:pPr>
            <w:r>
              <w:rPr>
                <w:rFonts w:ascii="Courier New" w:cs="Courier New" w:eastAsia="Courier New" w:hAnsi="Courier New"/>
                <w:sz w:val="15"/>
                <w:szCs w:val="15"/>
                <w:color w:val="auto"/>
              </w:rPr>
              <w:t>$(205,146)</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$21,248,259</w:t>
            </w:r>
          </w:p>
        </w:tc>
      </w:tr>
      <w:tr>
        <w:trPr>
          <w:trHeight w:val="173"/>
        </w:trPr>
        <w:tc>
          <w:tcPr>
            <w:tcW w:w="46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60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196,735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687,419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884,154</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185,631</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1,683,398</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1,869,029</w:t>
            </w:r>
          </w:p>
        </w:tc>
      </w:tr>
      <w:tr>
        <w:trPr>
          <w:trHeight w:val="173"/>
        </w:trPr>
        <w:tc>
          <w:tcPr>
            <w:tcW w:w="46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Obligation to former Wheelabrator Technologies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 shareholders.............................</w:t>
            </w:r>
          </w:p>
        </w:tc>
        <w:tc>
          <w:tcPr>
            <w:tcW w:w="180" w:type="dxa"/>
            <w:vAlign w:val="bottom"/>
          </w:tcPr>
          <w:p>
            <w:pPr>
              <w:spacing w:after="0"/>
              <w:rPr>
                <w:sz w:val="15"/>
                <w:szCs w:val="15"/>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876,232</w:t>
            </w:r>
          </w:p>
        </w:tc>
        <w:tc>
          <w:tcPr>
            <w:tcW w:w="260" w:type="dxa"/>
            <w:vAlign w:val="bottom"/>
          </w:tcPr>
          <w:p>
            <w:pPr>
              <w:spacing w:after="0"/>
              <w:rPr>
                <w:sz w:val="15"/>
                <w:szCs w:val="15"/>
                <w:color w:val="auto"/>
              </w:rPr>
            </w:pPr>
          </w:p>
        </w:tc>
        <w:tc>
          <w:tcPr>
            <w:tcW w:w="13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8"/>
              </w:rPr>
              <w:t>(614,400)(d)</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261,832</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revenues...............................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69,484</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236,339</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305,823</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Current maturities of long-term debt............</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46,527</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1,025,685</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1,072,212</w:t>
            </w:r>
          </w:p>
        </w:tc>
      </w:tr>
      <w:tr>
        <w:trPr>
          <w:trHeight w:val="173"/>
        </w:trPr>
        <w:tc>
          <w:tcPr>
            <w:tcW w:w="46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498,377</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4,509,073</w:t>
            </w:r>
          </w:p>
        </w:tc>
        <w:tc>
          <w:tcPr>
            <w:tcW w:w="260" w:type="dxa"/>
            <w:vAlign w:val="bottom"/>
          </w:tcPr>
          <w:p>
            <w:pPr>
              <w:spacing w:after="0"/>
              <w:rPr>
                <w:sz w:val="15"/>
                <w:szCs w:val="15"/>
                <w:color w:val="auto"/>
              </w:rPr>
            </w:pPr>
          </w:p>
        </w:tc>
        <w:tc>
          <w:tcPr>
            <w:tcW w:w="13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w w:val="98"/>
              </w:rPr>
              <w:t>(614,400)</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4,393,050</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Long-term debt, less current maturities...........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3,584,887</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5,398,132</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8,983,019</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Deferred income taxes.............................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323,320</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216,797</w:t>
            </w:r>
          </w:p>
        </w:tc>
        <w:tc>
          <w:tcPr>
            <w:tcW w:w="260" w:type="dxa"/>
            <w:vAlign w:val="bottom"/>
          </w:tcPr>
          <w:p>
            <w:pPr>
              <w:spacing w:after="0"/>
              <w:rPr>
                <w:sz w:val="15"/>
                <w:szCs w:val="15"/>
                <w:color w:val="auto"/>
              </w:rPr>
            </w:pPr>
          </w:p>
        </w:tc>
        <w:tc>
          <w:tcPr>
            <w:tcW w:w="13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(25,029)(a)</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520,293</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5,205(b)</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Closure, post-closure, and other liabilities......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407,699</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1,645,663</w:t>
            </w:r>
          </w:p>
        </w:tc>
        <w:tc>
          <w:tcPr>
            <w:tcW w:w="260" w:type="dxa"/>
            <w:vAlign w:val="bottom"/>
          </w:tcPr>
          <w:p>
            <w:pPr>
              <w:spacing w:after="0"/>
              <w:rPr>
                <w:sz w:val="15"/>
                <w:szCs w:val="15"/>
                <w:color w:val="auto"/>
              </w:rPr>
            </w:pPr>
          </w:p>
        </w:tc>
        <w:tc>
          <w:tcPr>
            <w:tcW w:w="13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(85,557)(b)</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1,967,805</w:t>
            </w:r>
          </w:p>
        </w:tc>
      </w:tr>
      <w:tr>
        <w:trPr>
          <w:trHeight w:val="173"/>
        </w:trPr>
        <w:tc>
          <w:tcPr>
            <w:tcW w:w="46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4,814,283</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11,769,665</w:t>
            </w:r>
          </w:p>
        </w:tc>
        <w:tc>
          <w:tcPr>
            <w:tcW w:w="260" w:type="dxa"/>
            <w:vAlign w:val="bottom"/>
          </w:tcPr>
          <w:p>
            <w:pPr>
              <w:spacing w:after="0"/>
              <w:rPr>
                <w:sz w:val="15"/>
                <w:szCs w:val="15"/>
                <w:color w:val="auto"/>
              </w:rPr>
            </w:pPr>
          </w:p>
        </w:tc>
        <w:tc>
          <w:tcPr>
            <w:tcW w:w="13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w w:val="98"/>
              </w:rPr>
              <w:t>(719,781)</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15,864,167</w:t>
            </w:r>
          </w:p>
        </w:tc>
      </w:tr>
      <w:tr>
        <w:trPr>
          <w:trHeight w:val="173"/>
        </w:trPr>
        <w:tc>
          <w:tcPr>
            <w:tcW w:w="46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Minority interest in subsidiaries.................</w:t>
            </w:r>
          </w:p>
        </w:tc>
        <w:tc>
          <w:tcPr>
            <w:tcW w:w="180" w:type="dxa"/>
            <w:vAlign w:val="bottom"/>
          </w:tcPr>
          <w:p>
            <w:pPr>
              <w:spacing w:after="0"/>
              <w:rPr>
                <w:sz w:val="15"/>
                <w:szCs w:val="15"/>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739,442</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739,442</w:t>
            </w:r>
          </w:p>
        </w:tc>
      </w:tr>
      <w:tr>
        <w:trPr>
          <w:trHeight w:val="173"/>
        </w:trPr>
        <w:tc>
          <w:tcPr>
            <w:tcW w:w="46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46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F-3</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464" w:right="1440" w:bottom="1440" w:gutter="0" w:footer="0" w:header="0"/>
        </w:sectPr>
      </w:pPr>
    </w:p>
    <w:bookmarkStart w:id="21" w:name="page22"/>
    <w:bookmarkEnd w:id="21"/>
    <w:p>
      <w:pPr>
        <w:jc w:val="center"/>
        <w:ind w:right="308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5"/>
          <w:szCs w:val="15"/>
          <w:color w:val="auto"/>
        </w:rPr>
        <w:t>COMBINED UNAUDITED PRO FORMA CONDENSED BALANCE SHEET (CONTINUED)</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MARCH 31, 1998</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WASTE</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PRO FORMA</w:t>
            </w:r>
          </w:p>
        </w:tc>
        <w:tc>
          <w:tcPr>
            <w:tcW w:w="14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460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USA WASTE</w:t>
            </w:r>
          </w:p>
        </w:tc>
        <w:tc>
          <w:tcPr>
            <w:tcW w:w="15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MANAGEMENT</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ADJUSTMENTS</w:t>
            </w:r>
          </w:p>
        </w:tc>
        <w:tc>
          <w:tcPr>
            <w:tcW w:w="14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460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w:t>
            </w:r>
          </w:p>
        </w:tc>
        <w:tc>
          <w:tcPr>
            <w:tcW w:w="146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600" w:type="dxa"/>
            <w:vAlign w:val="bottom"/>
          </w:tcPr>
          <w:p>
            <w:pPr>
              <w:spacing w:after="0"/>
              <w:rPr>
                <w:sz w:val="24"/>
                <w:szCs w:val="24"/>
                <w:color w:val="auto"/>
              </w:rPr>
            </w:pPr>
          </w:p>
        </w:tc>
        <w:tc>
          <w:tcPr>
            <w:tcW w:w="5680" w:type="dxa"/>
            <w:vAlign w:val="bottom"/>
            <w:gridSpan w:val="4"/>
          </w:tcPr>
          <w:p>
            <w:pPr>
              <w:jc w:val="right"/>
              <w:ind w:right="745"/>
              <w:spacing w:after="0"/>
              <w:rPr>
                <w:sz w:val="20"/>
                <w:szCs w:val="20"/>
                <w:color w:val="auto"/>
              </w:rPr>
            </w:pPr>
            <w:r>
              <w:rPr>
                <w:rFonts w:ascii="Courier New" w:cs="Courier New" w:eastAsia="Courier New" w:hAnsi="Courier New"/>
                <w:sz w:val="15"/>
                <w:szCs w:val="15"/>
                <w:color w:val="auto"/>
              </w:rPr>
              <w:t>(IN THOUSANDS, EXCEPT SHARE AND PAR VALUE AMOUNTS)</w:t>
            </w: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3"/>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USA Waste: $.01 par value; 10,000,000 shares</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authorized; none issued.....................</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Waste Management: $1 par value; 50,000,000</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shares authorized; none outstanding.........</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USA Waste: $.01 par value, 500,000,000 shares</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ind w:left="540"/>
              <w:spacing w:after="0"/>
              <w:rPr>
                <w:sz w:val="20"/>
                <w:szCs w:val="20"/>
                <w:color w:val="auto"/>
              </w:rPr>
            </w:pPr>
            <w:r>
              <w:rPr>
                <w:rFonts w:ascii="Courier New" w:cs="Courier New" w:eastAsia="Courier New" w:hAnsi="Courier New"/>
                <w:sz w:val="15"/>
                <w:szCs w:val="15"/>
                <w:color w:val="auto"/>
              </w:rPr>
              <w:t>authorized; historical 219,834,550 shares</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(572,269,938 pro forma shares) issued.......</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2,198</w:t>
            </w: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3,525(d)</w:t>
            </w:r>
          </w:p>
        </w:tc>
        <w:tc>
          <w:tcPr>
            <w:tcW w:w="1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5,723</w:t>
            </w:r>
          </w:p>
        </w:tc>
      </w:tr>
      <w:tr>
        <w:trPr>
          <w:trHeight w:val="173"/>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Waste Management: $1 par value; 1,500,000,000</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ind w:left="540"/>
              <w:spacing w:after="0"/>
              <w:rPr>
                <w:sz w:val="20"/>
                <w:szCs w:val="20"/>
                <w:color w:val="auto"/>
              </w:rPr>
            </w:pPr>
            <w:r>
              <w:rPr>
                <w:rFonts w:ascii="Courier New" w:cs="Courier New" w:eastAsia="Courier New" w:hAnsi="Courier New"/>
                <w:sz w:val="15"/>
                <w:szCs w:val="15"/>
                <w:color w:val="auto"/>
              </w:rPr>
              <w:t>shares authorized; 507,101,744 shares</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issued......................................</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507,102</w:t>
            </w: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(507,102)(d)</w:t>
            </w:r>
          </w:p>
        </w:tc>
        <w:tc>
          <w:tcPr>
            <w:tcW w:w="14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Additional paid-in capital......................</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2,436,447</w:t>
            </w:r>
          </w:p>
        </w:tc>
        <w:tc>
          <w:tcPr>
            <w:tcW w:w="1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990,270</w:t>
            </w: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(11,250)(c)</w:t>
            </w:r>
          </w:p>
        </w:tc>
        <w:tc>
          <w:tcPr>
            <w:tcW w:w="1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3,267,468</w:t>
            </w:r>
          </w:p>
        </w:tc>
      </w:tr>
      <w:tr>
        <w:trPr>
          <w:trHeight w:val="173"/>
        </w:trPr>
        <w:tc>
          <w:tcPr>
            <w:tcW w:w="4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(147,999)(d)</w:t>
            </w:r>
          </w:p>
        </w:tc>
        <w:tc>
          <w:tcPr>
            <w:tcW w:w="146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Retained earnings...............................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374,459</w:t>
            </w:r>
          </w:p>
        </w:tc>
        <w:tc>
          <w:tcPr>
            <w:tcW w:w="1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1,730,516</w:t>
            </w: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(34,888)(a)</w:t>
            </w:r>
          </w:p>
        </w:tc>
        <w:tc>
          <w:tcPr>
            <w:tcW w:w="1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2,033,929</w:t>
            </w:r>
          </w:p>
        </w:tc>
      </w:tr>
      <w:tr>
        <w:trPr>
          <w:trHeight w:val="173"/>
        </w:trPr>
        <w:tc>
          <w:tcPr>
            <w:tcW w:w="4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(19,284)(b)</w:t>
            </w:r>
          </w:p>
        </w:tc>
        <w:tc>
          <w:tcPr>
            <w:tcW w:w="1460" w:type="dxa"/>
            <w:vAlign w:val="bottom"/>
          </w:tcPr>
          <w:p>
            <w:pPr>
              <w:spacing w:after="0"/>
              <w:rPr>
                <w:sz w:val="15"/>
                <w:szCs w:val="15"/>
                <w:color w:val="auto"/>
              </w:rPr>
            </w:pPr>
          </w:p>
        </w:tc>
      </w:tr>
      <w:tr>
        <w:trPr>
          <w:trHeight w:val="173"/>
        </w:trPr>
        <w:tc>
          <w:tcPr>
            <w:tcW w:w="4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(16,874)(c)</w:t>
            </w:r>
          </w:p>
        </w:tc>
        <w:tc>
          <w:tcPr>
            <w:tcW w:w="146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Accumulated other comprehensive income..........</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(37,498)</w:t>
            </w: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(278,800)(e)</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(316,298)</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Foreign currency translation adjustment.........</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(253,938)</w:t>
            </w: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(17,469)(a)</w:t>
            </w:r>
          </w:p>
        </w:tc>
        <w:tc>
          <w:tcPr>
            <w:tcW w:w="14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271,407(e)</w:t>
            </w:r>
          </w:p>
        </w:tc>
        <w:tc>
          <w:tcPr>
            <w:tcW w:w="1460" w:type="dxa"/>
            <w:vAlign w:val="bottom"/>
          </w:tcPr>
          <w:p>
            <w:pPr>
              <w:spacing w:after="0"/>
              <w:rPr>
                <w:sz w:val="15"/>
                <w:szCs w:val="15"/>
                <w:color w:val="auto"/>
              </w:rPr>
            </w:pPr>
          </w:p>
        </w:tc>
      </w:tr>
      <w:tr>
        <w:trPr>
          <w:trHeight w:val="173"/>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Treasury stock:</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USA Waste: 23,485 shares, at cost.............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(484)</w:t>
            </w: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173"/>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Waste Management: 40,983,967 shares, at</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(1,265,976)</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1,265,976(d)</w:t>
            </w:r>
          </w:p>
        </w:tc>
        <w:tc>
          <w:tcPr>
            <w:tcW w:w="14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Restricted stock unearned compensation..........</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(10,252)</w:t>
            </w:r>
          </w:p>
        </w:tc>
        <w:tc>
          <w:tcPr>
            <w:tcW w:w="14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(10,252)</w:t>
            </w:r>
          </w:p>
        </w:tc>
      </w:tr>
      <w:tr>
        <w:trPr>
          <w:trHeight w:val="173"/>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Employee stock benefit trust; 10,886,361 WMI</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shares, at market (7,892,612 pro forma</w:t>
            </w:r>
          </w:p>
        </w:tc>
        <w:tc>
          <w:tcPr>
            <w:tcW w:w="1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(335,436)</w:t>
            </w:r>
          </w:p>
        </w:tc>
        <w:tc>
          <w:tcPr>
            <w:tcW w:w="14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(335,436)</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Minimum pension liability.......................</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(7,393)</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7,393(e)</w:t>
            </w:r>
          </w:p>
        </w:tc>
        <w:tc>
          <w:tcPr>
            <w:tcW w:w="14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stockholders' equity....................</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2,775,122</w:t>
            </w:r>
          </w:p>
        </w:tc>
        <w:tc>
          <w:tcPr>
            <w:tcW w:w="1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1,354,893</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514,635</w:t>
            </w:r>
          </w:p>
        </w:tc>
        <w:tc>
          <w:tcPr>
            <w:tcW w:w="1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4,644,650</w:t>
            </w:r>
          </w:p>
        </w:tc>
      </w:tr>
      <w:tr>
        <w:trPr>
          <w:trHeight w:val="173"/>
        </w:trPr>
        <w:tc>
          <w:tcPr>
            <w:tcW w:w="460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$7,589,405</w:t>
            </w:r>
          </w:p>
        </w:tc>
        <w:tc>
          <w:tcPr>
            <w:tcW w:w="1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13,864,000</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$(205,146)</w:t>
            </w:r>
          </w:p>
        </w:tc>
        <w:tc>
          <w:tcPr>
            <w:tcW w:w="1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$ 21,248,259</w:t>
            </w:r>
          </w:p>
        </w:tc>
      </w:tr>
      <w:tr>
        <w:trPr>
          <w:trHeight w:val="173"/>
        </w:trPr>
        <w:tc>
          <w:tcPr>
            <w:tcW w:w="460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80"/>
          </w:cols>
          <w:pgMar w:left="240" w:top="464" w:right="1379" w:bottom="1440" w:gutter="0" w:footer="0" w:header="0"/>
        </w:sectPr>
      </w:pPr>
    </w:p>
    <w:bookmarkStart w:id="22" w:name="page23"/>
    <w:bookmarkEnd w:id="22"/>
    <w:p>
      <w:pPr>
        <w:ind w:left="224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three months ended March 31, 1998 was prepared based on the historical statements of operations of USA Waste and Waste Management for such period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6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9"/>
              </w:rPr>
              <w:t>THREE MONTHS ENDED MARCH 31, 1998</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3"/>
        </w:trPr>
        <w:tc>
          <w:tcPr>
            <w:tcW w:w="4600" w:type="dxa"/>
            <w:vAlign w:val="bottom"/>
          </w:tcPr>
          <w:p>
            <w:pPr>
              <w:spacing w:after="0"/>
              <w:rPr>
                <w:sz w:val="15"/>
                <w:szCs w:val="15"/>
                <w:color w:val="auto"/>
              </w:rPr>
            </w:pPr>
          </w:p>
        </w:tc>
        <w:tc>
          <w:tcPr>
            <w:tcW w:w="5220" w:type="dxa"/>
            <w:vAlign w:val="bottom"/>
            <w:gridSpan w:val="8"/>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WASTE</w:t>
            </w:r>
          </w:p>
        </w:tc>
        <w:tc>
          <w:tcPr>
            <w:tcW w:w="420" w:type="dxa"/>
            <w:vAlign w:val="bottom"/>
          </w:tcPr>
          <w:p>
            <w:pPr>
              <w:spacing w:after="0"/>
              <w:rPr>
                <w:sz w:val="15"/>
                <w:szCs w:val="15"/>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6"/>
              </w:rPr>
              <w:t>PRO FORMA</w:t>
            </w:r>
          </w:p>
        </w:tc>
        <w:tc>
          <w:tcPr>
            <w:tcW w:w="10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USA WASTE</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MANAGEMENT</w:t>
            </w:r>
          </w:p>
        </w:tc>
        <w:tc>
          <w:tcPr>
            <w:tcW w:w="17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ADJUSTMENTS</w:t>
            </w:r>
          </w:p>
        </w:tc>
        <w:tc>
          <w:tcPr>
            <w:tcW w:w="10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PRO FORMA</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6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THOUSANDS, EXCEPT</w:t>
            </w:r>
          </w:p>
        </w:tc>
        <w:tc>
          <w:tcPr>
            <w:tcW w:w="25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PER SHARE AMOUNTS)</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769,440</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$2,131,621</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2,901,061</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6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Operating (exclusive of depreciation and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shown below).....................</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397,492</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1,621,985</w:t>
            </w:r>
          </w:p>
        </w:tc>
        <w:tc>
          <w:tcPr>
            <w:tcW w:w="420" w:type="dxa"/>
            <w:vAlign w:val="bottom"/>
          </w:tcPr>
          <w:p>
            <w:pPr>
              <w:spacing w:after="0"/>
              <w:rPr>
                <w:sz w:val="15"/>
                <w:szCs w:val="15"/>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3,785(b)</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1,757,707</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(265,555)(f)</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81,916</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263,882</w:t>
            </w:r>
          </w:p>
        </w:tc>
        <w:tc>
          <w:tcPr>
            <w:tcW w:w="42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(217)(f)</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345,581</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86,110</w:t>
            </w:r>
          </w:p>
        </w:tc>
        <w:tc>
          <w:tcPr>
            <w:tcW w:w="180" w:type="dxa"/>
            <w:vAlign w:val="bottom"/>
          </w:tcPr>
          <w:p>
            <w:pPr>
              <w:spacing w:after="0"/>
              <w:rPr>
                <w:sz w:val="15"/>
                <w:szCs w:val="15"/>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(424)(a)</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351,458</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265,772(f)</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held for sale,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of minority interest........................</w:t>
            </w:r>
          </w:p>
        </w:tc>
        <w:tc>
          <w:tcPr>
            <w:tcW w:w="1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2,416</w:t>
            </w:r>
          </w:p>
        </w:tc>
        <w:tc>
          <w:tcPr>
            <w:tcW w:w="420" w:type="dxa"/>
            <w:vAlign w:val="bottom"/>
          </w:tcPr>
          <w:p>
            <w:pPr>
              <w:spacing w:after="0"/>
              <w:rPr>
                <w:sz w:val="15"/>
                <w:szCs w:val="15"/>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2,416</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565,518</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1,888,283</w:t>
            </w:r>
          </w:p>
        </w:tc>
        <w:tc>
          <w:tcPr>
            <w:tcW w:w="420" w:type="dxa"/>
            <w:vAlign w:val="bottom"/>
          </w:tcPr>
          <w:p>
            <w:pPr>
              <w:spacing w:after="0"/>
              <w:rPr>
                <w:sz w:val="15"/>
                <w:szCs w:val="15"/>
                <w:color w:val="auto"/>
              </w:rPr>
            </w:pPr>
          </w:p>
        </w:tc>
        <w:tc>
          <w:tcPr>
            <w:tcW w:w="134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7"/>
              </w:rPr>
              <w:t>3,361</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2,457,162</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203,922</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243,338</w:t>
            </w:r>
          </w:p>
        </w:tc>
        <w:tc>
          <w:tcPr>
            <w:tcW w:w="420" w:type="dxa"/>
            <w:vAlign w:val="bottom"/>
          </w:tcPr>
          <w:p>
            <w:pPr>
              <w:spacing w:after="0"/>
              <w:rPr>
                <w:sz w:val="15"/>
                <w:szCs w:val="15"/>
                <w:color w:val="auto"/>
              </w:rPr>
            </w:pPr>
          </w:p>
        </w:tc>
        <w:tc>
          <w:tcPr>
            <w:tcW w:w="1340" w:type="dxa"/>
            <w:vAlign w:val="bottom"/>
          </w:tcPr>
          <w:p>
            <w:pPr>
              <w:jc w:val="center"/>
              <w:ind w:right="465"/>
              <w:spacing w:after="0"/>
              <w:rPr>
                <w:sz w:val="20"/>
                <w:szCs w:val="20"/>
                <w:color w:val="auto"/>
              </w:rPr>
            </w:pPr>
            <w:r>
              <w:rPr>
                <w:rFonts w:ascii="Courier New" w:cs="Courier New" w:eastAsia="Courier New" w:hAnsi="Courier New"/>
                <w:sz w:val="15"/>
                <w:szCs w:val="15"/>
                <w:color w:val="auto"/>
              </w:rPr>
              <w:t>(3,361)</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443,899</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Other income (expenses):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(38,368)</w:t>
            </w:r>
          </w:p>
        </w:tc>
        <w:tc>
          <w:tcPr>
            <w:tcW w:w="18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(115,574)</w:t>
            </w:r>
          </w:p>
        </w:tc>
        <w:tc>
          <w:tcPr>
            <w:tcW w:w="420" w:type="dxa"/>
            <w:vAlign w:val="bottom"/>
          </w:tcPr>
          <w:p>
            <w:pPr>
              <w:spacing w:after="0"/>
              <w:rPr>
                <w:sz w:val="15"/>
                <w:szCs w:val="15"/>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(153,942)</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1,799</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4,310</w:t>
            </w:r>
          </w:p>
        </w:tc>
        <w:tc>
          <w:tcPr>
            <w:tcW w:w="420" w:type="dxa"/>
            <w:vAlign w:val="bottom"/>
          </w:tcPr>
          <w:p>
            <w:pPr>
              <w:spacing w:after="0"/>
              <w:rPr>
                <w:sz w:val="15"/>
                <w:szCs w:val="15"/>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6,109</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(25,302)</w:t>
            </w:r>
          </w:p>
        </w:tc>
        <w:tc>
          <w:tcPr>
            <w:tcW w:w="420" w:type="dxa"/>
            <w:vAlign w:val="bottom"/>
          </w:tcPr>
          <w:p>
            <w:pPr>
              <w:spacing w:after="0"/>
              <w:rPr>
                <w:sz w:val="15"/>
                <w:szCs w:val="15"/>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(25,302)</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34,251</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64,196</w:t>
            </w:r>
          </w:p>
        </w:tc>
        <w:tc>
          <w:tcPr>
            <w:tcW w:w="42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(28,124)(c)</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70,323</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(2,318)</w:t>
            </w:r>
          </w:p>
        </w:tc>
        <w:tc>
          <w:tcPr>
            <w:tcW w:w="18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(72,370)</w:t>
            </w:r>
          </w:p>
        </w:tc>
        <w:tc>
          <w:tcPr>
            <w:tcW w:w="420" w:type="dxa"/>
            <w:vAlign w:val="bottom"/>
          </w:tcPr>
          <w:p>
            <w:pPr>
              <w:spacing w:after="0"/>
              <w:rPr>
                <w:sz w:val="15"/>
                <w:szCs w:val="15"/>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7"/>
              </w:rPr>
              <w:t>(28,124)</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(102,812)</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before income taxes........................</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201,604</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170,968</w:t>
            </w:r>
          </w:p>
        </w:tc>
        <w:tc>
          <w:tcPr>
            <w:tcW w:w="420" w:type="dxa"/>
            <w:vAlign w:val="bottom"/>
          </w:tcPr>
          <w:p>
            <w:pPr>
              <w:spacing w:after="0"/>
              <w:rPr>
                <w:sz w:val="15"/>
                <w:szCs w:val="15"/>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7"/>
              </w:rPr>
              <w:t>(31,485)</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341,087</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80,642</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96,551</w:t>
            </w:r>
          </w:p>
        </w:tc>
        <w:tc>
          <w:tcPr>
            <w:tcW w:w="420" w:type="dxa"/>
            <w:vAlign w:val="bottom"/>
          </w:tcPr>
          <w:p>
            <w:pPr>
              <w:spacing w:after="0"/>
              <w:rPr>
                <w:sz w:val="15"/>
                <w:szCs w:val="15"/>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170(a)</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161,815</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(4,298)(b)</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(11,250)(c)</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120,962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74,417</w:t>
            </w:r>
          </w:p>
        </w:tc>
        <w:tc>
          <w:tcPr>
            <w:tcW w:w="17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 (16,107)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179,272</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Basic earnings per common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0.55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0.16</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Diluted earnings per common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0.52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0.16</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219,201</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455,096</w:t>
            </w:r>
          </w:p>
        </w:tc>
        <w:tc>
          <w:tcPr>
            <w:tcW w:w="17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(125,151)(g)</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549,146</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potential common shares outstanding.............</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244,250</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455,296</w:t>
            </w:r>
          </w:p>
        </w:tc>
        <w:tc>
          <w:tcPr>
            <w:tcW w:w="17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(125,206)(g)</w:t>
            </w:r>
          </w:p>
        </w:tc>
        <w:tc>
          <w:tcPr>
            <w:tcW w:w="10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574,340</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bl>
    <w:p>
      <w:pPr>
        <w:spacing w:after="0" w:line="35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464" w:right="1440" w:bottom="1440" w:gutter="0" w:footer="0" w:header="0"/>
        </w:sectPr>
      </w:pPr>
    </w:p>
    <w:bookmarkStart w:id="23" w:name="page24"/>
    <w:bookmarkEnd w:id="23"/>
    <w:p>
      <w:pPr>
        <w:ind w:left="224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1997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w w:val="99"/>
              </w:rPr>
              <w:t>YEAR ENDED DECEMBER 31, 1997</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3"/>
        </w:trPr>
        <w:tc>
          <w:tcPr>
            <w:tcW w:w="4600" w:type="dxa"/>
            <w:vAlign w:val="bottom"/>
          </w:tcPr>
          <w:p>
            <w:pPr>
              <w:spacing w:after="0"/>
              <w:rPr>
                <w:sz w:val="15"/>
                <w:szCs w:val="15"/>
                <w:color w:val="auto"/>
              </w:rPr>
            </w:pPr>
          </w:p>
        </w:tc>
        <w:tc>
          <w:tcPr>
            <w:tcW w:w="5500" w:type="dxa"/>
            <w:vAlign w:val="bottom"/>
            <w:gridSpan w:val="8"/>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WASTE</w:t>
            </w:r>
          </w:p>
        </w:tc>
        <w:tc>
          <w:tcPr>
            <w:tcW w:w="180" w:type="dxa"/>
            <w:vAlign w:val="bottom"/>
          </w:tcPr>
          <w:p>
            <w:pPr>
              <w:spacing w:after="0"/>
              <w:rPr>
                <w:sz w:val="15"/>
                <w:szCs w:val="15"/>
                <w:color w:val="auto"/>
              </w:rPr>
            </w:pP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USA WASTE</w:t>
            </w:r>
          </w:p>
        </w:tc>
        <w:tc>
          <w:tcPr>
            <w:tcW w:w="1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MANAGEMENT</w:t>
            </w:r>
          </w:p>
        </w:tc>
        <w:tc>
          <w:tcPr>
            <w:tcW w:w="180" w:type="dxa"/>
            <w:vAlign w:val="bottom"/>
          </w:tcPr>
          <w:p>
            <w:pPr>
              <w:spacing w:after="0"/>
              <w:rPr>
                <w:sz w:val="15"/>
                <w:szCs w:val="15"/>
                <w:color w:val="auto"/>
              </w:rPr>
            </w:pP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PRO FORMA</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20" w:type="dxa"/>
            <w:vAlign w:val="bottom"/>
            <w:gridSpan w:val="7"/>
          </w:tcPr>
          <w:p>
            <w:pPr>
              <w:jc w:val="right"/>
              <w:ind w:right="92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2,613,768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9,188,582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$ 11,802,350</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Operating (exclusive of depreciation and</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shown below).....................</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1,345,769</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7,195,376</w:t>
            </w:r>
          </w:p>
        </w:tc>
        <w:tc>
          <w:tcPr>
            <w:tcW w:w="18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17,766(b)</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7,479,745</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(1,079,166)(f)</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284,946</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1,129,237</w:t>
            </w:r>
          </w:p>
        </w:tc>
        <w:tc>
          <w:tcPr>
            <w:tcW w:w="18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(939)(f)</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1,413,244</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303,241</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(990)(a)</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1,382,356</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1,080,105(f)</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109,411</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109,411</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24,720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1,626,252</w:t>
            </w:r>
          </w:p>
        </w:tc>
        <w:tc>
          <w:tcPr>
            <w:tcW w:w="18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1,650,972</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held for sale,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of minority interest........................</w:t>
            </w:r>
          </w:p>
        </w:tc>
        <w:tc>
          <w:tcPr>
            <w:tcW w:w="180" w:type="dxa"/>
            <w:vAlign w:val="bottom"/>
          </w:tcPr>
          <w:p>
            <w:pPr>
              <w:spacing w:after="0"/>
              <w:rPr>
                <w:sz w:val="15"/>
                <w:szCs w:val="15"/>
                <w:color w:val="auto"/>
              </w:rPr>
            </w:pPr>
          </w:p>
        </w:tc>
        <w:tc>
          <w:tcPr>
            <w:tcW w:w="10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9,930</w:t>
            </w:r>
          </w:p>
        </w:tc>
        <w:tc>
          <w:tcPr>
            <w:tcW w:w="18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9,930</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2,068,087</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9,960,795</w:t>
            </w:r>
          </w:p>
        </w:tc>
        <w:tc>
          <w:tcPr>
            <w:tcW w:w="18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16,776</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12,045,658</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operations.....................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545,681</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(772,213)</w:t>
            </w:r>
          </w:p>
        </w:tc>
        <w:tc>
          <w:tcPr>
            <w:tcW w:w="180" w:type="dxa"/>
            <w:vAlign w:val="bottom"/>
          </w:tcPr>
          <w:p>
            <w:pPr>
              <w:spacing w:after="0"/>
              <w:rPr>
                <w:sz w:val="15"/>
                <w:szCs w:val="15"/>
                <w:color w:val="auto"/>
              </w:rPr>
            </w:pP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(16,776)</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(243,308)</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(104,261)</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(446,888)</w:t>
            </w:r>
          </w:p>
        </w:tc>
        <w:tc>
          <w:tcPr>
            <w:tcW w:w="18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(551,149)</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7,634</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37,580</w:t>
            </w:r>
          </w:p>
        </w:tc>
        <w:tc>
          <w:tcPr>
            <w:tcW w:w="18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45,214</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0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(45,442)</w:t>
            </w:r>
          </w:p>
        </w:tc>
        <w:tc>
          <w:tcPr>
            <w:tcW w:w="18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(45,442)</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14,213</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173,290</w:t>
            </w:r>
          </w:p>
        </w:tc>
        <w:tc>
          <w:tcPr>
            <w:tcW w:w="18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(61,331)(a)</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126,172</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(82,414)</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(281,460)</w:t>
            </w:r>
          </w:p>
        </w:tc>
        <w:tc>
          <w:tcPr>
            <w:tcW w:w="180" w:type="dxa"/>
            <w:vAlign w:val="bottom"/>
          </w:tcPr>
          <w:p>
            <w:pPr>
              <w:spacing w:after="0"/>
              <w:rPr>
                <w:sz w:val="15"/>
                <w:szCs w:val="15"/>
                <w:color w:val="auto"/>
              </w:rPr>
            </w:pP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(61,331)</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(425,205)</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463,267</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(1,053,673)</w:t>
            </w:r>
          </w:p>
        </w:tc>
        <w:tc>
          <w:tcPr>
            <w:tcW w:w="180" w:type="dxa"/>
            <w:vAlign w:val="bottom"/>
          </w:tcPr>
          <w:p>
            <w:pPr>
              <w:spacing w:after="0"/>
              <w:rPr>
                <w:sz w:val="15"/>
                <w:szCs w:val="15"/>
                <w:color w:val="auto"/>
              </w:rPr>
            </w:pP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(78,107)</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(668,513)</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189,944</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215,667</w:t>
            </w:r>
          </w:p>
        </w:tc>
        <w:tc>
          <w:tcPr>
            <w:tcW w:w="18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(25,199)(a)</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361,464</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(18,948)(b)</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273,323</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(1,269,340)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(33,960)</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(1,029,977)</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 from</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 from</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208,246</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466,601</w:t>
            </w:r>
          </w:p>
        </w:tc>
        <w:tc>
          <w:tcPr>
            <w:tcW w:w="18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(128,315)(g)</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546,532</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potential common shares outstanding.............</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233,371</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466,601</w:t>
            </w:r>
          </w:p>
        </w:tc>
        <w:tc>
          <w:tcPr>
            <w:tcW w:w="18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(153,440)(g)</w:t>
            </w:r>
          </w:p>
        </w:tc>
        <w:tc>
          <w:tcPr>
            <w:tcW w:w="2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546,532</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464" w:right="1440" w:bottom="1440" w:gutter="0" w:footer="0" w:header="0"/>
        </w:sectPr>
      </w:pPr>
    </w:p>
    <w:bookmarkStart w:id="24" w:name="page25"/>
    <w:bookmarkEnd w:id="24"/>
    <w:p>
      <w:pPr>
        <w:ind w:left="224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8" w:lineRule="exact"/>
        <w:rPr>
          <w:sz w:val="20"/>
          <w:szCs w:val="20"/>
          <w:color w:val="auto"/>
        </w:rPr>
      </w:pPr>
    </w:p>
    <w:p>
      <w:pPr>
        <w:ind w:right="3080"/>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1996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DECEMBER 31, 1996</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3"/>
        </w:trPr>
        <w:tc>
          <w:tcPr>
            <w:tcW w:w="4600" w:type="dxa"/>
            <w:vAlign w:val="bottom"/>
          </w:tcPr>
          <w:p>
            <w:pPr>
              <w:spacing w:after="0"/>
              <w:rPr>
                <w:sz w:val="15"/>
                <w:szCs w:val="15"/>
                <w:color w:val="auto"/>
              </w:rPr>
            </w:pPr>
          </w:p>
        </w:tc>
        <w:tc>
          <w:tcPr>
            <w:tcW w:w="5680" w:type="dxa"/>
            <w:vAlign w:val="bottom"/>
            <w:gridSpan w:val="8"/>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WASTE</w:t>
            </w:r>
          </w:p>
        </w:tc>
        <w:tc>
          <w:tcPr>
            <w:tcW w:w="280" w:type="dxa"/>
            <w:vAlign w:val="bottom"/>
          </w:tcPr>
          <w:p>
            <w:pPr>
              <w:spacing w:after="0"/>
              <w:rPr>
                <w:sz w:val="15"/>
                <w:szCs w:val="15"/>
                <w:color w:val="auto"/>
              </w:rPr>
            </w:pPr>
          </w:p>
        </w:tc>
        <w:tc>
          <w:tcPr>
            <w:tcW w:w="16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USA WASTE</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MANAGEMENT</w:t>
            </w:r>
          </w:p>
        </w:tc>
        <w:tc>
          <w:tcPr>
            <w:tcW w:w="280" w:type="dxa"/>
            <w:vAlign w:val="bottom"/>
          </w:tcPr>
          <w:p>
            <w:pPr>
              <w:spacing w:after="0"/>
              <w:rPr>
                <w:sz w:val="15"/>
                <w:szCs w:val="15"/>
                <w:color w:val="auto"/>
              </w:rPr>
            </w:pP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ADJUSTMENTS</w:t>
            </w:r>
          </w:p>
        </w:tc>
        <w:tc>
          <w:tcPr>
            <w:tcW w:w="18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PRO FORMA</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(IN THOUSANDS, EXCEPT PER SHARE AMOUNTS)</w:t>
            </w:r>
          </w:p>
        </w:tc>
        <w:tc>
          <w:tcPr>
            <w:tcW w:w="1100" w:type="dxa"/>
            <w:vAlign w:val="bottom"/>
          </w:tcPr>
          <w:p>
            <w:pPr>
              <w:spacing w:after="0"/>
              <w:rPr>
                <w:sz w:val="24"/>
                <w:szCs w:val="24"/>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1,649,131</w:t>
            </w: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$9,225,636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$ 10,874,767</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Operating (exclusive of depreciation and</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shown below).....................</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881,401</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6,660,766</w:t>
            </w:r>
          </w:p>
        </w:tc>
        <w:tc>
          <w:tcPr>
            <w:tcW w:w="280" w:type="dxa"/>
            <w:vAlign w:val="bottom"/>
          </w:tcPr>
          <w:p>
            <w:pPr>
              <w:spacing w:after="0"/>
              <w:rPr>
                <w:sz w:val="15"/>
                <w:szCs w:val="15"/>
                <w:color w:val="auto"/>
              </w:rPr>
            </w:pP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21,135(b)</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6,498,708</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(1,064,594)(f)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200,101</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1,095,459</w:t>
            </w:r>
          </w:p>
        </w:tc>
        <w:tc>
          <w:tcPr>
            <w:tcW w:w="2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(1,089)(f)</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1,294,471</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191,044</w:t>
            </w:r>
          </w:p>
        </w:tc>
        <w:tc>
          <w:tcPr>
            <w:tcW w:w="180" w:type="dxa"/>
            <w:vAlign w:val="bottom"/>
          </w:tcPr>
          <w:p>
            <w:pPr>
              <w:spacing w:after="0"/>
              <w:rPr>
                <w:sz w:val="15"/>
                <w:szCs w:val="15"/>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1,065,683(f)</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1,256,727</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126,626</w:t>
            </w:r>
          </w:p>
        </w:tc>
        <w:tc>
          <w:tcPr>
            <w:tcW w:w="180" w:type="dxa"/>
            <w:vAlign w:val="bottom"/>
          </w:tcPr>
          <w:p>
            <w:pPr>
              <w:spacing w:after="0"/>
              <w:rPr>
                <w:sz w:val="15"/>
                <w:szCs w:val="15"/>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6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126,626</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63,800</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435,464</w:t>
            </w:r>
          </w:p>
        </w:tc>
        <w:tc>
          <w:tcPr>
            <w:tcW w:w="280" w:type="dxa"/>
            <w:vAlign w:val="bottom"/>
          </w:tcPr>
          <w:p>
            <w:pPr>
              <w:spacing w:after="0"/>
              <w:rPr>
                <w:sz w:val="15"/>
                <w:szCs w:val="15"/>
                <w:color w:val="auto"/>
              </w:rPr>
            </w:pPr>
          </w:p>
        </w:tc>
        <w:tc>
          <w:tcPr>
            <w:tcW w:w="16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499,264</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held for sale,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of minority interest........................</w:t>
            </w:r>
          </w:p>
        </w:tc>
        <w:tc>
          <w:tcPr>
            <w:tcW w:w="180" w:type="dxa"/>
            <w:vAlign w:val="bottom"/>
          </w:tcPr>
          <w:p>
            <w:pPr>
              <w:spacing w:after="0"/>
              <w:rPr>
                <w:sz w:val="15"/>
                <w:szCs w:val="15"/>
                <w:color w:val="auto"/>
              </w:rPr>
            </w:pPr>
          </w:p>
        </w:tc>
        <w:tc>
          <w:tcPr>
            <w:tcW w:w="10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(315)</w:t>
            </w:r>
          </w:p>
        </w:tc>
        <w:tc>
          <w:tcPr>
            <w:tcW w:w="280" w:type="dxa"/>
            <w:vAlign w:val="bottom"/>
          </w:tcPr>
          <w:p>
            <w:pPr>
              <w:spacing w:after="0"/>
              <w:rPr>
                <w:sz w:val="15"/>
                <w:szCs w:val="15"/>
                <w:color w:val="auto"/>
              </w:rPr>
            </w:pPr>
          </w:p>
        </w:tc>
        <w:tc>
          <w:tcPr>
            <w:tcW w:w="16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1,462,972</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8,191,374</w:t>
            </w:r>
          </w:p>
        </w:tc>
        <w:tc>
          <w:tcPr>
            <w:tcW w:w="280" w:type="dxa"/>
            <w:vAlign w:val="bottom"/>
          </w:tcPr>
          <w:p>
            <w:pPr>
              <w:spacing w:after="0"/>
              <w:rPr>
                <w:sz w:val="15"/>
                <w:szCs w:val="15"/>
                <w:color w:val="auto"/>
              </w:rPr>
            </w:pP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21,135</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9,675,481</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186,159</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1,034,262</w:t>
            </w:r>
          </w:p>
        </w:tc>
        <w:tc>
          <w:tcPr>
            <w:tcW w:w="280" w:type="dxa"/>
            <w:vAlign w:val="bottom"/>
          </w:tcPr>
          <w:p>
            <w:pPr>
              <w:spacing w:after="0"/>
              <w:rPr>
                <w:sz w:val="15"/>
                <w:szCs w:val="15"/>
                <w:color w:val="auto"/>
              </w:rPr>
            </w:pP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(21,135)</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1,199,286</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(60,497)</w:t>
            </w:r>
          </w:p>
        </w:tc>
        <w:tc>
          <w:tcPr>
            <w:tcW w:w="18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(462,424)</w:t>
            </w:r>
          </w:p>
        </w:tc>
        <w:tc>
          <w:tcPr>
            <w:tcW w:w="280" w:type="dxa"/>
            <w:vAlign w:val="bottom"/>
          </w:tcPr>
          <w:p>
            <w:pPr>
              <w:spacing w:after="0"/>
              <w:rPr>
                <w:sz w:val="15"/>
                <w:szCs w:val="15"/>
                <w:color w:val="auto"/>
              </w:rPr>
            </w:pPr>
          </w:p>
        </w:tc>
        <w:tc>
          <w:tcPr>
            <w:tcW w:w="16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(522,921)</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6,699</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27,904</w:t>
            </w:r>
          </w:p>
        </w:tc>
        <w:tc>
          <w:tcPr>
            <w:tcW w:w="280" w:type="dxa"/>
            <w:vAlign w:val="bottom"/>
          </w:tcPr>
          <w:p>
            <w:pPr>
              <w:spacing w:after="0"/>
              <w:rPr>
                <w:sz w:val="15"/>
                <w:szCs w:val="15"/>
                <w:color w:val="auto"/>
              </w:rPr>
            </w:pPr>
          </w:p>
        </w:tc>
        <w:tc>
          <w:tcPr>
            <w:tcW w:w="16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34,603</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0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(41,289)</w:t>
            </w:r>
          </w:p>
        </w:tc>
        <w:tc>
          <w:tcPr>
            <w:tcW w:w="280" w:type="dxa"/>
            <w:vAlign w:val="bottom"/>
          </w:tcPr>
          <w:p>
            <w:pPr>
              <w:spacing w:after="0"/>
              <w:rPr>
                <w:sz w:val="15"/>
                <w:szCs w:val="15"/>
                <w:color w:val="auto"/>
              </w:rPr>
            </w:pPr>
          </w:p>
        </w:tc>
        <w:tc>
          <w:tcPr>
            <w:tcW w:w="16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(41,289)</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6,376</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102,014</w:t>
            </w:r>
          </w:p>
        </w:tc>
        <w:tc>
          <w:tcPr>
            <w:tcW w:w="280" w:type="dxa"/>
            <w:vAlign w:val="bottom"/>
          </w:tcPr>
          <w:p>
            <w:pPr>
              <w:spacing w:after="0"/>
              <w:rPr>
                <w:sz w:val="15"/>
                <w:szCs w:val="15"/>
                <w:color w:val="auto"/>
              </w:rPr>
            </w:pPr>
          </w:p>
        </w:tc>
        <w:tc>
          <w:tcPr>
            <w:tcW w:w="16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108,390</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(47,422)</w:t>
            </w:r>
          </w:p>
        </w:tc>
        <w:tc>
          <w:tcPr>
            <w:tcW w:w="18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(373,795)</w:t>
            </w:r>
          </w:p>
        </w:tc>
        <w:tc>
          <w:tcPr>
            <w:tcW w:w="280" w:type="dxa"/>
            <w:vAlign w:val="bottom"/>
          </w:tcPr>
          <w:p>
            <w:pPr>
              <w:spacing w:after="0"/>
              <w:rPr>
                <w:sz w:val="15"/>
                <w:szCs w:val="15"/>
                <w:color w:val="auto"/>
              </w:rPr>
            </w:pPr>
          </w:p>
        </w:tc>
        <w:tc>
          <w:tcPr>
            <w:tcW w:w="16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(421,217)</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income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138,737</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660,467</w:t>
            </w:r>
          </w:p>
        </w:tc>
        <w:tc>
          <w:tcPr>
            <w:tcW w:w="280" w:type="dxa"/>
            <w:vAlign w:val="bottom"/>
          </w:tcPr>
          <w:p>
            <w:pPr>
              <w:spacing w:after="0"/>
              <w:rPr>
                <w:sz w:val="15"/>
                <w:szCs w:val="15"/>
                <w:color w:val="auto"/>
              </w:rPr>
            </w:pP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(21,135)</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778,069</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70,398</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436,473</w:t>
            </w:r>
          </w:p>
        </w:tc>
        <w:tc>
          <w:tcPr>
            <w:tcW w:w="2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(20,255)(b)</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486,616</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68,339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223,994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291,453</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from continuing</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0.46</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from continuing</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0.46</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0.54</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173,993</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489,171</w:t>
            </w:r>
          </w:p>
        </w:tc>
        <w:tc>
          <w:tcPr>
            <w:tcW w:w="2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(134,522)(g)</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528,642</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4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potential common shares outstanding.............</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182,680</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490,029</w:t>
            </w:r>
          </w:p>
        </w:tc>
        <w:tc>
          <w:tcPr>
            <w:tcW w:w="2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(134,758)(g)</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537,951</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80"/>
          </w:cols>
          <w:pgMar w:left="240" w:top="464" w:right="1379" w:bottom="1440" w:gutter="0" w:footer="0" w:header="0"/>
        </w:sectPr>
      </w:pPr>
    </w:p>
    <w:bookmarkStart w:id="25" w:name="page26"/>
    <w:bookmarkEnd w:id="25"/>
    <w:p>
      <w:pPr>
        <w:ind w:left="224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8" w:lineRule="exact"/>
        <w:rPr>
          <w:sz w:val="20"/>
          <w:szCs w:val="20"/>
          <w:color w:val="auto"/>
        </w:rPr>
      </w:pPr>
    </w:p>
    <w:p>
      <w:pPr>
        <w:ind w:right="3700"/>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1995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20" w:type="dxa"/>
            <w:vAlign w:val="bottom"/>
            <w:gridSpan w:val="5"/>
          </w:tcPr>
          <w:p>
            <w:pPr>
              <w:jc w:val="right"/>
              <w:ind w:right="1105"/>
              <w:spacing w:after="0"/>
              <w:rPr>
                <w:sz w:val="20"/>
                <w:szCs w:val="20"/>
                <w:color w:val="auto"/>
              </w:rPr>
            </w:pPr>
            <w:r>
              <w:rPr>
                <w:rFonts w:ascii="Courier New" w:cs="Courier New" w:eastAsia="Courier New" w:hAnsi="Courier New"/>
                <w:sz w:val="15"/>
                <w:szCs w:val="15"/>
                <w:color w:val="auto"/>
              </w:rPr>
              <w:t>YEAR ENDED DECEMBER 31, 1995</w:t>
            </w:r>
          </w:p>
        </w:tc>
      </w:tr>
      <w:tr>
        <w:trPr>
          <w:trHeight w:val="173"/>
        </w:trPr>
        <w:tc>
          <w:tcPr>
            <w:tcW w:w="6400" w:type="dxa"/>
            <w:vAlign w:val="bottom"/>
          </w:tcPr>
          <w:p>
            <w:pPr>
              <w:spacing w:after="0"/>
              <w:rPr>
                <w:sz w:val="15"/>
                <w:szCs w:val="15"/>
                <w:color w:val="auto"/>
              </w:rPr>
            </w:pPr>
          </w:p>
        </w:tc>
        <w:tc>
          <w:tcPr>
            <w:tcW w:w="4500" w:type="dxa"/>
            <w:vAlign w:val="bottom"/>
            <w:gridSpan w:val="6"/>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WASTE</w:t>
            </w:r>
          </w:p>
        </w:tc>
        <w:tc>
          <w:tcPr>
            <w:tcW w:w="320" w:type="dxa"/>
            <w:vAlign w:val="bottom"/>
          </w:tcPr>
          <w:p>
            <w:pPr>
              <w:spacing w:after="0"/>
              <w:rPr>
                <w:sz w:val="15"/>
                <w:szCs w:val="15"/>
                <w:color w:val="auto"/>
              </w:rPr>
            </w:pP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USA WASTE</w:t>
            </w:r>
          </w:p>
        </w:tc>
        <w:tc>
          <w:tcPr>
            <w:tcW w:w="12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MANAGEMENT</w:t>
            </w:r>
          </w:p>
        </w:tc>
        <w:tc>
          <w:tcPr>
            <w:tcW w:w="320" w:type="dxa"/>
            <w:vAlign w:val="bottom"/>
          </w:tcPr>
          <w:p>
            <w:pPr>
              <w:spacing w:after="0"/>
              <w:rPr>
                <w:sz w:val="15"/>
                <w:szCs w:val="15"/>
                <w:color w:val="auto"/>
              </w:rPr>
            </w:pPr>
          </w:p>
        </w:tc>
        <w:tc>
          <w:tcPr>
            <w:tcW w:w="162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8"/>
              </w:rPr>
              <w:t>ADJUSTMENTS</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5"/>
          </w:tcPr>
          <w:p>
            <w:pPr>
              <w:jc w:val="right"/>
              <w:ind w:right="54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7"/>
        </w:trPr>
        <w:tc>
          <w:tcPr>
            <w:tcW w:w="64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1,216,082</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$9,100,225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 and amortization shown</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below)............................................................</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672,117</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6,514,932</w:t>
            </w:r>
          </w:p>
        </w:tc>
        <w:tc>
          <w:tcPr>
            <w:tcW w:w="320" w:type="dxa"/>
            <w:vAlign w:val="bottom"/>
          </w:tcPr>
          <w:p>
            <w:pPr>
              <w:spacing w:after="0"/>
              <w:rPr>
                <w:sz w:val="15"/>
                <w:szCs w:val="15"/>
                <w:color w:val="auto"/>
              </w:rPr>
            </w:pPr>
          </w:p>
        </w:tc>
        <w:tc>
          <w:tcPr>
            <w:tcW w:w="1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22,924(b)</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(1,033,777)(f)</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169,686</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1,091,747</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(1,241)(f)</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143,878</w:t>
            </w:r>
          </w:p>
        </w:tc>
        <w:tc>
          <w:tcPr>
            <w:tcW w:w="18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1,035,018(f)</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26,539</w:t>
            </w:r>
          </w:p>
        </w:tc>
        <w:tc>
          <w:tcPr>
            <w:tcW w:w="18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4,733</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389,359</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held for sale, net of minority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(25,110)</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1,016,953</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7,970,928</w:t>
            </w:r>
          </w:p>
        </w:tc>
        <w:tc>
          <w:tcPr>
            <w:tcW w:w="320" w:type="dxa"/>
            <w:vAlign w:val="bottom"/>
          </w:tcPr>
          <w:p>
            <w:pPr>
              <w:spacing w:after="0"/>
              <w:rPr>
                <w:sz w:val="15"/>
                <w:szCs w:val="15"/>
                <w:color w:val="auto"/>
              </w:rPr>
            </w:pP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22,924</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199,129</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1,129,297</w:t>
            </w:r>
          </w:p>
        </w:tc>
        <w:tc>
          <w:tcPr>
            <w:tcW w:w="320" w:type="dxa"/>
            <w:vAlign w:val="bottom"/>
          </w:tcPr>
          <w:p>
            <w:pPr>
              <w:spacing w:after="0"/>
              <w:rPr>
                <w:sz w:val="15"/>
                <w:szCs w:val="15"/>
                <w:color w:val="auto"/>
              </w:rPr>
            </w:pP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(22,924)</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(10,994)</w:t>
            </w:r>
          </w:p>
        </w:tc>
        <w:tc>
          <w:tcPr>
            <w:tcW w:w="18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(58,619)</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(463,861)</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6,682</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34,883</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(81,367)</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4,891</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252,695</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(58,040)</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(257,650)</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 before income taxes.................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141,089</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871,647</w:t>
            </w:r>
          </w:p>
        </w:tc>
        <w:tc>
          <w:tcPr>
            <w:tcW w:w="320" w:type="dxa"/>
            <w:vAlign w:val="bottom"/>
          </w:tcPr>
          <w:p>
            <w:pPr>
              <w:spacing w:after="0"/>
              <w:rPr>
                <w:sz w:val="15"/>
                <w:szCs w:val="15"/>
                <w:color w:val="auto"/>
              </w:rPr>
            </w:pP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(22,924)</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60,313</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451,741</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(19,169)(b)</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80,776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419,906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(3,755)</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Basic earnings per common share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0.86</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from continuing</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0.86</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shares outstanding..................</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143,346</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485,346</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(133,470)(g)</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and dilutive potential common shares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150,575</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500,312</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(137,586)(g)</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694"/>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COMBINED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PRO FORMA</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520"/>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Operating revenues....................................................</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$ 10,316,307</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 and amortization shown</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below)............................................................</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6,176,196</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47"/>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1,260,192</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1,178,896</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26,539</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394,092</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held for sale, net of minority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(25,110)</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9,010,805</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1,305,502</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bl>
    <w:p>
      <w:pPr>
        <w:sectPr>
          <w:pgSz w:w="11900" w:h="16838" w:orient="portrait"/>
          <w:cols w:equalWidth="0" w:num="1">
            <w:col w:w="10900"/>
          </w:cols>
          <w:pgMar w:left="240" w:top="464" w:right="75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jc w:val="right"/>
              <w:ind w:right="4625"/>
              <w:spacing w:after="0"/>
              <w:rPr>
                <w:sz w:val="20"/>
                <w:szCs w:val="20"/>
                <w:color w:val="auto"/>
              </w:rPr>
            </w:pPr>
            <w:r>
              <w:rPr>
                <w:rFonts w:ascii="Courier New" w:cs="Courier New" w:eastAsia="Courier New" w:hAnsi="Courier New"/>
                <w:sz w:val="15"/>
                <w:szCs w:val="15"/>
                <w:color w:val="auto"/>
              </w:rPr>
              <w:t>Interest expense: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(10,994)</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(522,480)</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41,565</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(81,367)</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257,586</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(315,690)</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 before income taxes.................</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989,812</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492,885</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496,927</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Basic earnings per common share from continuing operations............</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1905"/>
              <w:spacing w:after="0"/>
              <w:rPr>
                <w:sz w:val="20"/>
                <w:szCs w:val="20"/>
                <w:color w:val="auto"/>
              </w:rPr>
            </w:pPr>
            <w:r>
              <w:rPr>
                <w:rFonts w:ascii="Courier New" w:cs="Courier New" w:eastAsia="Courier New" w:hAnsi="Courier New"/>
                <w:sz w:val="15"/>
                <w:szCs w:val="15"/>
                <w:color w:val="auto"/>
                <w:w w:val="99"/>
              </w:rPr>
              <w:t>Diluted earnings per common share from continuing</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0.99</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shares outstanding..................</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495,222</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and dilutive potential common shares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513,301</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141" w:right="1440" w:bottom="1440" w:gutter="0" w:footer="0" w:header="0"/>
        </w:sectPr>
      </w:pPr>
    </w:p>
    <w:bookmarkStart w:id="27" w:name="page28"/>
    <w:bookmarkEnd w:id="27"/>
    <w:p>
      <w:pPr>
        <w:ind w:left="2248"/>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448"/>
        <w:spacing w:after="0"/>
        <w:rPr>
          <w:sz w:val="20"/>
          <w:szCs w:val="20"/>
          <w:color w:val="auto"/>
        </w:rPr>
      </w:pPr>
      <w:r>
        <w:rPr>
          <w:rFonts w:ascii="Courier New" w:cs="Courier New" w:eastAsia="Courier New" w:hAnsi="Courier New"/>
          <w:sz w:val="15"/>
          <w:szCs w:val="15"/>
          <w:color w:val="auto"/>
        </w:rPr>
        <w:t>NOTES TO COMBINED UNAUDITED PRO FORMA CONDENSED</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FINANCIAL STATEMENTS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 BASIS OF PRESENTATION</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combined unaudited pro forma condensed financial statements assume the issuance of USA Waste Common Stock in exchange for all outstanding Waste Management Common Stock. Such financial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had been combined from their inception.</w:t>
      </w:r>
    </w:p>
    <w:p>
      <w:pPr>
        <w:spacing w:after="0" w:line="179"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Pursuant to the rules and regulations of the Commission, the combined unaudited pro forma condensed statements of operations exclude the results of operations associated with discontinued businesses, extraordinary items and cumulative effects of accounting changes. The combined unaudited pro forma condensed financial statements do not give effect to any cost savings which may result from the integration of USA Waste's and Waste Management's operations, nor do they include the nonrecurring costs directly related to the Merger which are expected to be included in operations of New Waste Management within twelve months succeeding the Merger. Such nonrecurring costs have yet to be determined; however, such costs are expected to be significant.</w:t>
      </w:r>
    </w:p>
    <w:p>
      <w:pPr>
        <w:spacing w:after="0" w:line="180"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Certain reclassifications have been made to the historical financial statements of USA Waste and Waste Management to conform to the pro forma presentation. Such reclassifications are not material to the combined unaudited pro forma condensed financial statements.</w:t>
      </w:r>
    </w:p>
    <w:p>
      <w:pPr>
        <w:spacing w:after="0" w:line="175" w:lineRule="exact"/>
        <w:rPr>
          <w:sz w:val="20"/>
          <w:szCs w:val="20"/>
          <w:color w:val="auto"/>
        </w:rPr>
      </w:pPr>
    </w:p>
    <w:p>
      <w:pPr>
        <w:ind w:left="268" w:hanging="268"/>
        <w:spacing w:after="0"/>
        <w:tabs>
          <w:tab w:leader="none" w:pos="2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spacing w:after="0" w:line="177"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Waste Management sold a majority of its Canadian solid waste businesses to USA Waste and, as a result of such sale, recorded a pre-tax gain of approximately $61,331,000. USA Waste accounted for this transaction as a purchase business combination and allocated the purchase price to the assets acquired and liabilities assumed accordingly. Assuming that USA Waste and Waste Management had been combined since their inception, the gain recorded by Waste Management in 1997 has been eliminated and the basis recorded by USA Waste for assets acquired and liabilities assumed has been restored to Waste Management's historical book value. In addition, the Combined Unaudited Pro Forma Condensed Statement of Operations for the year ended December 31, 1997 and the three months ended March 31, 1998 have been adjusted for the effect of lower amortization as a result of restoring the book basis of the assets acquired and liabilities assumed by USA Waste to the historical book value of Waste Management.</w:t>
      </w:r>
    </w:p>
    <w:p>
      <w:pPr>
        <w:spacing w:after="0" w:line="182"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conform the accounting for certain landfill related issues as if the companies had been combined since their inception. The net impact of those adjustments on income (loss) from continuing operations was an increase of $1,182,000 and $513,000 for the year ended December 31, 1997 and the three months ended March 31, 1998, respectively, and a decrease of $3,755,000 and $880,000 for the years ended December 31, 1995 and 1996, respectively.</w:t>
      </w:r>
    </w:p>
    <w:p>
      <w:pPr>
        <w:spacing w:after="0" w:line="177"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USA Waste purchased a 49% limited partner interest in a limited partnership, which was formed for the purpose of acquiring shares of Waste Management Common Stock on the open market. The limited partnership purchased shares of Waste Management Common Stock during November 1997 and sold substantially all of such shares in March 1998. For the three months ended March 31, 1998, USA Waste recorded other income of $28,124,000 for its equity in the earnings of the limited</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7"/>
          </w:cols>
          <w:pgMar w:left="232" w:top="464" w:right="1440" w:bottom="1440" w:gutter="0" w:footer="0" w:header="0"/>
        </w:sectPr>
      </w:pPr>
    </w:p>
    <w:bookmarkStart w:id="28" w:name="page29"/>
    <w:bookmarkEnd w:id="28"/>
    <w:p>
      <w:pPr>
        <w:ind w:left="8"/>
        <w:spacing w:after="0"/>
        <w:rPr>
          <w:sz w:val="20"/>
          <w:szCs w:val="20"/>
          <w:color w:val="auto"/>
        </w:rPr>
      </w:pPr>
      <w:r>
        <w:rPr>
          <w:rFonts w:ascii="Courier New" w:cs="Courier New" w:eastAsia="Courier New" w:hAnsi="Courier New"/>
          <w:sz w:val="15"/>
          <w:szCs w:val="15"/>
          <w:color w:val="auto"/>
        </w:rPr>
        <w:t>2. PRO FORMA ADJUSTMENTS (CONTINUED)</w:t>
      </w:r>
    </w:p>
    <w:p>
      <w:pPr>
        <w:spacing w:after="0" w:line="4"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partnership. An adjustment has been made to reverse USA Waste's equity in the earnings of the limited partnership to account for the transaction as if the companies had been combined since their inception.</w:t>
      </w:r>
    </w:p>
    <w:p>
      <w:pPr>
        <w:spacing w:after="0" w:line="175" w:lineRule="exact"/>
        <w:rPr>
          <w:sz w:val="20"/>
          <w:szCs w:val="20"/>
          <w:color w:val="auto"/>
        </w:rPr>
      </w:pPr>
    </w:p>
    <w:p>
      <w:pPr>
        <w:ind w:left="8" w:right="3019" w:firstLine="353"/>
        <w:spacing w:after="0" w:line="244" w:lineRule="auto"/>
        <w:tabs>
          <w:tab w:leader="none" w:pos="729"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equity accounts have been adjusted to reflect the assumed issuance of 352,435,388 shares of USA Waste Common Stock for the 486,117,777 shares of Waste Management Common Stock issued and outstanding based on an exchange ratio of 0.725 of a share of USA Waste Common Stock for each outstanding share of Waste Management Common Stock. The assumed issuance of shares considers the 507,101,744 shares of Waste Management Common Stock issued, the 40,983,967 shares of Waste Management Common Stock held in treasury that will be cancelled upon consummation of the Merger, and the 20 million shares of Waste Management Common Stock that were issued to reverse certain share repurchases effected by Waste Management. The 20 million shares of Waste Management Common Stock were assumed to be issued through a public sale at an offering price of $32 per share and net issuance costs of 4% with net proceeds of $614,400,000 used to reduce the obligation to former WTI stockholders. The actual proceeds from the Waste Management Common Stock offering did not differ materially from the amounts assumed. See Note 3 below. The actual number of shares of USA Waste Common Stock to be issued pursuant to the Merger will be based upon the number of shares of Waste Management Common Stock issued and outstanding immediately prior to the consummation of the Merger.</w:t>
      </w:r>
    </w:p>
    <w:p>
      <w:pPr>
        <w:spacing w:after="0" w:line="184"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Waste Management's foreign currency translation adjustment and minimum pension liability to accumulated other comprehensive income to conform to the presentation of USA Waste as if the companies had been combined since their inception.</w:t>
      </w:r>
    </w:p>
    <w:p>
      <w:pPr>
        <w:spacing w:after="0" w:line="175" w:lineRule="exact"/>
        <w:rPr>
          <w:rFonts w:ascii="Courier New" w:cs="Courier New" w:eastAsia="Courier New" w:hAnsi="Courier New"/>
          <w:sz w:val="15"/>
          <w:szCs w:val="15"/>
          <w:color w:val="auto"/>
        </w:rPr>
      </w:pPr>
    </w:p>
    <w:p>
      <w:pPr>
        <w:jc w:val="both"/>
        <w:ind w:left="8" w:right="3019" w:firstLine="353"/>
        <w:spacing w:after="0" w:line="244" w:lineRule="auto"/>
        <w:tabs>
          <w:tab w:leader="none" w:pos="729"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Waste Management's depreciation and amortization from operating expenses and general and administrative expenses to a separate line item to conform to the presentation of USA Waste as if the companies had been combined since their inception.</w:t>
      </w:r>
    </w:p>
    <w:p>
      <w:pPr>
        <w:spacing w:after="0" w:line="175"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basic earnings per common share for each period are based on the combined weighted average number of common shares outstanding, after giving effect to the issuance of 0.725 of a share of USA Waste Common Stock for each share of Waste Management Common Stock. Pro forma diluted earnings per common share for each period are based on the combined weighted average number of common and dilutive potential common shares outstanding, after giving effect to the issuance of 0.725 of a share of USA Waste Common Stock for each outstanding share of Waste Management Common Stock. The combined weighted average shares outstanding used in the pro forma basic and diluted earnings per share calculations are net of the shares of Waste Management Common Stock that are held by the Waste Management employee stock benefit trust and are treated similar to treasury shares for earnings per share calculation purposes. The combined pro forma diluted earnings per share for the year ended December 31, 1995 and the three months ended March 31, 1998 have been calculated assuming conversion of certain convertible debt, and therefore interest, net of taxes, of $9,100,000 and $5,014,000, respectively, has been added back to income from continuing operations for this calculation. The USA Waste diluted earnings per common share for the year ended December 31, 1997 includes 25,125,000 dilutive potential common shares that become antidilutive for purposes of calculating the combined pro forma diluted earnings per common share.</w:t>
      </w:r>
    </w:p>
    <w:p>
      <w:pPr>
        <w:spacing w:after="0" w:line="185"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EFFECT OF WASTE MANAGEMENT EQUITY OFFERING ON RESULTS OF OPERATIONS</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As previously discussed, in order for the Merger to qualify as a pooling of</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interests, approximately 20 million shares of Waste Management Common Stock were</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issued to reverse certain share repurchases effected by Waste Management. The 20</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million shares were assumed to be issued at an offering price of $32 per share,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with net issuance costs of 4% and net proceeds to Waste Management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$614,400,000. The actual proceeds from the Waste Management Common Stock</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offering did not differ materially from the</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7"/>
          </w:cols>
          <w:pgMar w:left="232" w:top="464" w:right="1440" w:bottom="1440" w:gutter="0" w:footer="0" w:header="0"/>
        </w:sectPr>
      </w:pPr>
    </w:p>
    <w:bookmarkStart w:id="29" w:name="page30"/>
    <w:bookmarkEnd w:id="29"/>
    <w:p>
      <w:pPr>
        <w:ind w:left="8" w:right="3019" w:hanging="8"/>
        <w:spacing w:after="0" w:line="243" w:lineRule="auto"/>
        <w:tabs>
          <w:tab w:leader="none" w:pos="27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EFFECT OF WASTE MANAGEMENT EQUITY OFFERING ON RESULTS OF OPERATIONS (CONTINUED)</w:t>
      </w:r>
    </w:p>
    <w:p>
      <w:pPr>
        <w:spacing w:after="0" w:line="2" w:lineRule="exact"/>
        <w:rPr>
          <w:rFonts w:ascii="Courier New" w:cs="Courier New" w:eastAsia="Courier New" w:hAnsi="Courier New"/>
          <w:sz w:val="15"/>
          <w:szCs w:val="15"/>
          <w:color w:val="auto"/>
        </w:rPr>
      </w:pPr>
    </w:p>
    <w:p>
      <w:pPr>
        <w:ind w:left="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amounts assumed. The assumed proceeds from the sale of stock of $614,400,000, after payment of dividends on such stock based on the historical dividend rate, were used to reduce outstanding indebtedness at an average borrowing rate of 6%. The applicable tax rate is assumed to be 42%. The following table summarizes the pro forma effect of the equity offering as if the offering has occurred at the beginning of the periods presented in the Combined Unaudited Pro Forma Condensed Statements of Operations: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0" w:type="dxa"/>
            <w:vAlign w:val="bottom"/>
            <w:gridSpan w:val="5"/>
          </w:tcPr>
          <w:p>
            <w:pPr>
              <w:ind w:left="360"/>
              <w:spacing w:after="0"/>
              <w:rPr>
                <w:sz w:val="20"/>
                <w:szCs w:val="20"/>
                <w:color w:val="auto"/>
              </w:rPr>
            </w:pPr>
            <w:r>
              <w:rPr>
                <w:rFonts w:ascii="Courier New" w:cs="Courier New" w:eastAsia="Courier New" w:hAnsi="Courier New"/>
                <w:sz w:val="15"/>
                <w:szCs w:val="15"/>
                <w:color w:val="auto"/>
              </w:rPr>
              <w:t>YEAR ENDED DECEMBER 31,</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ENDED MARCH 31,</w:t>
            </w:r>
          </w:p>
        </w:tc>
      </w:tr>
      <w:tr>
        <w:trPr>
          <w:trHeight w:val="173"/>
        </w:trPr>
        <w:tc>
          <w:tcPr>
            <w:tcW w:w="514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6"/>
                <w:szCs w:val="6"/>
                <w:color w:val="auto"/>
                <w:w w:val="73"/>
              </w:rPr>
              <w:t>-------------------------------------</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1995</w:t>
            </w:r>
          </w:p>
        </w:tc>
        <w:tc>
          <w:tcPr>
            <w:tcW w:w="260" w:type="dxa"/>
            <w:vAlign w:val="bottom"/>
          </w:tcPr>
          <w:p>
            <w:pPr>
              <w:spacing w:after="0"/>
              <w:rPr>
                <w:sz w:val="15"/>
                <w:szCs w:val="15"/>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5"/>
                <w:szCs w:val="15"/>
                <w:color w:val="auto"/>
              </w:rPr>
            </w:pPr>
          </w:p>
        </w:tc>
        <w:tc>
          <w:tcPr>
            <w:tcW w:w="104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gridSpan w:val="7"/>
          </w:tcPr>
          <w:p>
            <w:pPr>
              <w:ind w:left="360"/>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 forma income (loss) from continuing operations......</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496,927</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291,453</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(1,029,977)</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179,272</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Decrease in interest expense as a result of equity</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offering, net of tax benefit..........................</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20,964</w:t>
            </w:r>
          </w:p>
        </w:tc>
        <w:tc>
          <w:tcPr>
            <w:tcW w:w="2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20,943</w:t>
            </w:r>
          </w:p>
        </w:tc>
        <w:tc>
          <w:tcPr>
            <w:tcW w:w="26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20,915</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5,316</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 forma income (loss) from continuing operations after</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equity offering.......................................</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517,891</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312,396</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(1,009,062)</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184,588</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 forma basic earnings per common share from</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 after equity offering...........</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0.58</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 forma diluted earnings per common share from</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 after equity offering...........</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0.57</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after equity offering.................................</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509,722</w:t>
            </w:r>
          </w:p>
        </w:tc>
        <w:tc>
          <w:tcPr>
            <w:tcW w:w="2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543,142</w:t>
            </w:r>
          </w:p>
        </w:tc>
        <w:tc>
          <w:tcPr>
            <w:tcW w:w="26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561,032</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563,646</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and potential dilutive</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shares outstanding after equity offering..............</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527,801</w:t>
            </w:r>
          </w:p>
        </w:tc>
        <w:tc>
          <w:tcPr>
            <w:tcW w:w="2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552,451</w:t>
            </w:r>
          </w:p>
        </w:tc>
        <w:tc>
          <w:tcPr>
            <w:tcW w:w="26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561,032</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588,840</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5140" w:type="dxa"/>
            <w:vAlign w:val="bottom"/>
          </w:tcPr>
          <w:p>
            <w:pPr>
              <w:jc w:val="right"/>
              <w:ind w:right="1285"/>
              <w:spacing w:after="0"/>
              <w:rPr>
                <w:sz w:val="20"/>
                <w:szCs w:val="20"/>
                <w:color w:val="auto"/>
              </w:rPr>
            </w:pPr>
            <w:r>
              <w:rPr>
                <w:rFonts w:ascii="Courier New" w:cs="Courier New" w:eastAsia="Courier New" w:hAnsi="Courier New"/>
                <w:sz w:val="15"/>
                <w:szCs w:val="15"/>
                <w:color w:val="auto"/>
              </w:rPr>
              <w:t>F-11</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27"/>
          </w:cols>
          <w:pgMar w:left="232" w:top="465" w:right="1440" w:bottom="1440" w:gutter="0" w:footer="0" w:header="0"/>
        </w:sectPr>
      </w:pPr>
    </w:p>
    <w:bookmarkStart w:id="30" w:name="page31"/>
    <w:bookmarkEnd w:id="30"/>
    <w:p>
      <w:pPr>
        <w:ind w:left="188" w:hanging="188"/>
        <w:spacing w:after="0"/>
        <w:tabs>
          <w:tab w:leader="none" w:pos="18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NO DEALER, SALESPERSON OR OTHER PERSON HAS BEEN AUTHORIZED TO GIVE ANY INFORMATION OR TO MAKE TO ANY REPRESENTATIONS OTHER THAN THOSE CONTAINED OR INCORPORATED BY REFERENCE IN THIS PROSPECTUS SUPPLEMENT AND THE PROSPECTUS AND, IF GIVEN OR MADE, SUCH INFORMATION OR REPRESENTATIONS MUST NOT BE RELIED UPON AS HAVING BEEN AUTHORIZED BY THE COMPANY OR ANY OF THE UNDERWRITERS. THIS PROSPECTUS SUPPLEMENT AND THE PROSPECTUS DO NOT CONSTITUTE AN OFFER TO SELL OR A SOLICITATION OF AN OFFER TO BUY THE SECURITIES OFFERED HEREBY BY ANYONE IN ANY JURISDICTION IN WHICH SUCH OFFER OR SOLICITATION IS NOT AUTHORIZED, OR IN WHICH THE PERSON MAKING SUCH OFFER OR SOLICITATION IS NOT QUALIFIED TO DO SO OR TO ANY PERSON TO WHOM IT IS UNLAWFUL TO MAKE SUCH OFFER OR SOLICITATION. NEITHER THE DELIVERY OF THIS PROSPECTUS SUPPLEMENT AND THE PROSPECTUS NOR ANY SALE MADE HEREUNDER AND THEREUNDER SHALL CREATE ANY IMPLICATION THAT THE INFORMATION CONTAINED HEREIN IS CORRECT AS OF ANY TIME SUBSEQUENT TO ITS DATE.</w:t>
      </w:r>
    </w:p>
    <w:p>
      <w:pPr>
        <w:spacing w:after="0" w:line="18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60" w:type="dxa"/>
            <w:vAlign w:val="bottom"/>
            <w:gridSpan w:val="2"/>
          </w:tcPr>
          <w:p>
            <w:pPr>
              <w:jc w:val="center"/>
              <w:ind w:left="216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4960" w:type="dxa"/>
            <w:vAlign w:val="bottom"/>
            <w:gridSpan w:val="2"/>
          </w:tcPr>
          <w:p>
            <w:pPr>
              <w:ind w:left="2780"/>
              <w:spacing w:after="0"/>
              <w:rPr>
                <w:sz w:val="20"/>
                <w:szCs w:val="20"/>
                <w:color w:val="auto"/>
              </w:rPr>
            </w:pPr>
            <w:r>
              <w:rPr>
                <w:rFonts w:ascii="Courier New" w:cs="Courier New" w:eastAsia="Courier New" w:hAnsi="Courier New"/>
                <w:sz w:val="15"/>
                <w:szCs w:val="15"/>
                <w:color w:val="auto"/>
              </w:rPr>
              <w:t>TABLE OF CONTENTS</w:t>
            </w:r>
          </w:p>
        </w:tc>
      </w:tr>
      <w:tr>
        <w:trPr>
          <w:trHeight w:val="694"/>
        </w:trPr>
        <w:tc>
          <w:tcPr>
            <w:tcW w:w="4220" w:type="dxa"/>
            <w:vAlign w:val="bottom"/>
          </w:tcPr>
          <w:p>
            <w:pPr>
              <w:ind w:left="1080"/>
              <w:spacing w:after="0"/>
              <w:rPr>
                <w:sz w:val="20"/>
                <w:szCs w:val="20"/>
                <w:color w:val="auto"/>
              </w:rPr>
            </w:pPr>
            <w:r>
              <w:rPr>
                <w:rFonts w:ascii="Courier New" w:cs="Courier New" w:eastAsia="Courier New" w:hAnsi="Courier New"/>
                <w:sz w:val="15"/>
                <w:szCs w:val="15"/>
                <w:color w:val="auto"/>
              </w:rPr>
              <w:t>PROSPECTUS SUPPLEMENT</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PAGE</w:t>
            </w:r>
          </w:p>
        </w:tc>
      </w:tr>
      <w:tr>
        <w:trPr>
          <w:trHeight w:val="347"/>
        </w:trPr>
        <w:tc>
          <w:tcPr>
            <w:tcW w:w="4220" w:type="dxa"/>
            <w:vAlign w:val="bottom"/>
          </w:tcPr>
          <w:p>
            <w:pPr>
              <w:spacing w:after="0"/>
              <w:rPr>
                <w:sz w:val="20"/>
                <w:szCs w:val="20"/>
                <w:color w:val="auto"/>
              </w:rPr>
            </w:pPr>
            <w:r>
              <w:rPr>
                <w:rFonts w:ascii="Courier New" w:cs="Courier New" w:eastAsia="Courier New" w:hAnsi="Courier New"/>
                <w:sz w:val="15"/>
                <w:szCs w:val="15"/>
                <w:color w:val="auto"/>
              </w:rPr>
              <w:t>Prospectus Supplement Summary................</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S-3</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S-6</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Ratios of Earnings to Fixed Charges..........</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S-6</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S-8</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Selected Historical and Summary Combined</w:t>
            </w:r>
          </w:p>
        </w:tc>
        <w:tc>
          <w:tcPr>
            <w:tcW w:w="740" w:type="dxa"/>
            <w:vAlign w:val="bottom"/>
          </w:tcPr>
          <w:p>
            <w:pPr>
              <w:spacing w:after="0"/>
              <w:rPr>
                <w:sz w:val="15"/>
                <w:szCs w:val="15"/>
                <w:color w:val="auto"/>
              </w:rPr>
            </w:pPr>
          </w:p>
        </w:tc>
      </w:tr>
      <w:tr>
        <w:trPr>
          <w:trHeight w:val="173"/>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rPr>
              <w:t>Unaudited Pro Forma Condensed Financial</w:t>
            </w:r>
          </w:p>
        </w:tc>
        <w:tc>
          <w:tcPr>
            <w:tcW w:w="740" w:type="dxa"/>
            <w:vAlign w:val="bottom"/>
          </w:tcPr>
          <w:p>
            <w:pPr>
              <w:spacing w:after="0"/>
              <w:rPr>
                <w:sz w:val="15"/>
                <w:szCs w:val="15"/>
                <w:color w:val="auto"/>
              </w:rPr>
            </w:pPr>
          </w:p>
        </w:tc>
      </w:tr>
      <w:tr>
        <w:trPr>
          <w:trHeight w:val="173"/>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rPr>
              <w:t>Information................................</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S-9</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Description of the Notes.....................</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S-13</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Underwriting.................................</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S-17</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S-18</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F-1</w:t>
            </w:r>
          </w:p>
        </w:tc>
      </w:tr>
      <w:tr>
        <w:trPr>
          <w:trHeight w:val="347"/>
        </w:trPr>
        <w:tc>
          <w:tcPr>
            <w:tcW w:w="4220" w:type="dxa"/>
            <w:vAlign w:val="bottom"/>
          </w:tcPr>
          <w:p>
            <w:pPr>
              <w:ind w:left="1520"/>
              <w:spacing w:after="0"/>
              <w:rPr>
                <w:sz w:val="20"/>
                <w:szCs w:val="20"/>
                <w:color w:val="auto"/>
              </w:rPr>
            </w:pPr>
            <w:r>
              <w:rPr>
                <w:rFonts w:ascii="Courier New" w:cs="Courier New" w:eastAsia="Courier New" w:hAnsi="Courier New"/>
                <w:sz w:val="15"/>
                <w:szCs w:val="15"/>
                <w:color w:val="auto"/>
              </w:rPr>
              <w:t>PROSPECTUS</w:t>
            </w:r>
          </w:p>
        </w:tc>
        <w:tc>
          <w:tcPr>
            <w:tcW w:w="740" w:type="dxa"/>
            <w:vAlign w:val="bottom"/>
          </w:tcPr>
          <w:p>
            <w:pPr>
              <w:spacing w:after="0"/>
              <w:rPr>
                <w:sz w:val="24"/>
                <w:szCs w:val="24"/>
                <w:color w:val="auto"/>
              </w:rPr>
            </w:pP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Available Information........................</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Incorporation of Certain Documents by</w:t>
            </w:r>
          </w:p>
        </w:tc>
        <w:tc>
          <w:tcPr>
            <w:tcW w:w="740" w:type="dxa"/>
            <w:vAlign w:val="bottom"/>
          </w:tcPr>
          <w:p>
            <w:pPr>
              <w:spacing w:after="0"/>
              <w:rPr>
                <w:sz w:val="15"/>
                <w:szCs w:val="15"/>
                <w:color w:val="auto"/>
              </w:rPr>
            </w:pPr>
          </w:p>
        </w:tc>
      </w:tr>
      <w:tr>
        <w:trPr>
          <w:trHeight w:val="173"/>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rPr>
              <w:t>Reference..................................</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The Company..................................</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Recent Developments..........................</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Ratios of Earnings to Fixed Charges..........</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Description of Debt Securities...............</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Plan of Distribution.........................</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Validity of Securities.......................</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w:t>
            </w:r>
          </w:p>
        </w:tc>
      </w:tr>
      <w:tr>
        <w:trPr>
          <w:trHeight w:val="520"/>
        </w:trPr>
        <w:tc>
          <w:tcPr>
            <w:tcW w:w="4220" w:type="dxa"/>
            <w:vAlign w:val="bottom"/>
          </w:tcPr>
          <w:p>
            <w:pPr>
              <w:jc w:val="center"/>
              <w:ind w:left="2905"/>
              <w:spacing w:after="0"/>
              <w:rPr>
                <w:sz w:val="20"/>
                <w:szCs w:val="20"/>
                <w:color w:val="auto"/>
              </w:rPr>
            </w:pPr>
            <w:r>
              <w:rPr>
                <w:rFonts w:ascii="Courier New" w:cs="Courier New" w:eastAsia="Courier New" w:hAnsi="Courier New"/>
                <w:sz w:val="15"/>
                <w:szCs w:val="15"/>
                <w:color w:val="auto"/>
                <w:w w:val="99"/>
              </w:rPr>
              <w:t>$600,000,000</w:t>
            </w:r>
          </w:p>
        </w:tc>
        <w:tc>
          <w:tcPr>
            <w:tcW w:w="740" w:type="dxa"/>
            <w:vAlign w:val="bottom"/>
          </w:tcPr>
          <w:p>
            <w:pPr>
              <w:spacing w:after="0"/>
              <w:rPr>
                <w:sz w:val="24"/>
                <w:szCs w:val="24"/>
                <w:color w:val="auto"/>
              </w:rPr>
            </w:pPr>
          </w:p>
        </w:tc>
      </w:tr>
      <w:tr>
        <w:trPr>
          <w:trHeight w:val="347"/>
        </w:trPr>
        <w:tc>
          <w:tcPr>
            <w:tcW w:w="4220" w:type="dxa"/>
            <w:vAlign w:val="bottom"/>
          </w:tcPr>
          <w:p>
            <w:pPr>
              <w:ind w:left="3140"/>
              <w:spacing w:after="0"/>
              <w:rPr>
                <w:sz w:val="20"/>
                <w:szCs w:val="20"/>
                <w:color w:val="auto"/>
              </w:rPr>
            </w:pPr>
            <w:r>
              <w:rPr>
                <w:rFonts w:ascii="Courier New" w:cs="Courier New" w:eastAsia="Courier New" w:hAnsi="Courier New"/>
                <w:sz w:val="15"/>
                <w:szCs w:val="15"/>
                <w:color w:val="auto"/>
              </w:rPr>
              <w:t>USA WASTE</w:t>
            </w:r>
          </w:p>
        </w:tc>
        <w:tc>
          <w:tcPr>
            <w:tcW w:w="740" w:type="dxa"/>
            <w:vAlign w:val="bottom"/>
          </w:tcPr>
          <w:p>
            <w:pPr>
              <w:spacing w:after="0"/>
              <w:rPr>
                <w:sz w:val="24"/>
                <w:szCs w:val="24"/>
                <w:color w:val="auto"/>
              </w:rPr>
            </w:pPr>
          </w:p>
        </w:tc>
      </w:tr>
      <w:tr>
        <w:trPr>
          <w:trHeight w:val="173"/>
        </w:trPr>
        <w:tc>
          <w:tcPr>
            <w:tcW w:w="4220" w:type="dxa"/>
            <w:vAlign w:val="bottom"/>
          </w:tcPr>
          <w:p>
            <w:pPr>
              <w:ind w:left="2960"/>
              <w:spacing w:after="0"/>
              <w:rPr>
                <w:sz w:val="20"/>
                <w:szCs w:val="20"/>
                <w:color w:val="auto"/>
              </w:rPr>
            </w:pPr>
            <w:r>
              <w:rPr>
                <w:rFonts w:ascii="Courier New" w:cs="Courier New" w:eastAsia="Courier New" w:hAnsi="Courier New"/>
                <w:sz w:val="15"/>
                <w:szCs w:val="15"/>
                <w:color w:val="auto"/>
                <w:w w:val="98"/>
              </w:rPr>
              <w:t>SERVICES, INC.</w:t>
            </w:r>
          </w:p>
        </w:tc>
        <w:tc>
          <w:tcPr>
            <w:tcW w:w="740" w:type="dxa"/>
            <w:vAlign w:val="bottom"/>
          </w:tcPr>
          <w:p>
            <w:pPr>
              <w:spacing w:after="0"/>
              <w:rPr>
                <w:sz w:val="15"/>
                <w:szCs w:val="15"/>
                <w:color w:val="auto"/>
              </w:rPr>
            </w:pPr>
          </w:p>
        </w:tc>
      </w:tr>
      <w:tr>
        <w:trPr>
          <w:trHeight w:val="347"/>
        </w:trPr>
        <w:tc>
          <w:tcPr>
            <w:tcW w:w="4960" w:type="dxa"/>
            <w:vAlign w:val="bottom"/>
            <w:gridSpan w:val="2"/>
          </w:tcPr>
          <w:p>
            <w:pPr>
              <w:ind w:left="2520"/>
              <w:spacing w:after="0"/>
              <w:rPr>
                <w:sz w:val="20"/>
                <w:szCs w:val="20"/>
                <w:color w:val="auto"/>
              </w:rPr>
            </w:pPr>
            <w:r>
              <w:rPr>
                <w:rFonts w:ascii="Courier New" w:cs="Courier New" w:eastAsia="Courier New" w:hAnsi="Courier New"/>
                <w:sz w:val="15"/>
                <w:szCs w:val="15"/>
                <w:color w:val="auto"/>
              </w:rPr>
              <w:t>7% SENIOR NOTES DUE 2028</w:t>
            </w:r>
          </w:p>
        </w:tc>
      </w:tr>
      <w:tr>
        <w:trPr>
          <w:trHeight w:val="347"/>
        </w:trPr>
        <w:tc>
          <w:tcPr>
            <w:tcW w:w="4960" w:type="dxa"/>
            <w:vAlign w:val="bottom"/>
            <w:gridSpan w:val="2"/>
          </w:tcPr>
          <w:p>
            <w:pPr>
              <w:jc w:val="center"/>
              <w:ind w:left="2165"/>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p>
      <w:pPr>
        <w:ind w:left="2608"/>
        <w:spacing w:after="0"/>
        <w:rPr>
          <w:sz w:val="20"/>
          <w:szCs w:val="20"/>
          <w:color w:val="auto"/>
        </w:rPr>
      </w:pPr>
      <w:r>
        <w:rPr>
          <w:rFonts w:ascii="Courier New" w:cs="Courier New" w:eastAsia="Courier New" w:hAnsi="Courier New"/>
          <w:sz w:val="15"/>
          <w:szCs w:val="15"/>
          <w:color w:val="auto"/>
        </w:rPr>
        <w:t>PROSPECTUS SUPPLEMENT</w:t>
      </w:r>
    </w:p>
    <w:p>
      <w:pPr>
        <w:spacing w:after="0" w:line="177"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348"/>
        <w:spacing w:after="0"/>
        <w:rPr>
          <w:sz w:val="20"/>
          <w:szCs w:val="20"/>
          <w:color w:val="auto"/>
        </w:rPr>
      </w:pPr>
      <w:r>
        <w:rPr>
          <w:rFonts w:ascii="Courier New" w:cs="Courier New" w:eastAsia="Courier New" w:hAnsi="Courier New"/>
          <w:sz w:val="15"/>
          <w:szCs w:val="15"/>
          <w:color w:val="auto"/>
        </w:rPr>
        <w:t>DONALDSON, LUFKIN &amp; JENRETTE</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CREDIT SUISSE FIRST BOSTON</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GOLDMAN, SACHS &amp; CO.</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MERRILL LYNCH &amp; CO.</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SALOMON SMITH BARNEY</w:t>
      </w:r>
    </w:p>
    <w:p>
      <w:pPr>
        <w:spacing w:after="0" w:line="177"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JULY 14, 1998</w:t>
      </w:r>
    </w:p>
    <w:p>
      <w:pPr>
        <w:spacing w:after="0" w:line="178" w:lineRule="exact"/>
        <w:rPr>
          <w:sz w:val="20"/>
          <w:szCs w:val="20"/>
          <w:color w:val="auto"/>
        </w:rPr>
      </w:pPr>
    </w:p>
    <w:p>
      <w:pPr>
        <w:ind w:left="188" w:hanging="188"/>
        <w:spacing w:after="0"/>
        <w:tabs>
          <w:tab w:leader="none" w:pos="18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sectPr>
      <w:pgSz w:w="11900" w:h="16838" w:orient="portrait"/>
      <w:cols w:equalWidth="0" w:num="1">
        <w:col w:w="10227"/>
      </w:cols>
      <w:pgMar w:left="232" w:top="4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lowerRoman"/>
      <w:start w:val="2"/>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lowerRoman"/>
      <w:start w:val="1"/>
    </w:lvl>
  </w:abstractNum>
  <w:abstractNum w:abstractNumId="4">
    <w:nsid w:val="79E2A9E3"/>
    <w:multiLevelType w:val="hybridMultilevel"/>
    <w:lvl w:ilvl="0">
      <w:lvlJc w:val="left"/>
      <w:lvlText w:val="%1."/>
      <w:numFmt w:val="decimal"/>
      <w:start w:val="2"/>
    </w:lvl>
    <w:lvl w:ilvl="1">
      <w:lvlJc w:val="left"/>
      <w:lvlText w:val="(%2)"/>
      <w:numFmt w:val="lowerLetter"/>
      <w:start w:val="1"/>
    </w:lvl>
  </w:abstractNum>
  <w:abstractNum w:abstractNumId="5">
    <w:nsid w:val="7545E146"/>
    <w:multiLevelType w:val="hybridMultilevel"/>
    <w:lvl w:ilvl="0">
      <w:lvlJc w:val="left"/>
      <w:lvlText w:val="%1"/>
      <w:numFmt w:val="decimal"/>
      <w:start w:val="1"/>
    </w:lvl>
    <w:lvl w:ilvl="1">
      <w:lvlJc w:val="left"/>
      <w:lvlText w:val="(%2)"/>
      <w:numFmt w:val="lowerLetter"/>
      <w:start w:val="4"/>
    </w:lvl>
  </w:abstractNum>
  <w:abstractNum w:abstractNumId="6">
    <w:nsid w:val="515F007C"/>
    <w:multiLevelType w:val="hybridMultilevel"/>
    <w:lvl w:ilvl="0">
      <w:lvlJc w:val="left"/>
      <w:lvlText w:val="%1."/>
      <w:numFmt w:val="decimal"/>
      <w:start w:val="3"/>
    </w:lvl>
    <w:lvl w:ilvl="1">
      <w:lvlJc w:val="left"/>
      <w:lvlText w:val="%2"/>
      <w:numFmt w:val="lowerLetter"/>
      <w:start w:val="1"/>
    </w:lvl>
  </w:abstractNum>
  <w:abstractNum w:abstractNumId="7">
    <w:nsid w:val="5BD062C2"/>
    <w:multiLevelType w:val="hybridMultilevel"/>
    <w:lvl w:ilvl="0">
      <w:lvlJc w:val="left"/>
      <w:lvlText w:val="%1."/>
      <w:numFmt w:val="decimal"/>
      <w:start w:val="3"/>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2019-12-20T13:13:31Z</dcterms:created>
  <dcterms:modified xsi:type="dcterms:W3CDTF">2019-12-20T13:13:31Z</dcterms:modified>
</cp:coreProperties>
</file>