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Issuer Free Writing Prospectus dated March 3, 2008 Relating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Preliminary Prospectus Supplement dated March 3, 2008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Prospectus dated September 22, 2006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Statement No. 333-137526</w:t>
      </w:r>
    </w:p>
    <w:p>
      <w:pPr>
        <w:spacing w:after="0" w:line="31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Final Pricing Term Sheet</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6.10% Senior Notes Due 2018</w:t>
      </w:r>
    </w:p>
    <w:p>
      <w:pPr>
        <w:sectPr>
          <w:pgSz w:w="11900" w:h="16838" w:orient="portrait"/>
          <w:cols w:equalWidth="0" w:num="1">
            <w:col w:w="11420"/>
          </w:cols>
          <w:pgMar w:left="240" w:top="638" w:right="239" w:bottom="68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Waste Management, Inc.</w:t>
      </w:r>
    </w:p>
    <w:p>
      <w:pPr>
        <w:spacing w:after="0" w:line="200" w:lineRule="exact"/>
        <w:rPr>
          <w:sz w:val="20"/>
          <w:szCs w:val="20"/>
          <w:color w:val="auto"/>
        </w:rPr>
      </w:pPr>
    </w:p>
    <w:p>
      <w:pPr>
        <w:sectPr>
          <w:pgSz w:w="11900" w:h="16838" w:orient="portrait"/>
          <w:cols w:equalWidth="0" w:num="2">
            <w:col w:w="2820" w:space="720"/>
            <w:col w:w="7880"/>
          </w:cols>
          <w:pgMar w:left="240" w:top="638" w:right="239" w:bottom="68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Guarantor: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Waste Management Holdings, Inc.</w:t>
      </w:r>
    </w:p>
    <w:p>
      <w:pPr>
        <w:spacing w:after="0" w:line="200" w:lineRule="exact"/>
        <w:rPr>
          <w:sz w:val="20"/>
          <w:szCs w:val="20"/>
          <w:color w:val="auto"/>
        </w:rPr>
      </w:pPr>
    </w:p>
    <w:p>
      <w:pPr>
        <w:sectPr>
          <w:pgSz w:w="11900" w:h="16838" w:orient="portrait"/>
          <w:cols w:equalWidth="0" w:num="2">
            <w:col w:w="2820" w:space="720"/>
            <w:col w:w="7880"/>
          </w:cols>
          <w:pgMar w:left="240" w:top="638" w:right="239" w:bottom="68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Size: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$600,000,000</w:t>
      </w:r>
    </w:p>
    <w:p>
      <w:pPr>
        <w:spacing w:after="0" w:line="200" w:lineRule="exact"/>
        <w:rPr>
          <w:sz w:val="20"/>
          <w:szCs w:val="20"/>
          <w:color w:val="auto"/>
        </w:rPr>
      </w:pPr>
    </w:p>
    <w:p>
      <w:pPr>
        <w:sectPr>
          <w:pgSz w:w="11900" w:h="16838" w:orient="portrait"/>
          <w:cols w:equalWidth="0" w:num="2">
            <w:col w:w="2820" w:space="720"/>
            <w:col w:w="7880"/>
          </w:cols>
          <w:pgMar w:left="240" w:top="638" w:right="239" w:bottom="68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Maturity: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March 15, 2018</w:t>
      </w:r>
    </w:p>
    <w:p>
      <w:pPr>
        <w:spacing w:after="0" w:line="211" w:lineRule="exact"/>
        <w:rPr>
          <w:sz w:val="20"/>
          <w:szCs w:val="20"/>
          <w:color w:val="auto"/>
        </w:rPr>
      </w:pPr>
    </w:p>
    <w:p>
      <w:pPr>
        <w:sectPr>
          <w:pgSz w:w="11900" w:h="16838" w:orient="portrait"/>
          <w:cols w:equalWidth="0" w:num="2">
            <w:col w:w="2820" w:space="720"/>
            <w:col w:w="7880"/>
          </w:cols>
          <w:pgMar w:left="240" w:top="638" w:right="239" w:bottom="68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Coupon: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6.10%</w:t>
      </w:r>
    </w:p>
    <w:p>
      <w:pPr>
        <w:spacing w:after="0" w:line="200" w:lineRule="exact"/>
        <w:rPr>
          <w:sz w:val="20"/>
          <w:szCs w:val="20"/>
          <w:color w:val="auto"/>
        </w:rPr>
      </w:pPr>
    </w:p>
    <w:p>
      <w:pPr>
        <w:sectPr>
          <w:pgSz w:w="11900" w:h="16838" w:orient="portrait"/>
          <w:cols w:equalWidth="0" w:num="2">
            <w:col w:w="2820" w:space="720"/>
            <w:col w:w="7880"/>
          </w:cols>
          <w:pgMar w:left="240" w:top="638" w:right="239" w:bottom="68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Price: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99.598% of face amount</w:t>
      </w:r>
    </w:p>
    <w:p>
      <w:pPr>
        <w:spacing w:after="0" w:line="200" w:lineRule="exact"/>
        <w:rPr>
          <w:sz w:val="20"/>
          <w:szCs w:val="20"/>
          <w:color w:val="auto"/>
        </w:rPr>
      </w:pPr>
    </w:p>
    <w:p>
      <w:pPr>
        <w:sectPr>
          <w:pgSz w:w="11900" w:h="16838" w:orient="portrait"/>
          <w:cols w:equalWidth="0" w:num="2">
            <w:col w:w="2820" w:space="720"/>
            <w:col w:w="7880"/>
          </w:cols>
          <w:pgMar w:left="240" w:top="638" w:right="239" w:bottom="68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Yield to maturity: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6.154%</w:t>
      </w:r>
    </w:p>
    <w:p>
      <w:pPr>
        <w:spacing w:after="0" w:line="211" w:lineRule="exact"/>
        <w:rPr>
          <w:sz w:val="20"/>
          <w:szCs w:val="20"/>
          <w:color w:val="auto"/>
        </w:rPr>
      </w:pPr>
    </w:p>
    <w:p>
      <w:pPr>
        <w:sectPr>
          <w:pgSz w:w="11900" w:h="16838" w:orient="portrait"/>
          <w:cols w:equalWidth="0" w:num="2">
            <w:col w:w="2820" w:space="720"/>
            <w:col w:w="7880"/>
          </w:cols>
          <w:pgMar w:left="240" w:top="638" w:right="239" w:bottom="68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Spread to Benchmark Treasury: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2.60%</w:t>
      </w:r>
    </w:p>
    <w:p>
      <w:pPr>
        <w:spacing w:after="0" w:line="200" w:lineRule="exact"/>
        <w:rPr>
          <w:sz w:val="20"/>
          <w:szCs w:val="20"/>
          <w:color w:val="auto"/>
        </w:rPr>
      </w:pPr>
    </w:p>
    <w:p>
      <w:pPr>
        <w:sectPr>
          <w:pgSz w:w="11900" w:h="16838" w:orient="portrait"/>
          <w:cols w:equalWidth="0" w:num="2">
            <w:col w:w="2820" w:space="720"/>
            <w:col w:w="7880"/>
          </w:cols>
          <w:pgMar w:left="240" w:top="638" w:right="239" w:bottom="68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3.50% 2/15/2018</w:t>
      </w:r>
    </w:p>
    <w:p>
      <w:pPr>
        <w:spacing w:after="0" w:line="200" w:lineRule="exact"/>
        <w:rPr>
          <w:sz w:val="20"/>
          <w:szCs w:val="20"/>
          <w:color w:val="auto"/>
        </w:rPr>
      </w:pPr>
    </w:p>
    <w:p>
      <w:pPr>
        <w:sectPr>
          <w:pgSz w:w="11900" w:h="16838" w:orient="portrait"/>
          <w:cols w:equalWidth="0" w:num="2">
            <w:col w:w="2820" w:space="720"/>
            <w:col w:w="7880"/>
          </w:cols>
          <w:pgMar w:left="240" w:top="638" w:right="239" w:bottom="68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99−17+3.554%</w:t>
      </w:r>
    </w:p>
    <w:p>
      <w:pPr>
        <w:spacing w:after="0" w:line="200" w:lineRule="exact"/>
        <w:rPr>
          <w:sz w:val="20"/>
          <w:szCs w:val="20"/>
          <w:color w:val="auto"/>
        </w:rPr>
      </w:pPr>
    </w:p>
    <w:p>
      <w:pPr>
        <w:sectPr>
          <w:pgSz w:w="11900" w:h="16838" w:orient="portrait"/>
          <w:cols w:equalWidth="0" w:num="2">
            <w:col w:w="2820" w:space="720"/>
            <w:col w:w="7880"/>
          </w:cols>
          <w:pgMar w:left="240" w:top="638" w:right="239" w:bottom="68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1720"/>
        <w:spacing w:after="0"/>
        <w:rPr>
          <w:sz w:val="20"/>
          <w:szCs w:val="20"/>
          <w:color w:val="auto"/>
        </w:rPr>
      </w:pPr>
      <w:r>
        <w:rPr>
          <w:rFonts w:ascii="Arial" w:cs="Arial" w:eastAsia="Arial" w:hAnsi="Arial"/>
          <w:sz w:val="16"/>
          <w:szCs w:val="16"/>
          <w:color w:val="auto"/>
        </w:rPr>
        <w:t>Semi-annually on March 15th and September 15th, commencing September 15, 2008</w:t>
      </w:r>
    </w:p>
    <w:p>
      <w:pPr>
        <w:spacing w:after="0" w:line="200" w:lineRule="exact"/>
        <w:rPr>
          <w:sz w:val="20"/>
          <w:szCs w:val="20"/>
          <w:color w:val="auto"/>
        </w:rPr>
      </w:pPr>
    </w:p>
    <w:p>
      <w:pPr>
        <w:sectPr>
          <w:pgSz w:w="11900" w:h="16838" w:orient="portrait"/>
          <w:cols w:equalWidth="0" w:num="2">
            <w:col w:w="2820" w:space="720"/>
            <w:col w:w="7880"/>
          </w:cols>
          <w:pgMar w:left="240" w:top="638" w:right="239" w:bottom="68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Redemption Provisions:</w:t>
      </w:r>
    </w:p>
    <w:p>
      <w:pPr>
        <w:sectPr>
          <w:pgSz w:w="11900" w:h="16838" w:orient="portrait"/>
          <w:cols w:equalWidth="0" w:num="1">
            <w:col w:w="11420"/>
          </w:cols>
          <w:pgMar w:left="240" w:top="638" w:right="239" w:bottom="680" w:gutter="0" w:footer="0" w:header="0"/>
          <w:type w:val="continuous"/>
        </w:sectPr>
      </w:pPr>
    </w:p>
    <w:p>
      <w:pPr>
        <w:spacing w:after="0" w:line="24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At any time for an amount equal to the greater of (1) 100% of the principal amount of the notes redeemed and repaid, or (2) the sum of the present values of the remaining scheduled payments of principal and interest on the notes discounted to the redemption date at the applicable Treasury Yield plus 40 basis points.</w:t>
      </w:r>
    </w:p>
    <w:p>
      <w:pPr>
        <w:spacing w:after="0" w:line="147" w:lineRule="exact"/>
        <w:rPr>
          <w:sz w:val="20"/>
          <w:szCs w:val="20"/>
          <w:color w:val="auto"/>
        </w:rPr>
      </w:pPr>
    </w:p>
    <w:p>
      <w:pPr>
        <w:sectPr>
          <w:pgSz w:w="11900" w:h="16838" w:orient="portrait"/>
          <w:cols w:equalWidth="0" w:num="2">
            <w:col w:w="2820" w:space="720"/>
            <w:col w:w="7880"/>
          </w:cols>
          <w:pgMar w:left="240" w:top="638" w:right="239" w:bottom="680" w:gutter="0" w:footer="0" w:header="0"/>
          <w:type w:val="continuous"/>
        </w:sectPr>
      </w:pPr>
    </w:p>
    <w:p>
      <w:pPr>
        <w:ind w:left="500"/>
        <w:spacing w:after="0"/>
        <w:rPr>
          <w:sz w:val="20"/>
          <w:szCs w:val="20"/>
          <w:color w:val="auto"/>
        </w:rPr>
      </w:pPr>
      <w:r>
        <w:rPr>
          <w:rFonts w:ascii="Arial" w:cs="Arial" w:eastAsia="Arial" w:hAnsi="Arial"/>
          <w:sz w:val="16"/>
          <w:szCs w:val="16"/>
          <w:color w:val="auto"/>
        </w:rPr>
        <w:t>Change of Control Put:</w:t>
      </w:r>
    </w:p>
    <w:p>
      <w:pPr>
        <w:spacing w:after="0" w:line="20" w:lineRule="exact"/>
        <w:rPr>
          <w:sz w:val="20"/>
          <w:szCs w:val="20"/>
          <w:color w:val="auto"/>
        </w:rPr>
      </w:pPr>
      <w:r>
        <w:rPr>
          <w:sz w:val="20"/>
          <w:szCs w:val="20"/>
          <w:color w:val="auto"/>
        </w:rPr>
        <w:br w:type="column"/>
      </w:r>
    </w:p>
    <w:p>
      <w:pPr>
        <w:ind w:right="500"/>
        <w:spacing w:after="0" w:line="277" w:lineRule="auto"/>
        <w:rPr>
          <w:sz w:val="20"/>
          <w:szCs w:val="20"/>
          <w:color w:val="auto"/>
        </w:rPr>
      </w:pPr>
      <w:r>
        <w:rPr>
          <w:rFonts w:ascii="Arial" w:cs="Arial" w:eastAsia="Arial" w:hAnsi="Arial"/>
          <w:sz w:val="18"/>
          <w:szCs w:val="18"/>
          <w:color w:val="auto"/>
        </w:rPr>
        <w:t>A put right upon the occurrence of a change of control triggering event as described in the Preliminary Prospectus Supplement dated March 3, 2008</w:t>
      </w:r>
    </w:p>
    <w:p>
      <w:pPr>
        <w:spacing w:after="0" w:line="170" w:lineRule="exact"/>
        <w:rPr>
          <w:sz w:val="20"/>
          <w:szCs w:val="20"/>
          <w:color w:val="auto"/>
        </w:rPr>
      </w:pPr>
    </w:p>
    <w:p>
      <w:pPr>
        <w:sectPr>
          <w:pgSz w:w="11900" w:h="16838" w:orient="portrait"/>
          <w:cols w:equalWidth="0" w:num="2">
            <w:col w:w="2820" w:space="720"/>
            <w:col w:w="7880"/>
          </w:cols>
          <w:pgMar w:left="240" w:top="638" w:right="239" w:bottom="680" w:gutter="0" w:footer="0" w:header="0"/>
          <w:type w:val="continuous"/>
        </w:sectPr>
      </w:pPr>
    </w:p>
    <w:p>
      <w:pPr>
        <w:spacing w:after="0"/>
        <w:rPr>
          <w:sz w:val="20"/>
          <w:szCs w:val="20"/>
          <w:color w:val="auto"/>
        </w:rPr>
      </w:pPr>
      <w:r>
        <w:rPr>
          <w:rFonts w:ascii="Arial" w:cs="Arial" w:eastAsia="Arial" w:hAnsi="Arial"/>
          <w:sz w:val="16"/>
          <w:szCs w:val="16"/>
          <w:color w:val="auto"/>
        </w:rPr>
        <w:t>Settlement: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T+3; March 6, 2008</w:t>
      </w:r>
    </w:p>
    <w:p>
      <w:pPr>
        <w:spacing w:after="0" w:line="200" w:lineRule="exact"/>
        <w:rPr>
          <w:sz w:val="20"/>
          <w:szCs w:val="20"/>
          <w:color w:val="auto"/>
        </w:rPr>
      </w:pPr>
    </w:p>
    <w:p>
      <w:pPr>
        <w:sectPr>
          <w:pgSz w:w="11900" w:h="16838" w:orient="portrait"/>
          <w:cols w:equalWidth="0" w:num="2">
            <w:col w:w="2820" w:space="720"/>
            <w:col w:w="7880"/>
          </w:cols>
          <w:pgMar w:left="240" w:top="638" w:right="239" w:bottom="68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CUSIP:</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94106L AS8</w:t>
      </w:r>
    </w:p>
    <w:p>
      <w:pPr>
        <w:spacing w:after="0" w:line="200" w:lineRule="exact"/>
        <w:rPr>
          <w:sz w:val="20"/>
          <w:szCs w:val="20"/>
          <w:color w:val="auto"/>
        </w:rPr>
      </w:pPr>
    </w:p>
    <w:p>
      <w:pPr>
        <w:sectPr>
          <w:pgSz w:w="11900" w:h="16838" w:orient="portrait"/>
          <w:cols w:equalWidth="0" w:num="2">
            <w:col w:w="2820" w:space="720"/>
            <w:col w:w="7880"/>
          </w:cols>
          <w:pgMar w:left="240" w:top="638" w:right="239" w:bottom="680" w:gutter="0" w:footer="0" w:header="0"/>
          <w:type w:val="continuous"/>
        </w:sectPr>
      </w:pPr>
    </w:p>
    <w:p>
      <w:pPr>
        <w:spacing w:after="0" w:line="37" w:lineRule="exact"/>
        <w:rPr>
          <w:sz w:val="20"/>
          <w:szCs w:val="20"/>
          <w:color w:val="auto"/>
        </w:rPr>
      </w:pPr>
    </w:p>
    <w:p>
      <w:pPr>
        <w:ind w:right="1040"/>
        <w:spacing w:after="0" w:line="342" w:lineRule="auto"/>
        <w:rPr>
          <w:sz w:val="20"/>
          <w:szCs w:val="20"/>
          <w:color w:val="auto"/>
        </w:rPr>
      </w:pPr>
      <w:r>
        <w:rPr>
          <w:rFonts w:ascii="Arial" w:cs="Arial" w:eastAsia="Arial" w:hAnsi="Arial"/>
          <w:sz w:val="16"/>
          <w:szCs w:val="16"/>
          <w:color w:val="auto"/>
        </w:rPr>
        <w:t>Joint Book-Running and Joint Lead Managers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Banc of America Securities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 P. Morgan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Greenwich Capital Markets, Inc.</w:t>
      </w:r>
    </w:p>
    <w:p>
      <w:pPr>
        <w:spacing w:after="0" w:line="200" w:lineRule="exact"/>
        <w:rPr>
          <w:sz w:val="20"/>
          <w:szCs w:val="20"/>
          <w:color w:val="auto"/>
        </w:rPr>
      </w:pPr>
    </w:p>
    <w:p>
      <w:pPr>
        <w:sectPr>
          <w:pgSz w:w="11900" w:h="16838" w:orient="portrait"/>
          <w:cols w:equalWidth="0" w:num="2">
            <w:col w:w="2820" w:space="720"/>
            <w:col w:w="7880"/>
          </w:cols>
          <w:pgMar w:left="240" w:top="638" w:right="239" w:bottom="68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BNP Paribas Securities Corp.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Citigroup Global Markets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Deutsche Bank Securities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200" w:lineRule="exact"/>
        <w:rPr>
          <w:sz w:val="20"/>
          <w:szCs w:val="20"/>
          <w:color w:val="auto"/>
        </w:rPr>
      </w:pPr>
    </w:p>
    <w:p>
      <w:pPr>
        <w:sectPr>
          <w:pgSz w:w="11900" w:h="16838" w:orient="portrait"/>
          <w:cols w:equalWidth="0" w:num="2">
            <w:col w:w="2820" w:space="720"/>
            <w:col w:w="7880"/>
          </w:cols>
          <w:pgMar w:left="240" w:top="638" w:right="239" w:bottom="68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Anticipated Ratings: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Moody’s: Baa3 (Stable)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S&amp;P: BBB (Stable)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Fitch: BBB (Stable)</w:t>
      </w:r>
    </w:p>
    <w:p>
      <w:pPr>
        <w:spacing w:after="0" w:line="103" w:lineRule="exact"/>
        <w:rPr>
          <w:sz w:val="20"/>
          <w:szCs w:val="20"/>
          <w:color w:val="auto"/>
        </w:rPr>
      </w:pPr>
    </w:p>
    <w:p>
      <w:pPr>
        <w:sectPr>
          <w:pgSz w:w="11900" w:h="16838" w:orient="portrait"/>
          <w:cols w:equalWidth="0" w:num="2">
            <w:col w:w="2820" w:space="720"/>
            <w:col w:w="7880"/>
          </w:cols>
          <w:pgMar w:left="240" w:top="638" w:right="239" w:bottom="680" w:gutter="0" w:footer="0" w:header="0"/>
          <w:type w:val="continuous"/>
        </w:sectPr>
      </w:pPr>
    </w:p>
    <w:p>
      <w:pPr>
        <w:spacing w:after="0"/>
        <w:rPr>
          <w:sz w:val="20"/>
          <w:szCs w:val="20"/>
          <w:color w:val="auto"/>
        </w:rPr>
      </w:pPr>
      <w:r>
        <w:rPr>
          <w:rFonts w:ascii="Arial" w:cs="Arial" w:eastAsia="Arial" w:hAnsi="Arial"/>
          <w:sz w:val="18"/>
          <w:szCs w:val="18"/>
          <w:color w:val="auto"/>
        </w:rPr>
        <w:t>Note: A securities rating is not a recommendation to buy, sell or hold securities and may be subject to revision or withdrawal at any time.</w:t>
      </w:r>
    </w:p>
    <w:p>
      <w:pPr>
        <w:spacing w:after="0" w:line="113"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b w:val="1"/>
          <w:bCs w:val="1"/>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Banc of America Securities LLC toll-free at 1-800-294-1322, J.P. Morgan Securities Inc. collect at (212) 834-4533 or Greenwich Capital Markets, Inc. toll-free at 1-866-884-2071.</w:t>
      </w:r>
    </w:p>
    <w:p>
      <w:pPr>
        <w:spacing w:after="0" w:line="7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Such disclaimers were automatically generated as a result of this communication being sent via email or another communication system</w:t>
      </w:r>
      <w:r>
        <w:rPr>
          <w:rFonts w:ascii="Arial" w:cs="Arial" w:eastAsia="Arial" w:hAnsi="Arial"/>
          <w:sz w:val="18"/>
          <w:szCs w:val="18"/>
          <w:b w:val="1"/>
          <w:bCs w:val="1"/>
          <w:color w:val="auto"/>
        </w:rPr>
        <w:t>.</w:t>
      </w:r>
    </w:p>
    <w:sectPr>
      <w:pgSz w:w="11900" w:h="16838" w:orient="portrait"/>
      <w:cols w:equalWidth="0" w:num="1">
        <w:col w:w="11420"/>
      </w:cols>
      <w:pgMar w:left="240" w:top="638" w:right="239" w:bottom="6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2019-12-11T14:43:06Z</dcterms:created>
  <dcterms:modified xsi:type="dcterms:W3CDTF">2019-12-11T14:43:06Z</dcterms:modified>
</cp:coreProperties>
</file>