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7"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ind w:left="188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880"/>
        <w:spacing w:after="0"/>
        <w:rPr>
          <w:sz w:val="20"/>
          <w:szCs w:val="20"/>
          <w:color w:val="auto"/>
        </w:rPr>
      </w:pPr>
      <w:r>
        <w:rPr>
          <w:rFonts w:ascii="Arial" w:cs="Arial" w:eastAsia="Arial" w:hAnsi="Arial"/>
          <w:sz w:val="13"/>
          <w:szCs w:val="13"/>
          <w:b w:val="1"/>
          <w:bCs w:val="1"/>
          <w:color w:val="auto"/>
        </w:rPr>
        <w:t>For the Quarterly Period Ended September 30, 2007</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11" w:lineRule="exact"/>
        <w:rPr>
          <w:sz w:val="20"/>
          <w:szCs w:val="20"/>
          <w:color w:val="auto"/>
        </w:rPr>
      </w:pPr>
    </w:p>
    <w:p>
      <w:pPr>
        <w:ind w:left="1880" w:hanging="681"/>
        <w:spacing w:after="0"/>
        <w:tabs>
          <w:tab w:leader="none" w:pos="18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w:t>
      </w:r>
    </w:p>
    <w:p>
      <w:pPr>
        <w:ind w:left="1880"/>
        <w:spacing w:after="0"/>
        <w:rPr>
          <w:sz w:val="20"/>
          <w:szCs w:val="20"/>
          <w:color w:val="auto"/>
        </w:rPr>
      </w:pPr>
      <w:r>
        <w:rPr>
          <w:rFonts w:ascii="Arial" w:cs="Arial" w:eastAsia="Arial" w:hAnsi="Arial"/>
          <w:sz w:val="16"/>
          <w:szCs w:val="16"/>
          <w:b w:val="1"/>
          <w:bCs w:val="1"/>
          <w:color w:val="auto"/>
        </w:rPr>
        <w:t>OF THE SECURITIES EXCHANGE ACT OF 1934</w:t>
      </w:r>
    </w:p>
    <w:p>
      <w:pPr>
        <w:sectPr>
          <w:pgSz w:w="11900" w:h="16838" w:orient="portrait"/>
          <w:cols w:equalWidth="0" w:num="1">
            <w:col w:w="10600"/>
          </w:cols>
          <w:pgMar w:left="220" w:top="127" w:right="1079" w:bottom="1440" w:gutter="0" w:footer="0" w:header="0"/>
        </w:sectPr>
      </w:pPr>
    </w:p>
    <w:p>
      <w:pPr>
        <w:spacing w:after="0" w:line="2" w:lineRule="exact"/>
        <w:rPr>
          <w:sz w:val="20"/>
          <w:szCs w:val="20"/>
          <w:color w:val="auto"/>
        </w:rPr>
      </w:pPr>
    </w:p>
    <w:p>
      <w:pPr>
        <w:ind w:left="188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69" w:lineRule="exact"/>
        <w:rPr>
          <w:sz w:val="20"/>
          <w:szCs w:val="20"/>
          <w:color w:val="auto"/>
        </w:rPr>
      </w:pPr>
    </w:p>
    <w:p>
      <w:pPr>
        <w:sectPr>
          <w:pgSz w:w="11900" w:h="16838" w:orient="portrait"/>
          <w:cols w:equalWidth="0" w:num="2">
            <w:col w:w="3580" w:space="320"/>
            <w:col w:w="6700"/>
          </w:cols>
          <w:pgMar w:left="220" w:top="127" w:right="1079" w:bottom="1440" w:gutter="0" w:footer="0" w:header="0"/>
          <w:type w:val="continuous"/>
        </w:sectPr>
      </w:pPr>
    </w:p>
    <w:p>
      <w:pPr>
        <w:ind w:left="4760"/>
        <w:spacing w:after="0"/>
        <w:rPr>
          <w:sz w:val="20"/>
          <w:szCs w:val="20"/>
          <w:color w:val="auto"/>
        </w:rPr>
      </w:pPr>
      <w:r>
        <w:rPr>
          <w:rFonts w:ascii="Arial" w:cs="Arial" w:eastAsia="Arial" w:hAnsi="Arial"/>
          <w:sz w:val="11"/>
          <w:szCs w:val="11"/>
          <w:b w:val="1"/>
          <w:bCs w:val="1"/>
          <w:color w:val="auto"/>
        </w:rPr>
        <w:t>Commission file number 1-12154</w:t>
      </w:r>
    </w:p>
    <w:p>
      <w:pPr>
        <w:sectPr>
          <w:pgSz w:w="11900" w:h="16838" w:orient="portrait"/>
          <w:cols w:equalWidth="0" w:num="1">
            <w:col w:w="10600"/>
          </w:cols>
          <w:pgMar w:left="220" w:top="127" w:right="1079" w:bottom="1440" w:gutter="0" w:footer="0" w:header="0"/>
          <w:type w:val="continuous"/>
        </w:sectPr>
      </w:pPr>
    </w:p>
    <w:p>
      <w:pPr>
        <w:spacing w:after="0" w:line="150" w:lineRule="exact"/>
        <w:rPr>
          <w:sz w:val="20"/>
          <w:szCs w:val="20"/>
          <w:color w:val="auto"/>
        </w:rPr>
      </w:pPr>
    </w:p>
    <w:tbl>
      <w:tblPr>
        <w:tblLayout w:type="fixed"/>
        <w:tblInd w:w="2540" w:type="dxa"/>
        <w:tblCellMar>
          <w:top w:w="0" w:type="dxa"/>
          <w:left w:w="0" w:type="dxa"/>
          <w:bottom w:w="0" w:type="dxa"/>
          <w:right w:w="0" w:type="dxa"/>
        </w:tblCellMar>
      </w:tblPr>
      <w:tr>
        <w:trPr>
          <w:trHeight w:val="382"/>
        </w:trPr>
        <w:tc>
          <w:tcPr>
            <w:tcW w:w="1380" w:type="dxa"/>
            <w:vAlign w:val="bottom"/>
          </w:tcPr>
          <w:p>
            <w:pPr>
              <w:spacing w:after="0"/>
              <w:rPr>
                <w:sz w:val="24"/>
                <w:szCs w:val="24"/>
                <w:color w:val="auto"/>
              </w:rPr>
            </w:pPr>
          </w:p>
        </w:tc>
        <w:tc>
          <w:tcPr>
            <w:tcW w:w="4740" w:type="dxa"/>
            <w:vAlign w:val="bottom"/>
          </w:tcPr>
          <w:p>
            <w:pPr>
              <w:jc w:val="center"/>
              <w:ind w:right="117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5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38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Delaware</w:t>
            </w:r>
          </w:p>
        </w:tc>
        <w:tc>
          <w:tcPr>
            <w:tcW w:w="4740" w:type="dxa"/>
            <w:vAlign w:val="bottom"/>
          </w:tcPr>
          <w:p>
            <w:pPr>
              <w:jc w:val="center"/>
              <w:ind w:left="389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380" w:type="dxa"/>
            <w:vAlign w:val="bottom"/>
          </w:tcPr>
          <w:p>
            <w:pPr>
              <w:jc w:val="center"/>
              <w:ind w:right="23"/>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740" w:type="dxa"/>
            <w:vAlign w:val="bottom"/>
          </w:tcPr>
          <w:p>
            <w:pPr>
              <w:jc w:val="center"/>
              <w:ind w:left="389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380" w:type="dxa"/>
            <w:vAlign w:val="bottom"/>
          </w:tcPr>
          <w:p>
            <w:pPr>
              <w:jc w:val="center"/>
              <w:ind w:right="23"/>
              <w:spacing w:after="0"/>
              <w:rPr>
                <w:sz w:val="20"/>
                <w:szCs w:val="20"/>
                <w:color w:val="auto"/>
              </w:rPr>
            </w:pPr>
            <w:r>
              <w:rPr>
                <w:rFonts w:ascii="Arial" w:cs="Arial" w:eastAsia="Arial" w:hAnsi="Arial"/>
                <w:sz w:val="10"/>
                <w:szCs w:val="10"/>
                <w:i w:val="1"/>
                <w:iCs w:val="1"/>
                <w:color w:val="auto"/>
                <w:w w:val="99"/>
              </w:rPr>
              <w:t>incorporation or organization)</w:t>
            </w:r>
          </w:p>
        </w:tc>
        <w:tc>
          <w:tcPr>
            <w:tcW w:w="4740" w:type="dxa"/>
            <w:vAlign w:val="bottom"/>
          </w:tcPr>
          <w:p>
            <w:pPr>
              <w:jc w:val="center"/>
              <w:ind w:left="3892"/>
              <w:spacing w:after="0"/>
              <w:rPr>
                <w:sz w:val="20"/>
                <w:szCs w:val="20"/>
                <w:color w:val="auto"/>
              </w:rPr>
            </w:pPr>
            <w:r>
              <w:rPr>
                <w:rFonts w:ascii="Arial" w:cs="Arial" w:eastAsia="Arial" w:hAnsi="Arial"/>
                <w:sz w:val="10"/>
                <w:szCs w:val="10"/>
                <w:i w:val="1"/>
                <w:iCs w:val="1"/>
                <w:color w:val="auto"/>
              </w:rPr>
              <w:t>Identification No.)</w:t>
            </w:r>
          </w:p>
        </w:tc>
      </w:tr>
      <w:tr>
        <w:trPr>
          <w:trHeight w:val="272"/>
        </w:trPr>
        <w:tc>
          <w:tcPr>
            <w:tcW w:w="1380" w:type="dxa"/>
            <w:vAlign w:val="bottom"/>
          </w:tcPr>
          <w:p>
            <w:pPr>
              <w:spacing w:after="0"/>
              <w:rPr>
                <w:sz w:val="23"/>
                <w:szCs w:val="2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380" w:type="dxa"/>
            <w:vAlign w:val="bottom"/>
          </w:tcPr>
          <w:p>
            <w:pPr>
              <w:spacing w:after="0"/>
              <w:rPr>
                <w:sz w:val="13"/>
                <w:szCs w:val="1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380" w:type="dxa"/>
            <w:vAlign w:val="bottom"/>
          </w:tcPr>
          <w:p>
            <w:pPr>
              <w:spacing w:after="0"/>
              <w:rPr>
                <w:sz w:val="13"/>
                <w:szCs w:val="1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5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380" w:type="dxa"/>
            <w:vAlign w:val="bottom"/>
          </w:tcPr>
          <w:p>
            <w:pPr>
              <w:spacing w:after="0"/>
              <w:rPr>
                <w:sz w:val="23"/>
                <w:szCs w:val="2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7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18"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144"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145"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number of shares of Common Stock, $0.01 par value, of the registrant outstanding at October 23, 2007 was 508,345,584 (excluding treasury shares of 121,936,877).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ind w:right="3719"/>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CONDENSED CONSOLIDATED STATEMENTS OF OPERATIONS</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CONDENSED CONSOLIDATED STATEMENTS OF CASH FLOWS</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CONDENSED CONSOLIDATED STATEMENT OF STOCKHOLDERS’ EQUITY</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NOTES TO CONDENSED CONSOLIDATED FINANCIAL STATEMENTS</w:t>
        </w:r>
      </w:hyperlink>
    </w:p>
    <w:p>
      <w:pPr>
        <w:spacing w:after="0" w:line="3" w:lineRule="exact"/>
        <w:rPr>
          <w:rFonts w:ascii="Arial" w:cs="Arial" w:eastAsia="Arial" w:hAnsi="Arial"/>
          <w:sz w:val="16"/>
          <w:szCs w:val="16"/>
          <w:u w:val="single" w:color="auto"/>
          <w:color w:val="0000EE"/>
        </w:rPr>
      </w:pPr>
    </w:p>
    <w:p>
      <w:pPr>
        <w:ind w:left="280"/>
        <w:spacing w:after="0"/>
        <w:rPr>
          <w:rFonts w:ascii="Arial" w:cs="Arial" w:eastAsia="Arial" w:hAnsi="Arial"/>
          <w:sz w:val="13"/>
          <w:szCs w:val="13"/>
          <w:u w:val="single" w:color="auto"/>
          <w:color w:val="0000EE"/>
        </w:rPr>
      </w:pPr>
      <w:hyperlink w:anchor="page34">
        <w:r>
          <w:rPr>
            <w:rFonts w:ascii="Arial" w:cs="Arial" w:eastAsia="Arial" w:hAnsi="Arial"/>
            <w:sz w:val="13"/>
            <w:szCs w:val="13"/>
            <w:u w:val="single" w:color="auto"/>
            <w:color w:val="0000EE"/>
          </w:rPr>
          <w:t>Item 2. Management’s Discussion and Analysis of Financial Condition and Results of Operations.</w:t>
        </w:r>
      </w:hyperlink>
    </w:p>
    <w:p>
      <w:pPr>
        <w:spacing w:after="0" w:line="20" w:lineRule="exact"/>
        <w:rPr>
          <w:rFonts w:ascii="Arial" w:cs="Arial" w:eastAsia="Arial" w:hAnsi="Arial"/>
          <w:sz w:val="16"/>
          <w:szCs w:val="16"/>
          <w:u w:val="single" w:color="auto"/>
          <w:color w:val="0000EE"/>
        </w:rPr>
      </w:pPr>
    </w:p>
    <w:p>
      <w:pPr>
        <w:ind w:left="28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Item 4. Controls and Procedures.</w:t>
        </w:r>
      </w:hyperlink>
    </w:p>
    <w:p>
      <w:pPr>
        <w:spacing w:after="0" w:line="230"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1. Legal Proceedings.</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2. Unregistered Sales of Equity Securities and Use of Proceeds.</w:t>
        </w:r>
      </w:hyperlink>
    </w:p>
    <w:p>
      <w:pPr>
        <w:ind w:left="280"/>
        <w:spacing w:after="0" w:line="230"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Item 6. Exhibits.</w:t>
        </w:r>
      </w:hyperlink>
    </w:p>
    <w:p>
      <w:pPr>
        <w:spacing w:after="0" w:line="23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SIGNATURES</w:t>
        </w:r>
      </w:hyperlink>
    </w:p>
    <w:p>
      <w:pPr>
        <w:spacing w:after="0" w:line="231" w:lineRule="auto"/>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EXHIBIT INDEX</w:t>
        </w:r>
      </w:hyperlink>
    </w:p>
    <w:p>
      <w:pPr>
        <w:spacing w:after="0" w:line="231" w:lineRule="auto"/>
        <w:rPr>
          <w:sz w:val="20"/>
          <w:szCs w:val="20"/>
          <w:color w:val="auto"/>
        </w:rPr>
      </w:pPr>
      <w:r>
        <w:rPr>
          <w:rFonts w:ascii="Arial" w:cs="Arial" w:eastAsia="Arial" w:hAnsi="Arial"/>
          <w:sz w:val="16"/>
          <w:szCs w:val="16"/>
          <w:u w:val="single" w:color="auto"/>
          <w:color w:val="0000EE"/>
        </w:rPr>
        <w:t>Computation of Ratio of Earnings to Fixed Charges</w:t>
      </w:r>
    </w:p>
    <w:p>
      <w:pPr>
        <w:spacing w:after="0" w:line="231" w:lineRule="auto"/>
        <w:rPr>
          <w:sz w:val="20"/>
          <w:szCs w:val="20"/>
          <w:color w:val="auto"/>
        </w:rPr>
      </w:pPr>
      <w:r>
        <w:rPr>
          <w:rFonts w:ascii="Arial" w:cs="Arial" w:eastAsia="Arial" w:hAnsi="Arial"/>
          <w:sz w:val="16"/>
          <w:szCs w:val="16"/>
          <w:u w:val="single" w:color="auto"/>
          <w:color w:val="0000EE"/>
        </w:rPr>
        <w:t>Certification of CEO Pursuant to Rule 15d-14(a)</w:t>
      </w:r>
    </w:p>
    <w:p>
      <w:pPr>
        <w:spacing w:after="0" w:line="230" w:lineRule="auto"/>
        <w:rPr>
          <w:sz w:val="20"/>
          <w:szCs w:val="20"/>
          <w:color w:val="auto"/>
        </w:rPr>
      </w:pPr>
      <w:r>
        <w:rPr>
          <w:rFonts w:ascii="Arial" w:cs="Arial" w:eastAsia="Arial" w:hAnsi="Arial"/>
          <w:sz w:val="16"/>
          <w:szCs w:val="16"/>
          <w:u w:val="single" w:color="auto"/>
          <w:color w:val="0000EE"/>
        </w:rPr>
        <w:t>Certification of SVP &amp; CFO Pursuant to Rule 15d-14(a)</w:t>
      </w:r>
    </w:p>
    <w:p>
      <w:pPr>
        <w:spacing w:after="0" w:line="231" w:lineRule="auto"/>
        <w:rPr>
          <w:sz w:val="20"/>
          <w:szCs w:val="20"/>
          <w:color w:val="auto"/>
        </w:rPr>
      </w:pPr>
      <w:r>
        <w:rPr>
          <w:rFonts w:ascii="Arial" w:cs="Arial" w:eastAsia="Arial" w:hAnsi="Arial"/>
          <w:sz w:val="16"/>
          <w:szCs w:val="16"/>
          <w:u w:val="single" w:color="auto"/>
          <w:color w:val="0000EE"/>
        </w:rPr>
        <w:t>Certification of CEO Pursuant to Section 1350</w:t>
      </w:r>
    </w:p>
    <w:p>
      <w:pPr>
        <w:spacing w:after="0" w:line="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u w:val="single" w:color="auto"/>
          <w:color w:val="0000EE"/>
        </w:rPr>
        <w:t>Certification of SVP &amp; CFO Pursuant to Section 1350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7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720" w:type="dxa"/>
            <w:vAlign w:val="bottom"/>
          </w:tcPr>
          <w:p>
            <w:pPr>
              <w:jc w:val="center"/>
              <w:ind w:left="123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69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720" w:type="dxa"/>
            <w:vAlign w:val="bottom"/>
          </w:tcPr>
          <w:p>
            <w:pPr>
              <w:jc w:val="center"/>
              <w:ind w:left="125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720" w:type="dxa"/>
            <w:vAlign w:val="bottom"/>
            <w:shd w:val="clear" w:color="auto" w:fill="CCEEFF"/>
          </w:tcPr>
          <w:p>
            <w:pPr>
              <w:jc w:val="center"/>
              <w:ind w:left="125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1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 of allowance for doubtful accounts of $44 and $51,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6"/>
              </w:rPr>
              <w:t>Other assets</w:t>
            </w:r>
          </w:p>
        </w:tc>
        <w:tc>
          <w:tcPr>
            <w:tcW w:w="1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Property and equipment, net of accumulated depreciation and amortization of $12,723 and $11,993,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11,162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3"/>
                <w:szCs w:val="13"/>
                <w:color w:val="auto"/>
              </w:rPr>
            </w:pPr>
          </w:p>
        </w:tc>
        <w:tc>
          <w:tcPr>
            <w:tcW w:w="6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3"/>
                <w:szCs w:val="13"/>
                <w:color w:val="auto"/>
              </w:rPr>
            </w:pPr>
          </w:p>
        </w:tc>
        <w:tc>
          <w:tcPr>
            <w:tcW w:w="6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140"/>
              <w:spacing w:after="0"/>
              <w:rPr>
                <w:sz w:val="20"/>
                <w:szCs w:val="20"/>
                <w:color w:val="auto"/>
              </w:rPr>
            </w:pPr>
            <w:r>
              <w:rPr>
                <w:rFonts w:ascii="Arial" w:cs="Arial" w:eastAsia="Arial" w:hAnsi="Arial"/>
                <w:sz w:val="13"/>
                <w:szCs w:val="13"/>
                <w:color w:val="auto"/>
                <w:w w:val="91"/>
              </w:rPr>
              <w:t>Total assets</w:t>
            </w: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20,275</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720" w:type="dxa"/>
            <w:vAlign w:val="bottom"/>
            <w:shd w:val="clear" w:color="auto" w:fill="CCEEFF"/>
          </w:tcPr>
          <w:p>
            <w:pPr>
              <w:jc w:val="center"/>
              <w:ind w:left="125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3,268</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7,797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1,365</w:t>
            </w:r>
          </w:p>
        </w:tc>
        <w:tc>
          <w:tcPr>
            <w:tcW w:w="0" w:type="dxa"/>
            <w:vAlign w:val="bottom"/>
          </w:tcPr>
          <w:p>
            <w:pPr>
              <w:spacing w:after="0"/>
              <w:rPr>
                <w:sz w:val="1"/>
                <w:szCs w:val="1"/>
                <w:color w:val="auto"/>
              </w:rPr>
            </w:pP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56"/>
        </w:trPr>
        <w:tc>
          <w:tcPr>
            <w:tcW w:w="7700" w:type="dxa"/>
            <w:vAlign w:val="bottom"/>
            <w:gridSpan w:val="3"/>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4,894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7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7700" w:type="dxa"/>
            <w:vAlign w:val="bottom"/>
            <w:gridSpan w:val="3"/>
          </w:tcPr>
          <w:p>
            <w:pPr>
              <w:ind w:left="140"/>
              <w:spacing w:after="0"/>
              <w:rPr>
                <w:sz w:val="20"/>
                <w:szCs w:val="20"/>
                <w:color w:val="auto"/>
              </w:rPr>
            </w:pPr>
            <w:r>
              <w:rPr>
                <w:rFonts w:ascii="Arial" w:cs="Arial" w:eastAsia="Arial" w:hAnsi="Arial"/>
                <w:sz w:val="13"/>
                <w:szCs w:val="13"/>
                <w:color w:val="auto"/>
              </w:rPr>
              <w:t>Treasury stock at cost, 120,499,379 and 96,598,567 shares, respectively</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(3,725)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(2,836)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6,222</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40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3"/>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20,275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9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4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3,403</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3,441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9,949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10,080</w:t>
            </w:r>
          </w:p>
        </w:tc>
        <w:tc>
          <w:tcPr>
            <w:tcW w:w="0" w:type="dxa"/>
            <w:vAlign w:val="bottom"/>
          </w:tcPr>
          <w:p>
            <w:pPr>
              <w:spacing w:after="0"/>
              <w:rPr>
                <w:sz w:val="1"/>
                <w:szCs w:val="1"/>
                <w:color w:val="auto"/>
              </w:rPr>
            </w:pPr>
          </w:p>
        </w:tc>
      </w:tr>
      <w:tr>
        <w:trPr>
          <w:trHeight w:val="156"/>
        </w:trPr>
        <w:tc>
          <w:tcPr>
            <w:tcW w:w="69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2,143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2,181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6,269</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6,480</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365</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344</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1,061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1,040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963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2,838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2,884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8,270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8,523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1,679</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56"/>
        </w:trPr>
        <w:tc>
          <w:tcPr>
            <w:tcW w:w="69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(395)</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39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earnings (losses) of unconsolidated entities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(45)</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(33)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(432)</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1,247</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393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854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29"/>
        </w:trPr>
        <w:tc>
          <w:tcPr>
            <w:tcW w:w="69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0.54</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0.56</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1.64</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1.62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8"/>
        </w:trPr>
        <w:tc>
          <w:tcPr>
            <w:tcW w:w="6900" w:type="dxa"/>
            <w:vAlign w:val="bottom"/>
          </w:tcPr>
          <w:p>
            <w:pPr>
              <w:spacing w:after="0"/>
              <w:rPr>
                <w:sz w:val="20"/>
                <w:szCs w:val="20"/>
                <w:color w:val="auto"/>
              </w:rPr>
            </w:pPr>
            <w:r>
              <w:rPr>
                <w:rFonts w:ascii="Arial" w:cs="Arial" w:eastAsia="Arial" w:hAnsi="Arial"/>
                <w:sz w:val="13"/>
                <w:szCs w:val="13"/>
                <w:color w:val="auto"/>
                <w:w w:val="94"/>
              </w:rPr>
              <w:t>Cash dividends declared per common share (1st quarter 2006 dividend of $0.22 per share declared in December 2005, paid in</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00" w:type="dxa"/>
            <w:vAlign w:val="bottom"/>
          </w:tcPr>
          <w:p>
            <w:pPr>
              <w:ind w:left="140"/>
              <w:spacing w:after="0"/>
              <w:rPr>
                <w:sz w:val="20"/>
                <w:szCs w:val="20"/>
                <w:color w:val="auto"/>
              </w:rPr>
            </w:pPr>
            <w:r>
              <w:rPr>
                <w:rFonts w:ascii="Arial" w:cs="Arial" w:eastAsia="Arial" w:hAnsi="Arial"/>
                <w:sz w:val="13"/>
                <w:szCs w:val="13"/>
                <w:color w:val="auto"/>
              </w:rPr>
              <w:t>March 2006)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0.24</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0.22</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0.72</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51"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Deferred income tax provision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net of distributions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gain from disposal of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1,846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1,887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1,288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2,355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56"/>
        </w:trPr>
        <w:tc>
          <w:tcPr>
            <w:tcW w:w="85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(658)</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distributions paid</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 OF STOCKHOLDERS’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Restricted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w w:val="98"/>
              </w:rPr>
              <w:t>Common Stock</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Stock</w:t>
            </w:r>
          </w:p>
        </w:tc>
        <w:tc>
          <w:tcPr>
            <w:tcW w:w="1280" w:type="dxa"/>
            <w:vAlign w:val="bottom"/>
            <w:gridSpan w:val="4"/>
            <w:vMerge w:val="restart"/>
          </w:tcPr>
          <w:p>
            <w:pPr>
              <w:jc w:val="right"/>
              <w:ind w:right="340"/>
              <w:spacing w:after="0"/>
              <w:rPr>
                <w:sz w:val="20"/>
                <w:szCs w:val="20"/>
                <w:color w:val="auto"/>
              </w:rPr>
            </w:pPr>
            <w:r>
              <w:rPr>
                <w:rFonts w:ascii="Arial" w:cs="Arial" w:eastAsia="Arial" w:hAnsi="Arial"/>
                <w:sz w:val="10"/>
                <w:szCs w:val="10"/>
                <w:b w:val="1"/>
                <w:bCs w:val="1"/>
                <w:color w:val="auto"/>
              </w:rPr>
              <w:t>Treasury Stock</w:t>
            </w: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Paid-In</w:t>
            </w:r>
          </w:p>
        </w:tc>
        <w:tc>
          <w:tcPr>
            <w:tcW w:w="7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Comprehensive</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Unearned</w:t>
            </w:r>
          </w:p>
        </w:tc>
        <w:tc>
          <w:tcPr>
            <w:tcW w:w="12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720" w:type="dxa"/>
            <w:vAlign w:val="bottom"/>
            <w:tcBorders>
              <w:top w:val="single" w:sz="8" w:color="auto"/>
            </w:tcBorders>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w w:val="95"/>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Capital</w:t>
            </w:r>
          </w:p>
        </w:tc>
        <w:tc>
          <w:tcPr>
            <w:tcW w:w="700" w:type="dxa"/>
            <w:vAlign w:val="bottom"/>
            <w:gridSpan w:val="3"/>
          </w:tcPr>
          <w:p>
            <w:pPr>
              <w:jc w:val="right"/>
              <w:ind w:right="24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1080" w:type="dxa"/>
            <w:vAlign w:val="bottom"/>
            <w:gridSpan w:val="2"/>
          </w:tcPr>
          <w:p>
            <w:pPr>
              <w:jc w:val="center"/>
              <w:ind w:right="300"/>
              <w:spacing w:after="0" w:line="98" w:lineRule="exact"/>
              <w:rPr>
                <w:sz w:val="20"/>
                <w:szCs w:val="20"/>
                <w:color w:val="auto"/>
              </w:rPr>
            </w:pPr>
            <w:r>
              <w:rPr>
                <w:rFonts w:ascii="Arial" w:cs="Arial" w:eastAsia="Arial" w:hAnsi="Arial"/>
                <w:sz w:val="10"/>
                <w:szCs w:val="10"/>
                <w:b w:val="1"/>
                <w:bCs w:val="1"/>
                <w:color w:val="auto"/>
                <w:w w:val="91"/>
              </w:rPr>
              <w:t>Income (Loss)</w:t>
            </w: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2"/>
              </w:rPr>
              <w:t>Compensation</w:t>
            </w:r>
          </w:p>
        </w:tc>
        <w:tc>
          <w:tcPr>
            <w:tcW w:w="780" w:type="dxa"/>
            <w:vAlign w:val="bottom"/>
            <w:tcBorders>
              <w:top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2005</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630,282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4,486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(78,029)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 (2,110)</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1,149</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Cash dividends adjustment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transactions, net of taxes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11,483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(30,965)</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r>
        <w:trPr>
          <w:trHeight w:val="140"/>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Unrealized losses resulting from changes in fair values of derivative</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instruments, net of taxes of $7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120"/>
              <w:spacing w:after="0"/>
              <w:rPr>
                <w:sz w:val="20"/>
                <w:szCs w:val="20"/>
                <w:color w:val="auto"/>
              </w:rPr>
            </w:pPr>
            <w:r>
              <w:rPr>
                <w:rFonts w:ascii="Arial" w:cs="Arial" w:eastAsia="Arial" w:hAnsi="Arial"/>
                <w:sz w:val="12"/>
                <w:szCs w:val="12"/>
                <w:color w:val="auto"/>
                <w:w w:val="91"/>
              </w:rPr>
              <w:t>Realized losses on derivative instruments reclassified into earnings, net</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Pr>
          <w:p>
            <w:pPr>
              <w:ind w:left="240"/>
              <w:spacing w:after="0"/>
              <w:rPr>
                <w:sz w:val="20"/>
                <w:szCs w:val="20"/>
                <w:color w:val="auto"/>
              </w:rPr>
            </w:pPr>
            <w:r>
              <w:rPr>
                <w:rFonts w:ascii="Arial" w:cs="Arial" w:eastAsia="Arial" w:hAnsi="Arial"/>
                <w:sz w:val="12"/>
                <w:szCs w:val="12"/>
                <w:color w:val="auto"/>
              </w:rPr>
              <w:t>of taxes of $3</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gains on marketable securities, net of taxes of $3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Underfunded post-retirement benefit obligations, net of taxes of $3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Other</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912</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630,282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4,513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4,410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(96,599)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 (2,836)</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854</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Equity-based compensation transactions, net of taxes</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5,877</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(30,078)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40"/>
        </w:trPr>
        <w:tc>
          <w:tcPr>
            <w:tcW w:w="3620" w:type="dxa"/>
            <w:vAlign w:val="bottom"/>
          </w:tcPr>
          <w:p>
            <w:pPr>
              <w:ind w:left="120"/>
              <w:spacing w:after="0"/>
              <w:rPr>
                <w:sz w:val="20"/>
                <w:szCs w:val="20"/>
                <w:color w:val="auto"/>
              </w:rPr>
            </w:pPr>
            <w:r>
              <w:rPr>
                <w:rFonts w:ascii="Arial" w:cs="Arial" w:eastAsia="Arial" w:hAnsi="Arial"/>
                <w:sz w:val="12"/>
                <w:szCs w:val="12"/>
                <w:color w:val="auto"/>
                <w:w w:val="97"/>
              </w:rPr>
              <w:t>Unrealized losses resulting from changes in fair values of derivative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20" w:type="dxa"/>
            <w:vAlign w:val="bottom"/>
          </w:tcPr>
          <w:p>
            <w:pPr>
              <w:ind w:left="240"/>
              <w:spacing w:after="0"/>
              <w:rPr>
                <w:sz w:val="20"/>
                <w:szCs w:val="20"/>
                <w:color w:val="auto"/>
              </w:rPr>
            </w:pPr>
            <w:r>
              <w:rPr>
                <w:rFonts w:ascii="Arial" w:cs="Arial" w:eastAsia="Arial" w:hAnsi="Arial"/>
                <w:sz w:val="12"/>
                <w:szCs w:val="12"/>
                <w:color w:val="auto"/>
              </w:rPr>
              <w:t>instruments, net of taxes of $23</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Realized losses on derivative instruments reclassified into earnings, net</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of taxes of $28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Unrealized losses on marketable securities, net of taxes of $2</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2"/>
                <w:szCs w:val="12"/>
                <w:color w:val="auto"/>
              </w:rPr>
              <w:t>Balance, September 30, 2007</w:t>
            </w: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620" w:type="dxa"/>
            <w:vAlign w:val="bottom"/>
            <w:vMerge w:val="continue"/>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630,282</w:t>
            </w:r>
          </w:p>
        </w:tc>
        <w:tc>
          <w:tcPr>
            <w:tcW w:w="22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4,535</w:t>
            </w:r>
          </w:p>
        </w:tc>
        <w:tc>
          <w:tcPr>
            <w:tcW w:w="160" w:type="dxa"/>
            <w:vAlign w:val="bottom"/>
          </w:tcPr>
          <w:p>
            <w:pPr>
              <w:jc w:val="right"/>
              <w:ind w:right="51"/>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4,894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222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(120,499)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 (3,725)</w:t>
            </w: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more detail on the financial position, results of operations and cash flows of WMI, WM Holdings and their subsidiaries, see Note 13.</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Waste Management Recycle America (“WMRA”) Group. We also provide additional waste management services that are not managed through our six Groups, which are presented in this report as “Other.”</w:t>
      </w:r>
    </w:p>
    <w:p>
      <w:pPr>
        <w:spacing w:after="0" w:line="7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nine months ended September 30, 2007 and 2006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2006.</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Accounting Change </w:t>
      </w:r>
      <w:r>
        <w:rPr>
          <w:rFonts w:ascii="Arial" w:cs="Arial" w:eastAsia="Arial" w:hAnsi="Arial"/>
          <w:sz w:val="13"/>
          <w:szCs w:val="13"/>
          <w:color w:val="auto"/>
        </w:rPr>
        <w:t>— In June 2006, the Financial Accounting Standards Board (“FASB”) issued Interpretation No. 48,</w:t>
      </w:r>
      <w:r>
        <w:rPr>
          <w:rFonts w:ascii="Arial" w:cs="Arial" w:eastAsia="Arial" w:hAnsi="Arial"/>
          <w:sz w:val="13"/>
          <w:szCs w:val="13"/>
          <w:i w:val="1"/>
          <w:iCs w:val="1"/>
          <w:color w:val="auto"/>
        </w:rPr>
        <w:t xml:space="preserve"> Accounting for Uncertainty in Income Taxes (an interpretation of FASB Statement No. 109) </w:t>
      </w:r>
      <w:r>
        <w:rPr>
          <w:rFonts w:ascii="Arial" w:cs="Arial" w:eastAsia="Arial" w:hAnsi="Arial"/>
          <w:sz w:val="13"/>
          <w:szCs w:val="13"/>
          <w:color w:val="auto"/>
        </w:rPr>
        <w:t>(“FIN 48”). FIN 48 prescribes a recognition threshold and measurement attribute for financial statement recognition and measurement of tax</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positions taken or expected to be taken in tax returns. In addition, FIN 48 provides guidance on the de-recognition, classification and disclosure of tax positions, as well as the accounting for related interest and penalties.</w:t>
      </w:r>
    </w:p>
    <w:p>
      <w:pPr>
        <w:spacing w:after="0" w:line="7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As disclosed in our Form 10-Q for the quarterly period ended March 31, 2007, we adopted FIN 48 effective January 1, 2007. As a result of the implementation of FIN 48, we recognized, as a cumulative effect of change in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960"/>
        <w:spacing w:after="0" w:line="276" w:lineRule="auto"/>
        <w:rPr>
          <w:sz w:val="20"/>
          <w:szCs w:val="20"/>
          <w:color w:val="auto"/>
        </w:rPr>
      </w:pPr>
      <w:r>
        <w:rPr>
          <w:rFonts w:ascii="Arial" w:cs="Arial" w:eastAsia="Arial" w:hAnsi="Arial"/>
          <w:sz w:val="13"/>
          <w:szCs w:val="13"/>
          <w:color w:val="auto"/>
        </w:rPr>
        <w:t>accounting principle, a $121 million increase in our liability for unrecognized tax benefits, a $36 million increase in our non-current deferred tax assets and an $85 million reduction to our beginning retained earnings.</w:t>
      </w: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 xml:space="preserve">On May 2, 2007, after our first quarter 2007 Form 10-Q was filed, the FASB issued FASB Staff Position (“FSP”) No. FIN 48-1, </w:t>
      </w:r>
      <w:r>
        <w:rPr>
          <w:rFonts w:ascii="Arial" w:cs="Arial" w:eastAsia="Arial" w:hAnsi="Arial"/>
          <w:sz w:val="13"/>
          <w:szCs w:val="13"/>
          <w:i w:val="1"/>
          <w:iCs w:val="1"/>
          <w:color w:val="auto"/>
        </w:rPr>
        <w:t>Definition of</w:t>
      </w:r>
      <w:r>
        <w:rPr>
          <w:rFonts w:ascii="Arial" w:cs="Arial" w:eastAsia="Arial" w:hAnsi="Arial"/>
          <w:sz w:val="13"/>
          <w:szCs w:val="13"/>
          <w:color w:val="auto"/>
        </w:rPr>
        <w:t xml:space="preserve"> Settlement </w:t>
      </w:r>
      <w:r>
        <w:rPr>
          <w:rFonts w:ascii="Arial" w:cs="Arial" w:eastAsia="Arial" w:hAnsi="Arial"/>
          <w:sz w:val="13"/>
          <w:szCs w:val="13"/>
          <w:i w:val="1"/>
          <w:iCs w:val="1"/>
          <w:color w:val="auto"/>
        </w:rPr>
        <w:t>in FASB Interpretation</w:t>
      </w:r>
    </w:p>
    <w:p>
      <w:pPr>
        <w:spacing w:after="0" w:line="15" w:lineRule="exact"/>
        <w:rPr>
          <w:sz w:val="20"/>
          <w:szCs w:val="20"/>
          <w:color w:val="auto"/>
        </w:rPr>
      </w:pPr>
    </w:p>
    <w:p>
      <w:pPr>
        <w:jc w:val="both"/>
        <w:ind w:left="680" w:right="840"/>
        <w:spacing w:after="0" w:line="258" w:lineRule="auto"/>
        <w:rPr>
          <w:sz w:val="20"/>
          <w:szCs w:val="20"/>
          <w:color w:val="auto"/>
        </w:rPr>
      </w:pPr>
      <w:r>
        <w:rPr>
          <w:rFonts w:ascii="Arial" w:cs="Arial" w:eastAsia="Arial" w:hAnsi="Arial"/>
          <w:sz w:val="13"/>
          <w:szCs w:val="13"/>
          <w:i w:val="1"/>
          <w:iCs w:val="1"/>
          <w:color w:val="auto"/>
        </w:rPr>
        <w:t xml:space="preserve">No. 48 </w:t>
      </w:r>
      <w:r>
        <w:rPr>
          <w:rFonts w:ascii="Arial" w:cs="Arial" w:eastAsia="Arial" w:hAnsi="Arial"/>
          <w:sz w:val="13"/>
          <w:szCs w:val="13"/>
          <w:color w:val="auto"/>
        </w:rPr>
        <w:t>(“FSP No. 48-1”), to provide guidance associated with the criteria that must be evaluated in determining if a tax position has been effectively settled and should be recognized as a tax</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Companies that did not initially apply FIN 48 in a manner consistent with provisions of FSP No. 48-1 were required to retrospectively apply the provisions of the FSP as of the date of initial adoption of FIN 48.</w:t>
      </w:r>
    </w:p>
    <w:p>
      <w:pPr>
        <w:spacing w:after="0" w:line="71" w:lineRule="exact"/>
        <w:rPr>
          <w:sz w:val="20"/>
          <w:szCs w:val="20"/>
          <w:color w:val="auto"/>
        </w:rPr>
      </w:pPr>
    </w:p>
    <w:p>
      <w:pPr>
        <w:ind w:left="680" w:right="800" w:firstLine="399"/>
        <w:spacing w:after="0" w:line="257" w:lineRule="auto"/>
        <w:rPr>
          <w:sz w:val="20"/>
          <w:szCs w:val="20"/>
          <w:color w:val="auto"/>
        </w:rPr>
      </w:pPr>
      <w:r>
        <w:rPr>
          <w:rFonts w:ascii="Arial" w:cs="Arial" w:eastAsia="Arial" w:hAnsi="Arial"/>
          <w:sz w:val="13"/>
          <w:szCs w:val="13"/>
          <w:color w:val="auto"/>
        </w:rPr>
        <w:t>The additional guidance provided by FSP No. 48-1 significantly changed the impact of our implementation of FIN 48. Generally, this is because our initial implementation resulted in the re-establishment of liabilities for tax positions that did not meet the ultimate settlement guidelines initially established by FIN 48 because the applicable statutes of limitations had not expired. We believe these tax positions were effectively settled as of January 1, 2007 under the provisions of FSP No. 48-1 largely because they were covered by settlements with the relevant taxing authorities. Accordingly, we made a retrospective adjustment to our January 1, 2007 balance sheet to incorporate the effects of FSP No. 48-1. Our revised cumulative effect of change in accounting principle is a $28 million increase in our liabilities for unrecognized tax benefits, a $32 million increase in our non-current deferred tax assets and a $4 million increase in our beginning retained earnings.</w:t>
      </w:r>
    </w:p>
    <w:p>
      <w:pPr>
        <w:spacing w:after="0" w:line="72" w:lineRule="exact"/>
        <w:rPr>
          <w:sz w:val="20"/>
          <w:szCs w:val="20"/>
          <w:color w:val="auto"/>
        </w:rPr>
      </w:pPr>
    </w:p>
    <w:p>
      <w:pPr>
        <w:ind w:left="680" w:right="1100" w:firstLine="399"/>
        <w:spacing w:after="0" w:line="260" w:lineRule="auto"/>
        <w:rPr>
          <w:sz w:val="20"/>
          <w:szCs w:val="20"/>
          <w:color w:val="auto"/>
        </w:rPr>
      </w:pPr>
      <w:r>
        <w:rPr>
          <w:rFonts w:ascii="Arial" w:cs="Arial" w:eastAsia="Arial" w:hAnsi="Arial"/>
          <w:sz w:val="13"/>
          <w:szCs w:val="13"/>
          <w:color w:val="auto"/>
        </w:rPr>
        <w:t>In addition, during the first quarter of 2007, we reached a tax audit settlement, which, in accordance with the provisions of FIN 48 prior to the issuance of FSP No. 48-1, was not recognized in our Condensed Consolidated Statement of Operations as the applicable statutes of limitations had not expired. Applying FSP No. 48-1 retrospectively to January 1, 2007 resulted in the previously unrecognized tax benefit associated with this tax audit settlement being reflected as a reduction to our “Provision for income taxes,” increasing our previously reported “Net income” for the three months ended March 31, 2007 by $16 million, or $0.03 per diluted share.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5 for additional information about our unrecognized tax benefits.</w:t>
      </w:r>
    </w:p>
    <w:p>
      <w:pPr>
        <w:spacing w:after="0" w:line="96"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i w:val="1"/>
          <w:iCs w:val="1"/>
          <w:color w:val="auto"/>
        </w:rPr>
        <w:t xml:space="preserve">Reclassification of Cash Flow Information </w:t>
      </w:r>
      <w:r>
        <w:rPr>
          <w:rFonts w:ascii="Arial" w:cs="Arial" w:eastAsia="Arial" w:hAnsi="Arial"/>
          <w:sz w:val="13"/>
          <w:szCs w:val="13"/>
          <w:color w:val="auto"/>
        </w:rPr>
        <w:t>— Our 2006 Consolidated Statement of Cash Flows, as reported in the 2006 Annual Report on Form 10-K, included the effect of a 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classification of cash flows to exclude accrued capital spending from our reported capital expenditures and changes in accounts payable and accrued liabilities. Because this change was incorporated into our cash flow reporting processes for the first time in the fourth quarter of 2006, we have made reclassifications to our interim 2006 Condensed Consolidated Statements of Cash Flows included within our 2007 Quarterly Reports on Form 10-Q to conform with our current approach.</w:t>
      </w:r>
    </w:p>
    <w:p>
      <w:pPr>
        <w:spacing w:after="0" w:line="70" w:lineRule="exact"/>
        <w:rPr>
          <w:sz w:val="20"/>
          <w:szCs w:val="20"/>
          <w:color w:val="auto"/>
        </w:rPr>
      </w:pPr>
    </w:p>
    <w:p>
      <w:pPr>
        <w:ind w:left="680" w:right="1060" w:firstLine="399"/>
        <w:spacing w:after="0" w:line="260" w:lineRule="auto"/>
        <w:rPr>
          <w:sz w:val="20"/>
          <w:szCs w:val="20"/>
          <w:color w:val="auto"/>
        </w:rPr>
      </w:pPr>
      <w:r>
        <w:rPr>
          <w:rFonts w:ascii="Arial" w:cs="Arial" w:eastAsia="Arial" w:hAnsi="Arial"/>
          <w:sz w:val="13"/>
          <w:szCs w:val="13"/>
          <w:i w:val="1"/>
          <w:iCs w:val="1"/>
          <w:color w:val="auto"/>
        </w:rPr>
        <w:t xml:space="preserve">Reclassification of Segment Information </w:t>
      </w:r>
      <w:r>
        <w:rPr>
          <w:rFonts w:ascii="Arial" w:cs="Arial" w:eastAsia="Arial" w:hAnsi="Arial"/>
          <w:sz w:val="13"/>
          <w:szCs w:val="13"/>
          <w:color w:val="auto"/>
        </w:rPr>
        <w:t>— In the first quarter of 2007, we realigned our Eastern, Midwest and Western Group organizations to facilitate improved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 Refer to Note 11 for further discussion about our reportable segments.</w:t>
      </w:r>
    </w:p>
    <w:p>
      <w:pPr>
        <w:spacing w:after="0" w:line="14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2"/>
              </w:rPr>
              <w:t>September 30, 2007</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2006</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Landfill</w:t>
            </w:r>
          </w:p>
        </w:tc>
        <w:tc>
          <w:tcPr>
            <w:tcW w:w="80" w:type="dxa"/>
            <w:vAlign w:val="bottom"/>
          </w:tcPr>
          <w:p>
            <w:pPr>
              <w:spacing w:after="0"/>
              <w:rPr>
                <w:sz w:val="7"/>
                <w:szCs w:val="7"/>
                <w:color w:val="auto"/>
              </w:rPr>
            </w:pPr>
          </w:p>
        </w:tc>
        <w:tc>
          <w:tcPr>
            <w:tcW w:w="142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1180" w:type="dxa"/>
            <w:vAlign w:val="bottom"/>
            <w:gridSpan w:val="2"/>
            <w:vMerge w:val="restart"/>
          </w:tcPr>
          <w:p>
            <w:pPr>
              <w:jc w:val="right"/>
              <w:ind w:right="92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4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1,088</w:t>
            </w:r>
          </w:p>
        </w:tc>
        <w:tc>
          <w:tcPr>
            <w:tcW w:w="8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3"/>
                <w:szCs w:val="13"/>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rPr>
              <w:t>1,317</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1,468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261"/>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2006 and the nine months ended September 30, 2007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September 30,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$230 million at September 30, 2007, and is primarily included as long-term “Other assets” in our Condensed Consolidated Balance Sheet. Balances maintained in these trust funds and escrow accounts will fluctuate based on (i) 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130"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Current Other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components of current “Other assets” as of September 30, 2007 and December 31, 2006 were as follows:</w:t>
      </w:r>
    </w:p>
    <w:p>
      <w:pPr>
        <w:spacing w:after="0" w:line="96" w:lineRule="exact"/>
        <w:rPr>
          <w:sz w:val="20"/>
          <w:szCs w:val="20"/>
          <w:color w:val="auto"/>
        </w:rPr>
      </w:pPr>
    </w:p>
    <w:p>
      <w:pPr>
        <w:ind w:left="1080" w:right="20" w:firstLine="383"/>
        <w:spacing w:after="0" w:line="282" w:lineRule="auto"/>
        <w:rPr>
          <w:sz w:val="20"/>
          <w:szCs w:val="20"/>
          <w:color w:val="auto"/>
        </w:rPr>
      </w:pPr>
      <w:r>
        <w:rPr>
          <w:rFonts w:ascii="Arial" w:cs="Arial" w:eastAsia="Arial" w:hAnsi="Arial"/>
          <w:sz w:val="12"/>
          <w:szCs w:val="12"/>
          <w:i w:val="1"/>
          <w:iCs w:val="1"/>
          <w:color w:val="auto"/>
        </w:rPr>
        <w:t xml:space="preserve">Short-term investments available for use </w:t>
      </w:r>
      <w:r>
        <w:rPr>
          <w:rFonts w:ascii="Arial" w:cs="Arial" w:eastAsia="Arial" w:hAnsi="Arial"/>
          <w:sz w:val="12"/>
          <w:szCs w:val="12"/>
          <w:color w:val="auto"/>
        </w:rPr>
        <w:t>— We invest in auction rate securities and variable rate demand notes, which are debt instruments with long-term scheduled</w:t>
      </w:r>
      <w:r>
        <w:rPr>
          <w:rFonts w:ascii="Arial" w:cs="Arial" w:eastAsia="Arial" w:hAnsi="Arial"/>
          <w:sz w:val="12"/>
          <w:szCs w:val="12"/>
          <w:i w:val="1"/>
          <w:iCs w:val="1"/>
          <w:color w:val="auto"/>
        </w:rPr>
        <w:t xml:space="preserve"> </w:t>
      </w:r>
      <w:r>
        <w:rPr>
          <w:rFonts w:ascii="Arial" w:cs="Arial" w:eastAsia="Arial" w:hAnsi="Arial"/>
          <w:sz w:val="12"/>
          <w:szCs w:val="12"/>
          <w:color w:val="auto"/>
        </w:rPr>
        <w:t>maturities and periodic interest rate reset dates. The interest rate reset mechanism for these instruments results in periodic remarketing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September 30, 2007 and December 31, 2006, $117 million and $184 million, respectively, of investments in auction rates securities and variable rate demand notes have been included as a component of current “Other assets.” Gross purchases and sales of these investments are presented within “Cash flows from investing activities” in our Condensed Consolidated Statements of Cash Flows.</w:t>
      </w:r>
    </w:p>
    <w:p>
      <w:pPr>
        <w:spacing w:after="0" w:line="59" w:lineRule="exact"/>
        <w:rPr>
          <w:sz w:val="20"/>
          <w:szCs w:val="20"/>
          <w:color w:val="auto"/>
        </w:rPr>
      </w:pPr>
    </w:p>
    <w:p>
      <w:pPr>
        <w:ind w:left="1080" w:right="80" w:firstLine="383"/>
        <w:spacing w:after="0" w:line="296" w:lineRule="auto"/>
        <w:rPr>
          <w:sz w:val="20"/>
          <w:szCs w:val="20"/>
          <w:color w:val="auto"/>
        </w:rPr>
      </w:pPr>
      <w:r>
        <w:rPr>
          <w:rFonts w:ascii="Arial" w:cs="Arial" w:eastAsia="Arial" w:hAnsi="Arial"/>
          <w:sz w:val="12"/>
          <w:szCs w:val="12"/>
          <w:i w:val="1"/>
          <w:iCs w:val="1"/>
          <w:color w:val="auto"/>
        </w:rPr>
        <w:t xml:space="preserve">Assets held for sale </w:t>
      </w:r>
      <w:r>
        <w:rPr>
          <w:rFonts w:ascii="Arial" w:cs="Arial" w:eastAsia="Arial" w:hAnsi="Arial"/>
          <w:sz w:val="12"/>
          <w:szCs w:val="12"/>
          <w:color w:val="auto"/>
        </w:rPr>
        <w:t>— As of September 30, 2007 and December 31, 2006, our current “Other assets” included $29 million and $250 million, respectively, of operations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property held for sale. Held-for-sale assets are recorded at the lower of their carrying amount or their fair value less the estimated cost to sell. The decrease in our assets held-for-sale during 2007 is primarily due to the divestiture of operations in our Eastern, Western and Southern Groups. Refer to Note 12 for additional information.</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right="100" w:firstLine="383"/>
        <w:spacing w:after="0" w:line="264" w:lineRule="auto"/>
        <w:rPr>
          <w:sz w:val="20"/>
          <w:szCs w:val="20"/>
          <w:color w:val="auto"/>
        </w:rPr>
      </w:pPr>
      <w:r>
        <w:rPr>
          <w:rFonts w:ascii="Arial" w:cs="Arial" w:eastAsia="Arial" w:hAnsi="Arial"/>
          <w:sz w:val="13"/>
          <w:szCs w:val="13"/>
          <w:color w:val="auto"/>
        </w:rPr>
        <w:t>Our quarterly assessment of held-for-sale operations includes an analysis to determine if they qualify for discontinued operations accounting. Discontinued operations are not expected to be material to our results of operations or cash flows due to the current integration and anticipated continuing involvement of these businesses with our remaining operations.</w:t>
      </w:r>
    </w:p>
    <w:p>
      <w:pPr>
        <w:spacing w:after="0" w:line="67" w:lineRule="exact"/>
        <w:rPr>
          <w:sz w:val="20"/>
          <w:szCs w:val="20"/>
          <w:color w:val="auto"/>
        </w:rPr>
      </w:pPr>
    </w:p>
    <w:p>
      <w:pPr>
        <w:ind w:left="1080" w:right="20" w:firstLine="383"/>
        <w:spacing w:after="0" w:line="264" w:lineRule="auto"/>
        <w:rPr>
          <w:sz w:val="20"/>
          <w:szCs w:val="20"/>
          <w:color w:val="auto"/>
        </w:rPr>
      </w:pPr>
      <w:r>
        <w:rPr>
          <w:rFonts w:ascii="Arial" w:cs="Arial" w:eastAsia="Arial" w:hAnsi="Arial"/>
          <w:sz w:val="13"/>
          <w:szCs w:val="13"/>
          <w:i w:val="1"/>
          <w:iCs w:val="1"/>
          <w:color w:val="auto"/>
        </w:rPr>
        <w:t xml:space="preserve">Prepaid expenses and other current assets </w:t>
      </w:r>
      <w:r>
        <w:rPr>
          <w:rFonts w:ascii="Arial" w:cs="Arial" w:eastAsia="Arial" w:hAnsi="Arial"/>
          <w:sz w:val="13"/>
          <w:szCs w:val="13"/>
          <w:color w:val="auto"/>
        </w:rPr>
        <w:t>— As of September 30, 2007 and December 31, 2006, our current “Other assets” included prepaid expenses and other current assets</w:t>
      </w:r>
      <w:r>
        <w:rPr>
          <w:rFonts w:ascii="Arial" w:cs="Arial" w:eastAsia="Arial" w:hAnsi="Arial"/>
          <w:sz w:val="13"/>
          <w:szCs w:val="13"/>
          <w:i w:val="1"/>
          <w:iCs w:val="1"/>
          <w:color w:val="auto"/>
        </w:rPr>
        <w:t xml:space="preserve"> </w:t>
      </w:r>
      <w:r>
        <w:rPr>
          <w:rFonts w:ascii="Arial" w:cs="Arial" w:eastAsia="Arial" w:hAnsi="Arial"/>
          <w:sz w:val="13"/>
          <w:szCs w:val="13"/>
          <w:color w:val="auto"/>
        </w:rPr>
        <w:t>of $106 million and $93 million, respectively. These assets support our ongoing operations and generally include, among other things, prepaid insurance, licenses, permits, landfill disposal costs and rents.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Debt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The following table summarizes the major components of debt at each balance sheet date (in millions):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and letter of credit facilities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Canadian credit facility (weighted average interest rate of 5.3% at September 30, 2007 and 4.8% at December 31, 2006)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r>
      <w:tr>
        <w:trPr>
          <w:trHeight w:val="148"/>
        </w:trPr>
        <w:tc>
          <w:tcPr>
            <w:tcW w:w="75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4"/>
              </w:rPr>
              <w:t>Senior notes and debentures, maturing through 2032, interest rates ranging from 5.00% to 8.75% (weighted average interest rate of 7.0%</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September 30, 2007 and December 31, 2006)</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4,845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4,829</w:t>
            </w:r>
          </w:p>
        </w:tc>
      </w:tr>
      <w:tr>
        <w:trPr>
          <w:trHeight w:val="148"/>
        </w:trPr>
        <w:tc>
          <w:tcPr>
            <w:tcW w:w="7500" w:type="dxa"/>
            <w:vAlign w:val="bottom"/>
            <w:gridSpan w:val="2"/>
          </w:tcPr>
          <w:p>
            <w:pPr>
              <w:spacing w:after="0" w:line="149" w:lineRule="exact"/>
              <w:rPr>
                <w:sz w:val="20"/>
                <w:szCs w:val="20"/>
                <w:color w:val="auto"/>
              </w:rPr>
            </w:pPr>
            <w:r>
              <w:rPr>
                <w:rFonts w:ascii="Arial" w:cs="Arial" w:eastAsia="Arial" w:hAnsi="Arial"/>
                <w:sz w:val="13"/>
                <w:szCs w:val="13"/>
                <w:color w:val="auto"/>
                <w:w w:val="95"/>
              </w:rPr>
              <w:t>Tax-exempt bonds maturing through 2039, fixed and variable interest rates ranging from 2.9% to 7.4% (weighted average interest rate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4.5% at September 30, 2007 and December 31, 2006)</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2,488</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2,440</w:t>
            </w:r>
          </w:p>
        </w:tc>
      </w:tr>
      <w:tr>
        <w:trPr>
          <w:trHeight w:val="149"/>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Tax-exempt project bonds, principal payable in periodic installments, maturing through 2027, fixed and variable interest rates ranging</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from 3.9% to 9.3% (weighted average interest rate of 5.3% at September 30, 2007 and 5.4% at December 31, 2006)</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Capital leases and other, maturing through 2036, interest rates up to 12%</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8,317</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Less current portion</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changes in our debt balances from December 31, 2006 related to the following:</w:t>
      </w:r>
    </w:p>
    <w:p>
      <w:pPr>
        <w:spacing w:after="0" w:line="96" w:lineRule="exact"/>
        <w:rPr>
          <w:sz w:val="20"/>
          <w:szCs w:val="20"/>
          <w:color w:val="auto"/>
        </w:rPr>
      </w:pPr>
    </w:p>
    <w:p>
      <w:pPr>
        <w:ind w:left="1280" w:right="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Approximately $66 million of advances matured and were repaid with available cash. The decrease in the carrying value of this obligation due to debt</w:t>
      </w:r>
      <w:r>
        <w:rPr>
          <w:rFonts w:ascii="Arial" w:cs="Arial" w:eastAsia="Arial" w:hAnsi="Arial"/>
          <w:sz w:val="13"/>
          <w:szCs w:val="13"/>
          <w:i w:val="1"/>
          <w:iCs w:val="1"/>
          <w:color w:val="auto"/>
        </w:rPr>
        <w:t xml:space="preserve"> </w:t>
      </w:r>
      <w:r>
        <w:rPr>
          <w:rFonts w:ascii="Arial" w:cs="Arial" w:eastAsia="Arial" w:hAnsi="Arial"/>
          <w:sz w:val="13"/>
          <w:szCs w:val="13"/>
          <w:color w:val="auto"/>
        </w:rPr>
        <w:t>repayments was largely offset by increases in its carrying value due to currency translation adjustments and interest accretion.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Fair value hedge accounting for interest rate swap contracts resulted in a $15 million increase in the carrying value of our senior notes.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Tax-exempt bonds </w:t>
      </w:r>
      <w:r>
        <w:rPr>
          <w:rFonts w:ascii="Arial" w:cs="Arial" w:eastAsia="Arial" w:hAnsi="Arial"/>
          <w:sz w:val="12"/>
          <w:szCs w:val="12"/>
          <w:color w:val="auto"/>
        </w:rPr>
        <w:t>— Approximately $52 million of outstanding bonds were repaid with available cash in accordance with the bonds’ scheduled maturities. We issued</w:t>
      </w:r>
    </w:p>
    <w:p>
      <w:pPr>
        <w:spacing w:after="0" w:line="26" w:lineRule="exact"/>
        <w:rPr>
          <w:rFonts w:ascii="Arial" w:cs="Arial" w:eastAsia="Arial" w:hAnsi="Arial"/>
          <w:sz w:val="12"/>
          <w:szCs w:val="12"/>
          <w:color w:val="auto"/>
        </w:rPr>
      </w:pPr>
    </w:p>
    <w:p>
      <w:pPr>
        <w:ind w:left="1280"/>
        <w:spacing w:after="0" w:line="258" w:lineRule="auto"/>
        <w:rPr>
          <w:rFonts w:ascii="Arial" w:cs="Arial" w:eastAsia="Arial" w:hAnsi="Arial"/>
          <w:sz w:val="12"/>
          <w:szCs w:val="12"/>
          <w:color w:val="auto"/>
        </w:rPr>
      </w:pPr>
      <w:r>
        <w:rPr>
          <w:rFonts w:ascii="Arial" w:cs="Arial" w:eastAsia="Arial" w:hAnsi="Arial"/>
          <w:sz w:val="13"/>
          <w:szCs w:val="13"/>
          <w:color w:val="auto"/>
        </w:rPr>
        <w:t>$100 million of tax-exempt bonds during the nine months ended September 30, 2007. The proceeds from the issuance of the bonds were deposited directly into a trust fund and may only be used for the specific purpose for which the money was raised, which is generally the construction of collection and disposal facilities and for the equipment necessary to</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280" w:right="340"/>
        <w:spacing w:after="0" w:line="276" w:lineRule="auto"/>
        <w:rPr>
          <w:sz w:val="20"/>
          <w:szCs w:val="20"/>
          <w:color w:val="auto"/>
        </w:rPr>
      </w:pPr>
      <w:r>
        <w:rPr>
          <w:rFonts w:ascii="Arial" w:cs="Arial" w:eastAsia="Arial" w:hAnsi="Arial"/>
          <w:sz w:val="13"/>
          <w:szCs w:val="13"/>
          <w:color w:val="auto"/>
        </w:rPr>
        <w:t>provide waste management services. Accordingly, the restricted funds provided by these financing activities have not been included in “New borrowings” in our Condensed Consolidated Statement of Cash Flows.</w:t>
      </w:r>
    </w:p>
    <w:p>
      <w:pPr>
        <w:spacing w:after="0" w:line="5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Approximately $26 million of outstanding bonds were repaid with available cash in accordance with the bonds’ scheduled maturities.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Approximately $75 million of our capital lease and other obligations were repaid with cash.</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As of September 30, 2007, the components of the current portion of our debt included $300 million of 7.125% senior notes that matured and were repaid with available cash on October 1, 2007; $79 million of capital leases and other debt; $62 million of tax-exempt debt; and $40 million of advances outstanding under our Canadian credit facility. The significant decline in the current portion of our debt from December 31, 2006 is largely due to our classification of $262 million of the borrowings under the Canadian credit facility as long-term as of September 30, 2007. As of September 30, 2007, all of our outstanding advances under the Canadian credit facility mature in less than one year. We expect to repay $40 million of the outstanding advances with available cash within one year and renew the remaining borrowings under the terms of the facility, which matures in November 2008. As of December 31, 2006, we had classified all borrowings under the Canadian credit facility as current liabilities based on our expectation, at that time, that we would repay the borrowings within one year with available cash.</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revolving credit facility and certain other financing agreements contain financial covenants. The most restrictive of these financial covenants are contained in our revolving credit facility. 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September 30, 2007, we were in compliance with the covenants and restrictions under all of our debt agreements.</w:t>
      </w:r>
    </w:p>
    <w:p>
      <w:pPr>
        <w:spacing w:after="0" w:line="144"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The Company is subject to income tax in the United States, Canada and Puerto Rico. Current tax obligations associated with our provision for income taxes are reflected in the accompanying Condensed Consolidated Balance Sheets as a component of “Accrued liabilities,” and the deferred tax obligations are reflected in “Deferred income taxes.” To the extent interest and penalties may be assessed by taxing authorities on any underpayment of income tax, such amounts have been accrued and are classified as a component of income tax expense in our Condensed Consolidated Statements of Operations. We elected this accounting policy, which is a continuation of our historical policy, in connection with our adoption of FIN 48.</w:t>
      </w:r>
    </w:p>
    <w:p>
      <w:pPr>
        <w:spacing w:after="0" w:line="3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As discussed in Note 1, we adopted FIN 48 and have retrospectively applied FSP No. 48-1 effective January 1, 2007. As a result of both of these adoptions, we recognized, as a cumulative effect of change in accounting principle, a $28 million increase in our liabilities for unrecognized tax benefits, a $32 million increase in our non-current deferred tax assets and a $4 million increase in our beginning retained earnings. Upon adoption of FIN 48 and the retrospective application of the provisions of FSP No. 48-1, our income tax liabilities included a total of $101 million for unrecognized tax benefits and $16 million of related accrued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do not have any accrued liabilities for penalties related to unrecognized tax benefits.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three and nine months ended September 30, 2007, we reached audit settlements on various federal and state tax matters that resulted in the effective settlement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$3 million and $30 million, respectively, of previously unrecognized tax benefits. The recognition of these previously unrecognized tax benefits reduced our “Provision for income taxes” and increased our “Net income.” All of our unrecognized tax benefits, if recognized in future periods, would impact our effective tax rate.</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is currently under federal audit by the Internal Revenue Service for the tax years 2006 and 2007, as well as by several state and local jurisdictions dating back to 1999. In addition, several of the Company’s subsidiaries are open to examination in Canada dating back to 2002. We anticipate that approximately $6 million of liabilities for unrecognized tax benefits, including accrued interest, and $2 million of related deferred tax assets may be reversed within the next twelve months.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2007 Effective Tax Rate</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estimated recurring effective tax rate as of September 30, 2007 is 35.9%, a 1.9 percentage point increase in our estimated recurring effective tax rate from June 30, 2007. This increase resulted in additional “Provision for income taxes” and a reduction in our “Net income” of $24 million, or $0.05 per diluted share, for the three and nine months ended September 30, 2007.</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months ended September 30, 2007 is primarily due to the impacts of state and local income taxes, which were offset in part by the favorable impacts of the finalization of our 2006 tax returns and tax audit settlements. These items have also affected our reported income taxes for the nine months ended September 30, 2007. In addition, our year-to-date reported income taxes have been favorably affected by non-conventional fuel tax credits and the revaluation of our deferred tax balances for scheduled tax rate reductions in Canada and an increase in state tax credits. The most significant items affecting our provision for income taxes in 2007 are discussed in more detail below.</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The impact of non-conventional fuel tax credits on our effective tax rate is derived from our investments in two coal-based, synthetic fuel</w:t>
      </w:r>
      <w:r>
        <w:rPr>
          <w:rFonts w:ascii="Arial" w:cs="Arial" w:eastAsia="Arial" w:hAnsi="Arial"/>
          <w:sz w:val="13"/>
          <w:szCs w:val="13"/>
          <w:i w:val="1"/>
          <w:iCs w:val="1"/>
          <w:color w:val="auto"/>
        </w:rPr>
        <w:t xml:space="preserve"> </w:t>
      </w:r>
      <w:r>
        <w:rPr>
          <w:rFonts w:ascii="Arial" w:cs="Arial" w:eastAsia="Arial" w:hAnsi="Arial"/>
          <w:sz w:val="13"/>
          <w:szCs w:val="13"/>
          <w:color w:val="auto"/>
        </w:rPr>
        <w:t>production facilities (the “Facilities”) and landfill gas-to-energy projects. The fuel generated from the Facilities and our landfill gas-to-energy projects qualifies for tax credits through 2007 pursuant to Section 45K of the Internal Revenue Code. Each year, these tax credits are phased-out if the price of crude oil exceeds an annual average price threshold determined by the Internal Revenue Service. As of September 30, 2007, we estimate that 52% of Section 45K tax credits generated during 2007 will be phased out. As of June 30, 2007, we had estimated that 29% of Section 45K tax credits generated during 2007 would be phased out.</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minority ownership interests in the Facilities result in the recognition of our pro-rata share of the Facilities’ losses, the amortization of our investments and additional expense associated with other estimated obligations all being recorded as “Equity in net losses of unconsolidated entities” within our Condensed Consolidated Statements of Operations. We are required to pay for tax credits based on the Facilities’ production, regardless of whether or not a phase-out of the tax credits is anticipated. Amounts paid to the Facilities’ for which we do not ultimately realize a tax benefit are refundable to us, subject to certain limitations.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impact of our investments in the Facilities on our Condensed Consolidated Statements of Operations for the three- and nine month periods ended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2007 (in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Three-Month</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8"/>
              </w:rPr>
              <w:t>Nine-Month</w:t>
            </w:r>
          </w:p>
        </w:tc>
      </w:t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20" w:type="dxa"/>
            <w:vAlign w:val="bottom"/>
          </w:tcPr>
          <w:p>
            <w:pPr>
              <w:jc w:val="right"/>
              <w:ind w:right="121"/>
              <w:spacing w:after="0"/>
              <w:rPr>
                <w:sz w:val="20"/>
                <w:szCs w:val="20"/>
                <w:color w:val="auto"/>
              </w:rPr>
            </w:pPr>
            <w:r>
              <w:rPr>
                <w:rFonts w:ascii="Arial" w:cs="Arial" w:eastAsia="Arial" w:hAnsi="Arial"/>
                <w:sz w:val="10"/>
                <w:szCs w:val="10"/>
                <w:b w:val="1"/>
                <w:bCs w:val="1"/>
                <w:color w:val="auto"/>
              </w:rPr>
              <w:t>Period</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Period</w:t>
            </w:r>
          </w:p>
        </w:tc>
      </w:tr>
      <w:tr>
        <w:trPr>
          <w:trHeight w:val="29"/>
        </w:trPr>
        <w:tc>
          <w:tcPr>
            <w:tcW w:w="1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w:t>
            </w: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82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8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taxes(b)</w:t>
            </w:r>
          </w:p>
        </w:tc>
        <w:tc>
          <w:tcPr>
            <w:tcW w:w="82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r>
      <w:tr>
        <w:trPr>
          <w:trHeight w:val="108"/>
        </w:trPr>
        <w:tc>
          <w:tcPr>
            <w:tcW w:w="130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120" w:hanging="313"/>
        <w:spacing w:after="0" w:line="276"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 a result of the current quarter change in the estimated phase-out for 2007 Section 45K tax credits, we recognized a $15 million reduction in “Equity in net losses of unconsolidated entities” during the three months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00" w:right="140"/>
        <w:spacing w:after="0" w:line="276" w:lineRule="auto"/>
        <w:rPr>
          <w:sz w:val="20"/>
          <w:szCs w:val="20"/>
          <w:color w:val="auto"/>
        </w:rPr>
      </w:pPr>
      <w:r>
        <w:rPr>
          <w:rFonts w:ascii="Arial" w:cs="Arial" w:eastAsia="Arial" w:hAnsi="Arial"/>
          <w:sz w:val="13"/>
          <w:szCs w:val="13"/>
          <w:color w:val="auto"/>
        </w:rPr>
        <w:t>ended September 30, 2007 associated with the Facilities’ operations during the first and second quarters of 2007. This decrease in our equity losses fully offsets $15 million of equity losses recognized during the third quarter of 2007 for current period production expenses.</w:t>
      </w:r>
    </w:p>
    <w:p>
      <w:pPr>
        <w:spacing w:after="0" w:line="10" w:lineRule="exact"/>
        <w:rPr>
          <w:sz w:val="20"/>
          <w:szCs w:val="20"/>
          <w:color w:val="auto"/>
        </w:rPr>
      </w:pPr>
    </w:p>
    <w:p>
      <w:pPr>
        <w:ind w:left="1000" w:right="300" w:hanging="313"/>
        <w:spacing w:after="0" w:line="264"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benefit from income taxes attributable to the Facilities includes tax credits of $44 million for the nine months ended September 30, 2007. For the three months ended September 30, 2007, our “Provision for (benefit from) income taxes” included the reversal of approximately $13 million of the tax credits recognized during the first half of 2007, which was necessary as a result of the current quarter change in our estimate of Section 45K tax credits that would be subject to phase-out.</w:t>
      </w:r>
    </w:p>
    <w:p>
      <w:pPr>
        <w:spacing w:after="0" w:line="67"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tax credits generated by our landfills are provided by our Renewable Energy Program, under which we develop, operate and promote the beneficial use of landfill gas. Our recorded taxes for the nine months ended September 30, 2007 include a benefit of $14 million from tax credits generated by our landfill gas-to-energy projects.</w:t>
      </w:r>
    </w:p>
    <w:p>
      <w:pPr>
        <w:spacing w:after="0" w:line="35"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developed our expectations for the phase-out of 52% of Section 45K credits using market information for current and forward-looking oil prices as of September 30, 2007. Continued changes in market prices of oil could further impact the Section 45K tax benefits we ultimately realize in 2007. Accordingly, our estimated effective tax rate as of September 30, 2007 could be materially different than our actual 2007 effective tax rate if our assumptions regarding oil prices for the remainder of the year are inconsistent with actual results.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During the three and nine months ended September 30, 2007, we settled various federal and state tax audits, resulting in a reduction in income tax expense of</w:t>
      </w:r>
      <w:r>
        <w:rPr>
          <w:rFonts w:ascii="Arial" w:cs="Arial" w:eastAsia="Arial" w:hAnsi="Arial"/>
          <w:sz w:val="13"/>
          <w:szCs w:val="13"/>
          <w:i w:val="1"/>
          <w:iCs w:val="1"/>
          <w:color w:val="auto"/>
        </w:rPr>
        <w:t xml:space="preserve"> </w:t>
      </w:r>
      <w:r>
        <w:rPr>
          <w:rFonts w:ascii="Arial" w:cs="Arial" w:eastAsia="Arial" w:hAnsi="Arial"/>
          <w:sz w:val="13"/>
          <w:szCs w:val="13"/>
          <w:color w:val="auto"/>
        </w:rPr>
        <w:t>$3 million, or $0.01 per diluted share, for the three months ended September 30, 2007 and $30 million, or $0.06 per diluted share, for the nine months ended September 30, 2007. These tax audit settlements resulted in a 0.6 percentage point reduction in our effective tax rate for the three months ended September 30, 2007 and a 2.4 percentage point reduction in our effective tax rate for the nine months ended September 30, 2007.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2006 Effective Tax Rate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estimated recurring effective tax rate as of September 30, 2006 was 36.0%, a 3.3 percentage point decrease in our estimated recurring effective tax rate from June 30, 2006. This decrease resulted in a reduction in our “Provision for income taxes” and an increase in our “Net income” of approximately $38 million for the three months ended September 30, 2006. Revisions to our estimated recurring effective tax rate, from 37.1% at March 31, 2006 to 39.3% at June 30, 2006, resulted in an increase in our “Provision for income taxes” and a reduction in our “Net income” of $16 million for the three and six months ended June 30, 2006.</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difference between federal income taxes computed at the federal statutory rate and reported income taxes for the three months ended September 30, 2006 was primarily due to</w:t>
      </w:r>
    </w:p>
    <w:p>
      <w:pPr>
        <w:spacing w:after="0" w:line="38" w:lineRule="exact"/>
        <w:rPr>
          <w:sz w:val="20"/>
          <w:szCs w:val="20"/>
          <w:color w:val="auto"/>
        </w:rPr>
      </w:pPr>
    </w:p>
    <w:p>
      <w:pPr>
        <w:ind w:left="680" w:right="40" w:firstLine="7"/>
        <w:spacing w:after="0" w:line="256" w:lineRule="auto"/>
        <w:tabs>
          <w:tab w:leader="none" w:pos="83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favorable impact of non-conventional fuel tax credits; (ii) the finalization of our 2005 tax returns; and (iii) favorable tax audit settlements, which were offset in part by (i) state and local income taxes; and (ii) the impact of nondeductible goodwill associated with our divestitures. These items also affected our reported income taxes for the nine months ended September 30, 2006, which were also favorably affected by the realization of a tax benefit due to scheduled tax rate reductions in Canada and the resulting revaluation of related deferred tax balances. The most significant items affecting our provision for income taxes in 2006 are discussed in more detail below.</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Our effective tax rate for the three months ended September 30, 2006 reflected (i) our expectations for the phase-out of 35% of Section 45K tax</w:t>
      </w:r>
      <w:r>
        <w:rPr>
          <w:rFonts w:ascii="Arial" w:cs="Arial" w:eastAsia="Arial" w:hAnsi="Arial"/>
          <w:sz w:val="13"/>
          <w:szCs w:val="13"/>
          <w:i w:val="1"/>
          <w:iCs w:val="1"/>
          <w:color w:val="auto"/>
        </w:rPr>
        <w:t xml:space="preserve"> </w:t>
      </w:r>
      <w:r>
        <w:rPr>
          <w:rFonts w:ascii="Arial" w:cs="Arial" w:eastAsia="Arial" w:hAnsi="Arial"/>
          <w:sz w:val="13"/>
          <w:szCs w:val="13"/>
          <w:color w:val="auto"/>
        </w:rPr>
        <w:t>credits generated during 2006 and (ii) the impact of the temporary suspension of operations at the Facilities, which occurred from mid-May 2006 to late September 2006. As of June 30, 2006, we had estimated that 78% of Section 45K tax credits generated during 2006 would be phased out.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impact of our investments in the Facilities on our Condensed Consolidated Statements of Operations for the three- and nine month periods ended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2006 (in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Three-Month</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8"/>
              </w:rPr>
              <w:t>Nine-Month</w:t>
            </w:r>
          </w:p>
        </w:tc>
      </w:t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00" w:type="dxa"/>
            <w:vAlign w:val="bottom"/>
          </w:tcPr>
          <w:p>
            <w:pPr>
              <w:jc w:val="right"/>
              <w:ind w:right="101"/>
              <w:spacing w:after="0"/>
              <w:rPr>
                <w:sz w:val="20"/>
                <w:szCs w:val="20"/>
                <w:color w:val="auto"/>
              </w:rPr>
            </w:pPr>
            <w:r>
              <w:rPr>
                <w:rFonts w:ascii="Arial" w:cs="Arial" w:eastAsia="Arial" w:hAnsi="Arial"/>
                <w:sz w:val="10"/>
                <w:szCs w:val="10"/>
                <w:b w:val="1"/>
                <w:bCs w:val="1"/>
                <w:color w:val="auto"/>
              </w:rPr>
              <w:t>Period</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Period</w:t>
            </w:r>
          </w:p>
        </w:tc>
      </w:tr>
      <w:tr>
        <w:trPr>
          <w:trHeight w:val="29"/>
        </w:trPr>
        <w:tc>
          <w:tcPr>
            <w:tcW w:w="1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 (b)</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8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(21)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taxes(c)</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(36)</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r>
      <w:tr>
        <w:trPr>
          <w:trHeight w:val="108"/>
        </w:trPr>
        <w:tc>
          <w:tcPr>
            <w:tcW w:w="130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360" w:hanging="208"/>
        <w:spacing w:after="0" w:line="276"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a result of the third quarter 2006 change in the estimated phase-out of 2006 Section 45K tax credits, we recognized $17 million of equity losses during the three months ended September 30, 2006 associated with the Facilities’ operations during the first and second quarters of 2006.</w:t>
      </w:r>
    </w:p>
    <w:p>
      <w:pPr>
        <w:spacing w:after="0" w:line="10" w:lineRule="exact"/>
        <w:rPr>
          <w:rFonts w:ascii="Arial" w:cs="Arial" w:eastAsia="Arial" w:hAnsi="Arial"/>
          <w:sz w:val="13"/>
          <w:szCs w:val="13"/>
          <w:color w:val="auto"/>
        </w:rPr>
      </w:pPr>
    </w:p>
    <w:p>
      <w:pPr>
        <w:ind w:left="1000" w:hanging="216"/>
        <w:spacing w:after="0" w:line="264"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the nine months ended September 30, 2006, our “Equity in net losses of unconsolidated entities” included a cumulative adjustment necessary to appropriately reflect our life-to-date obligations to fund the costs of operating the Facilities and the value of our investment. This cumulative adjustment was recorded during the second quarter of 2006. We determined that the recognition of the cumulative adjustment was not material to our Statements of Operations.</w:t>
      </w:r>
    </w:p>
    <w:p>
      <w:pPr>
        <w:spacing w:after="0" w:line="17" w:lineRule="exact"/>
        <w:rPr>
          <w:rFonts w:ascii="Arial" w:cs="Arial" w:eastAsia="Arial" w:hAnsi="Arial"/>
          <w:sz w:val="13"/>
          <w:szCs w:val="13"/>
          <w:color w:val="auto"/>
        </w:rPr>
      </w:pPr>
    </w:p>
    <w:p>
      <w:pPr>
        <w:ind w:left="1000" w:right="280" w:hanging="208"/>
        <w:spacing w:after="0" w:line="276"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“Provision for (benefit from) income taxes” attributable to the Facilities includes tax credits of $28 million and $36 million for the three and nine months ended September 30, 2006.</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tax credits generated by our landfill gas-to-energy projects reduced our recorded taxes for the three and nine months ended September 30, 2006 by $13 million and $16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Tax audit settlements </w:t>
      </w:r>
      <w:r>
        <w:rPr>
          <w:rFonts w:ascii="Arial" w:cs="Arial" w:eastAsia="Arial" w:hAnsi="Arial"/>
          <w:sz w:val="12"/>
          <w:szCs w:val="12"/>
          <w:color w:val="auto"/>
        </w:rPr>
        <w:t>— When excluding the effect of interest income, the settlement of various federal and state tax audit matters resulted in a reduction in income tax expense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$7 million, or $0.01 per diluted share, for the three months ended September 30, 2006 and $141 million, or $0.26 per diluted share, for the nine months ended September 30, 2006. These tax</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audit settlements resulted in a 1.6 percentage point reduction in our effective tax rate for the three months ended September 30, 2006 and a 12.3 percentage point reduction in our effective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tax rate for the nine months ended September 30, 2006. During the three and nine months ended September 30, 2006, our “Net income” also increased, principally due to interest income, by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 million, or $4 million net of tax, and $12 million, or $7 million net of tax, respectively, as a result of these settlements.</w:t>
      </w:r>
    </w:p>
    <w:p>
      <w:pPr>
        <w:spacing w:after="0" w:line="8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Canada statutory rate change </w:t>
      </w:r>
      <w:r>
        <w:rPr>
          <w:rFonts w:ascii="Arial" w:cs="Arial" w:eastAsia="Arial" w:hAnsi="Arial"/>
          <w:sz w:val="13"/>
          <w:szCs w:val="13"/>
          <w:color w:val="auto"/>
        </w:rPr>
        <w:t>— During the second quarter of 2006, the Canadian federal government and several Canadian provinces enacted tax rate reductions. Statement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Financial Accounting Standards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requires that deferred tax balances be revalued to reflect the tax rate changes. The revaluations resulted in a $20 million tax benefit for the nine months ended September 30, 2006.</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Comprehensive income represents all changes in our equity except for changes resulting from investments by, and distributions to, stockholders. Comprehensive income was as follows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6"/>
              </w:rPr>
              <w:t>Nine Months</w:t>
            </w: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10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$ 278</w:t>
            </w:r>
          </w:p>
        </w:tc>
        <w:tc>
          <w:tcPr>
            <w:tcW w:w="4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$ 854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$ 903</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resulting from changes in the fair value of derivative instruments, net of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Realized losses on derivative instruments reclassified into earnings, net of taxes</w:t>
            </w:r>
          </w:p>
        </w:tc>
        <w:tc>
          <w:tcPr>
            <w:tcW w:w="32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3</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(losses) on marketable securities, net of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Translation adjustment of foreign currency statements</w:t>
            </w:r>
          </w:p>
        </w:tc>
        <w:tc>
          <w:tcPr>
            <w:tcW w:w="320" w:type="dxa"/>
            <w:vAlign w:val="bottom"/>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$ 320</w:t>
            </w:r>
          </w:p>
        </w:tc>
        <w:tc>
          <w:tcPr>
            <w:tcW w:w="4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$ 305</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$ 947</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$ 931</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00" w:firstLine="399"/>
        <w:spacing w:after="0" w:line="260" w:lineRule="auto"/>
        <w:rPr>
          <w:sz w:val="20"/>
          <w:szCs w:val="20"/>
          <w:color w:val="auto"/>
        </w:rPr>
      </w:pPr>
      <w:r>
        <w:rPr>
          <w:rFonts w:ascii="Arial" w:cs="Arial" w:eastAsia="Arial" w:hAnsi="Arial"/>
          <w:sz w:val="13"/>
          <w:szCs w:val="13"/>
          <w:color w:val="auto"/>
        </w:rPr>
        <w:t>The unrealized losses resulting from changes in the fair value of derivative instruments and realized losses on derivative instruments reclassified into earnings recognized during the three and nine months ended September 30, 2007 are largely related to outstanding currency derivatives that hedge the impact of foreign currency translation on cash flows of intercompany Canadian-currency denominated debt transactions. These derivative contracts effectively mitigated the impact of the hedged transactions, resulting in an immaterial impact to our results of operations for the periods presented.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accumulated other comprehensive income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 benefit</w:t>
            </w: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3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20" w:type="dxa"/>
            <w:vAlign w:val="bottom"/>
          </w:tcPr>
          <w:p>
            <w:pPr>
              <w:jc w:val="right"/>
              <w:ind w:right="2374"/>
              <w:spacing w:after="0"/>
              <w:rPr>
                <w:sz w:val="20"/>
                <w:szCs w:val="20"/>
                <w:color w:val="auto"/>
              </w:rPr>
            </w:pPr>
            <w:r>
              <w:rPr>
                <w:rFonts w:ascii="Arial" w:cs="Arial" w:eastAsia="Arial" w:hAnsi="Arial"/>
                <w:sz w:val="13"/>
                <w:szCs w:val="13"/>
                <w:color w:val="auto"/>
              </w:rPr>
              <w:t>13</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The following reconciles the number of shares outstanding at September 30 of each year to the number of weighted average basic shares outstanding and the number of weighted average diluted shares outstanding for the purpose of calculating basic and diluted earnings per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80" w:type="dxa"/>
            <w:vAlign w:val="bottom"/>
            <w:gridSpan w:val="3"/>
          </w:tcPr>
          <w:p>
            <w:pPr>
              <w:jc w:val="center"/>
              <w:ind w:left="238"/>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0"/>
              </w:rPr>
              <w:t>September 30,</w:t>
            </w:r>
          </w:p>
        </w:tc>
        <w:tc>
          <w:tcPr>
            <w:tcW w:w="12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42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40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509.8</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534.5</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509.8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534.5</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38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515.9</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537.0</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521.4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542.5</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38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541.5</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526.0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547.8</w:t>
            </w:r>
          </w:p>
        </w:tc>
        <w:tc>
          <w:tcPr>
            <w:tcW w:w="0" w:type="dxa"/>
            <w:vAlign w:val="bottom"/>
          </w:tcPr>
          <w:p>
            <w:pPr>
              <w:spacing w:after="0"/>
              <w:rPr>
                <w:sz w:val="1"/>
                <w:szCs w:val="1"/>
                <w:color w:val="auto"/>
              </w:rPr>
            </w:pPr>
          </w:p>
        </w:tc>
      </w:tr>
      <w:tr>
        <w:trPr>
          <w:trHeight w:val="29"/>
        </w:trPr>
        <w:tc>
          <w:tcPr>
            <w:tcW w:w="71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28.3</w:t>
            </w:r>
          </w:p>
        </w:tc>
        <w:tc>
          <w:tcPr>
            <w:tcW w:w="38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4.9</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 Dividends and Common Stock Repurchases</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October 2004, our Board of Directors approved a capital allocation program that provided for up to $1.2 billion of combined stock repurchases and dividend payments for each of 2005, 2006 and 2007. In June 2006, our Board of Directors increased the amount of capital available for share repurchases in 2006 by $350 million. In March 2007, our Board of Directors approved up to $600 million of additional share repurchases for 2007, increasing the maximum amount of capital to be allocated to our share repurchases and dividend payments in 2007 to $1.8 billion. Aggregate dividend payments and share repurchases under the capital allocation program were $511 million and $418 million during the three months ended September 30, 2007 and 2006, respectively, and $1,448 million and $1,297 million during the nine months ended September 30, 2007 and 2006, respectively.</w:t>
      </w:r>
    </w:p>
    <w:p>
      <w:pPr>
        <w:spacing w:after="0" w:line="55"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Our Board of Directors declared a $0.24 per share dividend in each of the first three quarters of 2007. The first quarter dividend was paid on March 23, 2007 to shareholders of record as of March 12, 2007 for an aggregate of $126 million. The second quarter dividend was paid on June 22, 2007 to shareholders of record as of June 4, 2007 for an aggregate of $125 million. The third quarter dividend was paid on September 21, 2007 to shareholders of record as of September 4, 2007 for an aggregate of $123 million.</w:t>
      </w:r>
    </w:p>
    <w:p>
      <w:pPr>
        <w:spacing w:after="0" w:line="5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declared a $0.22 per share dividend payable in each of the first three quarters of 2006. The first quarter dividend was declared in December 2005 and paid on March 24, 2006 to shareholders of record as of March 6, 2006 for an aggregate of $121 million. The second quarter dividend was paid on June 23, 2006 to shareholders of record as of June 5, 2006 for an aggregate of $119 million. The third quarter dividend was paid on September 22, 2006 to shareholders of record as of September 5, 2006 for an aggregate of $118 million.</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period presented: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2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80" w:type="dxa"/>
            <w:vAlign w:val="bottom"/>
            <w:gridSpan w:val="3"/>
          </w:tcPr>
          <w:p>
            <w:pPr>
              <w:jc w:val="center"/>
              <w:ind w:right="1121"/>
              <w:spacing w:after="0"/>
              <w:rPr>
                <w:sz w:val="20"/>
                <w:szCs w:val="20"/>
                <w:color w:val="auto"/>
              </w:rPr>
            </w:pPr>
            <w:r>
              <w:rPr>
                <w:rFonts w:ascii="Arial" w:cs="Arial" w:eastAsia="Arial" w:hAnsi="Arial"/>
                <w:sz w:val="10"/>
                <w:szCs w:val="10"/>
                <w:b w:val="1"/>
                <w:bCs w:val="1"/>
                <w:color w:val="auto"/>
                <w:w w:val="96"/>
              </w:rPr>
              <w:t>Nine Months Ended</w:t>
            </w:r>
          </w:p>
        </w:tc>
      </w:tr>
      <w:tr>
        <w:trPr>
          <w:trHeight w:val="12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3"/>
          </w:tcPr>
          <w:p>
            <w:pPr>
              <w:jc w:val="center"/>
              <w:ind w:right="1201"/>
              <w:spacing w:after="0"/>
              <w:rPr>
                <w:sz w:val="20"/>
                <w:szCs w:val="20"/>
                <w:color w:val="auto"/>
              </w:rPr>
            </w:pPr>
            <w:r>
              <w:rPr>
                <w:rFonts w:ascii="Arial" w:cs="Arial" w:eastAsia="Arial" w:hAnsi="Arial"/>
                <w:sz w:val="10"/>
                <w:szCs w:val="10"/>
                <w:b w:val="1"/>
                <w:bCs w:val="1"/>
                <w:color w:val="auto"/>
                <w:w w:val="93"/>
              </w:rPr>
              <w:t>September 30,</w:t>
            </w:r>
          </w:p>
        </w:tc>
        <w:tc>
          <w:tcPr>
            <w:tcW w:w="30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3"/>
          </w:tcPr>
          <w:p>
            <w:pPr>
              <w:jc w:val="center"/>
              <w:ind w:right="1141"/>
              <w:spacing w:after="0"/>
              <w:rPr>
                <w:sz w:val="20"/>
                <w:szCs w:val="20"/>
                <w:color w:val="auto"/>
              </w:rPr>
            </w:pPr>
            <w:r>
              <w:rPr>
                <w:rFonts w:ascii="Arial" w:cs="Arial" w:eastAsia="Arial" w:hAnsi="Arial"/>
                <w:sz w:val="10"/>
                <w:szCs w:val="10"/>
                <w:b w:val="1"/>
                <w:bCs w:val="1"/>
                <w:color w:val="auto"/>
                <w:w w:val="93"/>
              </w:rPr>
              <w:t>September 30,</w:t>
            </w:r>
          </w:p>
        </w:tc>
      </w:tr>
      <w:tr>
        <w:trPr>
          <w:trHeight w:val="98"/>
        </w:trPr>
        <w:tc>
          <w:tcPr>
            <w:tcW w:w="1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60" w:type="dxa"/>
            <w:vAlign w:val="bottom"/>
            <w:tcBorders>
              <w:bottom w:val="single" w:sz="8" w:color="auto"/>
            </w:tcBorders>
          </w:tcPr>
          <w:p>
            <w:pPr>
              <w:jc w:val="center"/>
              <w:ind w:left="180"/>
              <w:spacing w:after="0" w:line="98" w:lineRule="exact"/>
              <w:rPr>
                <w:sz w:val="20"/>
                <w:szCs w:val="20"/>
                <w:color w:val="auto"/>
              </w:rPr>
            </w:pPr>
            <w:r>
              <w:rPr>
                <w:rFonts w:ascii="Arial" w:cs="Arial" w:eastAsia="Arial" w:hAnsi="Arial"/>
                <w:sz w:val="10"/>
                <w:szCs w:val="10"/>
                <w:b w:val="1"/>
                <w:bCs w:val="1"/>
                <w:color w:val="auto"/>
                <w:w w:val="98"/>
              </w:rPr>
              <w:t>2007(a)</w:t>
            </w: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1"/>
              </w:rPr>
              <w:t>2006(b)</w:t>
            </w:r>
          </w:p>
        </w:tc>
        <w:tc>
          <w:tcPr>
            <w:tcW w:w="300" w:type="dxa"/>
            <w:vAlign w:val="bottom"/>
          </w:tcPr>
          <w:p>
            <w:pPr>
              <w:spacing w:after="0"/>
              <w:rPr>
                <w:sz w:val="8"/>
                <w:szCs w:val="8"/>
                <w:color w:val="auto"/>
              </w:rPr>
            </w:pPr>
          </w:p>
        </w:tc>
        <w:tc>
          <w:tcPr>
            <w:tcW w:w="1200" w:type="dxa"/>
            <w:vAlign w:val="bottom"/>
            <w:tcBorders>
              <w:bottom w:val="single" w:sz="8" w:color="auto"/>
            </w:tcBorders>
          </w:tcPr>
          <w:p>
            <w:pPr>
              <w:jc w:val="center"/>
              <w:ind w:left="241"/>
              <w:spacing w:after="0" w:line="98" w:lineRule="exact"/>
              <w:rPr>
                <w:sz w:val="20"/>
                <w:szCs w:val="20"/>
                <w:color w:val="auto"/>
              </w:rPr>
            </w:pPr>
            <w:r>
              <w:rPr>
                <w:rFonts w:ascii="Arial" w:cs="Arial" w:eastAsia="Arial" w:hAnsi="Arial"/>
                <w:sz w:val="10"/>
                <w:szCs w:val="10"/>
                <w:b w:val="1"/>
                <w:bCs w:val="1"/>
                <w:color w:val="auto"/>
                <w:w w:val="98"/>
              </w:rPr>
              <w:t>2007(a)</w:t>
            </w: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6"/>
              </w:rPr>
              <w:t>2006(b)</w:t>
            </w: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260" w:type="dxa"/>
            <w:vAlign w:val="bottom"/>
            <w:shd w:val="clear" w:color="auto" w:fill="CCEEFF"/>
          </w:tcPr>
          <w:p>
            <w:pPr>
              <w:jc w:val="center"/>
              <w:ind w:left="160"/>
              <w:spacing w:after="0"/>
              <w:rPr>
                <w:sz w:val="20"/>
                <w:szCs w:val="20"/>
                <w:color w:val="auto"/>
              </w:rPr>
            </w:pPr>
            <w:r>
              <w:rPr>
                <w:rFonts w:ascii="Arial" w:cs="Arial" w:eastAsia="Arial" w:hAnsi="Arial"/>
                <w:sz w:val="13"/>
                <w:szCs w:val="13"/>
                <w:color w:val="auto"/>
                <w:w w:val="90"/>
              </w:rPr>
              <w:t>10,451</w:t>
            </w:r>
          </w:p>
        </w:tc>
        <w:tc>
          <w:tcPr>
            <w:tcW w:w="2020" w:type="dxa"/>
            <w:vAlign w:val="bottom"/>
            <w:gridSpan w:val="3"/>
            <w:shd w:val="clear" w:color="auto" w:fill="CCEEFF"/>
          </w:tcPr>
          <w:p>
            <w:pPr>
              <w:jc w:val="center"/>
              <w:ind w:left="479"/>
              <w:spacing w:after="0"/>
              <w:rPr>
                <w:sz w:val="20"/>
                <w:szCs w:val="20"/>
                <w:color w:val="auto"/>
              </w:rPr>
            </w:pPr>
            <w:r>
              <w:rPr>
                <w:rFonts w:ascii="Arial" w:cs="Arial" w:eastAsia="Arial" w:hAnsi="Arial"/>
                <w:sz w:val="13"/>
                <w:szCs w:val="13"/>
                <w:color w:val="auto"/>
                <w:w w:val="85"/>
              </w:rPr>
              <w:t>8,637</w:t>
            </w:r>
          </w:p>
        </w:tc>
        <w:tc>
          <w:tcPr>
            <w:tcW w:w="15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0"/>
              </w:rPr>
              <w:t>30,078</w:t>
            </w:r>
          </w:p>
        </w:tc>
        <w:tc>
          <w:tcPr>
            <w:tcW w:w="2080" w:type="dxa"/>
            <w:vAlign w:val="bottom"/>
            <w:gridSpan w:val="3"/>
            <w:shd w:val="clear" w:color="auto" w:fill="CCEEFF"/>
          </w:tcPr>
          <w:p>
            <w:pPr>
              <w:jc w:val="center"/>
              <w:ind w:left="541"/>
              <w:spacing w:after="0"/>
              <w:rPr>
                <w:sz w:val="20"/>
                <w:szCs w:val="20"/>
                <w:color w:val="auto"/>
              </w:rPr>
            </w:pPr>
            <w:r>
              <w:rPr>
                <w:rFonts w:ascii="Arial" w:cs="Arial" w:eastAsia="Arial" w:hAnsi="Arial"/>
                <w:sz w:val="13"/>
                <w:szCs w:val="13"/>
                <w:color w:val="auto"/>
                <w:w w:val="90"/>
              </w:rPr>
              <w:t>27,425</w:t>
            </w: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Per share purchase price</w:t>
            </w:r>
          </w:p>
        </w:tc>
        <w:tc>
          <w:tcPr>
            <w:tcW w:w="1260" w:type="dxa"/>
            <w:vAlign w:val="bottom"/>
          </w:tcPr>
          <w:p>
            <w:pPr>
              <w:ind w:left="300"/>
              <w:spacing w:after="0"/>
              <w:rPr>
                <w:sz w:val="20"/>
                <w:szCs w:val="20"/>
                <w:color w:val="auto"/>
              </w:rPr>
            </w:pPr>
            <w:r>
              <w:rPr>
                <w:rFonts w:ascii="Arial" w:cs="Arial" w:eastAsia="Arial" w:hAnsi="Arial"/>
                <w:sz w:val="13"/>
                <w:szCs w:val="13"/>
                <w:color w:val="auto"/>
                <w:w w:val="96"/>
              </w:rPr>
              <w:t>$34.51 to $40.13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ind w:left="300"/>
              <w:spacing w:after="0"/>
              <w:rPr>
                <w:sz w:val="20"/>
                <w:szCs w:val="20"/>
                <w:color w:val="auto"/>
              </w:rPr>
            </w:pPr>
            <w:r>
              <w:rPr>
                <w:rFonts w:ascii="Arial" w:cs="Arial" w:eastAsia="Arial" w:hAnsi="Arial"/>
                <w:sz w:val="13"/>
                <w:szCs w:val="13"/>
                <w:color w:val="auto"/>
              </w:rPr>
              <w:t>$33.47 to $37.04</w:t>
            </w:r>
          </w:p>
        </w:tc>
        <w:tc>
          <w:tcPr>
            <w:tcW w:w="30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Arial" w:cs="Arial" w:eastAsia="Arial" w:hAnsi="Arial"/>
                <w:sz w:val="13"/>
                <w:szCs w:val="13"/>
                <w:color w:val="auto"/>
                <w:w w:val="90"/>
              </w:rPr>
              <w:t>$33.02 to $40.13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ind w:left="320"/>
              <w:spacing w:after="0"/>
              <w:rPr>
                <w:sz w:val="20"/>
                <w:szCs w:val="20"/>
                <w:color w:val="auto"/>
              </w:rPr>
            </w:pPr>
            <w:r>
              <w:rPr>
                <w:rFonts w:ascii="Arial" w:cs="Arial" w:eastAsia="Arial" w:hAnsi="Arial"/>
                <w:sz w:val="13"/>
                <w:szCs w:val="13"/>
                <w:color w:val="auto"/>
              </w:rPr>
              <w:t>$32.23 to $38.16</w:t>
            </w: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260" w:type="dxa"/>
            <w:vAlign w:val="bottom"/>
            <w:shd w:val="clear" w:color="auto" w:fill="CCEEFF"/>
          </w:tcPr>
          <w:p>
            <w:pPr>
              <w:jc w:val="center"/>
              <w:ind w:left="180"/>
              <w:spacing w:after="0"/>
              <w:rPr>
                <w:sz w:val="20"/>
                <w:szCs w:val="20"/>
                <w:color w:val="auto"/>
              </w:rPr>
            </w:pPr>
            <w:r>
              <w:rPr>
                <w:rFonts w:ascii="Arial" w:cs="Arial" w:eastAsia="Arial" w:hAnsi="Arial"/>
                <w:sz w:val="13"/>
                <w:szCs w:val="13"/>
                <w:color w:val="auto"/>
                <w:w w:val="89"/>
              </w:rPr>
              <w:t>$388</w:t>
            </w:r>
          </w:p>
        </w:tc>
        <w:tc>
          <w:tcPr>
            <w:tcW w:w="2020" w:type="dxa"/>
            <w:vAlign w:val="bottom"/>
            <w:gridSpan w:val="3"/>
            <w:shd w:val="clear" w:color="auto" w:fill="CCEEFF"/>
          </w:tcPr>
          <w:p>
            <w:pPr>
              <w:jc w:val="center"/>
              <w:ind w:left="479"/>
              <w:spacing w:after="0"/>
              <w:rPr>
                <w:sz w:val="20"/>
                <w:szCs w:val="20"/>
                <w:color w:val="auto"/>
              </w:rPr>
            </w:pPr>
            <w:r>
              <w:rPr>
                <w:rFonts w:ascii="Arial" w:cs="Arial" w:eastAsia="Arial" w:hAnsi="Arial"/>
                <w:sz w:val="13"/>
                <w:szCs w:val="13"/>
                <w:color w:val="auto"/>
                <w:w w:val="96"/>
              </w:rPr>
              <w:t>$300</w:t>
            </w:r>
          </w:p>
        </w:tc>
        <w:tc>
          <w:tcPr>
            <w:tcW w:w="150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w w:val="90"/>
              </w:rPr>
              <w:t>$1,074</w:t>
            </w:r>
          </w:p>
        </w:tc>
        <w:tc>
          <w:tcPr>
            <w:tcW w:w="2080" w:type="dxa"/>
            <w:vAlign w:val="bottom"/>
            <w:gridSpan w:val="3"/>
            <w:shd w:val="clear" w:color="auto" w:fill="CCEEFF"/>
          </w:tcPr>
          <w:p>
            <w:pPr>
              <w:jc w:val="center"/>
              <w:ind w:left="521"/>
              <w:spacing w:after="0"/>
              <w:rPr>
                <w:sz w:val="20"/>
                <w:szCs w:val="20"/>
                <w:color w:val="auto"/>
              </w:rPr>
            </w:pPr>
            <w:r>
              <w:rPr>
                <w:rFonts w:ascii="Arial" w:cs="Arial" w:eastAsia="Arial" w:hAnsi="Arial"/>
                <w:sz w:val="13"/>
                <w:szCs w:val="13"/>
                <w:color w:val="auto"/>
                <w:w w:val="89"/>
              </w:rPr>
              <w:t>$939</w:t>
            </w:r>
          </w:p>
        </w:tc>
      </w:tr>
      <w:tr>
        <w:trPr>
          <w:trHeight w:val="98"/>
        </w:trPr>
        <w:tc>
          <w:tcPr>
            <w:tcW w:w="130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r>
    </w:tbl>
    <w:p>
      <w:pPr>
        <w:spacing w:after="0" w:line="40"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$15 million of our third quarter 2007 share repurchases was paid in October 2007.</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$5 million of our third quarter 2006 share repurchases was paid in October 2006.</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134"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two entities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2001. In October 2001, the parent and certain of its subsidiaries, including Reliance National Insurance Company, were placed in liquidation. We believe that because of various state insurance guarantee funds and probable recoveries from the liquidation, currently estimated to be $18 million, it is unlikely that events relating to Reliance will have a material adverse impact on our financial statements.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These include both the</w:t>
      </w:r>
      <w:r>
        <w:rPr>
          <w:rFonts w:ascii="Arial" w:cs="Arial" w:eastAsia="Arial" w:hAnsi="Arial"/>
          <w:sz w:val="13"/>
          <w:szCs w:val="13"/>
          <w:i w:val="1"/>
          <w:iCs w:val="1"/>
          <w:color w:val="auto"/>
        </w:rPr>
        <w:t xml:space="preserve"> </w:t>
      </w:r>
      <w:r>
        <w:rPr>
          <w:rFonts w:ascii="Arial" w:cs="Arial" w:eastAsia="Arial" w:hAnsi="Arial"/>
          <w:sz w:val="13"/>
          <w:szCs w:val="13"/>
          <w:color w:val="auto"/>
        </w:rPr>
        <w:t>debt obligations, including tax-exempt bonds, of the subsidiaries and the subsidiaries’ lease, financial and general operating obligations.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also have guaranteed the obligations of third parties. These guarantee agreements include guarantees of unconsolidated entities’ financial obligations maturing through 2020 for maximum future payments of approximately $15 million; agreements spanning the life of certain landfills guaranteeing the market value of homeowners’ properties adjacent to landfills; and the guarantee of interest rate swap obligations of the funding entity in connection with our letter of credit facility. We currently do not believe it is reasonably likely that we would be called upon to perform under these guarantees and do not believe that any of the obligations would have a material effect on our financial position, results of operations and cash flows.</w:t>
      </w:r>
    </w:p>
    <w:p>
      <w:pPr>
        <w:spacing w:after="0" w:line="5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also provide indemnification to third parties in the normal course of business, most notably in connection with the sales of businesses or assets. These indemnifications generally provide that we will be responsible for liabilities associated with events that occurred prior to closing the transaction.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We are subject to an array of laws and regulations relating to the protection of the environment. Under current laws and regulations, we may have liabilities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w:t>
      </w:r>
    </w:p>
    <w:p>
      <w:pPr>
        <w:spacing w:after="0" w:line="7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and its interpretations. If we used the high ends of such ranges, our aggregate potential liability would be approximately $190 million higher than the $272 million recorded in the Condensed Consolidated Financial Statements as of September 30, 2007. Our ongoing review of our remediation liabilities could result in revisions that could cause upward or downward adjustments to income from operations. These adjustments could also be material in any given period.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As of September 30, 2007, we had been notified by the government that we are a PRP in connection with 75 locations listed on the EPA’s National Priorities List (“NPL”). Of the 75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59 NPL sites, which we do not own, are at various procedural stages under the Comprehensive Environmental Response, Compensation and Liability Act of 1980, as amended, which is known as CERCLA or Superfund.</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3"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Litigation </w:t>
      </w:r>
      <w:r>
        <w:rPr>
          <w:rFonts w:ascii="Arial" w:cs="Arial" w:eastAsia="Arial" w:hAnsi="Arial"/>
          <w:sz w:val="11"/>
          <w:szCs w:val="11"/>
          <w:color w:val="auto"/>
        </w:rPr>
        <w:t>— In December 1999, an individual brought an action against the Company, five former officers of WM Holdings, and WM Holdings’ former independent auditor, Arthur</w:t>
      </w:r>
      <w:r>
        <w:rPr>
          <w:rFonts w:ascii="Arial" w:cs="Arial" w:eastAsia="Arial" w:hAnsi="Arial"/>
          <w:sz w:val="11"/>
          <w:szCs w:val="11"/>
          <w:i w:val="1"/>
          <w:iCs w:val="1"/>
          <w:color w:val="auto"/>
        </w:rPr>
        <w:t xml:space="preserve"> </w:t>
      </w:r>
      <w:r>
        <w:rPr>
          <w:rFonts w:ascii="Arial" w:cs="Arial" w:eastAsia="Arial" w:hAnsi="Arial"/>
          <w:sz w:val="11"/>
          <w:szCs w:val="11"/>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but in 2006 agreed to the matter being handled in state court as originally filed. The Company believes recent U.S. Supreme Court decisions in other cases require the Illinois trial court to rule that this matter cannot proceed as a class action. Only limited discovery has occurred and the defendants continue to defend themselves vigorously. The extent of possible damages, if any, in this action cannot yet be determined.</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April 2002, a former participant in WM Holdings’ ERISA plans and another individual filed a lawsuit in Washington, D.C. against WMI, WM Holdings and others, attempting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 the recovery of a class of ERISA plan participants based on allegations related to both the events alleged in, and the settlements relating to, the securities class action against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WM Holdings that was settled in 1998 and the securities class action against us that was settled in November 2001. Subsequently, the issues related to the latter class action were dropped as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WMI, its officers and directors. The case is ongoing with respect to WM Holdings and others, and WM Holdings intends to defend itself vigorously.</w:t>
      </w:r>
    </w:p>
    <w:p>
      <w:pPr>
        <w:spacing w:after="0" w:line="8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From time to time, we pay fines or penalties in environmental proceedings relating primarily to waste treatment, storage or disposal facilities. At September 30, 2007, there were four proceedings involving our subsidiaries where we reasonably believe that the sanctions could exceed $100,000. The matters involve allegations that subsidiaries (i) failed to comply with leachate storage requirements at an operating landfill; (ii) violated a number of state solid waste regulations and permit conditions and federal air regulations at an operating landfill;</w:t>
      </w:r>
    </w:p>
    <w:p>
      <w:pPr>
        <w:spacing w:after="0" w:line="1" w:lineRule="exact"/>
        <w:rPr>
          <w:sz w:val="20"/>
          <w:szCs w:val="20"/>
          <w:color w:val="auto"/>
        </w:rPr>
      </w:pPr>
    </w:p>
    <w:p>
      <w:pPr>
        <w:ind w:left="680" w:right="60" w:firstLine="7"/>
        <w:spacing w:after="0" w:line="307" w:lineRule="auto"/>
        <w:tabs>
          <w:tab w:leader="none" w:pos="909" w:val="left"/>
        </w:tabs>
        <w:numPr>
          <w:ilvl w:val="0"/>
          <w:numId w:val="18"/>
        </w:numPr>
        <w:rPr>
          <w:rFonts w:ascii="Arial" w:cs="Arial" w:eastAsia="Arial" w:hAnsi="Arial"/>
          <w:sz w:val="12"/>
          <w:szCs w:val="12"/>
          <w:color w:val="auto"/>
        </w:rPr>
      </w:pPr>
      <w:r>
        <w:rPr>
          <w:rFonts w:ascii="Arial" w:cs="Arial" w:eastAsia="Arial" w:hAnsi="Arial"/>
          <w:sz w:val="12"/>
          <w:szCs w:val="12"/>
          <w:color w:val="auto"/>
        </w:rPr>
        <w:t>failed to meet reporting requirements under federal air regulations at an operating landfill; and (iv) failed to perform state emissions tests for diesel-powered vehicles. We do not believe that the fines or other penalties in any of these matters will, individually or in the aggregate, have a material adverse effect on our financial condition or results of operations.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they did not meet the required standards of conduct. Additionally, WMI has entered into separate indemnification agreements with each of the members of its Board of Directors as well as its Chief Executive Officer, its President and its Chief Financial Officer. The charter and bylaw documents of certain of WMI’s subsidiaries, including WM Holdings, also include similar indemnification provisions, and some subsidiaries, including WM Holdings, entered into separate indemnification agreements with their officers and directors prior to our acquisition of them that provide for even greater rights and protections for the individuals than WMI’s charter and bylaws. A company’s obligations to indemnify and advance expenses are determined based on the governing documents in effect and the status of the individual at the time the actions giving rise to the claim occurred. As a result, we could have obligations to individuals after they leave the Company, to individuals that were associated with companies prior to our acquisition of them and to individuals that are or were employees of the Company, but who were neither an officer or a director, even though the current documents only require indemnification and advancement to officers and directors.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6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under audit by the IRS and from time to time are audited by other taxing authorities. We fully cooperate with all audits, but defend our positions</w:t>
      </w:r>
      <w:r>
        <w:rPr>
          <w:rFonts w:ascii="Arial" w:cs="Arial" w:eastAsia="Arial" w:hAnsi="Arial"/>
          <w:sz w:val="13"/>
          <w:szCs w:val="13"/>
          <w:i w:val="1"/>
          <w:iCs w:val="1"/>
          <w:color w:val="auto"/>
        </w:rPr>
        <w:t xml:space="preserve"> </w:t>
      </w:r>
      <w:r>
        <w:rPr>
          <w:rFonts w:ascii="Arial" w:cs="Arial" w:eastAsia="Arial" w:hAnsi="Arial"/>
          <w:sz w:val="13"/>
          <w:szCs w:val="13"/>
          <w:color w:val="auto"/>
        </w:rPr>
        <w:t>vigorously. Our audits are in various stages of completion. We have concluded several audits in the last two years. In the first quarter of 2007, we concluded the IRS audit for the years 2004 and 2005. We are currently in the examination phase of an IRS audit for the years 2006 and 2007. We expect this audit to be completed within the next 15 months. Audits associated with state and local jurisdictions date back to 1999 and examinations associated with Canada date back to 2002. To provide for certain potential tax exposures, we maintain a liability for unrecognized tax benefits, the balance of which management believes is adequate. For additional information related to our liability for unrecognized tax benefits refer to Note 5.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discussed in Note 4, we have approximately $2.8 billion of tax-exempt financings as of September 30, 2007. Tax-exempt financings are structured pursuant to certain terms and conditions of the Internal Revenue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 and results of operations.</w:t>
      </w:r>
    </w:p>
    <w:p>
      <w:pPr>
        <w:spacing w:after="0" w:line="7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Unclaimed property audit </w:t>
      </w:r>
      <w:r>
        <w:rPr>
          <w:rFonts w:ascii="Arial" w:cs="Arial" w:eastAsia="Arial" w:hAnsi="Arial"/>
          <w:sz w:val="12"/>
          <w:szCs w:val="12"/>
          <w:color w:val="auto"/>
        </w:rPr>
        <w:t>— State escheat laws generally require entities to report and remit abandoned and unclaimed property including unclaimed wages, vendor payments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 refunds. Failure to timely report and remit the property can result in assessments that include substantial interest and penalties, in addition to the payment of the escheat liability itself. During 2007, all ongoing unclaimed property audits have been concluded, and we have satisfied all resulting financial obligations. As a result of the conclusion of these audits, we recognized a $7 million charge, including $4 million of “Selling, general and administrative” expenses and $3 million of “Interest expense,” during the three months ended March 31, 2007. During 2006, we submitted unclaimed property filings with all of the states except those where we were under audit, and, as a result of our findings, we determined that we had estimated unrecorded obligations associated with unclaimed property for escheatable items for various periods between 1980 and 2004. Our “Selling, general and administrative” expenses for the three months ended March 31, 2006, included a charge of approximately $19 million to fully record our estimated obligations for unclaimed property. During the three months ended March 31, 2006, we also recognized $1 million of estimated interest obligations associated with our findings. We have determined that the impact of these adjustments is not material to current or prior periods’ results of operations. Although we cannot currently estimate the potential financial impacts that our previous voluntary compliance filings may have, we do not expect any resulting obligations to have a material adverse effect on our consolidated results of operations or cash flows.</w:t>
      </w:r>
    </w:p>
    <w:p>
      <w:pPr>
        <w:spacing w:after="0" w:line="137" w:lineRule="exact"/>
        <w:rPr>
          <w:sz w:val="20"/>
          <w:szCs w:val="20"/>
          <w:color w:val="auto"/>
        </w:rPr>
      </w:pPr>
    </w:p>
    <w:p>
      <w:pPr>
        <w:ind w:left="1180" w:hanging="493"/>
        <w:spacing w:after="0"/>
        <w:tabs>
          <w:tab w:leader="none" w:pos="11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first quarter of 2007, certain operations and functions were restructured resulting in the recognition of a charge of approximately $9 million. We incurred an additional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 million of costs for this restructuring during the second quarter of 2007, increasing the costs incurred to date to $10 million. Approximately $7 million of our restructuring costs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incurred by our Corporate organization, $2 million was incurred by our Midwest Group and $1 million was incurred by our Western Group. These charges included approximately $8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employee severance and benefit costs and approximately $2 million related to operating lease agreements.</w:t>
      </w:r>
    </w:p>
    <w:p>
      <w:pPr>
        <w:spacing w:after="0" w:line="8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Through September 30, 2007, we had paid approximately $4 million of the employee severance and benefit costs incurred as a result of this restructuring. The length of time we are obligated to make severance payments varies, with the longest obligation continuing through the first quarter of 2009.</w:t>
      </w:r>
    </w:p>
    <w:p>
      <w:pPr>
        <w:spacing w:after="0" w:line="134" w:lineRule="exact"/>
        <w:rPr>
          <w:sz w:val="20"/>
          <w:szCs w:val="20"/>
          <w:color w:val="auto"/>
        </w:rPr>
      </w:pPr>
    </w:p>
    <w:p>
      <w:pPr>
        <w:ind w:left="1180" w:hanging="493"/>
        <w:spacing w:after="0"/>
        <w:tabs>
          <w:tab w:leader="none" w:pos="118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3"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Effective January 1, 2007, we realigned our Eastern, Midwest and Western Group organizations to facilitate improved business execution. We reassigned responsibility for the management of certain Eastern Group market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80"/>
        <w:spacing w:after="0" w:line="296" w:lineRule="auto"/>
        <w:rPr>
          <w:sz w:val="20"/>
          <w:szCs w:val="20"/>
          <w:color w:val="auto"/>
        </w:rPr>
      </w:pPr>
      <w:r>
        <w:rPr>
          <w:rFonts w:ascii="Arial" w:cs="Arial" w:eastAsia="Arial" w:hAnsi="Arial"/>
          <w:sz w:val="12"/>
          <w:szCs w:val="12"/>
          <w:color w:val="auto"/>
        </w:rPr>
        <w:t>areas representing $799 million in assets, including $163 million in goodwill, to the Midwest Group; and we reassigned responsibility for the management of certain Midwest Group market areas representing $435 million in assets, including $231 million in goodwill, to the Western Group. The prior period segment information provided in the following table has been reclassified to reflect the impact of our market area realignments to provide financial information that consistently reflects our current approach to managing our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Operations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Revenues(c)</w:t>
            </w:r>
          </w:p>
        </w:tc>
        <w:tc>
          <w:tcPr>
            <w:tcW w:w="12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Revenues(d)</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(d),(e),(f)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2007</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Eastern</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Southern</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923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Wheelabrator</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Other(a)</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Corporate and Other(b)</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September 30, 2006</w:t>
            </w:r>
          </w:p>
        </w:tc>
        <w:tc>
          <w:tcPr>
            <w:tcW w:w="2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Midwest</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787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Western</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890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WMRA</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Other(a)</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3,441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4,069</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3,441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20" w:type="dxa"/>
            <w:vAlign w:val="bottom"/>
          </w:tcPr>
          <w:p>
            <w:pPr>
              <w:jc w:val="right"/>
              <w:ind w:right="74"/>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-2836545</wp:posOffset>
            </wp:positionV>
            <wp:extent cx="3111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Income from</w:t>
            </w: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1"/>
                <w:szCs w:val="11"/>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Operations</w:t>
            </w:r>
          </w:p>
        </w:tc>
        <w:tc>
          <w:tcPr>
            <w:tcW w:w="0" w:type="dxa"/>
            <w:vAlign w:val="bottom"/>
          </w:tcPr>
          <w:p>
            <w:pPr>
              <w:spacing w:after="0"/>
              <w:rPr>
                <w:sz w:val="1"/>
                <w:szCs w:val="1"/>
                <w:color w:val="auto"/>
              </w:rPr>
            </w:pPr>
          </w:p>
        </w:tc>
      </w:tr>
      <w:tr>
        <w:trPr>
          <w:trHeight w:val="157"/>
        </w:trPr>
        <w:tc>
          <w:tcPr>
            <w:tcW w:w="5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Revenues(c)</w:t>
            </w:r>
          </w:p>
        </w:tc>
        <w:tc>
          <w:tcPr>
            <w:tcW w:w="12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Revenues(d)</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(d),(e),(f)</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September 30, 2007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2,480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WMRA</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Other(a)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(1,720)</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2,075</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Corporate and Other(b)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b w:val="1"/>
                <w:bCs w:val="1"/>
                <w:color w:val="auto"/>
              </w:rPr>
              <w:t>September 30, 2006</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1,870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WMRA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11,943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(1,863)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10,080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11,943</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(1,863)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10,080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-2395855</wp:posOffset>
            </wp:positionV>
            <wp:extent cx="3111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p>
    <w:p>
      <w:pPr>
        <w:ind w:left="1180" w:right="40" w:hanging="493"/>
        <w:spacing w:after="0" w:line="285" w:lineRule="auto"/>
        <w:tabs>
          <w:tab w:leader="none" w:pos="11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“Other” net operating revenues and “Other” income from operations include the effects of those elements of our in-plant services, methane gas recovery and third party sub-contract and administration revenues managed by our Renewable Energy, National Accounts and Upstream organizations that are not included with the operations of our reportable segments. In addition, our “Other” income from operations reflect the impacts of (i) non-operating entities that provide financial assurance and self-insurance support for the operating Groups or financing for our Canadian operations; and (ii) certain quarter-end adjustments recorded in consolidation related to the reportable segments that, due to timing, were not included in the measure of segment profit or loss used to assess their performance for the periods disclosed.</w:t>
      </w:r>
    </w:p>
    <w:p>
      <w:pPr>
        <w:spacing w:after="0" w:line="6" w:lineRule="exact"/>
        <w:rPr>
          <w:rFonts w:ascii="Arial" w:cs="Arial" w:eastAsia="Arial" w:hAnsi="Arial"/>
          <w:sz w:val="12"/>
          <w:szCs w:val="12"/>
          <w:color w:val="auto"/>
        </w:rPr>
      </w:pPr>
    </w:p>
    <w:p>
      <w:pPr>
        <w:jc w:val="both"/>
        <w:ind w:left="1180" w:right="220" w:hanging="493"/>
        <w:spacing w:after="0" w:line="264" w:lineRule="auto"/>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functions, treasury, legal, information technology, tax, insurance, centralized service center processes, other administrative functions and the maintenance of our closed landfills. Income from operations for “Corporate and Other” also includes costs associated with our long-term incentive program.</w:t>
      </w:r>
    </w:p>
    <w:p>
      <w:pPr>
        <w:spacing w:after="0" w:line="17" w:lineRule="exact"/>
        <w:rPr>
          <w:rFonts w:ascii="Arial" w:cs="Arial" w:eastAsia="Arial" w:hAnsi="Arial"/>
          <w:sz w:val="13"/>
          <w:szCs w:val="13"/>
          <w:color w:val="auto"/>
        </w:rPr>
      </w:pPr>
    </w:p>
    <w:p>
      <w:pPr>
        <w:ind w:left="1180" w:right="160" w:hanging="493"/>
        <w:spacing w:after="0" w:line="276" w:lineRule="auto"/>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07" w:lineRule="exact"/>
        <w:rPr>
          <w:sz w:val="20"/>
          <w:szCs w:val="20"/>
          <w:color w:val="auto"/>
        </w:rPr>
      </w:pPr>
    </w:p>
    <w:p>
      <w:pPr>
        <w:ind w:left="1180" w:right="240" w:hanging="493"/>
        <w:spacing w:after="0" w:line="276" w:lineRule="auto"/>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w:t>
      </w:r>
    </w:p>
    <w:p>
      <w:pPr>
        <w:spacing w:after="0" w:line="10" w:lineRule="exact"/>
        <w:rPr>
          <w:rFonts w:ascii="Arial" w:cs="Arial" w:eastAsia="Arial" w:hAnsi="Arial"/>
          <w:sz w:val="13"/>
          <w:szCs w:val="13"/>
          <w:color w:val="auto"/>
        </w:rPr>
      </w:pPr>
    </w:p>
    <w:p>
      <w:pPr>
        <w:ind w:left="1180" w:right="40"/>
        <w:spacing w:after="0" w:line="256" w:lineRule="auto"/>
        <w:rPr>
          <w:rFonts w:ascii="Arial" w:cs="Arial" w:eastAsia="Arial" w:hAnsi="Arial"/>
          <w:sz w:val="13"/>
          <w:szCs w:val="13"/>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3" w:lineRule="exact"/>
        <w:rPr>
          <w:rFonts w:ascii="Arial" w:cs="Arial" w:eastAsia="Arial" w:hAnsi="Arial"/>
          <w:sz w:val="13"/>
          <w:szCs w:val="13"/>
          <w:color w:val="auto"/>
        </w:rPr>
      </w:pPr>
    </w:p>
    <w:p>
      <w:pPr>
        <w:jc w:val="both"/>
        <w:ind w:left="1180" w:right="120" w:hanging="493"/>
        <w:spacing w:after="0" w:line="258" w:lineRule="auto"/>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have historically been higher than the margins provided by our base business generally due to the combined impact of long-term disposal and energy contracts and the disposal demands of the regions in which our facilities are concentrated. Income from operations provided by WMRA generally reflects operating margins typical of the recycling industry, which tend to be significantly lower than those provided by our base business.</w:t>
      </w:r>
    </w:p>
    <w:p>
      <w:pPr>
        <w:spacing w:after="0" w:line="22" w:lineRule="exact"/>
        <w:rPr>
          <w:rFonts w:ascii="Arial" w:cs="Arial" w:eastAsia="Arial" w:hAnsi="Arial"/>
          <w:sz w:val="13"/>
          <w:szCs w:val="13"/>
          <w:color w:val="auto"/>
        </w:rPr>
      </w:pPr>
    </w:p>
    <w:p>
      <w:pPr>
        <w:ind w:left="1180"/>
        <w:spacing w:after="0" w:line="279" w:lineRule="auto"/>
        <w:rPr>
          <w:rFonts w:ascii="Arial" w:cs="Arial" w:eastAsia="Arial" w:hAnsi="Arial"/>
          <w:sz w:val="13"/>
          <w:szCs w:val="13"/>
          <w:color w:val="auto"/>
        </w:rPr>
      </w:pPr>
      <w:r>
        <w:rPr>
          <w:rFonts w:ascii="Arial" w:cs="Arial" w:eastAsia="Arial" w:hAnsi="Arial"/>
          <w:sz w:val="12"/>
          <w:szCs w:val="12"/>
          <w:color w:val="auto"/>
        </w:rPr>
        <w:t>From time to time the operating results of our reportable segments are significantly affected by unusual or infrequent transactions or events. The operating results of our Eastern Group for the three and nine months ended September 30, 2007 were improved by $3 million and $18 million, respectively, due to the favorable resolution of a disposal tax matter, which has been recognized as reductions to disposal fees and taxes within our “Operating” expenses. Our Wheelabrator Group’s income from operations for the first quarter of 2007 was negatively affected by approximately $21 million of charges incurred for the early termination of a lease agreement in connection with the purchase of one of our independent power production plants. This charge was recorded as “Operating” expenses. During the third quarter of 2007, the operating results of our Western Group were negatively affected by $26 million, principally for increased “Operating” expenses, due to a labor dispute in Oakland, California and, to a much lesser extent, the management of collective bargaining agreements in other parts of California. Costs incurred were largely related to security efforts and the deployment and lodging costs incurred for replacement workers who were brought to Oakland from across the organization. Refer to Note 12 for an explanation of additional non-recurring transactions and events affecting the operating results of our reportable segments for the three and nine months ended September 30, 2007 and 2006.</w:t>
      </w:r>
    </w:p>
    <w:p>
      <w:pPr>
        <w:spacing w:after="0" w:line="11" w:lineRule="exact"/>
        <w:rPr>
          <w:rFonts w:ascii="Arial" w:cs="Arial" w:eastAsia="Arial" w:hAnsi="Arial"/>
          <w:sz w:val="13"/>
          <w:szCs w:val="13"/>
          <w:color w:val="auto"/>
        </w:rPr>
      </w:pPr>
    </w:p>
    <w:p>
      <w:pPr>
        <w:ind w:left="1180" w:right="280" w:hanging="493"/>
        <w:spacing w:after="0" w:line="276" w:lineRule="auto"/>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our segments are the same as those described in the summary of significant accounting policies included in our Form 10-K for the year ended December 31, 2006.</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total revenues contributed by our principal lines of business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13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6,524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6,661</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789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838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2,300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2,422</w:t>
            </w:r>
          </w:p>
        </w:tc>
      </w:tr>
      <w:tr>
        <w:trPr>
          <w:trHeight w:val="157"/>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222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649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677</w:t>
            </w:r>
          </w:p>
        </w:tc>
      </w:tr>
      <w:tr>
        <w:trPr>
          <w:trHeight w:val="157"/>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and other(a)</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Intercompany(b)</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(583)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(1,720)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(1,863)</w:t>
            </w:r>
          </w:p>
        </w:tc>
      </w:tr>
      <w:tr>
        <w:trPr>
          <w:trHeight w:val="20"/>
        </w:trPr>
        <w:tc>
          <w:tcPr>
            <w:tcW w:w="1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9,949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10,080</w:t>
            </w:r>
          </w:p>
        </w:tc>
      </w:tr>
      <w:tr>
        <w:trPr>
          <w:trHeight w:val="108"/>
        </w:trPr>
        <w:tc>
          <w:tcPr>
            <w:tcW w:w="130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400" w:hanging="493"/>
        <w:spacing w:after="0" w:line="276" w:lineRule="auto"/>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addition to the revenue generated by WMRA, we have included recycling revenues generated within our four geographic operating Groups, in-plant services, methane gas operations, Port-O-Let</w:t>
      </w:r>
      <w:r>
        <w:rPr>
          <w:rFonts w:ascii="Arial" w:cs="Arial" w:eastAsia="Arial" w:hAnsi="Arial"/>
          <w:sz w:val="11"/>
          <w:szCs w:val="11"/>
          <w:color w:val="auto"/>
        </w:rPr>
        <w:t>®</w:t>
      </w:r>
      <w:r>
        <w:rPr>
          <w:rFonts w:ascii="Arial" w:cs="Arial" w:eastAsia="Arial" w:hAnsi="Arial"/>
          <w:sz w:val="13"/>
          <w:szCs w:val="13"/>
          <w:color w:val="auto"/>
        </w:rPr>
        <w:t xml:space="preserve"> services and street and parking lot sweeping services in the “recycling and other” line-of-business.</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Condensed Consolidated Financial Statements included herein.</w:t>
      </w:r>
    </w:p>
    <w:p>
      <w:pPr>
        <w:spacing w:after="0" w:line="171" w:lineRule="exact"/>
        <w:rPr>
          <w:sz w:val="20"/>
          <w:szCs w:val="20"/>
          <w:color w:val="auto"/>
        </w:rPr>
      </w:pPr>
    </w:p>
    <w:p>
      <w:pPr>
        <w:ind w:left="1180" w:hanging="493"/>
        <w:spacing w:after="0"/>
        <w:tabs>
          <w:tab w:leader="none" w:pos="118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180" w:firstLine="399"/>
        <w:spacing w:after="0" w:line="280" w:lineRule="auto"/>
        <w:rPr>
          <w:sz w:val="20"/>
          <w:szCs w:val="20"/>
          <w:color w:val="auto"/>
        </w:rPr>
      </w:pPr>
      <w:r>
        <w:rPr>
          <w:rFonts w:ascii="Arial" w:cs="Arial" w:eastAsia="Arial" w:hAnsi="Arial"/>
          <w:sz w:val="12"/>
          <w:szCs w:val="12"/>
          <w:i w:val="1"/>
          <w:iCs w:val="1"/>
          <w:color w:val="auto"/>
        </w:rPr>
        <w:t xml:space="preserve">(Income) expense from divestitures (including held-for-sale impairments) </w:t>
      </w:r>
      <w:r>
        <w:rPr>
          <w:rFonts w:ascii="Arial" w:cs="Arial" w:eastAsia="Arial" w:hAnsi="Arial"/>
          <w:sz w:val="12"/>
          <w:szCs w:val="12"/>
          <w:color w:val="auto"/>
        </w:rPr>
        <w:t>— We recognized $44 million of net gains from divestitures during the nine months ended September 30,</w:t>
      </w:r>
      <w:r>
        <w:rPr>
          <w:rFonts w:ascii="Arial" w:cs="Arial" w:eastAsia="Arial" w:hAnsi="Arial"/>
          <w:sz w:val="12"/>
          <w:szCs w:val="12"/>
          <w:i w:val="1"/>
          <w:iCs w:val="1"/>
          <w:color w:val="auto"/>
        </w:rPr>
        <w:t xml:space="preserve"> </w:t>
      </w:r>
      <w:r>
        <w:rPr>
          <w:rFonts w:ascii="Arial" w:cs="Arial" w:eastAsia="Arial" w:hAnsi="Arial"/>
          <w:sz w:val="12"/>
          <w:szCs w:val="12"/>
          <w:color w:val="auto"/>
        </w:rPr>
        <w:t>2007. We recognized $9 million of net gains from divestitures during the first quarter of 2007 that were primarily related to collection and disposal operations in our Southern Group;</w:t>
      </w:r>
    </w:p>
    <w:p>
      <w:pPr>
        <w:ind w:left="680" w:right="20"/>
        <w:spacing w:after="0" w:line="258" w:lineRule="auto"/>
        <w:rPr>
          <w:sz w:val="20"/>
          <w:szCs w:val="20"/>
          <w:color w:val="auto"/>
        </w:rPr>
      </w:pPr>
      <w:r>
        <w:rPr>
          <w:rFonts w:ascii="Arial" w:cs="Arial" w:eastAsia="Arial" w:hAnsi="Arial"/>
          <w:sz w:val="13"/>
          <w:szCs w:val="13"/>
          <w:color w:val="auto"/>
        </w:rPr>
        <w:t>$33 million of net gains from divestitures during the second quarter of 2007 that were primarily related to collection and transfer operations in our Eastern Group, collection operations in our Western Group and WMRA operations; and $2 million of net gains from divestitures during the third quarter of 2007. Total proceeds from divestitures completed during the nine months ended September 30, 2007 were $186 million, which were primarily received in cash.</w:t>
      </w:r>
    </w:p>
    <w:p>
      <w:pPr>
        <w:spacing w:after="0" w:line="71"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During the three months ended September 30, 2006, we recognized $8 million of net losses from divestiture related activity, which was driven by our WMRA Group. During the nine months ended September 30, 2006, we recognized $21 million of net gains from divestitures, which were a result of $39 million of gains related to the divestiture of certain operations, principally in our Western Group, offset by $18 million of held-for-sale impairment charges, principally in our Eastern Group. The impairment charges were required to reduce the carrying value of the operations to their estimated fair value less the cost to sell in accordance with the provisions of SFAS No. 144, </w:t>
      </w:r>
      <w:r>
        <w:rPr>
          <w:rFonts w:ascii="Arial" w:cs="Arial" w:eastAsia="Arial" w:hAnsi="Arial"/>
          <w:sz w:val="11"/>
          <w:szCs w:val="11"/>
          <w:i w:val="1"/>
          <w:iCs w:val="1"/>
          <w:color w:val="auto"/>
        </w:rPr>
        <w:t>Accounting for the Impairment or Disposal of Long-Lived Assets</w:t>
      </w:r>
      <w:r>
        <w:rPr>
          <w:rFonts w:ascii="Arial" w:cs="Arial" w:eastAsia="Arial" w:hAnsi="Arial"/>
          <w:sz w:val="11"/>
          <w:szCs w:val="11"/>
          <w:color w:val="auto"/>
        </w:rPr>
        <w:t>, for assets to be disposed of by sale. Total proceeds from divestitures completed during the nine months ended September 30, 2006 were $159 million, all of which were received in cash.</w:t>
      </w:r>
    </w:p>
    <w:p>
      <w:pPr>
        <w:spacing w:after="0" w:line="4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the nine months ended September 30, 2007, we have recognized $11 million in impairment charges for our landfill line of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These charges are principally due to impairments recognized during the first quarter of 2007 for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third quarter of 2006, we recorded impairment charges of $10 million related to operations in our Recycling and Southern Groups.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September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11,162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9,541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10,263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(19,804)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(19,834)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3,826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4,317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8,970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5,932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9,371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10,311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(19,682)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10,249</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(19,834)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24</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4,357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10,295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8,377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9,193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(17,570)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Three Months Ended September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Costs and expenses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income (expense):</w:t>
            </w:r>
          </w:p>
        </w:tc>
        <w:tc>
          <w:tcPr>
            <w:tcW w:w="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and other, net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251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251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$ 278</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6520" w:type="dxa"/>
            <w:vAlign w:val="bottom"/>
            <w:gridSpan w:val="8"/>
          </w:tcPr>
          <w:p>
            <w:pPr>
              <w:jc w:val="center"/>
              <w:ind w:left="3414"/>
              <w:spacing w:after="0"/>
              <w:rPr>
                <w:sz w:val="20"/>
                <w:szCs w:val="20"/>
                <w:color w:val="auto"/>
              </w:rPr>
            </w:pPr>
            <w:r>
              <w:rPr>
                <w:rFonts w:ascii="Arial" w:cs="Arial" w:eastAsia="Arial" w:hAnsi="Arial"/>
                <w:sz w:val="13"/>
                <w:szCs w:val="13"/>
                <w:b w:val="1"/>
                <w:bCs w:val="1"/>
                <w:color w:val="auto"/>
                <w:w w:val="91"/>
              </w:rPr>
              <w:t>Three Months Ended September 30, 2006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60" w:type="dxa"/>
            <w:vAlign w:val="bottom"/>
            <w:gridSpan w:val="4"/>
          </w:tcPr>
          <w:p>
            <w:pPr>
              <w:jc w:val="center"/>
              <w:ind w:left="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Costs and expenses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income (expense):</w:t>
            </w:r>
          </w:p>
        </w:tc>
        <w:tc>
          <w:tcPr>
            <w:tcW w:w="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and other, net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274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$ 300</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(705)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8,270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 income (expense):</w:t>
            </w:r>
          </w:p>
        </w:tc>
        <w:tc>
          <w:tcPr>
            <w:tcW w:w="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w w:val="90"/>
              </w:rPr>
              <w:t>Equity in net earnings (losses) of unconsolidated entities and other, net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1,517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854</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90"/>
              </w:rPr>
              <w:t>Nine Months Ended September 30, 2006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60" w:type="dxa"/>
            <w:vAlign w:val="bottom"/>
            <w:gridSpan w:val="4"/>
          </w:tcPr>
          <w:p>
            <w:pPr>
              <w:jc w:val="center"/>
              <w:ind w:left="4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 income (expense):</w:t>
            </w:r>
          </w:p>
        </w:tc>
        <w:tc>
          <w:tcPr>
            <w:tcW w:w="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(2,117)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w w:val="90"/>
              </w:rPr>
              <w:t>Equity in net earnings (losses) of unconsolidated entities and other, net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(2,117)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903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(2,117)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6"/>
              <w:spacing w:after="0"/>
              <w:rPr>
                <w:sz w:val="20"/>
                <w:szCs w:val="20"/>
                <w:color w:val="auto"/>
              </w:rPr>
            </w:pPr>
            <w:r>
              <w:rPr>
                <w:rFonts w:ascii="Arial" w:cs="Arial" w:eastAsia="Arial" w:hAnsi="Arial"/>
                <w:sz w:val="13"/>
                <w:szCs w:val="13"/>
                <w:color w:val="auto"/>
                <w:w w:val="82"/>
              </w:rPr>
              <w:t>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854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994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(2,019)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(994)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(1,025)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1,016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2,041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(721)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0"/>
              </w:rPr>
              <w:t>Proceeds from divestitures of businesses (net of cash divested) and other sales of assets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(used in) investing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(606)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(1,059)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1,303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(1,378)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(1,574)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567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(30)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2006</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903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1,039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1,078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(2,117)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(1,039)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(1,078)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1,006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2,084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0"/>
              </w:rPr>
              <w:t>Proceeds from divestitures of businesses (net of cash divested) and other sales of assets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(2,381)</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investing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(236)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(934)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1,345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(1,350)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(1,525)</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817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it will affect our current accounting policies and procedures and our financial statements. Although we do not currently expect the adoption of SFAS No. 157 to have a material impact on our consolidated financial statements, we are continuing to assess the potential effects of SFAS No. 157 as additional guidance becomes available.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159 — Fair Value Option for Financial Assets and Financial Liabilities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Fair Value Option for Financial Assets and Financial Liabilities</w:t>
      </w:r>
      <w:r>
        <w:rPr>
          <w:rFonts w:ascii="Arial" w:cs="Arial" w:eastAsia="Arial" w:hAnsi="Arial"/>
          <w:sz w:val="13"/>
          <w:szCs w:val="13"/>
          <w:color w:val="auto"/>
        </w:rPr>
        <w:t xml:space="preserve"> — </w:t>
      </w:r>
      <w:r>
        <w:rPr>
          <w:rFonts w:ascii="Arial" w:cs="Arial" w:eastAsia="Arial" w:hAnsi="Arial"/>
          <w:sz w:val="13"/>
          <w:szCs w:val="13"/>
          <w:i w:val="1"/>
          <w:iCs w:val="1"/>
          <w:color w:val="auto"/>
        </w:rPr>
        <w:t>Including an amendment of FASB Statement No. 115</w:t>
      </w:r>
      <w:r>
        <w:rPr>
          <w:rFonts w:ascii="Arial" w:cs="Arial" w:eastAsia="Arial" w:hAnsi="Arial"/>
          <w:sz w:val="13"/>
          <w:szCs w:val="13"/>
          <w:color w:val="auto"/>
        </w:rPr>
        <w:t>, which permits entities to choose to measure many financial instruments and certain other items at fair value. If elected, SFAS No. 159 is effective beginning January 1, 2008. We are currently in the process of assessing the provisions of SFAS No. 159 and determining how the elective application of these fair value measurements would affect our current accounting policies and procedures. We have not determined whether we will elect to measure items subject to SFAS No. 159 at fair value and, as a result, have not assessed any potential impacts of adoption on our consolidated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that we believe could affect our business and financial statements for 2007 and beyond include the following:</w:t>
      </w:r>
    </w:p>
    <w:p>
      <w:pPr>
        <w:spacing w:after="0" w:line="96" w:lineRule="exact"/>
        <w:rPr>
          <w:sz w:val="20"/>
          <w:szCs w:val="20"/>
          <w:color w:val="auto"/>
        </w:rPr>
      </w:pPr>
    </w:p>
    <w:p>
      <w:pPr>
        <w:ind w:left="12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w:t>
      </w:r>
    </w:p>
    <w:p>
      <w:pPr>
        <w:spacing w:after="0" w:line="86"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such as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weather conditions cause our quarter-to-quarter results to fluctuate, and extremely harsh weather or natural disasters may cause us to temporarily shut down operations;</w:t>
      </w:r>
    </w:p>
    <w:p>
      <w:pPr>
        <w:spacing w:after="0" w:line="97" w:lineRule="exact"/>
        <w:rPr>
          <w:rFonts w:ascii="Arial" w:cs="Arial" w:eastAsia="Arial" w:hAnsi="Arial"/>
          <w:sz w:val="12"/>
          <w:szCs w:val="12"/>
          <w:color w:val="auto"/>
        </w:rPr>
      </w:pPr>
    </w:p>
    <w:p>
      <w:pPr>
        <w:ind w:left="1280" w:right="1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inflation and resulting higher interest rates as well as other general and local economic conditions may negatively affect the volumes of waste generated, our financing costs and other expenses;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possible changes in our estimates of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regarding the disposal of waste, can increase our expenses and reduce our revenues;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including our tax expense if Section 45K credits are phased out due to continued high crude oil prices, or restrict our ability to operate;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increased costs to obtain financial assurance or the inadequacy of our insurance coverages could negatively impact our liquidity and increase our liabilities;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fluctuating commodity prices may have negative effects on our operating revenues and expenses;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may decrease our efficiencies and increase our costs to operate;</w:t>
      </w:r>
    </w:p>
    <w:p>
      <w:pPr>
        <w:spacing w:after="0" w:line="49"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These are not the only risks that we face. There may be other risks that we do not presently know or that we currently believe are immaterial that could also impair our business and financial position.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53"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(which includes our waste-to-energy facilities and independent power production plants, or IPPs) and Waste Management Recycle America, or WMRA, Groups. These six operating Groups are our reportable segments.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Earnings Growth and Margin Expansion — </w:t>
      </w:r>
      <w:r>
        <w:rPr>
          <w:rFonts w:ascii="Arial" w:cs="Arial" w:eastAsia="Arial" w:hAnsi="Arial"/>
          <w:sz w:val="13"/>
          <w:szCs w:val="13"/>
          <w:color w:val="auto"/>
        </w:rPr>
        <w:t>Our operating results for the third quarter of 2007 continue to reflect our progress in earnings growth and margin expansion as a result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strength of our pricing, cost control and fix-or-sell initiatives. Our income from operations for the third quarter of 2007 was $565 million as compared with $557 million for the third quarter of 2006. Income from operations as a percentage of revenue for the third quarter of 2007 was 16.6% as compared with 16.2% in the prior year period. For the three months ended September 30, 2007, our revenues decreased by $38 million, or 1.1%, as compared with the prior year period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2" w:lineRule="auto"/>
        <w:rPr>
          <w:sz w:val="20"/>
          <w:szCs w:val="20"/>
          <w:color w:val="auto"/>
        </w:rPr>
      </w:pPr>
      <w:r>
        <w:rPr>
          <w:rFonts w:ascii="Arial" w:cs="Arial" w:eastAsia="Arial" w:hAnsi="Arial"/>
          <w:sz w:val="12"/>
          <w:szCs w:val="12"/>
          <w:color w:val="auto"/>
        </w:rPr>
        <w:t>primarily as a result of lower volumes and divestitures, offset in part by increased yield from base business and higher commodity prices. The loss of volumes in 2007 has resulted primarily from shedding low margin or unprofitable customers and a significant slowdown in residential construction across the United States, which is affecting our industrial collection operations and our construction and demolition disposal operations. Despite the current period costs incurred for labor disputes, which are discussed below, our operating expenses for the quarter decreased by $38 million, or 1.7%, and as a percentage of revenue, operating expenses decreased to 63.0% from 63.4% in the prior year period. Selling, general and administrative expenses increased by $21 million, or 6.1%, but these increases were primarily a result of salary and wage increases and continued costs associated with our implementation and execution of strategic initiatives to improve operations and processes, including costs for the support and development of our new revenue management system.</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Labor Disputes — </w:t>
      </w:r>
      <w:r>
        <w:rPr>
          <w:rFonts w:ascii="Arial" w:cs="Arial" w:eastAsia="Arial" w:hAnsi="Arial"/>
          <w:sz w:val="13"/>
          <w:szCs w:val="13"/>
          <w:color w:val="auto"/>
        </w:rPr>
        <w:t>The Company’s collective bargaining agreement with the Teamsters Local 70 (the “Union”) in Oakland, California expired on June 30, 2007. Prior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expiration of the agreement, the Union had declined to accept the Company’s proposals and negotiations had stalled. Without an agreement in place, the Company determined it necessary to bring workers from other market areas to its Oakland facilities, instructed Union members not to report to work and implemented the contingency plan it has in place in the case of labor disputes. On July 28, 2007, a new collective bargaining agreement was ratified by Union members, who reported to work on July 29, 2007. This labor dispute negatively affected the income from operations of the Company’s Western Group by $25 million for the three months ended September 30, 2007 and $28 million for the nine months ended September 30, 2007. These impacts were largely due to increased “Operating” expenses, which were primarily related to security efforts and the deployment and lodging costs incurred for the Company’s replacement workers who were brought to Oakland from across the organization.</w:t>
      </w:r>
    </w:p>
    <w:p>
      <w:pPr>
        <w:spacing w:after="0" w:line="7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Western Group incurred an additional $1 million of “Operating” expenses during the three months ended September 30, 2007 in connection with a labor dispute in Los Angeles, California. We currently expect that our “Operating” expenses for the fourth quarter of 2007 will be higher than normal due to the increased security and travel costs that will likely be incurred to ensure that our customers receive uninterrupted service until we are able to resolve this matter.</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Free Cash Flow </w:t>
      </w:r>
      <w:r>
        <w:rPr>
          <w:rFonts w:ascii="Arial" w:cs="Arial" w:eastAsia="Arial" w:hAnsi="Arial"/>
          <w:sz w:val="13"/>
          <w:szCs w:val="13"/>
          <w:color w:val="auto"/>
        </w:rPr>
        <w:t>— We have included free cash flow, which is a non-GAAP measure of liquidity, in our disclosures because we use this measure in the evaluation and management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our business and believe it is indicative of our ability to pay our quarterly dividends, repurchase our common stock and fund acquisitions. Free cash flow is not intended to replace the GAAP measure of “Net cash provided by operating activities.” However, by subtracting cash used for capital expenditures and adding the cash proceeds from divestitures and other asset sales, we believe free cash flow gives investors greater insight into our liquidity. The following table presents our free cash flow for the three and nine months ended September 30, 2007 and 2006 (in millions):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left="120"/>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51"/>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2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Pr>
          <w:p>
            <w:pPr>
              <w:spacing w:after="0"/>
              <w:rPr>
                <w:sz w:val="8"/>
                <w:szCs w:val="8"/>
                <w:color w:val="auto"/>
              </w:rPr>
            </w:pPr>
          </w:p>
        </w:tc>
        <w:tc>
          <w:tcPr>
            <w:tcW w:w="760" w:type="dxa"/>
            <w:vAlign w:val="bottom"/>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1,887</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Capital expenditures(a)</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(240)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(319)</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550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431</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1,360</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Refer to Note 1 of our Condensed Consolidated Financial Statements for information related to the reclassification of 2006 information to conform with our current presentation.</w:t>
      </w:r>
    </w:p>
    <w:p>
      <w:pPr>
        <w:spacing w:after="0" w:line="10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Free cash flow for the three months ended September 30, 2007 increased by $119 million, or 27.6%, when compared with the three months ended September 30, 2006 due to a $79 million decline in capital expenditures and a $64 million increase in net cash provided by operating activities, which were partially offset by a $24 million decrease in proceeds from divestitures. The decline in capital expenditures when comparing the three months ended September 30, 2007 with the prior year period is largely due to relatively high levels of fleet capital spending in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second half of 2006 in order to adequately prepare for any potential operational difficulties that could be encountered as a result of significant changes in heavy-duty truck engines beginning in January 2007. We generally use a significant portion of our free cash flow on capital spending in the fourth quarter, and currently expect our fourth quarter 2007 capital spending to reflect this trend. Operating cash flow for the three and nine months ended September 30, 2007 has been strong and continues to reflect our ability to generate the cash we need to support our ongoing capital requirements, scheduled debt repayments, our share repurchase program, dividend payments and acquisitions and other investments that will improve our current operations’ performance and enhance and expand our services.</w:t>
      </w:r>
    </w:p>
    <w:p>
      <w:pPr>
        <w:spacing w:after="0" w:line="71"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i w:val="1"/>
          <w:iCs w:val="1"/>
          <w:color w:val="auto"/>
        </w:rPr>
        <w:t xml:space="preserve">Technology Update </w:t>
      </w:r>
      <w:r>
        <w:rPr>
          <w:rFonts w:ascii="Arial" w:cs="Arial" w:eastAsia="Arial" w:hAnsi="Arial"/>
          <w:sz w:val="11"/>
          <w:szCs w:val="11"/>
          <w:color w:val="auto"/>
        </w:rPr>
        <w:t>— One element of the Company’s strategy has been to develop and implement technologies and systems that will enable us to achieve long-term cost savings and</w:t>
      </w:r>
      <w:r>
        <w:rPr>
          <w:rFonts w:ascii="Arial" w:cs="Arial" w:eastAsia="Arial" w:hAnsi="Arial"/>
          <w:sz w:val="11"/>
          <w:szCs w:val="11"/>
          <w:i w:val="1"/>
          <w:iCs w:val="1"/>
          <w:color w:val="auto"/>
        </w:rPr>
        <w:t xml:space="preserve"> </w:t>
      </w:r>
      <w:r>
        <w:rPr>
          <w:rFonts w:ascii="Arial" w:cs="Arial" w:eastAsia="Arial" w:hAnsi="Arial"/>
          <w:sz w:val="11"/>
          <w:szCs w:val="11"/>
          <w:color w:val="auto"/>
        </w:rPr>
        <w:t>efficiencies. This includes a new revenue management system that was piloted in one of our market areas earlier in 2007, while the rest of our market areas continue using our existing revenue management system. The pilot has identified issues with the software that have delayed final development and implementation of the system. Based on this information, we are currently evaluating the overall effectiveness of the software portion of the system and re-examining our implementation plan. The delay in a Company-wide deployment of a new system will impact the timing of achieving any expected benefits and changes in our implementation plans may result in cost increases, both of which could negatively affect our future margins.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Accounting Change — </w:t>
      </w:r>
      <w:r>
        <w:rPr>
          <w:rFonts w:ascii="Arial" w:cs="Arial" w:eastAsia="Arial" w:hAnsi="Arial"/>
          <w:sz w:val="12"/>
          <w:szCs w:val="12"/>
          <w:color w:val="auto"/>
        </w:rPr>
        <w:t>Effective January 1, 2007, we adopted FIN 48 and FSP No. 48-1. FIN 48 prescribes a recognition threshold and measurement attribute for financial statement</w:t>
      </w:r>
      <w:r>
        <w:rPr>
          <w:rFonts w:ascii="Arial" w:cs="Arial" w:eastAsia="Arial" w:hAnsi="Arial"/>
          <w:sz w:val="12"/>
          <w:szCs w:val="12"/>
          <w:i w:val="1"/>
          <w:iCs w:val="1"/>
          <w:color w:val="auto"/>
        </w:rPr>
        <w:t xml:space="preserve"> </w:t>
      </w:r>
      <w:r>
        <w:rPr>
          <w:rFonts w:ascii="Arial" w:cs="Arial" w:eastAsia="Arial" w:hAnsi="Arial"/>
          <w:sz w:val="12"/>
          <w:szCs w:val="12"/>
          <w:color w:val="auto"/>
        </w:rPr>
        <w:t>recognition and measurement of tax positions taken or expected to be taken in tax returns. In addition, FIN 48 provides guidance on the de-recognition, classification and disclosure of tax positions, as well as the accounting for related interest and penalties. FSP No. 48-1 provides guidance associated with the criteria that must be evaluated in determining if a tax position has been effectively settled and should be recognized as a tax benefit. Refer to Note 1 of our Condensed Consolidated Financial Statements for additional information related to the impact of the implementation of these new accounting pronouncements on our results of operations and financial position.</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Reclassification of Cash Flow Information </w:t>
      </w:r>
      <w:r>
        <w:rPr>
          <w:rFonts w:ascii="Arial" w:cs="Arial" w:eastAsia="Arial" w:hAnsi="Arial"/>
          <w:sz w:val="13"/>
          <w:szCs w:val="13"/>
          <w:color w:val="auto"/>
        </w:rPr>
        <w:t>— Our 2006 Consolidated Statement of Cash Flows, as reported in the 2006 Annual Report on Form 10-K, included the effect of a 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classification of cash flows to exclude accrued capital spending from our reported capital expenditures and changes in accounts payable and accrued liabilities. Because this change was incorporated into our cash flow reporting processes for the first time in the fourth quarter of 2006, we have made reclassifications to our interim 2006 Condensed Consolidated Statements of Cash Flows included within our 2007 Quarterly Reports on Form 10-Q to conform with our current approach.</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Reclassification of Segment Information </w:t>
      </w:r>
      <w:r>
        <w:rPr>
          <w:rFonts w:ascii="Arial" w:cs="Arial" w:eastAsia="Arial" w:hAnsi="Arial"/>
          <w:sz w:val="13"/>
          <w:szCs w:val="13"/>
          <w:color w:val="auto"/>
        </w:rPr>
        <w:t>— In the first quarter of 2007, we realigned our Eastern, Midwest and Western Group organizations to facilitate improved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operating revenues for the three and nine months ended September 30, 2007 were $3.4 billion and $9.9 billion, respectively, compared with $3.4 billion and $10.1 billion for the three and nine months ended September 30, 2006, respectively. Shown below (in millions) is the contribution to revenues during each period provided by our six operating Groups and our other waste services: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2,480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779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787</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2,232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2,261</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2,770</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893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890</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2,627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2,628</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677</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WMRA</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693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580</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Intercompany</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(583)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(1,720)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(1,863)</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9,949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10,080</w:t>
            </w:r>
          </w:p>
        </w:tc>
      </w:tr>
      <w:tr>
        <w:trPr>
          <w:trHeight w:val="29"/>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operating revenues generally come from fees charged for our collection, disposal, transfer, Wheelabrator and recycling services. Revenues from our disposal operations consist of tipping fees, which are generally based on the weight, volume and type of waste being disposed of at our disposal facilities. Fees charged at transfer stations are generally based on the volume of waste deposited, taking into account our cost of loading, transporting and disposing of the solid waste at a disposal site. Our Wheelabrator revenues are based on the type and volume of waste received at our waste-to-energy facilities and IPPs and fees charged for the sale of energy and steam. Recycling revenue, which is generated by WMRA as well as recycling operations embedded in the operations of our four geographic operating Groups, generally consists of the sale of recyclable commodities to third parties and tipping fees. Our “other” revenues include our in-plant services, methane gas operations, Port-O-Let</w:t>
      </w:r>
      <w:r>
        <w:rPr>
          <w:rFonts w:ascii="Arial" w:cs="Arial" w:eastAsia="Arial" w:hAnsi="Arial"/>
          <w:sz w:val="10"/>
          <w:szCs w:val="10"/>
          <w:color w:val="auto"/>
        </w:rPr>
        <w:t>®</w:t>
      </w:r>
      <w:r>
        <w:rPr>
          <w:rFonts w:ascii="Arial" w:cs="Arial" w:eastAsia="Arial" w:hAnsi="Arial"/>
          <w:sz w:val="12"/>
          <w:szCs w:val="12"/>
          <w:color w:val="auto"/>
        </w:rPr>
        <w:t xml:space="preserve"> services and street and parking lot sweeping services. Intercompany revenues between our operations have been eliminated in the consolidated financial statements. The mix of operating revenues from our different services is reflected in the table below (in millions):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6,524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6,661</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789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838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2,300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2,422</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222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649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677</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Intercompany</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(583)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(1,720)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(1,863)</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9,949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10,080</w:t>
            </w:r>
          </w:p>
        </w:tc>
      </w:tr>
      <w:tr>
        <w:trPr>
          <w:trHeight w:val="29"/>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decreases in revenues in our collection and transfer lines of business due to third-party volume declines have negatively affected the revenues in our landfill line of business. However, these volume declines generally have resulted in a decrease in intercompany revenues at our landfills and have not significantly affected the change in our net operating revenues for the landfill line of business for the periods presented. Changes in our third-party revenues when comparing the three and nine months ended September 30, 2007 and 2006 are discussed further in the following table and analysis.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39"/>
              <w:spacing w:after="0"/>
              <w:rPr>
                <w:sz w:val="20"/>
                <w:szCs w:val="20"/>
                <w:color w:val="auto"/>
              </w:rPr>
            </w:pPr>
            <w:r>
              <w:rPr>
                <w:rFonts w:ascii="Arial" w:cs="Arial" w:eastAsia="Arial" w:hAnsi="Arial"/>
                <w:sz w:val="10"/>
                <w:szCs w:val="10"/>
                <w:b w:val="1"/>
                <w:bCs w:val="1"/>
                <w:color w:val="auto"/>
                <w:w w:val="94"/>
              </w:rPr>
              <w:t>Period-to-Period</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39"/>
              <w:spacing w:after="0"/>
              <w:rPr>
                <w:sz w:val="20"/>
                <w:szCs w:val="20"/>
                <w:color w:val="auto"/>
              </w:rPr>
            </w:pPr>
            <w:r>
              <w:rPr>
                <w:rFonts w:ascii="Arial" w:cs="Arial" w:eastAsia="Arial" w:hAnsi="Arial"/>
                <w:sz w:val="10"/>
                <w:szCs w:val="10"/>
                <w:b w:val="1"/>
                <w:bCs w:val="1"/>
                <w:color w:val="auto"/>
                <w:w w:val="94"/>
              </w:rPr>
              <w:t>Period-to-Period</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9"/>
              <w:spacing w:after="0" w:line="108" w:lineRule="exact"/>
              <w:rPr>
                <w:sz w:val="20"/>
                <w:szCs w:val="20"/>
                <w:color w:val="auto"/>
              </w:rPr>
            </w:pPr>
            <w:r>
              <w:rPr>
                <w:rFonts w:ascii="Arial" w:cs="Arial" w:eastAsia="Arial" w:hAnsi="Arial"/>
                <w:sz w:val="10"/>
                <w:szCs w:val="10"/>
                <w:b w:val="1"/>
                <w:bCs w:val="1"/>
                <w:color w:val="auto"/>
                <w:w w:val="97"/>
              </w:rPr>
              <w:t>Three Months</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6"/>
              </w:rPr>
              <w:t>Nine Months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9"/>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9"/>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0"/>
                <w:szCs w:val="10"/>
                <w:b w:val="1"/>
                <w:bCs w:val="1"/>
                <w:color w:val="auto"/>
                <w:w w:val="94"/>
              </w:rPr>
              <w:t>2007 and 2006</w:t>
            </w:r>
          </w:p>
        </w:tc>
        <w:tc>
          <w:tcPr>
            <w:tcW w:w="2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0"/>
                <w:szCs w:val="10"/>
                <w:b w:val="1"/>
                <w:bCs w:val="1"/>
                <w:color w:val="auto"/>
                <w:w w:val="94"/>
              </w:rPr>
              <w:t>2007 and 2006</w:t>
            </w:r>
          </w:p>
        </w:tc>
        <w:tc>
          <w:tcPr>
            <w:tcW w:w="2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3"/>
                <w:szCs w:val="13"/>
                <w:color w:val="auto"/>
              </w:rPr>
              <w:t>3.3%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9"/>
              </w:rPr>
              <w:t>2.3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2.2</w:t>
            </w:r>
          </w:p>
        </w:tc>
        <w:tc>
          <w:tcPr>
            <w:tcW w:w="0" w:type="dxa"/>
            <w:vAlign w:val="bottom"/>
          </w:tcPr>
          <w:p>
            <w:pPr>
              <w:spacing w:after="0"/>
              <w:rPr>
                <w:sz w:val="1"/>
                <w:szCs w:val="1"/>
                <w:color w:val="auto"/>
              </w:rPr>
            </w:pPr>
          </w:p>
        </w:tc>
      </w:tr>
      <w:tr>
        <w:trPr>
          <w:trHeight w:val="157"/>
        </w:trPr>
        <w:tc>
          <w:tcPr>
            <w:tcW w:w="698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20" w:type="dxa"/>
            <w:vAlign w:val="bottom"/>
          </w:tcPr>
          <w:p>
            <w:pPr>
              <w:spacing w:after="0"/>
              <w:rPr>
                <w:sz w:val="13"/>
                <w:szCs w:val="13"/>
                <w:color w:val="auto"/>
              </w:rPr>
            </w:pPr>
          </w:p>
        </w:tc>
        <w:tc>
          <w:tcPr>
            <w:tcW w:w="880" w:type="dxa"/>
            <w:vAlign w:val="bottom"/>
            <w:gridSpan w:val="3"/>
          </w:tcPr>
          <w:p>
            <w:pPr>
              <w:jc w:val="right"/>
              <w:ind w:right="6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(0.1)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3"/>
                <w:szCs w:val="13"/>
                <w:color w:val="auto"/>
                <w:w w:val="99"/>
              </w:rPr>
              <w:t>5.5</w:t>
            </w: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5.5</w:t>
            </w:r>
          </w:p>
        </w:tc>
        <w:tc>
          <w:tcPr>
            <w:tcW w:w="0" w:type="dxa"/>
            <w:vAlign w:val="bottom"/>
          </w:tcPr>
          <w:p>
            <w:pPr>
              <w:spacing w:after="0"/>
              <w:rPr>
                <w:sz w:val="1"/>
                <w:szCs w:val="1"/>
                <w:color w:val="auto"/>
              </w:rPr>
            </w:pPr>
          </w:p>
        </w:tc>
      </w:tr>
      <w:tr>
        <w:trPr>
          <w:trHeight w:val="158"/>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w w:val="98"/>
              </w:rPr>
              <w:t>(169)</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w w:val="98"/>
              </w:rPr>
              <w:t>(466)</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(4.7)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3"/>
                <w:szCs w:val="13"/>
                <w:color w:val="auto"/>
                <w:w w:val="99"/>
              </w:rPr>
              <w:t>0.5</w:t>
            </w: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0.8</w:t>
            </w:r>
          </w:p>
        </w:tc>
        <w:tc>
          <w:tcPr>
            <w:tcW w:w="0" w:type="dxa"/>
            <w:vAlign w:val="bottom"/>
          </w:tcPr>
          <w:p>
            <w:pPr>
              <w:spacing w:after="0"/>
              <w:rPr>
                <w:sz w:val="1"/>
                <w:szCs w:val="1"/>
                <w:color w:val="auto"/>
              </w:rPr>
            </w:pPr>
          </w:p>
        </w:tc>
      </w:tr>
      <w:tr>
        <w:trPr>
          <w:trHeight w:val="158"/>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9"/>
              </w:rPr>
              <w:t>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0.2</w:t>
            </w:r>
          </w:p>
        </w:tc>
        <w:tc>
          <w:tcPr>
            <w:tcW w:w="0" w:type="dxa"/>
            <w:vAlign w:val="bottom"/>
          </w:tcPr>
          <w:p>
            <w:pPr>
              <w:spacing w:after="0"/>
              <w:rPr>
                <w:sz w:val="1"/>
                <w:szCs w:val="1"/>
                <w:color w:val="auto"/>
              </w:rPr>
            </w:pP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(2.4)</w:t>
            </w:r>
          </w:p>
        </w:tc>
        <w:tc>
          <w:tcPr>
            <w:tcW w:w="120" w:type="dxa"/>
            <w:vAlign w:val="bottom"/>
          </w:tcPr>
          <w:p>
            <w:pPr>
              <w:spacing w:after="0"/>
              <w:rPr>
                <w:sz w:val="13"/>
                <w:szCs w:val="13"/>
                <w:color w:val="auto"/>
              </w:rPr>
            </w:pP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w w:val="98"/>
              </w:rPr>
              <w:t>(249)</w:t>
            </w:r>
          </w:p>
        </w:tc>
        <w:tc>
          <w:tcPr>
            <w:tcW w:w="1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(2.5)</w:t>
            </w: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9"/>
              </w:rPr>
              <w:t>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8"/>
              </w:rPr>
              <w:t>(1.1)%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w w:val="98"/>
              </w:rPr>
              <w:t>(131)</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w w:val="88"/>
              </w:rPr>
              <w:t>(1.3)%</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Base Business </w:t>
      </w:r>
      <w:r>
        <w:rPr>
          <w:rFonts w:ascii="Arial" w:cs="Arial" w:eastAsia="Arial" w:hAnsi="Arial"/>
          <w:sz w:val="13"/>
          <w:szCs w:val="13"/>
          <w:color w:val="auto"/>
        </w:rPr>
        <w:t>— Yield on base business reflects the effect on our revenue from the pricing activities of our collection, transfer, disposal and waste-to-energy operations, exclusive of</w:t>
      </w:r>
      <w:r>
        <w:rPr>
          <w:rFonts w:ascii="Arial" w:cs="Arial" w:eastAsia="Arial" w:hAnsi="Arial"/>
          <w:sz w:val="13"/>
          <w:szCs w:val="13"/>
          <w:i w:val="1"/>
          <w:iCs w:val="1"/>
          <w:color w:val="auto"/>
        </w:rPr>
        <w:t xml:space="preserve"> </w:t>
      </w:r>
      <w:r>
        <w:rPr>
          <w:rFonts w:ascii="Arial" w:cs="Arial" w:eastAsia="Arial" w:hAnsi="Arial"/>
          <w:sz w:val="13"/>
          <w:szCs w:val="13"/>
          <w:color w:val="auto"/>
        </w:rPr>
        <w:t>volume changes. Revenue growth from base business yield includes not only price increases, but also (i) price decreases to retain customers; (ii) changes in average price from new and lost business; and (iii) certain average price changes related to the overall mix of services, which are due principally to the types of services provided and the geographic locations where our services are provided.</w:t>
      </w:r>
    </w:p>
    <w:p>
      <w:pPr>
        <w:spacing w:after="0" w:line="70" w:lineRule="exact"/>
        <w:rPr>
          <w:sz w:val="20"/>
          <w:szCs w:val="20"/>
          <w:color w:val="auto"/>
        </w:rPr>
      </w:pPr>
    </w:p>
    <w:p>
      <w:pPr>
        <w:ind w:left="680" w:right="220" w:firstLine="399"/>
        <w:spacing w:after="0" w:line="256" w:lineRule="auto"/>
        <w:rPr>
          <w:sz w:val="20"/>
          <w:szCs w:val="20"/>
          <w:color w:val="auto"/>
        </w:rPr>
      </w:pPr>
      <w:r>
        <w:rPr>
          <w:rFonts w:ascii="Arial" w:cs="Arial" w:eastAsia="Arial" w:hAnsi="Arial"/>
          <w:sz w:val="13"/>
          <w:szCs w:val="13"/>
          <w:color w:val="auto"/>
        </w:rPr>
        <w:t>When comparing the three and nine months ended September 30, 2007 with the comparable prior year periods, our pricing excellence initiative continues to be the primary contributor to our base business yield growth. The increases in base business yield were driven by our collection operations, which experienced substantial yield growth in all lines of business and in every geographic operating group primarily as a result of our continued focus on pricing our services based on market specific factors, including our costs. As discussed below, increased collection revenues due to pricing have been more than offset by revenue declines from lower collection volumes. We continue to find that, in spite of volume declines, increased yield on base business and a focus on controlling variable costs provide notable margin improvements in our collection line of business. In addition to the improvements in the collection line of business, we experienced increases in revenues from yield from our transfer stations and our special waste, municipal solid waste and construction and demolition waste streams at our landfills due to our pricing excellence initiative.</w:t>
      </w:r>
    </w:p>
    <w:p>
      <w:pPr>
        <w:spacing w:after="0" w:line="73"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For the three months ended September 30, 2007, we experienced a slight increase in revenue from yield at our waste-to-energy facilities. However, we experienced declines in revenue from yield when comparing the nine months ended September 30, 2007 with the same period of the prior year. The changes in revenue from yield provided by our waste-to-energy business are largely due to fluctuations in rates charged for electricity under our long-term contracts, which generally are indexed to natural gas prices.</w:t>
      </w:r>
    </w:p>
    <w:p>
      <w:pPr>
        <w:spacing w:after="0" w:line="5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Revenues from our environmental fee, which is included in base business yield, were $34 million and $87 million during the three and nine months ended September 30, 2007, respectively, compared with $22 million and $54 million in the comparable prior year periods.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Commodity </w:t>
      </w:r>
      <w:r>
        <w:rPr>
          <w:rFonts w:ascii="Arial" w:cs="Arial" w:eastAsia="Arial" w:hAnsi="Arial"/>
          <w:sz w:val="12"/>
          <w:szCs w:val="12"/>
          <w:color w:val="auto"/>
        </w:rPr>
        <w:t>— Increases in the prices of the recycling commodities we process contributed $78 million of revenue growth for the three months ended September 30, 2007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$214 million of revenue growth for the nine months ended September 30, 2007. During the first nine months of 2007, average prices for old corrugated cardboard increased by about 53%</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average prices for old newsprint increased by about 44%. Approximately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50% of the increase in revenue from yield on our recycling operations is associated with our relatively lower margin brokerage activities.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Volume — </w:t>
      </w:r>
      <w:r>
        <w:rPr>
          <w:rFonts w:ascii="Arial" w:cs="Arial" w:eastAsia="Arial" w:hAnsi="Arial"/>
          <w:sz w:val="13"/>
          <w:szCs w:val="13"/>
          <w:color w:val="auto"/>
        </w:rPr>
        <w:t>The declines in our revenues due to lower volumes when comparing the three and nine months ended September 30, 2007 with the corresponding prior year periods have</w:t>
      </w:r>
      <w:r>
        <w:rPr>
          <w:rFonts w:ascii="Arial" w:cs="Arial" w:eastAsia="Arial" w:hAnsi="Arial"/>
          <w:sz w:val="13"/>
          <w:szCs w:val="13"/>
          <w:i w:val="1"/>
          <w:iCs w:val="1"/>
          <w:color w:val="auto"/>
        </w:rPr>
        <w:t xml:space="preserve"> </w:t>
      </w:r>
      <w:r>
        <w:rPr>
          <w:rFonts w:ascii="Arial" w:cs="Arial" w:eastAsia="Arial" w:hAnsi="Arial"/>
          <w:sz w:val="13"/>
          <w:szCs w:val="13"/>
          <w:color w:val="auto"/>
        </w:rPr>
        <w:t>been driven by declines in our collection volumes and, to a lesser extent, lower third party disposal, transfer station and recycling volumes.</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Declines in revenue due to reduced volumes in our collection business accounted for $116 million of the decrease for the three-month period and $325 million of the decrease for the nine-month period. Volume reductions have affected the revenues of each of our collection lines of business in each geographic region. Our industrial collection operations, particularly in our Southern Group, have experienced the most significant revenue declines due to lower volumes. Reduced volumes continue to be significantly affected by our focus on improving margins through increased pricing. Volume declines in our industrial collection business have also been affected by the significant slowdown in residential construction across the United States.</w:t>
      </w:r>
    </w:p>
    <w:p>
      <w:pPr>
        <w:spacing w:after="0" w:line="3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also experienced declines in third-party revenue at our landfills due to reduced disposal volumes, which were the most significant for our construction and demolition waste stream and our municipal solid waste stream. The decline in construction and demolition waste, which was particularly significant in our Southern Group, is largely due to the significant slowdown in residential construction across the United States. The volume declines for our municipal solid waste disposal operations have been the most significant in our Midwest and Southern Groups, and are due primarily to our focus on pricing increases. Waste-to-energy revenue from disposal volumes also declined for the three and nine months ended September 30, 2007, largely due to the termination of an operating and maintenance agreement in May 2007.</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Declines in revenues due to lower third party volumes in our transfer station operations have been the most notable in our Eastern Group and can generally be attributed to the effects of pricing. The revenue decline due to lower third party volumes in our recycling business is primarily attributable to decreases in certain brokerage activities and the closure of a plastics processing facility.</w:t>
      </w:r>
    </w:p>
    <w:p>
      <w:pPr>
        <w:spacing w:after="0" w:line="6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i w:val="1"/>
          <w:iCs w:val="1"/>
          <w:color w:val="auto"/>
        </w:rPr>
        <w:t xml:space="preserve">Divestitures </w:t>
      </w:r>
      <w:r>
        <w:rPr>
          <w:rFonts w:ascii="Arial" w:cs="Arial" w:eastAsia="Arial" w:hAnsi="Arial"/>
          <w:sz w:val="13"/>
          <w:szCs w:val="13"/>
          <w:color w:val="auto"/>
        </w:rPr>
        <w:t>— Divestitures of under-performing or non-strategic operations accounted for decreased revenues of $80 million for the three months ended September 30, 2007 and</w:t>
      </w:r>
      <w:r>
        <w:rPr>
          <w:rFonts w:ascii="Arial" w:cs="Arial" w:eastAsia="Arial" w:hAnsi="Arial"/>
          <w:sz w:val="13"/>
          <w:szCs w:val="13"/>
          <w:i w:val="1"/>
          <w:iCs w:val="1"/>
          <w:color w:val="auto"/>
        </w:rPr>
        <w:t xml:space="preserve"> </w:t>
      </w:r>
      <w:r>
        <w:rPr>
          <w:rFonts w:ascii="Arial" w:cs="Arial" w:eastAsia="Arial" w:hAnsi="Arial"/>
          <w:sz w:val="13"/>
          <w:szCs w:val="13"/>
          <w:color w:val="auto"/>
        </w:rPr>
        <w:t>$249 million for the nine months ended September 30, 2007. These divestitures were primarily comprised of collection operations and, to a lesser extent, transfer station and recycling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w:t>
      </w:r>
    </w:p>
    <w:p>
      <w:pPr>
        <w:ind w:left="680" w:right="220" w:firstLine="7"/>
        <w:spacing w:after="0" w:line="290" w:lineRule="auto"/>
        <w:tabs>
          <w:tab w:leader="none" w:pos="938" w:val="left"/>
        </w:tabs>
        <w:numPr>
          <w:ilvl w:val="0"/>
          <w:numId w:val="31"/>
        </w:numPr>
        <w:rPr>
          <w:rFonts w:ascii="Arial" w:cs="Arial" w:eastAsia="Arial" w:hAnsi="Arial"/>
          <w:sz w:val="12"/>
          <w:szCs w:val="12"/>
          <w:color w:val="auto"/>
        </w:rPr>
      </w:pPr>
      <w:r>
        <w:rPr>
          <w:rFonts w:ascii="Arial" w:cs="Arial" w:eastAsia="Arial" w:hAnsi="Arial"/>
          <w:sz w:val="12"/>
          <w:szCs w:val="12"/>
          <w:color w:val="auto"/>
        </w:rPr>
        <w:t>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nine-month periods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(dollars 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left="157"/>
              <w:spacing w:after="0"/>
              <w:rPr>
                <w:sz w:val="20"/>
                <w:szCs w:val="20"/>
                <w:color w:val="auto"/>
              </w:rPr>
            </w:pPr>
            <w:r>
              <w:rPr>
                <w:rFonts w:ascii="Arial" w:cs="Arial" w:eastAsia="Arial" w:hAnsi="Arial"/>
                <w:sz w:val="10"/>
                <w:szCs w:val="10"/>
                <w:b w:val="1"/>
                <w:bCs w:val="1"/>
                <w:color w:val="auto"/>
                <w:w w:val="97"/>
              </w:rPr>
              <w:t>Three Months</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4"/>
            <w:vMerge w:val="restart"/>
          </w:tcPr>
          <w:p>
            <w:pPr>
              <w:jc w:val="center"/>
              <w:ind w:right="440"/>
              <w:spacing w:after="0"/>
              <w:rPr>
                <w:sz w:val="20"/>
                <w:szCs w:val="20"/>
                <w:color w:val="auto"/>
              </w:rPr>
            </w:pPr>
            <w:r>
              <w:rPr>
                <w:rFonts w:ascii="Arial" w:cs="Arial" w:eastAsia="Arial" w:hAnsi="Arial"/>
                <w:sz w:val="10"/>
                <w:szCs w:val="10"/>
                <w:b w:val="1"/>
                <w:bCs w:val="1"/>
                <w:color w:val="auto"/>
                <w:w w:val="97"/>
              </w:rPr>
              <w:t>Period-to-</w:t>
            </w:r>
          </w:p>
        </w:tc>
        <w:tc>
          <w:tcPr>
            <w:tcW w:w="100" w:type="dxa"/>
            <w:vAlign w:val="bottom"/>
          </w:tcPr>
          <w:p>
            <w:pPr>
              <w:spacing w:after="0"/>
              <w:rPr>
                <w:sz w:val="10"/>
                <w:szCs w:val="10"/>
                <w:color w:val="auto"/>
              </w:rPr>
            </w:pPr>
          </w:p>
        </w:tc>
        <w:tc>
          <w:tcPr>
            <w:tcW w:w="820" w:type="dxa"/>
            <w:vAlign w:val="bottom"/>
            <w:gridSpan w:val="3"/>
          </w:tcPr>
          <w:p>
            <w:pPr>
              <w:jc w:val="center"/>
              <w:ind w:left="177"/>
              <w:spacing w:after="0"/>
              <w:rPr>
                <w:sz w:val="20"/>
                <w:szCs w:val="20"/>
                <w:color w:val="auto"/>
              </w:rPr>
            </w:pPr>
            <w:r>
              <w:rPr>
                <w:rFonts w:ascii="Arial" w:cs="Arial" w:eastAsia="Arial" w:hAnsi="Arial"/>
                <w:sz w:val="10"/>
                <w:szCs w:val="10"/>
                <w:b w:val="1"/>
                <w:bCs w:val="1"/>
                <w:color w:val="auto"/>
                <w:w w:val="96"/>
              </w:rPr>
              <w:t>Nine Months</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center"/>
              <w:ind w:left="117"/>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center"/>
              <w:ind w:right="13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8"/>
              </w:rPr>
              <w:t>Ended</w:t>
            </w: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left="157"/>
              <w:spacing w:after="0"/>
              <w:rPr>
                <w:sz w:val="20"/>
                <w:szCs w:val="20"/>
                <w:color w:val="auto"/>
              </w:rPr>
            </w:pPr>
            <w:r>
              <w:rPr>
                <w:rFonts w:ascii="Arial" w:cs="Arial" w:eastAsia="Arial" w:hAnsi="Arial"/>
                <w:sz w:val="10"/>
                <w:szCs w:val="10"/>
                <w:b w:val="1"/>
                <w:bCs w:val="1"/>
                <w:color w:val="auto"/>
                <w:w w:val="93"/>
              </w:rPr>
              <w:t>September 30,</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660" w:type="dxa"/>
            <w:vAlign w:val="bottom"/>
            <w:gridSpan w:val="2"/>
          </w:tcPr>
          <w:p>
            <w:pPr>
              <w:jc w:val="center"/>
              <w:ind w:left="97"/>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800" w:type="dxa"/>
            <w:vAlign w:val="bottom"/>
            <w:tcBorders>
              <w:top w:val="single" w:sz="8" w:color="auto"/>
            </w:tcBorders>
            <w:gridSpan w:val="3"/>
          </w:tcPr>
          <w:p>
            <w:pPr>
              <w:jc w:val="right"/>
              <w:ind w:right="74"/>
              <w:spacing w:after="0" w:line="98" w:lineRule="exact"/>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89"/>
              </w:rPr>
              <w:t>2006</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left="97"/>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48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625</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94"/>
              </w:rPr>
              <w:t>$ (15)</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1,865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293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322</w:t>
            </w:r>
          </w:p>
        </w:tc>
        <w:tc>
          <w:tcPr>
            <w:tcW w:w="680" w:type="dxa"/>
            <w:vAlign w:val="bottom"/>
            <w:gridSpan w:val="2"/>
          </w:tcPr>
          <w:p>
            <w:pPr>
              <w:jc w:val="right"/>
              <w:ind w:right="288"/>
              <w:spacing w:after="0"/>
              <w:rPr>
                <w:sz w:val="20"/>
                <w:szCs w:val="20"/>
                <w:color w:val="auto"/>
              </w:rPr>
            </w:pPr>
            <w:r>
              <w:rPr>
                <w:rFonts w:ascii="Arial" w:cs="Arial" w:eastAsia="Arial" w:hAnsi="Arial"/>
                <w:sz w:val="13"/>
                <w:szCs w:val="13"/>
                <w:color w:val="auto"/>
              </w:rPr>
              <w:t>(29)</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868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948</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rPr>
              <w:t>(80)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273</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234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252</w:t>
            </w:r>
          </w:p>
        </w:tc>
        <w:tc>
          <w:tcPr>
            <w:tcW w:w="680" w:type="dxa"/>
            <w:vAlign w:val="bottom"/>
            <w:gridSpan w:val="2"/>
          </w:tcPr>
          <w:p>
            <w:pPr>
              <w:jc w:val="right"/>
              <w:ind w:right="288"/>
              <w:spacing w:after="0"/>
              <w:rPr>
                <w:sz w:val="20"/>
                <w:szCs w:val="20"/>
                <w:color w:val="auto"/>
              </w:rPr>
            </w:pPr>
            <w:r>
              <w:rPr>
                <w:rFonts w:ascii="Arial" w:cs="Arial" w:eastAsia="Arial" w:hAnsi="Arial"/>
                <w:sz w:val="13"/>
                <w:szCs w:val="13"/>
                <w:color w:val="auto"/>
              </w:rPr>
              <w:t>(18)</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741</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rPr>
              <w:t>(68)</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158</w:t>
            </w:r>
          </w:p>
        </w:tc>
        <w:tc>
          <w:tcPr>
            <w:tcW w:w="6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47</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155</w:t>
            </w:r>
          </w:p>
        </w:tc>
        <w:tc>
          <w:tcPr>
            <w:tcW w:w="680" w:type="dxa"/>
            <w:vAlign w:val="bottom"/>
            <w:gridSpan w:val="2"/>
          </w:tcPr>
          <w:p>
            <w:pPr>
              <w:jc w:val="right"/>
              <w:ind w:right="288"/>
              <w:spacing w:after="0"/>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rPr>
              <w:t>(27)</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165</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62</w:t>
            </w:r>
          </w:p>
        </w:tc>
        <w:tc>
          <w:tcPr>
            <w:tcW w:w="680" w:type="dxa"/>
            <w:vAlign w:val="bottom"/>
            <w:gridSpan w:val="2"/>
          </w:tcPr>
          <w:p>
            <w:pPr>
              <w:jc w:val="right"/>
              <w:ind w:right="328"/>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187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75</w:t>
            </w: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(12)</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(16.0)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(22.9)</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94</w:t>
            </w:r>
          </w:p>
        </w:tc>
        <w:tc>
          <w:tcPr>
            <w:tcW w:w="280" w:type="dxa"/>
            <w:vAlign w:val="bottom"/>
          </w:tcPr>
          <w:p>
            <w:pPr>
              <w:spacing w:after="0"/>
              <w:rPr>
                <w:sz w:val="13"/>
                <w:szCs w:val="13"/>
                <w:color w:val="auto"/>
              </w:rPr>
            </w:pPr>
          </w:p>
        </w:tc>
        <w:tc>
          <w:tcPr>
            <w:tcW w:w="680" w:type="dxa"/>
            <w:vAlign w:val="bottom"/>
            <w:gridSpan w:val="2"/>
          </w:tcPr>
          <w:p>
            <w:pPr>
              <w:jc w:val="right"/>
              <w:ind w:right="328"/>
              <w:spacing w:after="0"/>
              <w:rPr>
                <w:sz w:val="20"/>
                <w:szCs w:val="20"/>
                <w:color w:val="auto"/>
              </w:rPr>
            </w:pPr>
            <w:r>
              <w:rPr>
                <w:rFonts w:ascii="Arial" w:cs="Arial" w:eastAsia="Arial" w:hAnsi="Arial"/>
                <w:sz w:val="13"/>
                <w:szCs w:val="13"/>
                <w:color w:val="auto"/>
              </w:rPr>
              <w:t>20</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3"/>
                <w:szCs w:val="13"/>
                <w:color w:val="auto"/>
              </w:rPr>
              <w:t>19</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2,181</w:t>
            </w: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94"/>
              </w:rPr>
              <w:t>$ (38)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8"/>
              </w:rPr>
              <w:t>(211)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The decreases in both the three and nine months ended September 30, 2007 as compared with the prior year periods primarily can be attributed to our efforts to maximize margin expansion by focusing on managing our fixed costs and reducing our variable costs. Our cost containment efforts have been essential to the growth of our operating margins in the current year and have demonstrated our ability to control costs as volumes decline due to our pricing program, divestiture activity or the softening economic environment. The operating expense declines attributable to these efforts were partially offset by increased “Other” operating expenses incurred for the labor dispute in Oakland, California. These expenses are discussed below.</w:t>
      </w:r>
    </w:p>
    <w:p>
      <w:pPr>
        <w:spacing w:after="0" w:line="39"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In addition to lowering overall costs, our operating expenses as a percentage of revenues decreased by 0.4 percentage points for the three months ended September 30, 2007, from 63.4% in the third quarter 2006 to 63.0% in the current quarter. Operating expenses as a percentage of revenues decreased by 1.3 percentage points for the year-to-date period, from 64.3% for the nine months ended September 30, 2006 to 63.0% for the nine months ended September 30, 2007. The improvement in operating expenses as a percentage of revenues reflects our continued focus on identifying operational efficiencies that translate into cost savings, shedding low margin volumes and divesting operations that are not improving.</w:t>
      </w:r>
    </w:p>
    <w:p>
      <w:pPr>
        <w:spacing w:after="0" w:line="3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As discussed above, the changes in our “Operating” expenses when comparing the three and nine months ended September 30, 2007 and 2006 can largely be attributed to our focus on cost control, volume declines and divestitures. However, there are several additional items that affect the comparability of our operating expenses by category for the periods presented. These items are summarized, by category, below:</w:t>
      </w:r>
    </w:p>
    <w:p>
      <w:pPr>
        <w:spacing w:after="0" w:line="67"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Wages have increased due to annual merit increases.</w:t>
      </w:r>
    </w:p>
    <w:p>
      <w:pPr>
        <w:spacing w:after="0" w:line="86" w:lineRule="exact"/>
        <w:rPr>
          <w:rFonts w:ascii="Arial" w:cs="Arial" w:eastAsia="Arial" w:hAnsi="Arial"/>
          <w:sz w:val="13"/>
          <w:szCs w:val="13"/>
          <w:color w:val="auto"/>
        </w:rPr>
      </w:pPr>
    </w:p>
    <w:p>
      <w:pPr>
        <w:ind w:left="1280" w:right="62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These costs have declined throughout 2007 due to various fleet initiatives targeted at improving our maintenance practices while reducing</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parts and supplies costs.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Subcontractor costs </w:t>
      </w:r>
      <w:r>
        <w:rPr>
          <w:rFonts w:ascii="Arial" w:cs="Arial" w:eastAsia="Arial" w:hAnsi="Arial"/>
          <w:sz w:val="13"/>
          <w:szCs w:val="13"/>
          <w:color w:val="auto"/>
        </w:rPr>
        <w:t>— In 2006, we incurred significant subcontractor costs during the first quarter of 2006 to assist in providing hurricane related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These costs have increased in 2007 due to higher market prices for commodities.</w:t>
      </w:r>
    </w:p>
    <w:p>
      <w:pPr>
        <w:spacing w:after="0" w:line="86" w:lineRule="exact"/>
        <w:rPr>
          <w:rFonts w:ascii="Arial" w:cs="Arial" w:eastAsia="Arial" w:hAnsi="Arial"/>
          <w:sz w:val="13"/>
          <w:szCs w:val="13"/>
          <w:color w:val="auto"/>
        </w:rPr>
      </w:pPr>
    </w:p>
    <w:p>
      <w:pPr>
        <w:ind w:left="1280" w:right="80" w:hanging="190"/>
        <w:spacing w:after="0" w:line="320" w:lineRule="auto"/>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Disposal and franchise fees and taxes </w:t>
      </w:r>
      <w:r>
        <w:rPr>
          <w:rFonts w:ascii="Arial" w:cs="Arial" w:eastAsia="Arial" w:hAnsi="Arial"/>
          <w:sz w:val="12"/>
          <w:szCs w:val="12"/>
          <w:color w:val="auto"/>
        </w:rPr>
        <w:t>— These cost declines are partially due to the resolution of a disposal tax matter in our Eastern Group, which resulted in the recognition of</w:t>
      </w:r>
      <w:r>
        <w:rPr>
          <w:rFonts w:ascii="Arial" w:cs="Arial" w:eastAsia="Arial" w:hAnsi="Arial"/>
          <w:sz w:val="12"/>
          <w:szCs w:val="12"/>
          <w:i w:val="1"/>
          <w:iCs w:val="1"/>
          <w:color w:val="auto"/>
        </w:rPr>
        <w:t xml:space="preserve"> </w:t>
      </w:r>
      <w:r>
        <w:rPr>
          <w:rFonts w:ascii="Arial" w:cs="Arial" w:eastAsia="Arial" w:hAnsi="Arial"/>
          <w:sz w:val="12"/>
          <w:szCs w:val="12"/>
          <w:color w:val="auto"/>
        </w:rPr>
        <w:t>a $15 million favorable adjustment to operating costs during the first quarter of 2007 and a $3 million favorable adjustment during the third quarter of 2007.</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These costs have increased due to charges for revisions in our estimates associated with remediation obligations, particularly during the first quarter of</w:t>
      </w:r>
      <w:r>
        <w:rPr>
          <w:rFonts w:ascii="Arial" w:cs="Arial" w:eastAsia="Arial" w:hAnsi="Arial"/>
          <w:sz w:val="13"/>
          <w:szCs w:val="13"/>
          <w:i w:val="1"/>
          <w:iCs w:val="1"/>
          <w:color w:val="auto"/>
        </w:rPr>
        <w:t xml:space="preserve"> </w:t>
      </w:r>
      <w:r>
        <w:rPr>
          <w:rFonts w:ascii="Arial" w:cs="Arial" w:eastAsia="Arial" w:hAnsi="Arial"/>
          <w:sz w:val="13"/>
          <w:szCs w:val="13"/>
          <w:color w:val="auto"/>
        </w:rPr>
        <w:t>2007.</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w:t>
      </w:r>
      <w:r>
        <w:rPr>
          <w:rFonts w:ascii="Arial" w:cs="Arial" w:eastAsia="Arial" w:hAnsi="Arial"/>
          <w:sz w:val="13"/>
          <w:szCs w:val="13"/>
          <w:color w:val="auto"/>
        </w:rPr>
        <w:t>— These costs have decreased throughout 2007, particularly for reduced actuarial projections of claim losses for workers’ compensation and auto and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liability claims, which can be attributed to our continued focus on safety and reduced accident and injury rates.</w:t>
      </w:r>
    </w:p>
    <w:p>
      <w:pPr>
        <w:spacing w:after="0" w:line="49" w:lineRule="exact"/>
        <w:rPr>
          <w:rFonts w:ascii="Arial" w:cs="Arial" w:eastAsia="Arial" w:hAnsi="Arial"/>
          <w:sz w:val="13"/>
          <w:szCs w:val="13"/>
          <w:color w:val="auto"/>
        </w:rPr>
      </w:pPr>
    </w:p>
    <w:p>
      <w:pPr>
        <w:ind w:left="1280" w:right="120" w:hanging="190"/>
        <w:spacing w:after="0" w:line="280" w:lineRule="auto"/>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In the third quarter of 2007, we incurred a significant increase in “Other” expenses due in large part to costs incurred for a labor dispute with the Teamsters Local 70 in</w:t>
      </w:r>
      <w:r>
        <w:rPr>
          <w:rFonts w:ascii="Arial" w:cs="Arial" w:eastAsia="Arial" w:hAnsi="Arial"/>
          <w:sz w:val="12"/>
          <w:szCs w:val="12"/>
          <w:i w:val="1"/>
          <w:iCs w:val="1"/>
          <w:color w:val="auto"/>
        </w:rPr>
        <w:t xml:space="preserve"> </w:t>
      </w:r>
      <w:r>
        <w:rPr>
          <w:rFonts w:ascii="Arial" w:cs="Arial" w:eastAsia="Arial" w:hAnsi="Arial"/>
          <w:sz w:val="12"/>
          <w:szCs w:val="12"/>
          <w:color w:val="auto"/>
        </w:rPr>
        <w:t>Oakland, California that was resolved in July 2007. This labor dispute negatively affected the “Income from operations” of our Western Group by $25 million, including</w:t>
      </w:r>
    </w:p>
    <w:p>
      <w:pPr>
        <w:ind w:left="1280" w:right="20"/>
        <w:spacing w:after="0" w:line="284" w:lineRule="auto"/>
        <w:rPr>
          <w:rFonts w:ascii="Arial" w:cs="Arial" w:eastAsia="Arial" w:hAnsi="Arial"/>
          <w:sz w:val="12"/>
          <w:szCs w:val="12"/>
          <w:color w:val="auto"/>
        </w:rPr>
      </w:pPr>
      <w:r>
        <w:rPr>
          <w:rFonts w:ascii="Arial" w:cs="Arial" w:eastAsia="Arial" w:hAnsi="Arial"/>
          <w:sz w:val="12"/>
          <w:szCs w:val="12"/>
          <w:color w:val="auto"/>
        </w:rPr>
        <w:t>$23 million of additional “Other” operating expenses, for the three months ended September 30, 2007 and $28 million, including $26 million of additional “Other” operating expenses, for the nine months ended September 30, 2007. These increased operating costs were primarily related to security and the deployment and lodging costs incurred for the Company’s replacement workers who were brought to Oakland from across the organization. For the three and nine months ended September 30, 2006, our Eastern Group incurred $4 million and $14 million, respectively, for similar costs, which were primarily for a strike in the New York City area.</w:t>
      </w:r>
    </w:p>
    <w:p>
      <w:pPr>
        <w:spacing w:after="0" w:line="56" w:lineRule="exact"/>
        <w:rPr>
          <w:rFonts w:ascii="Arial" w:cs="Arial" w:eastAsia="Arial" w:hAnsi="Arial"/>
          <w:sz w:val="12"/>
          <w:szCs w:val="12"/>
          <w:color w:val="auto"/>
        </w:rPr>
      </w:pPr>
    </w:p>
    <w:p>
      <w:pPr>
        <w:ind w:left="1280" w:right="60"/>
        <w:spacing w:after="0" w:line="260" w:lineRule="auto"/>
        <w:rPr>
          <w:rFonts w:ascii="Arial" w:cs="Arial" w:eastAsia="Arial" w:hAnsi="Arial"/>
          <w:sz w:val="12"/>
          <w:szCs w:val="12"/>
          <w:color w:val="auto"/>
        </w:rPr>
      </w:pPr>
      <w:r>
        <w:rPr>
          <w:rFonts w:ascii="Arial" w:cs="Arial" w:eastAsia="Arial" w:hAnsi="Arial"/>
          <w:sz w:val="13"/>
          <w:szCs w:val="13"/>
          <w:color w:val="auto"/>
        </w:rPr>
        <w:t>Also affecting the comparability of our “Other” operating expenses for the three-and nine-month periods are (i) $21 million of lease termination costs incurred during the first quarter of 2007 associated with the purchase of one of our independent power production plants that had previously been operated through a lease agreement; (ii) reductions to operating expenses in the third quarter of 2006 for the recognition of insurance recoveries associated with Hurricane Katrina; and (iii) an increase in gains recognized on the sales of assets for the three and nine months ended September 30, 2007.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 and nine-month periods ended September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3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1160" w:type="dxa"/>
            <w:vAlign w:val="bottom"/>
            <w:gridSpan w:val="3"/>
            <w:vMerge w:val="restart"/>
          </w:tcPr>
          <w:p>
            <w:pPr>
              <w:jc w:val="center"/>
              <w:ind w:right="660"/>
              <w:spacing w:after="0"/>
              <w:rPr>
                <w:sz w:val="20"/>
                <w:szCs w:val="20"/>
                <w:color w:val="auto"/>
              </w:rPr>
            </w:pPr>
            <w:r>
              <w:rPr>
                <w:rFonts w:ascii="Arial" w:cs="Arial" w:eastAsia="Arial" w:hAnsi="Arial"/>
                <w:sz w:val="10"/>
                <w:szCs w:val="10"/>
                <w:b w:val="1"/>
                <w:bCs w:val="1"/>
                <w:color w:val="auto"/>
                <w:w w:val="97"/>
              </w:rPr>
              <w:t>Period-to-</w:t>
            </w:r>
          </w:p>
        </w:tc>
        <w:tc>
          <w:tcPr>
            <w:tcW w:w="100" w:type="dxa"/>
            <w:vAlign w:val="bottom"/>
          </w:tcPr>
          <w:p>
            <w:pPr>
              <w:spacing w:after="0"/>
              <w:rPr>
                <w:sz w:val="10"/>
                <w:szCs w:val="10"/>
                <w:color w:val="auto"/>
              </w:rPr>
            </w:pPr>
          </w:p>
        </w:tc>
        <w:tc>
          <w:tcPr>
            <w:tcW w:w="920" w:type="dxa"/>
            <w:vAlign w:val="bottom"/>
            <w:gridSpan w:val="4"/>
          </w:tcPr>
          <w:p>
            <w:pPr>
              <w:jc w:val="center"/>
              <w:ind w:left="199"/>
              <w:spacing w:after="0"/>
              <w:rPr>
                <w:sz w:val="20"/>
                <w:szCs w:val="20"/>
                <w:color w:val="auto"/>
              </w:rPr>
            </w:pPr>
            <w:r>
              <w:rPr>
                <w:rFonts w:ascii="Arial" w:cs="Arial" w:eastAsia="Arial" w:hAnsi="Arial"/>
                <w:sz w:val="10"/>
                <w:szCs w:val="10"/>
                <w:b w:val="1"/>
                <w:bCs w:val="1"/>
                <w:color w:val="auto"/>
                <w:w w:val="96"/>
              </w:rPr>
              <w:t>Nine Months</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8"/>
              </w:rPr>
              <w:t>Ended</w:t>
            </w:r>
          </w:p>
        </w:tc>
        <w:tc>
          <w:tcPr>
            <w:tcW w:w="2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Ended</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13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center"/>
              <w:ind w:right="720"/>
              <w:spacing w:after="0"/>
              <w:rPr>
                <w:sz w:val="20"/>
                <w:szCs w:val="20"/>
                <w:color w:val="auto"/>
              </w:rPr>
            </w:pPr>
            <w:r>
              <w:rPr>
                <w:rFonts w:ascii="Arial" w:cs="Arial" w:eastAsia="Arial" w:hAnsi="Arial"/>
                <w:sz w:val="10"/>
                <w:szCs w:val="10"/>
                <w:b w:val="1"/>
                <w:bCs w:val="1"/>
                <w:color w:val="auto"/>
                <w:w w:val="96"/>
              </w:rPr>
              <w:t>Period</w:t>
            </w:r>
          </w:p>
        </w:tc>
        <w:tc>
          <w:tcPr>
            <w:tcW w:w="100" w:type="dxa"/>
            <w:vAlign w:val="bottom"/>
          </w:tcPr>
          <w:p>
            <w:pPr>
              <w:spacing w:after="0"/>
              <w:rPr>
                <w:sz w:val="10"/>
                <w:szCs w:val="10"/>
                <w:color w:val="auto"/>
              </w:rPr>
            </w:pPr>
          </w:p>
        </w:tc>
        <w:tc>
          <w:tcPr>
            <w:tcW w:w="920" w:type="dxa"/>
            <w:vAlign w:val="bottom"/>
            <w:gridSpan w:val="4"/>
          </w:tcPr>
          <w:p>
            <w:pPr>
              <w:jc w:val="center"/>
              <w:ind w:left="179"/>
              <w:spacing w:after="0"/>
              <w:rPr>
                <w:sz w:val="20"/>
                <w:szCs w:val="20"/>
                <w:color w:val="auto"/>
              </w:rPr>
            </w:pPr>
            <w:r>
              <w:rPr>
                <w:rFonts w:ascii="Arial" w:cs="Arial" w:eastAsia="Arial" w:hAnsi="Arial"/>
                <w:sz w:val="10"/>
                <w:szCs w:val="10"/>
                <w:b w:val="1"/>
                <w:bCs w:val="1"/>
                <w:color w:val="auto"/>
                <w:w w:val="93"/>
              </w:rPr>
              <w:t>September 30,</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center"/>
              <w:ind w:right="720"/>
              <w:spacing w:after="0" w:line="98" w:lineRule="exact"/>
              <w:rPr>
                <w:sz w:val="20"/>
                <w:szCs w:val="20"/>
                <w:color w:val="auto"/>
              </w:rPr>
            </w:pPr>
            <w:r>
              <w:rPr>
                <w:rFonts w:ascii="Arial" w:cs="Arial" w:eastAsia="Arial" w:hAnsi="Arial"/>
                <w:sz w:val="10"/>
                <w:szCs w:val="10"/>
                <w:b w:val="1"/>
                <w:bCs w:val="1"/>
                <w:color w:val="auto"/>
                <w:w w:val="92"/>
              </w:rPr>
              <w:t>Change</w:t>
            </w: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3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79"/>
              </w:rPr>
              <w:t>$ 210</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6"/>
              </w:rPr>
              <w:t>$ 15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595</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Professional fees</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41</w:t>
            </w:r>
          </w:p>
        </w:tc>
        <w:tc>
          <w:tcPr>
            <w:tcW w:w="300" w:type="dxa"/>
            <w:vAlign w:val="bottom"/>
            <w:gridSpan w:val="2"/>
          </w:tcPr>
          <w:p>
            <w:pPr>
              <w:jc w:val="right"/>
              <w:ind w:right="8"/>
              <w:spacing w:after="0"/>
              <w:rPr>
                <w:sz w:val="20"/>
                <w:szCs w:val="20"/>
                <w:color w:val="auto"/>
              </w:rPr>
            </w:pPr>
            <w:r>
              <w:rPr>
                <w:rFonts w:ascii="Arial" w:cs="Arial" w:eastAsia="Arial" w:hAnsi="Arial"/>
                <w:sz w:val="13"/>
                <w:szCs w:val="13"/>
                <w:color w:val="auto"/>
              </w:rPr>
              <w:t>2</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119</w:t>
            </w:r>
          </w:p>
        </w:tc>
        <w:tc>
          <w:tcPr>
            <w:tcW w:w="740" w:type="dxa"/>
            <w:vAlign w:val="bottom"/>
            <w:gridSpan w:val="2"/>
          </w:tcPr>
          <w:p>
            <w:pPr>
              <w:jc w:val="right"/>
              <w:ind w:right="408"/>
              <w:spacing w:after="0"/>
              <w:rPr>
                <w:sz w:val="20"/>
                <w:szCs w:val="20"/>
                <w:color w:val="auto"/>
              </w:rPr>
            </w:pPr>
            <w:r>
              <w:rPr>
                <w:rFonts w:ascii="Arial" w:cs="Arial" w:eastAsia="Arial" w:hAnsi="Arial"/>
                <w:sz w:val="13"/>
                <w:szCs w:val="13"/>
                <w:color w:val="auto"/>
              </w:rPr>
              <w:t>(3)</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(15.8)</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Other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99</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92</w:t>
            </w:r>
          </w:p>
        </w:tc>
        <w:tc>
          <w:tcPr>
            <w:tcW w:w="300" w:type="dxa"/>
            <w:vAlign w:val="bottom"/>
            <w:gridSpan w:val="2"/>
          </w:tcPr>
          <w:p>
            <w:pPr>
              <w:jc w:val="right"/>
              <w:ind w:right="8"/>
              <w:spacing w:after="0"/>
              <w:rPr>
                <w:sz w:val="20"/>
                <w:szCs w:val="20"/>
                <w:color w:val="auto"/>
              </w:rPr>
            </w:pPr>
            <w:r>
              <w:rPr>
                <w:rFonts w:ascii="Arial" w:cs="Arial" w:eastAsia="Arial" w:hAnsi="Arial"/>
                <w:sz w:val="13"/>
                <w:szCs w:val="13"/>
                <w:color w:val="auto"/>
              </w:rPr>
              <w:t>7</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290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288</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2</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79"/>
              </w:rPr>
              <w:t>$ 365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$ 344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6"/>
              </w:rPr>
              <w:t>$ 21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1,040</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9"/>
        </w:trPr>
        <w:tc>
          <w:tcPr>
            <w:tcW w:w="4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We have experienced increases in our “Labor and related benefits” costs, “Professional fees” and “Other” general and administrative costs when comparing the three and nine months ended September 30, 2007 with the corresponding prior year periods due to increased spending for our strategic initiatives, including the support and development of our new revenue management system. These cost increases have been offset slightly by reductions in our “Selling, general and administrative” expenses due to our divestiture of under-performing operations.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Additional items that have contributed to the comparability of our “Selling, general and administrative” costs by category for the three and nine months ended September 30, 2007 are summarized below:</w:t>
      </w:r>
    </w:p>
    <w:p>
      <w:pPr>
        <w:spacing w:after="0" w:line="59" w:lineRule="exact"/>
        <w:rPr>
          <w:sz w:val="20"/>
          <w:szCs w:val="20"/>
          <w:color w:val="auto"/>
        </w:rPr>
      </w:pPr>
    </w:p>
    <w:p>
      <w:pPr>
        <w:ind w:left="1280" w:right="4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remaining current year increases are primarily attributable to higher salaries and hourly wages, which have been driven by annual merit</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increases, and higher costs associated with our incentive compensation programs.</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Increased consulting costs due to our strategic initiatives have been offset by reductions in legal fees and expenses related to indemnification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legacy litigation brought against former officers by the Securities and Exchange Commission.</w:t>
      </w:r>
    </w:p>
    <w:p>
      <w:pPr>
        <w:spacing w:after="0" w:line="49" w:lineRule="exact"/>
        <w:rPr>
          <w:rFonts w:ascii="Arial" w:cs="Arial" w:eastAsia="Arial" w:hAnsi="Arial"/>
          <w:sz w:val="13"/>
          <w:szCs w:val="13"/>
          <w:color w:val="auto"/>
        </w:rPr>
      </w:pPr>
    </w:p>
    <w:p>
      <w:pPr>
        <w:ind w:left="1280" w:right="40" w:hanging="190"/>
        <w:spacing w:after="0" w:line="296"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Our “Selling, general and administrative” expenses for the three months ended March 31, 2006 included a charge of approximately $19 million to record our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for unclaimed property. We recorded an additional “Selling, general and administrative” charge of $4 million for unclaimed property matters during the first quarter of 2007. Refer to Note 9 of our Condensed Consolidated Financial Statements for additional information related to the nature of these charges.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due to capital leases, on a straight-line basis from three to 50 years;</w:t>
      </w:r>
    </w:p>
    <w:p>
      <w:pPr>
        <w:spacing w:after="0" w:line="27" w:lineRule="exact"/>
        <w:rPr>
          <w:sz w:val="20"/>
          <w:szCs w:val="20"/>
          <w:color w:val="auto"/>
        </w:rPr>
      </w:pPr>
    </w:p>
    <w:p>
      <w:pPr>
        <w:ind w:left="680" w:firstLine="7"/>
        <w:spacing w:after="0" w:line="284" w:lineRule="auto"/>
        <w:tabs>
          <w:tab w:leader="none" w:pos="873" w:val="left"/>
        </w:tabs>
        <w:numPr>
          <w:ilvl w:val="0"/>
          <w:numId w:val="35"/>
        </w:numPr>
        <w:rPr>
          <w:rFonts w:ascii="Arial" w:cs="Arial" w:eastAsia="Arial" w:hAnsi="Arial"/>
          <w:sz w:val="12"/>
          <w:szCs w:val="12"/>
          <w:color w:val="auto"/>
        </w:rPr>
      </w:pPr>
      <w:r>
        <w:rPr>
          <w:rFonts w:ascii="Arial" w:cs="Arial" w:eastAsia="Arial" w:hAnsi="Arial"/>
          <w:sz w:val="12"/>
          <w:szCs w:val="12"/>
          <w:color w:val="auto"/>
        </w:rPr>
        <w:t>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57" w:lineRule="exact"/>
        <w:rPr>
          <w:sz w:val="20"/>
          <w:szCs w:val="20"/>
          <w:color w:val="auto"/>
        </w:rPr>
      </w:pPr>
    </w:p>
    <w:p>
      <w:pPr>
        <w:jc w:val="both"/>
        <w:ind w:left="680" w:right="40" w:firstLine="399"/>
        <w:spacing w:after="0" w:line="280" w:lineRule="auto"/>
        <w:rPr>
          <w:sz w:val="20"/>
          <w:szCs w:val="20"/>
          <w:color w:val="auto"/>
        </w:rPr>
      </w:pPr>
      <w:r>
        <w:rPr>
          <w:rFonts w:ascii="Arial" w:cs="Arial" w:eastAsia="Arial" w:hAnsi="Arial"/>
          <w:sz w:val="12"/>
          <w:szCs w:val="12"/>
          <w:color w:val="auto"/>
        </w:rPr>
        <w:t>Depreciation and amortization expense for the three months ended September 30, 2007 was $331 million, or 9.7% of revenues, compared with $340 million, or 9.9% of revenues, for the comparable prior year period. Depreciation and amortization expense for the nine months ended September 30, 2007 was $963 million, or 9.7% of revenues, compared with</w:t>
      </w:r>
    </w:p>
    <w:p>
      <w:pPr>
        <w:ind w:left="680" w:right="420"/>
        <w:spacing w:after="0" w:line="264" w:lineRule="auto"/>
        <w:rPr>
          <w:sz w:val="20"/>
          <w:szCs w:val="20"/>
          <w:color w:val="auto"/>
        </w:rPr>
      </w:pPr>
      <w:r>
        <w:rPr>
          <w:rFonts w:ascii="Arial" w:cs="Arial" w:eastAsia="Arial" w:hAnsi="Arial"/>
          <w:sz w:val="13"/>
          <w:szCs w:val="13"/>
          <w:color w:val="auto"/>
        </w:rPr>
        <w:t>$1,013 million, or 10.0% of revenues for the comparable prior year period. The decrease in depreciation and amortization expense in 2007 as compared with 2006 is due to (i) landfill volume declines; (ii) divestitures; and (iii) the discontinuation of depreciation of certain enterprise-wide software that is now fully depreciated.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In the first quarter of 2007, certain operations and functions were restructured, resulting in the recognition of a pre-tax charge of approximately $9 million. We incurred an additional $1 million of pre-tax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180" w:firstLine="399"/>
        <w:spacing w:after="0" w:line="280" w:lineRule="auto"/>
        <w:rPr>
          <w:sz w:val="20"/>
          <w:szCs w:val="20"/>
          <w:color w:val="auto"/>
        </w:rPr>
      </w:pPr>
      <w:r>
        <w:rPr>
          <w:rFonts w:ascii="Arial" w:cs="Arial" w:eastAsia="Arial" w:hAnsi="Arial"/>
          <w:sz w:val="12"/>
          <w:szCs w:val="12"/>
          <w:i w:val="1"/>
          <w:iCs w:val="1"/>
          <w:color w:val="auto"/>
        </w:rPr>
        <w:t xml:space="preserve">(Income) expense from divestitures (including held-for-sale impairments) </w:t>
      </w:r>
      <w:r>
        <w:rPr>
          <w:rFonts w:ascii="Arial" w:cs="Arial" w:eastAsia="Arial" w:hAnsi="Arial"/>
          <w:sz w:val="12"/>
          <w:szCs w:val="12"/>
          <w:color w:val="auto"/>
        </w:rPr>
        <w:t>— We recognized $44 million of net gains from divestitures during the nine months ended September 30,</w:t>
      </w:r>
      <w:r>
        <w:rPr>
          <w:rFonts w:ascii="Arial" w:cs="Arial" w:eastAsia="Arial" w:hAnsi="Arial"/>
          <w:sz w:val="12"/>
          <w:szCs w:val="12"/>
          <w:i w:val="1"/>
          <w:iCs w:val="1"/>
          <w:color w:val="auto"/>
        </w:rPr>
        <w:t xml:space="preserve"> </w:t>
      </w:r>
      <w:r>
        <w:rPr>
          <w:rFonts w:ascii="Arial" w:cs="Arial" w:eastAsia="Arial" w:hAnsi="Arial"/>
          <w:sz w:val="12"/>
          <w:szCs w:val="12"/>
          <w:color w:val="auto"/>
        </w:rPr>
        <w:t>2007. We recognized $9 million of net gains from divestitures during the first quarter of 2007 that were primarily related to collection and disposal operations in our Southern Group;</w:t>
      </w:r>
    </w:p>
    <w:p>
      <w:pPr>
        <w:ind w:left="680" w:right="20"/>
        <w:spacing w:after="0" w:line="264" w:lineRule="auto"/>
        <w:rPr>
          <w:sz w:val="20"/>
          <w:szCs w:val="20"/>
          <w:color w:val="auto"/>
        </w:rPr>
      </w:pPr>
      <w:r>
        <w:rPr>
          <w:rFonts w:ascii="Arial" w:cs="Arial" w:eastAsia="Arial" w:hAnsi="Arial"/>
          <w:sz w:val="13"/>
          <w:szCs w:val="13"/>
          <w:color w:val="auto"/>
        </w:rPr>
        <w:t>$33 million of net gains from divestitures during the second quarter of 2007 that were primarily related to collection and transfer operations in our Eastern Group, collection operations in our Western Group and WMRA operations; and $2 million of net gains from divestitures during the third quarter of 2007. Total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proceeds from divestitures completed during the nine months ended September 30, 2007 were $186 million, which were primarily received in cash.</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During the three months ended September 30, 2006, we recognized $8 million of net losses from divestiture related activity, which was driven by our WMRA Group. During the nine months ended September 30, 2006, we recognized $21 million of net gains from divestitures, which were a result of $39 million of gains related to the divestiture of certain operations, principally in our Western Group, offset by $18 million of held-for-sale impairment charges, principally in our Eastern Group. The impairment charges were required to reduce the carrying value of the operations to their estimated fair value less the cost to sell in accordance with the provisions of SFAS No. 144, </w:t>
      </w:r>
      <w:r>
        <w:rPr>
          <w:rFonts w:ascii="Arial" w:cs="Arial" w:eastAsia="Arial" w:hAnsi="Arial"/>
          <w:sz w:val="11"/>
          <w:szCs w:val="11"/>
          <w:i w:val="1"/>
          <w:iCs w:val="1"/>
          <w:color w:val="auto"/>
        </w:rPr>
        <w:t>Accounting for the Impairment or Disposal of Long-Lived Assets</w:t>
      </w:r>
      <w:r>
        <w:rPr>
          <w:rFonts w:ascii="Arial" w:cs="Arial" w:eastAsia="Arial" w:hAnsi="Arial"/>
          <w:sz w:val="11"/>
          <w:szCs w:val="11"/>
          <w:color w:val="auto"/>
        </w:rPr>
        <w:t>, for assets to be disposed of by sale. Total proceeds from divestitures completed during the nine months ended September 30, 2006 were $159 million, all of which were received in cash.</w:t>
      </w:r>
    </w:p>
    <w:p>
      <w:pPr>
        <w:spacing w:after="0" w:line="4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the nine months ended September 30, 2007, we have recognized $11 million in impairment charges for our landfill line of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These charges are principally due to impairments recognized during the first quarter of 2007 for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third quarter of 2006, we recorded impairment charges of $10 million related to operations in our Recycling and Southern Groups.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nine-month periods ended September 30 and provides explanations of significant factors contributing to the identified variances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ind w:left="118"/>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Ended</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18"/>
              <w:spacing w:after="0"/>
              <w:rPr>
                <w:sz w:val="20"/>
                <w:szCs w:val="20"/>
                <w:color w:val="auto"/>
              </w:rPr>
            </w:pPr>
            <w:r>
              <w:rPr>
                <w:rFonts w:ascii="Arial" w:cs="Arial" w:eastAsia="Arial" w:hAnsi="Arial"/>
                <w:sz w:val="10"/>
                <w:szCs w:val="10"/>
                <w:b w:val="1"/>
                <w:bCs w:val="1"/>
                <w:color w:val="auto"/>
                <w:w w:val="93"/>
              </w:rPr>
              <w:t>September 30,</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18"/>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740" w:type="dxa"/>
            <w:vAlign w:val="bottom"/>
            <w:gridSpan w:val="3"/>
          </w:tcPr>
          <w:p>
            <w:pPr>
              <w:jc w:val="right"/>
              <w:ind w:right="1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124</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104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20</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396</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308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88</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11</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351</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617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611</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(17)</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8"/>
              </w:rPr>
              <w:t>(10.2)</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478</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(8)</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205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(29)</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(12.4)</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WMRA</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8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(17)</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702</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23</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2,075</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1,955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120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39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(137)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(122)</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(15)</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(396)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(398)</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122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 Increased yield on base business, particularly in our collection operations, and our continued focus on controlling costs through operating efficiencies</w:t>
      </w:r>
      <w:r>
        <w:rPr>
          <w:rFonts w:ascii="Arial" w:cs="Arial" w:eastAsia="Arial" w:hAnsi="Arial"/>
          <w:sz w:val="13"/>
          <w:szCs w:val="13"/>
          <w:i w:val="1"/>
          <w:iCs w:val="1"/>
          <w:color w:val="auto"/>
        </w:rPr>
        <w:t xml:space="preserve"> </w:t>
      </w:r>
      <w:r>
        <w:rPr>
          <w:rFonts w:ascii="Arial" w:cs="Arial" w:eastAsia="Arial" w:hAnsi="Arial"/>
          <w:sz w:val="13"/>
          <w:szCs w:val="13"/>
          <w:color w:val="auto"/>
        </w:rPr>
        <w:t>improved the operating income of our geographic Groups for the three and nine months ended September 30, 2007. These improvements in operating income have been partially offset by the effects of declines in revenues due to lower volumes, which generally can be attributed to our focus on pricing and the significant slowdown in the residential construction market across the United States.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Other significant items affecting the comparability of the operating segments’ results of operations for the three- and nine-month periods ended September 30, 2007 and 2006 are summarized below:</w:t>
      </w:r>
    </w:p>
    <w:p>
      <w:pPr>
        <w:spacing w:after="0" w:line="59" w:lineRule="exact"/>
        <w:rPr>
          <w:sz w:val="20"/>
          <w:szCs w:val="20"/>
          <w:color w:val="auto"/>
        </w:rPr>
      </w:pPr>
    </w:p>
    <w:p>
      <w:pPr>
        <w:ind w:left="1080" w:right="160" w:firstLine="383"/>
        <w:spacing w:after="0" w:line="260"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The Group’s operating income for the nine months ended September 30, 2007 includes (i) an $18 million decrease in disposal fees and taxes due to the favorable</w:t>
      </w:r>
      <w:r>
        <w:rPr>
          <w:rFonts w:ascii="Arial" w:cs="Arial" w:eastAsia="Arial" w:hAnsi="Arial"/>
          <w:sz w:val="13"/>
          <w:szCs w:val="13"/>
          <w:i w:val="1"/>
          <w:iCs w:val="1"/>
          <w:color w:val="auto"/>
        </w:rPr>
        <w:t xml:space="preserve"> </w:t>
      </w:r>
      <w:r>
        <w:rPr>
          <w:rFonts w:ascii="Arial" w:cs="Arial" w:eastAsia="Arial" w:hAnsi="Arial"/>
          <w:sz w:val="13"/>
          <w:szCs w:val="13"/>
          <w:color w:val="auto"/>
        </w:rPr>
        <w:t>resolution of a disposal tax matter and (ii) a $25 million net gain from divestitures recognized in the second quarter. The Group’s operating income for the three and nine months ended September 30, 2006 was negatively affected by a $13 million held-for-sale impairment. Additionally, in the second and third quarters of 2006, we incurred $10 million and $4 million, respectively, of costs related to labor strikes, primarily in the New York City area.</w:t>
      </w:r>
    </w:p>
    <w:p>
      <w:pPr>
        <w:spacing w:after="0" w:line="70"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During the first quarter of 2007, the Group recorded $10 million of impairment charges attributable to two of its landfills. These charges were largely offset by</w:t>
      </w:r>
      <w:r>
        <w:rPr>
          <w:rFonts w:ascii="Arial" w:cs="Arial" w:eastAsia="Arial" w:hAnsi="Arial"/>
          <w:sz w:val="13"/>
          <w:szCs w:val="13"/>
          <w:i w:val="1"/>
          <w:iCs w:val="1"/>
          <w:color w:val="auto"/>
        </w:rPr>
        <w:t xml:space="preserve"> </w:t>
      </w:r>
      <w:r>
        <w:rPr>
          <w:rFonts w:ascii="Arial" w:cs="Arial" w:eastAsia="Arial" w:hAnsi="Arial"/>
          <w:sz w:val="13"/>
          <w:szCs w:val="13"/>
          <w:color w:val="auto"/>
        </w:rPr>
        <w:t>gains on divestitures of $9 million, of which $7 million was recognized during the first quarter of 2007.</w:t>
      </w:r>
    </w:p>
    <w:p>
      <w:pPr>
        <w:spacing w:after="0" w:line="59" w:lineRule="exact"/>
        <w:rPr>
          <w:sz w:val="20"/>
          <w:szCs w:val="20"/>
          <w:color w:val="auto"/>
        </w:rPr>
      </w:pPr>
    </w:p>
    <w:p>
      <w:pPr>
        <w:ind w:left="1080" w:right="120" w:firstLine="383"/>
        <w:spacing w:after="0" w:line="260"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The Group’s operating results were negatively affected by $25 million for the three months ended September 30, 2007 and $28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30, 2007 as a result of a labor dispute in Oakland, California, which is discussed further in the </w:t>
      </w:r>
      <w:r>
        <w:rPr>
          <w:rFonts w:ascii="Arial" w:cs="Arial" w:eastAsia="Arial" w:hAnsi="Arial"/>
          <w:sz w:val="13"/>
          <w:szCs w:val="13"/>
          <w:i w:val="1"/>
          <w:iCs w:val="1"/>
          <w:color w:val="auto"/>
        </w:rPr>
        <w:t>Operating Expenses</w:t>
      </w:r>
      <w:r>
        <w:rPr>
          <w:rFonts w:ascii="Arial" w:cs="Arial" w:eastAsia="Arial" w:hAnsi="Arial"/>
          <w:sz w:val="13"/>
          <w:szCs w:val="13"/>
          <w:color w:val="auto"/>
        </w:rPr>
        <w:t xml:space="preserve"> section above. Also affecting the comparability of the Group’s income from operations for the periods presented were gains on divestitures of operations of $7 million for the nine months ended September 30, 2007 as compared with $46 million for the same period in 2006.</w:t>
      </w:r>
    </w:p>
    <w:p>
      <w:pPr>
        <w:spacing w:after="0" w:line="70" w:lineRule="exact"/>
        <w:rPr>
          <w:sz w:val="20"/>
          <w:szCs w:val="20"/>
          <w:color w:val="auto"/>
        </w:rPr>
      </w:pPr>
    </w:p>
    <w:p>
      <w:pPr>
        <w:jc w:val="both"/>
        <w:ind w:left="1080" w:firstLine="383"/>
        <w:spacing w:after="0" w:line="322" w:lineRule="auto"/>
        <w:rPr>
          <w:sz w:val="20"/>
          <w:szCs w:val="20"/>
          <w:color w:val="auto"/>
        </w:rPr>
      </w:pPr>
      <w:r>
        <w:rPr>
          <w:rFonts w:ascii="Arial" w:cs="Arial" w:eastAsia="Arial" w:hAnsi="Arial"/>
          <w:sz w:val="11"/>
          <w:szCs w:val="11"/>
          <w:i w:val="1"/>
          <w:iCs w:val="1"/>
          <w:color w:val="auto"/>
        </w:rPr>
        <w:t xml:space="preserve">Wheelabrator </w:t>
      </w:r>
      <w:r>
        <w:rPr>
          <w:rFonts w:ascii="Arial" w:cs="Arial" w:eastAsia="Arial" w:hAnsi="Arial"/>
          <w:sz w:val="11"/>
          <w:szCs w:val="11"/>
          <w:color w:val="auto"/>
        </w:rPr>
        <w:t>— The decline in operating income for the quarter ended September 30, 2007 as compared with the prior year period was driven by a decline in revenues due to</w:t>
      </w:r>
      <w:r>
        <w:rPr>
          <w:rFonts w:ascii="Arial" w:cs="Arial" w:eastAsia="Arial" w:hAnsi="Arial"/>
          <w:sz w:val="11"/>
          <w:szCs w:val="11"/>
          <w:i w:val="1"/>
          <w:iCs w:val="1"/>
          <w:color w:val="auto"/>
        </w:rPr>
        <w:t xml:space="preserve"> </w:t>
      </w:r>
      <w:r>
        <w:rPr>
          <w:rFonts w:ascii="Arial" w:cs="Arial" w:eastAsia="Arial" w:hAnsi="Arial"/>
          <w:sz w:val="11"/>
          <w:szCs w:val="11"/>
          <w:color w:val="auto"/>
        </w:rPr>
        <w:t>the termination of an operating and maintenance agreement in May 2007 and an increase in repair and maintenance costs due to changes in the timing of certain maintenance projects at our waste-to-energy facilities. Affecting the comparability of the year-to-date operating income is a $21 million charge recorded in the first quarter of 2007 for the early termination of a lease agreement. The early termination was due to the Group’s purchase of an independent power production plant that it had previously operated through a lease agreement.</w:t>
      </w:r>
    </w:p>
    <w:p>
      <w:pPr>
        <w:spacing w:after="0" w:line="39"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WMRA </w:t>
      </w:r>
      <w:r>
        <w:rPr>
          <w:rFonts w:ascii="Arial" w:cs="Arial" w:eastAsia="Arial" w:hAnsi="Arial"/>
          <w:sz w:val="13"/>
          <w:szCs w:val="13"/>
          <w:color w:val="auto"/>
        </w:rPr>
        <w:t>— The Group’s 2007 operating income has benefited from substantial increases in market prices for commodities and $7 million of net gains on divestitures. In</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 the Group has experienced significant returns from operational improvements, including an increased focus on maintaining or reducing rebates made to suppliers. During the third quarter of 2006, the Group recognized $10 million of charges for the impairment of certain under-performing operations and a $4 million loss associated with the divestiture of several glass recycling facilities.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Significant items affecting the comparability of the remaining components of our results of operations for the three-and nine-month periods ended September 30, 2007 and 2006 are summarized below:</w:t>
      </w:r>
    </w:p>
    <w:p>
      <w:pPr>
        <w:spacing w:after="0" w:line="59"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changes in operating results are largely related to certain quarter-end adjustments recorded in consolidation related to our reportable segments that, due to timing,</w:t>
      </w:r>
      <w:r>
        <w:rPr>
          <w:rFonts w:ascii="Arial" w:cs="Arial" w:eastAsia="Arial" w:hAnsi="Arial"/>
          <w:sz w:val="13"/>
          <w:szCs w:val="13"/>
          <w:i w:val="1"/>
          <w:iCs w:val="1"/>
          <w:color w:val="auto"/>
        </w:rPr>
        <w:t xml:space="preserve"> </w:t>
      </w:r>
      <w:r>
        <w:rPr>
          <w:rFonts w:ascii="Arial" w:cs="Arial" w:eastAsia="Arial" w:hAnsi="Arial"/>
          <w:sz w:val="13"/>
          <w:szCs w:val="13"/>
          <w:color w:val="auto"/>
        </w:rPr>
        <w:t>were not included in the measure of segment income from operations used to assess their performance for the periods disclosed. The unfavorable change in operating results for the year-to-date period can also be attributed, in part, to the deconsolidation of a variable interest entity in April 2006 and increased costs associated with our landfill gas-to-energy program.</w:t>
      </w:r>
    </w:p>
    <w:p>
      <w:pPr>
        <w:spacing w:after="0" w:line="70"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The increase in expenses in the third quarter of 2007 as compared with the third quarter of 2006 is primarily due to increased spending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strategic initiatives, including the support and development of our revenue management system, and increased labor and related benefits costs. These increases were partially offset by the discontinuation of depreciation for certain enterprise-wide software that is now fully depreciated and the current year decline in risk management expenses that we have been experiencing throughout 2007.</w:t>
      </w:r>
    </w:p>
    <w:p>
      <w:pPr>
        <w:spacing w:after="0" w:line="70" w:lineRule="exact"/>
        <w:rPr>
          <w:sz w:val="20"/>
          <w:szCs w:val="20"/>
          <w:color w:val="auto"/>
        </w:rPr>
      </w:pPr>
    </w:p>
    <w:p>
      <w:pPr>
        <w:jc w:val="both"/>
        <w:ind w:left="1080" w:right="160" w:firstLine="383"/>
        <w:spacing w:after="0" w:line="334" w:lineRule="auto"/>
        <w:rPr>
          <w:sz w:val="20"/>
          <w:szCs w:val="20"/>
          <w:color w:val="auto"/>
        </w:rPr>
      </w:pPr>
      <w:r>
        <w:rPr>
          <w:rFonts w:ascii="Arial" w:cs="Arial" w:eastAsia="Arial" w:hAnsi="Arial"/>
          <w:sz w:val="11"/>
          <w:szCs w:val="11"/>
          <w:color w:val="auto"/>
        </w:rPr>
        <w:t>The net decline in expenses for the nine months ended September 30, 2007 when compared with the prior year period is primarily due to (i) a $19 million charge during the first quarter of 2006 to record our estimate of unrecorded obligations associated with unclaimed property as compared with $4 million of similar charges recognized during the first quarter of 2007 as a result of a settlement reached with one of the states participating in our unclaimed property audits; (ii) the current year decline in risk management expenses;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0"/>
        <w:spacing w:after="0" w:line="260" w:lineRule="auto"/>
        <w:rPr>
          <w:sz w:val="20"/>
          <w:szCs w:val="20"/>
          <w:color w:val="auto"/>
        </w:rPr>
      </w:pPr>
      <w:r>
        <w:rPr>
          <w:rFonts w:ascii="Arial" w:cs="Arial" w:eastAsia="Arial" w:hAnsi="Arial"/>
          <w:sz w:val="13"/>
          <w:szCs w:val="13"/>
          <w:color w:val="auto"/>
        </w:rPr>
        <w:t>and (iii) the discontinuation of depreciation for certain enterprise-wide software that is now fully depreciated. Largely offsetting these favorable changes are (i) increased spending for our strategic initiatives, including the support and development of our revenue management system; (ii) increased landfill operating costs for our closed sites management group due to revisions in our estimates associated with remediation obligations; (iii) an increase in labor and related benefits costs; and (iv) the recognition of approximately $6 million of restructuring charges during the first quarter of 2007 for employee severance and benefit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net income for the three- and nine-month periods ended September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760" w:type="dxa"/>
            <w:vAlign w:val="bottom"/>
            <w:vMerge w:val="restart"/>
          </w:tcPr>
          <w:p>
            <w:pPr>
              <w:jc w:val="center"/>
              <w:ind w:left="199"/>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6"/>
              </w:rPr>
              <w:t>Nine Months</w:t>
            </w:r>
          </w:p>
        </w:tc>
        <w:tc>
          <w:tcPr>
            <w:tcW w:w="740" w:type="dxa"/>
            <w:vAlign w:val="bottom"/>
            <w:vMerge w:val="restart"/>
          </w:tcPr>
          <w:p>
            <w:pPr>
              <w:jc w:val="center"/>
              <w:ind w:left="179"/>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1"/>
              </w:rPr>
              <w:t>Ended</w:t>
            </w:r>
          </w:p>
        </w:tc>
        <w:tc>
          <w:tcPr>
            <w:tcW w:w="7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8"/>
              </w:rPr>
              <w:t>Ended</w:t>
            </w: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760" w:type="dxa"/>
            <w:vAlign w:val="bottom"/>
          </w:tcPr>
          <w:p>
            <w:pPr>
              <w:jc w:val="center"/>
              <w:ind w:left="199"/>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740" w:type="dxa"/>
            <w:vAlign w:val="bottom"/>
          </w:tcPr>
          <w:p>
            <w:pPr>
              <w:jc w:val="center"/>
              <w:ind w:left="179"/>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00" w:type="dxa"/>
            <w:vAlign w:val="bottom"/>
          </w:tcPr>
          <w:p>
            <w:pPr>
              <w:spacing w:after="0"/>
              <w:rPr>
                <w:sz w:val="8"/>
                <w:szCs w:val="8"/>
                <w:color w:val="auto"/>
              </w:rPr>
            </w:pPr>
          </w:p>
        </w:tc>
        <w:tc>
          <w:tcPr>
            <w:tcW w:w="38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760" w:type="dxa"/>
            <w:vAlign w:val="bottom"/>
          </w:tcPr>
          <w:p>
            <w:pPr>
              <w:jc w:val="center"/>
              <w:ind w:left="199"/>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top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740" w:type="dxa"/>
            <w:vAlign w:val="bottom"/>
          </w:tcPr>
          <w:p>
            <w:pPr>
              <w:jc w:val="center"/>
              <w:ind w:left="179"/>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(128)</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  (138)</w:t>
            </w:r>
          </w:p>
        </w:tc>
        <w:tc>
          <w:tcPr>
            <w:tcW w:w="76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96"/>
              </w:rPr>
              <w:t>$  10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(395)</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  (412)</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89"/>
              </w:rPr>
              <w:t>$  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(4.1)%</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3"/>
                <w:szCs w:val="13"/>
                <w:color w:val="auto"/>
              </w:rPr>
              <w:t>Interest income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1100" w:type="dxa"/>
            <w:vAlign w:val="bottom"/>
            <w:gridSpan w:val="3"/>
          </w:tcPr>
          <w:p>
            <w:pPr>
              <w:jc w:val="right"/>
              <w:ind w:right="380"/>
              <w:spacing w:after="0"/>
              <w:rPr>
                <w:sz w:val="20"/>
                <w:szCs w:val="20"/>
                <w:color w:val="auto"/>
              </w:rPr>
            </w:pPr>
            <w:r>
              <w:rPr>
                <w:rFonts w:ascii="Arial" w:cs="Arial" w:eastAsia="Arial" w:hAnsi="Arial"/>
                <w:sz w:val="13"/>
                <w:szCs w:val="13"/>
                <w:color w:val="auto"/>
              </w:rPr>
              <w:t>24</w:t>
            </w:r>
          </w:p>
        </w:tc>
        <w:tc>
          <w:tcPr>
            <w:tcW w:w="760" w:type="dxa"/>
            <w:vAlign w:val="bottom"/>
          </w:tcPr>
          <w:p>
            <w:pPr>
              <w:jc w:val="right"/>
              <w:ind w:right="359"/>
              <w:spacing w:after="0"/>
              <w:rPr>
                <w:sz w:val="20"/>
                <w:szCs w:val="20"/>
                <w:color w:val="auto"/>
              </w:rPr>
            </w:pPr>
            <w:r>
              <w:rPr>
                <w:rFonts w:ascii="Arial" w:cs="Arial" w:eastAsia="Arial" w:hAnsi="Arial"/>
                <w:sz w:val="13"/>
                <w:szCs w:val="13"/>
                <w:color w:val="auto"/>
              </w:rPr>
              <w:t>(14)</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53</w:t>
            </w:r>
          </w:p>
        </w:tc>
        <w:tc>
          <w:tcPr>
            <w:tcW w:w="740" w:type="dxa"/>
            <w:vAlign w:val="bottom"/>
          </w:tcPr>
          <w:p>
            <w:pPr>
              <w:jc w:val="right"/>
              <w:ind w:right="339"/>
              <w:spacing w:after="0"/>
              <w:rPr>
                <w:sz w:val="20"/>
                <w:szCs w:val="20"/>
                <w:color w:val="auto"/>
              </w:rPr>
            </w:pPr>
            <w:r>
              <w:rPr>
                <w:rFonts w:ascii="Arial" w:cs="Arial" w:eastAsia="Arial" w:hAnsi="Arial"/>
                <w:sz w:val="13"/>
                <w:szCs w:val="13"/>
                <w:color w:val="auto"/>
              </w:rPr>
              <w:t>(14)</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Equity in net earnings (losses) of unconsolidated entities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76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21</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740" w:type="dxa"/>
            <w:vAlign w:val="bottom"/>
            <w:shd w:val="clear" w:color="auto" w:fill="CCEEFF"/>
          </w:tcPr>
          <w:p>
            <w:pPr>
              <w:jc w:val="right"/>
              <w:ind w:right="339"/>
              <w:spacing w:after="0"/>
              <w:rPr>
                <w:sz w:val="20"/>
                <w:szCs w:val="20"/>
                <w:color w:val="auto"/>
              </w:rPr>
            </w:pPr>
            <w:r>
              <w:rPr>
                <w:rFonts w:ascii="Arial" w:cs="Arial" w:eastAsia="Arial" w:hAnsi="Arial"/>
                <w:sz w:val="13"/>
                <w:szCs w:val="13"/>
                <w:color w:val="auto"/>
              </w:rPr>
              <w:t>(27)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3"/>
                <w:szCs w:val="13"/>
                <w:color w:val="auto"/>
              </w:rPr>
              <w:t>Minority interest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(11)</w:t>
            </w:r>
          </w:p>
        </w:tc>
        <w:tc>
          <w:tcPr>
            <w:tcW w:w="760" w:type="dxa"/>
            <w:vAlign w:val="bottom"/>
          </w:tcPr>
          <w:p>
            <w:pPr>
              <w:jc w:val="right"/>
              <w:ind w:right="359"/>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540"/>
              <w:spacing w:after="0"/>
              <w:rPr>
                <w:sz w:val="20"/>
                <w:szCs w:val="20"/>
                <w:color w:val="auto"/>
              </w:rPr>
            </w:pPr>
            <w:r>
              <w:rPr>
                <w:rFonts w:ascii="Arial" w:cs="Arial" w:eastAsia="Arial" w:hAnsi="Arial"/>
                <w:sz w:val="13"/>
                <w:szCs w:val="13"/>
                <w:color w:val="auto"/>
              </w:rPr>
              <w:t>9.1</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1120" w:type="dxa"/>
            <w:vAlign w:val="bottom"/>
            <w:gridSpan w:val="3"/>
          </w:tcPr>
          <w:p>
            <w:pPr>
              <w:jc w:val="right"/>
              <w:ind w:right="340"/>
              <w:spacing w:after="0"/>
              <w:rPr>
                <w:sz w:val="20"/>
                <w:szCs w:val="20"/>
                <w:color w:val="auto"/>
              </w:rPr>
            </w:pPr>
            <w:r>
              <w:rPr>
                <w:rFonts w:ascii="Arial" w:cs="Arial" w:eastAsia="Arial" w:hAnsi="Arial"/>
                <w:sz w:val="13"/>
                <w:szCs w:val="13"/>
                <w:color w:val="auto"/>
              </w:rPr>
              <w:t>(33)</w:t>
            </w:r>
          </w:p>
        </w:tc>
        <w:tc>
          <w:tcPr>
            <w:tcW w:w="740" w:type="dxa"/>
            <w:vAlign w:val="bottom"/>
          </w:tcPr>
          <w:p>
            <w:pPr>
              <w:jc w:val="right"/>
              <w:ind w:right="399"/>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76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158</w:t>
            </w:r>
          </w:p>
        </w:tc>
        <w:tc>
          <w:tcPr>
            <w:tcW w:w="1100" w:type="dxa"/>
            <w:vAlign w:val="bottom"/>
            <w:gridSpan w:val="3"/>
          </w:tcPr>
          <w:p>
            <w:pPr>
              <w:jc w:val="right"/>
              <w:ind w:right="380"/>
              <w:spacing w:after="0"/>
              <w:rPr>
                <w:sz w:val="20"/>
                <w:szCs w:val="20"/>
                <w:color w:val="auto"/>
              </w:rPr>
            </w:pPr>
            <w:r>
              <w:rPr>
                <w:rFonts w:ascii="Arial" w:cs="Arial" w:eastAsia="Arial" w:hAnsi="Arial"/>
                <w:sz w:val="13"/>
                <w:szCs w:val="13"/>
                <w:color w:val="auto"/>
              </w:rPr>
              <w:t>113</w:t>
            </w:r>
          </w:p>
        </w:tc>
        <w:tc>
          <w:tcPr>
            <w:tcW w:w="760" w:type="dxa"/>
            <w:vAlign w:val="bottom"/>
          </w:tcPr>
          <w:p>
            <w:pPr>
              <w:jc w:val="right"/>
              <w:ind w:right="399"/>
              <w:spacing w:after="0"/>
              <w:rPr>
                <w:sz w:val="20"/>
                <w:szCs w:val="20"/>
                <w:color w:val="auto"/>
              </w:rPr>
            </w:pPr>
            <w:r>
              <w:rPr>
                <w:rFonts w:ascii="Arial" w:cs="Arial" w:eastAsia="Arial" w:hAnsi="Arial"/>
                <w:sz w:val="13"/>
                <w:szCs w:val="13"/>
                <w:color w:val="auto"/>
              </w:rPr>
              <w:t>45</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393</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246</w:t>
            </w:r>
          </w:p>
        </w:tc>
        <w:tc>
          <w:tcPr>
            <w:tcW w:w="740" w:type="dxa"/>
            <w:vAlign w:val="bottom"/>
          </w:tcPr>
          <w:p>
            <w:pPr>
              <w:jc w:val="right"/>
              <w:ind w:right="399"/>
              <w:spacing w:after="0"/>
              <w:rPr>
                <w:sz w:val="20"/>
                <w:szCs w:val="20"/>
                <w:color w:val="auto"/>
              </w:rPr>
            </w:pPr>
            <w:r>
              <w:rPr>
                <w:rFonts w:ascii="Arial" w:cs="Arial" w:eastAsia="Arial" w:hAnsi="Arial"/>
                <w:sz w:val="13"/>
                <w:szCs w:val="13"/>
                <w:color w:val="auto"/>
              </w:rPr>
              <w:t>147</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 The decrease in interest expense is generally attributable to a decline in our debt balances on a year-over-year basis, partially offset by higher market interest rates,</w:t>
      </w:r>
      <w:r>
        <w:rPr>
          <w:rFonts w:ascii="Arial" w:cs="Arial" w:eastAsia="Arial" w:hAnsi="Arial"/>
          <w:sz w:val="13"/>
          <w:szCs w:val="13"/>
          <w:i w:val="1"/>
          <w:iCs w:val="1"/>
          <w:color w:val="auto"/>
        </w:rPr>
        <w:t xml:space="preserve"> </w:t>
      </w:r>
      <w:r>
        <w:rPr>
          <w:rFonts w:ascii="Arial" w:cs="Arial" w:eastAsia="Arial" w:hAnsi="Arial"/>
          <w:sz w:val="13"/>
          <w:szCs w:val="13"/>
          <w:color w:val="auto"/>
        </w:rPr>
        <w:t>which impact the interest expense associated with the variable portion of our debt obligations. As of September 30, 2007, 37% of our total debt was at variable rates compared with 35% as of September 30, 2006.</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 The variance between the three- and nine-month periods is largely related to a decrease in our average cash and investment balances on a year-over-year basis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realization of interest income during 2006 as a result of tax audit settlements.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Equity in net earnings (losses) of unconsolidated entities </w:t>
      </w:r>
      <w:r>
        <w:rPr>
          <w:rFonts w:ascii="Arial" w:cs="Arial" w:eastAsia="Arial" w:hAnsi="Arial"/>
          <w:sz w:val="12"/>
          <w:szCs w:val="12"/>
          <w:color w:val="auto"/>
        </w:rPr>
        <w:t>— Our “Equity in net earnings (losses) of unconsolidated entities” for the three- and nine-month periods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2007 and 2006 are primarily related to our equity interests in two coal-based synthetic fuel production facilities. Our equity in the losses of these facilities was $50 million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nine months ended September 30, 2007. During the third quarter of 2007, our equity in losses attributable to the facilities was insignificant due to the offsetting impacts of a $15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charge for our costs associated with current quarter production and a $15 million reduction in expense to adjust equity losses associated with the first half of 2007 for a revision in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estimate of the phase-out of Section 45K credits, which is discussed further below.</w:t>
      </w:r>
    </w:p>
    <w:p>
      <w:pPr>
        <w:spacing w:after="0" w:line="89"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 xml:space="preserve">We recognized losses of $20 million and $21 million during the three and nine months ended September 30, 2006, respectively, due to the activities of these facilities. The equity losses generated by the facilities are offset by the tax benefit realized as a result of these investments as discussed below within </w:t>
      </w:r>
      <w:r>
        <w:rPr>
          <w:rFonts w:ascii="Arial" w:cs="Arial" w:eastAsia="Arial" w:hAnsi="Arial"/>
          <w:sz w:val="12"/>
          <w:szCs w:val="12"/>
          <w:i w:val="1"/>
          <w:iCs w:val="1"/>
          <w:color w:val="auto"/>
        </w:rPr>
        <w:t>Provision for income taxes.</w:t>
      </w:r>
    </w:p>
    <w:p>
      <w:pPr>
        <w:spacing w:after="0" w:line="35" w:lineRule="exact"/>
        <w:rPr>
          <w:sz w:val="20"/>
          <w:szCs w:val="20"/>
          <w:color w:val="auto"/>
        </w:rPr>
      </w:pPr>
    </w:p>
    <w:p>
      <w:pPr>
        <w:ind w:left="680" w:right="380" w:firstLine="399"/>
        <w:spacing w:after="0" w:line="316" w:lineRule="auto"/>
        <w:rPr>
          <w:sz w:val="20"/>
          <w:szCs w:val="20"/>
          <w:color w:val="auto"/>
        </w:rPr>
      </w:pPr>
      <w:r>
        <w:rPr>
          <w:rFonts w:ascii="Arial" w:cs="Arial" w:eastAsia="Arial" w:hAnsi="Arial"/>
          <w:sz w:val="11"/>
          <w:szCs w:val="11"/>
          <w:color w:val="auto"/>
        </w:rPr>
        <w:t>Our equity in losses of unconsolidated entities in both 2007 and 2006 have been significantly affected by our expectations for a partial phase-out of Section 45K credits on our contractual obligations associated with funding the facilities’ losses. We update our estimate of the phase-out of Section 45K credits on a quarterly basis. As of September 30, 2007 we estimate that 52% of Section 45K tax credits generated during 2007 will be phased out, an increase from 29% as of June 30, 2007. As of September 30, 2006 we estimated that 35% of Section 45K credits generated during 2006 would be phased out, a decrease from 78% as of June 30, 2006. In addition, the facilities suspended operations in May 2006, reducing our obligations associated with funding the facilities’ losses for the three and nine months ended September 30, 2006. During the second quarter of 2006, we also recognized a</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cumulative adjustment necessary to appropriately reflect our life-to-date obligations to fund the costs of operating the facilities and the value of our investment.</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 The comparability of our reported income taxes for the three and nine months ended September 30, 2007 and 2006 is primarily affected by increases in</w:t>
      </w:r>
      <w:r>
        <w:rPr>
          <w:rFonts w:ascii="Arial" w:cs="Arial" w:eastAsia="Arial" w:hAnsi="Arial"/>
          <w:sz w:val="13"/>
          <w:szCs w:val="13"/>
          <w:i w:val="1"/>
          <w:iCs w:val="1"/>
          <w:color w:val="auto"/>
        </w:rPr>
        <w:t xml:space="preserve"> </w:t>
      </w:r>
      <w:r>
        <w:rPr>
          <w:rFonts w:ascii="Arial" w:cs="Arial" w:eastAsia="Arial" w:hAnsi="Arial"/>
          <w:sz w:val="13"/>
          <w:szCs w:val="13"/>
          <w:color w:val="auto"/>
        </w:rPr>
        <w:t>our income before taxes and differences in the impacts of tax audit settlements and non-conventional fuel tax credits, which are discussed further in Note 5 to the Condensed Consolidated Financial Statements. In addition, Canadian tax rate reductions and the related revaluation of deferred tax balances resulted in a $3 million tax benefit for the nine months ended September 30, 2007, compared with a $20 million tax benefit for the nine months ended September 30, 2006. The impacts of tax audit settlements and non-conventional fuel tax credits on our reported income taxes for the three- and nine-month periods are summarized below.</w:t>
      </w:r>
    </w:p>
    <w:p>
      <w:pPr>
        <w:spacing w:after="0" w:line="71" w:lineRule="exact"/>
        <w:rPr>
          <w:sz w:val="20"/>
          <w:szCs w:val="20"/>
          <w:color w:val="auto"/>
        </w:rPr>
      </w:pPr>
    </w:p>
    <w:p>
      <w:pPr>
        <w:ind w:left="1280" w:right="40" w:hanging="190"/>
        <w:spacing w:after="0" w:line="312" w:lineRule="auto"/>
        <w:tabs>
          <w:tab w:leader="none" w:pos="1280" w:val="left"/>
        </w:tabs>
        <w:numPr>
          <w:ilvl w:val="0"/>
          <w:numId w:val="38"/>
        </w:numPr>
        <w:rPr>
          <w:rFonts w:ascii="Arial" w:cs="Arial" w:eastAsia="Arial" w:hAnsi="Arial"/>
          <w:sz w:val="11"/>
          <w:szCs w:val="11"/>
          <w:color w:val="auto"/>
        </w:rPr>
      </w:pPr>
      <w:r>
        <w:rPr>
          <w:rFonts w:ascii="Arial" w:cs="Arial" w:eastAsia="Arial" w:hAnsi="Arial"/>
          <w:sz w:val="11"/>
          <w:szCs w:val="11"/>
          <w:i w:val="1"/>
          <w:iCs w:val="1"/>
          <w:color w:val="auto"/>
        </w:rPr>
        <w:t xml:space="preserve">Tax audit settlements </w:t>
      </w:r>
      <w:r>
        <w:rPr>
          <w:rFonts w:ascii="Arial" w:cs="Arial" w:eastAsia="Arial" w:hAnsi="Arial"/>
          <w:sz w:val="11"/>
          <w:szCs w:val="11"/>
          <w:color w:val="auto"/>
        </w:rPr>
        <w:t>— The settlement of various federal and state tax audits resulted in a reduction in income tax expense of $3 million for the three months ended</w:t>
      </w:r>
      <w:r>
        <w:rPr>
          <w:rFonts w:ascii="Arial" w:cs="Arial" w:eastAsia="Arial" w:hAnsi="Arial"/>
          <w:sz w:val="11"/>
          <w:szCs w:val="11"/>
          <w:i w:val="1"/>
          <w:iCs w:val="1"/>
          <w:color w:val="auto"/>
        </w:rPr>
        <w:t xml:space="preserve"> </w:t>
      </w:r>
      <w:r>
        <w:rPr>
          <w:rFonts w:ascii="Arial" w:cs="Arial" w:eastAsia="Arial" w:hAnsi="Arial"/>
          <w:sz w:val="11"/>
          <w:szCs w:val="11"/>
          <w:color w:val="auto"/>
        </w:rPr>
        <w:t>September 30, 2007 and $30 million for the nine months ended September 30, 2007. These tax audit settlements resulted in a 0.6 percentage point reduction in our effective tax rate for the three months ended September 30, 2007 and a 2.4 percentage point reduction in our effective tax rate for the nine months ended September 30, 2007. When excluding the effect of interest income, the settlement of various federal and state tax audit matters resulted in a reduction in income tax expense of $7 million for the three months ended September 30, 2006 and $141 million for the nine months ended September 30, 2006. These tax audit settlements resulted in a 1.6 percentage point reduction in our effective tax rate for the three months ended September 30, 2006 and a 12.3 percentage point reduction in our effective tax rate for the nine months ended September 30, 2006.</w:t>
      </w:r>
    </w:p>
    <w:p>
      <w:pPr>
        <w:spacing w:after="0" w:line="35" w:lineRule="exact"/>
        <w:rPr>
          <w:rFonts w:ascii="Arial" w:cs="Arial" w:eastAsia="Arial" w:hAnsi="Arial"/>
          <w:sz w:val="11"/>
          <w:szCs w:val="11"/>
          <w:color w:val="auto"/>
        </w:rPr>
      </w:pPr>
    </w:p>
    <w:p>
      <w:pPr>
        <w:ind w:left="1280" w:right="20" w:hanging="190"/>
        <w:spacing w:after="0" w:line="258"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Based on an estimated phase-out of 52% as of September 30, 2007, our “Provision for income taxes” for the nine-month period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includes $58 million of non-conventional fuel tax credits. Our “Provision for income taxes” for the current three-month period does not include the benefit of any Section 45K tax credits because we were required to reverse a portion of the tax credits recognized during the first half of 2007 due to a significant increase in our estimate of the applicable phase-out for tax credits generated in 2007 during the current quarter. These tax credits resulted in a 4.8 percentage point reduction in our effective tax rate for the nine months ended September 30, 2007.</w:t>
      </w:r>
    </w:p>
    <w:p>
      <w:pPr>
        <w:spacing w:after="0" w:line="71" w:lineRule="exact"/>
        <w:rPr>
          <w:rFonts w:ascii="Arial" w:cs="Arial" w:eastAsia="Arial" w:hAnsi="Arial"/>
          <w:sz w:val="13"/>
          <w:szCs w:val="13"/>
          <w:color w:val="auto"/>
        </w:rPr>
      </w:pPr>
    </w:p>
    <w:p>
      <w:pPr>
        <w:ind w:left="1280" w:right="80"/>
        <w:spacing w:after="0" w:line="260" w:lineRule="auto"/>
        <w:rPr>
          <w:rFonts w:ascii="Arial" w:cs="Arial" w:eastAsia="Arial" w:hAnsi="Arial"/>
          <w:sz w:val="13"/>
          <w:szCs w:val="13"/>
          <w:color w:val="auto"/>
        </w:rPr>
      </w:pPr>
      <w:r>
        <w:rPr>
          <w:rFonts w:ascii="Arial" w:cs="Arial" w:eastAsia="Arial" w:hAnsi="Arial"/>
          <w:sz w:val="13"/>
          <w:szCs w:val="13"/>
          <w:color w:val="auto"/>
        </w:rPr>
        <w:t>Based on an estimated phase-out of 35% as of September 30, 2006, our “Provision for income taxes” included non-conventional fuel tax credits of $41 million for the three months ended September 30, 2006 and $52 million for the nine months ended September 30, 2006. Non-conventional fuel tax credits resulted in a 9.8 percentage point reduction in our effective tax rate for the three months ended September 30, 2006 and a 4.5 percentage point reduction in our effective tax rate for the nine months ended September 30, 2006.</w:t>
      </w:r>
    </w:p>
    <w:p>
      <w:pPr>
        <w:spacing w:after="0" w:line="69" w:lineRule="exact"/>
        <w:rPr>
          <w:rFonts w:ascii="Arial" w:cs="Arial" w:eastAsia="Arial" w:hAnsi="Arial"/>
          <w:sz w:val="13"/>
          <w:szCs w:val="13"/>
          <w:color w:val="auto"/>
        </w:rPr>
      </w:pPr>
    </w:p>
    <w:p>
      <w:pPr>
        <w:ind w:left="1280" w:right="300"/>
        <w:spacing w:after="0" w:line="296" w:lineRule="auto"/>
        <w:rPr>
          <w:rFonts w:ascii="Arial" w:cs="Arial" w:eastAsia="Arial" w:hAnsi="Arial"/>
          <w:sz w:val="13"/>
          <w:szCs w:val="13"/>
          <w:color w:val="auto"/>
        </w:rPr>
      </w:pPr>
      <w:r>
        <w:rPr>
          <w:rFonts w:ascii="Arial" w:cs="Arial" w:eastAsia="Arial" w:hAnsi="Arial"/>
          <w:sz w:val="12"/>
          <w:szCs w:val="12"/>
          <w:color w:val="auto"/>
        </w:rPr>
        <w:t xml:space="preserve">Non-conventional fuel tax credits are derived from our landfills and our investments in the two coal-based, synthetic fuel production facilities discussed in the </w:t>
      </w:r>
      <w:r>
        <w:rPr>
          <w:rFonts w:ascii="Arial" w:cs="Arial" w:eastAsia="Arial" w:hAnsi="Arial"/>
          <w:sz w:val="12"/>
          <w:szCs w:val="12"/>
          <w:i w:val="1"/>
          <w:iCs w:val="1"/>
          <w:color w:val="auto"/>
        </w:rPr>
        <w:t>Equity in net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earnings (losses) of unconsolidated entities </w:t>
      </w:r>
      <w:r>
        <w:rPr>
          <w:rFonts w:ascii="Arial" w:cs="Arial" w:eastAsia="Arial" w:hAnsi="Arial"/>
          <w:sz w:val="12"/>
          <w:szCs w:val="12"/>
          <w:color w:val="auto"/>
        </w:rPr>
        <w:t>section above. These tax credits expire at the end of 2007 pursuant to Section 45K of the Internal Revenue Code. Accordingly, at</w:t>
      </w:r>
      <w:r>
        <w:rPr>
          <w:rFonts w:ascii="Arial" w:cs="Arial" w:eastAsia="Arial" w:hAnsi="Arial"/>
          <w:sz w:val="12"/>
          <w:szCs w:val="12"/>
          <w:i w:val="1"/>
          <w:iCs w:val="1"/>
          <w:color w:val="auto"/>
        </w:rPr>
        <w:t xml:space="preserve"> </w:t>
      </w:r>
      <w:r>
        <w:rPr>
          <w:rFonts w:ascii="Arial" w:cs="Arial" w:eastAsia="Arial" w:hAnsi="Arial"/>
          <w:sz w:val="12"/>
          <w:szCs w:val="12"/>
          <w:color w:val="auto"/>
        </w:rPr>
        <w:t>current income levels, we expect that our 2008 effective tax rate will be approximately 40% without the benefit of the tax credits.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construction, refurbishments and improvements at waste-to-energy and materials recovery facilities; (iv) the container and equipment needs of our operations; (v) capping, closure and post-closure activities at our landfills; and (vi) repaying debt and discharging other obligations. We are also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restricted trust and escrow accounts and debt balances as of September 30, 2007 and December 31, 2006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Short-term investments available for use</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short-term investments available for use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Debt: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7,797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8,317</w:t>
            </w:r>
          </w:p>
        </w:tc>
        <w:tc>
          <w:tcPr>
            <w:tcW w:w="0" w:type="dxa"/>
            <w:vAlign w:val="bottom"/>
          </w:tcPr>
          <w:p>
            <w:pPr>
              <w:spacing w:after="0"/>
              <w:rPr>
                <w:sz w:val="1"/>
                <w:szCs w:val="1"/>
                <w:color w:val="auto"/>
              </w:rPr>
            </w:pPr>
          </w:p>
        </w:tc>
      </w:tr>
      <w:tr>
        <w:trPr>
          <w:trHeight w:val="29"/>
        </w:trPr>
        <w:tc>
          <w:tcPr>
            <w:tcW w:w="7500" w:type="dxa"/>
            <w:vAlign w:val="bottom"/>
            <w:vMerge w:val="restart"/>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As of September 30, 2007, the most significant components of the current portion of our debt included $300 million of 7.125% senior notes that matured and were repaid with available cash on October 1, 2007; $79 million of capital leases and other debt; $62 million of tax-exempt debt; and $40 million of advances outstanding under our Canadian credit facility. The significant decline in the current portion of our debt from December 31, 2006 is largely due to our classification of $262 million of the borrowings under the Canadian credit facility as long-term as of September 30, 2007. As of September 30, 2007, all of our outstanding advances under the Canadian credit facility mature in less than one year. However, we expect to repay $40 million of the outstanding advances with available cash within one year and renew the remaining borrowings under the terms of the facility, which matures in November 2008. As of December 31, 2006, we had classified all borrowings under the Canadian credit facility as current liabilities based on our expectation, at that time, that we would repay the borrowings within one year with available cash. Generally, we expect to repay our current debt obligations as of September 30, 2007 with available cash at maturity. However, we may also consider refinancing current debt obligations on a long-term basis when we believe that alternative uses for our cash flow would provide greater returns for our business.</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maintain a five-year, $2.4 billion revolving credit facility that matures in August 2011. This facility is currently used to support letters of credit issued for our bonding and financial assurance needs, but may also be used as a source of liquidity.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nine-month periods ended September 30 (in millions):</w:t>
      </w:r>
    </w:p>
    <w:p>
      <w:pPr>
        <w:spacing w:after="0" w:line="98"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Nine Months</w:t>
      </w:r>
    </w:p>
    <w:p>
      <w:pPr>
        <w:jc w:val="center"/>
        <w:ind w:left="8100"/>
        <w:spacing w:after="0" w:line="236" w:lineRule="auto"/>
        <w:rPr>
          <w:sz w:val="20"/>
          <w:szCs w:val="20"/>
          <w:color w:val="auto"/>
        </w:rPr>
      </w:pPr>
      <w:r>
        <w:rPr>
          <w:rFonts w:ascii="Arial" w:cs="Arial" w:eastAsia="Arial" w:hAnsi="Arial"/>
          <w:sz w:val="10"/>
          <w:szCs w:val="10"/>
          <w:b w:val="1"/>
          <w:bCs w:val="1"/>
          <w:color w:val="auto"/>
        </w:rPr>
        <w:t>Ended</w:t>
      </w:r>
    </w:p>
    <w:p>
      <w:pPr>
        <w:jc w:val="center"/>
        <w:ind w:left="810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1,887</w:t>
            </w:r>
          </w:p>
        </w:tc>
        <w:tc>
          <w:tcPr>
            <w:tcW w:w="0" w:type="dxa"/>
            <w:vAlign w:val="bottom"/>
          </w:tcPr>
          <w:p>
            <w:pPr>
              <w:spacing w:after="0"/>
              <w:rPr>
                <w:sz w:val="1"/>
                <w:szCs w:val="1"/>
                <w:color w:val="auto"/>
              </w:rPr>
            </w:pPr>
          </w:p>
        </w:tc>
      </w:tr>
      <w:tr>
        <w:trPr>
          <w:trHeight w:val="29"/>
        </w:trPr>
        <w:tc>
          <w:tcPr>
            <w:tcW w:w="8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Cash flows from operations declined $41 million, or 2.2%, when comparing the nine months ended September 30, 2007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prior year period. The most significant items affecting the comparison of our operating cash flows for the nine months ended September 30, 2007 with the 2006 period are summarized below.</w:t>
      </w:r>
    </w:p>
    <w:p>
      <w:pPr>
        <w:spacing w:after="0" w:line="67" w:lineRule="exact"/>
        <w:rPr>
          <w:sz w:val="20"/>
          <w:szCs w:val="20"/>
          <w:color w:val="auto"/>
        </w:rPr>
      </w:pPr>
    </w:p>
    <w:p>
      <w:pPr>
        <w:ind w:left="1280" w:right="20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increased by $72 million when comparing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2007 with the comparable prior year period. The increase in operating income has positively affected our cash flows from operations in 2007.</w:t>
      </w:r>
    </w:p>
    <w:p>
      <w:pPr>
        <w:spacing w:after="0" w:line="49"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and refunds </w:t>
      </w:r>
      <w:r>
        <w:rPr>
          <w:rFonts w:ascii="Arial" w:cs="Arial" w:eastAsia="Arial" w:hAnsi="Arial"/>
          <w:sz w:val="13"/>
          <w:szCs w:val="13"/>
          <w:color w:val="auto"/>
        </w:rPr>
        <w:t>— Cash paid for income taxes, net of excess tax benefits associated with equity-based transactions, was approximately $60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lower when comparing the nine months ended September 30, 2007 with the comparable prior year period largely due to excess tax payments in 2006, which reduced our estimated tax payment for the third quarter of 2007. Cash tax refunds attributable to audit settlements decreased approximately $45 million when comparing the nine months ended September 30, 2007 with the comparable prior year period.</w:t>
      </w:r>
    </w:p>
    <w:p>
      <w:pPr>
        <w:spacing w:after="0" w:line="5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assets and liabilities — </w:t>
      </w:r>
      <w:r>
        <w:rPr>
          <w:rFonts w:ascii="Arial" w:cs="Arial" w:eastAsia="Arial" w:hAnsi="Arial"/>
          <w:sz w:val="13"/>
          <w:szCs w:val="13"/>
          <w:color w:val="auto"/>
        </w:rPr>
        <w:t>During 2006 and 2007, we made changes in the timing of payments for insurance premiums and our per-incident deductibles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auto insurance programs. These changes negatively affected the comparison of our cash flow from operations by approximately $60 million.</w:t>
      </w:r>
    </w:p>
    <w:p>
      <w:pPr>
        <w:spacing w:after="0" w:line="4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Increased bonus payments </w:t>
      </w:r>
      <w:r>
        <w:rPr>
          <w:rFonts w:ascii="Arial" w:cs="Arial" w:eastAsia="Arial" w:hAnsi="Arial"/>
          <w:sz w:val="13"/>
          <w:szCs w:val="13"/>
          <w:color w:val="auto"/>
        </w:rPr>
        <w:t>— Our bonus payments for 2006, which were paid in the first quarter of 2007, were higher than bonus payments for 2005 paid in 2006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overall improvement in our financial performance. The comparative changes in our liabilities for bonuses negatively affected the comparison of our cash flow from operations by approximately $55 million.</w:t>
      </w:r>
    </w:p>
    <w:p>
      <w:pPr>
        <w:spacing w:after="0" w:line="57"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Liabilities for unclaimed property — </w:t>
      </w:r>
      <w:r>
        <w:rPr>
          <w:rFonts w:ascii="Arial" w:cs="Arial" w:eastAsia="Arial" w:hAnsi="Arial"/>
          <w:sz w:val="13"/>
          <w:szCs w:val="13"/>
          <w:color w:val="auto"/>
        </w:rPr>
        <w:t>In 2007, we have made significant cash payments for our obligations associated with unclaimed property, reducing our liabilities. In 2006,</w:t>
      </w:r>
      <w:r>
        <w:rPr>
          <w:rFonts w:ascii="Arial" w:cs="Arial" w:eastAsia="Arial" w:hAnsi="Arial"/>
          <w:sz w:val="13"/>
          <w:szCs w:val="13"/>
          <w:i w:val="1"/>
          <w:iCs w:val="1"/>
          <w:color w:val="auto"/>
        </w:rPr>
        <w:t xml:space="preserve"> </w:t>
      </w:r>
      <w:r>
        <w:rPr>
          <w:rFonts w:ascii="Arial" w:cs="Arial" w:eastAsia="Arial" w:hAnsi="Arial"/>
          <w:sz w:val="13"/>
          <w:szCs w:val="13"/>
          <w:color w:val="auto"/>
        </w:rPr>
        <w:t>our liabilities for unclaimed property increased, primarily due to the charge to earnings required to fully record our obligations. The changes in our recorded obligations for unclaimed property negatively affected the comparison of our cash flow from operations by approximately $20 million.</w:t>
      </w:r>
    </w:p>
    <w:p>
      <w:pPr>
        <w:spacing w:after="0" w:line="67"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The Company recognized a $141 million reduction in its provision for income taxes for the nine months ended September 30, 2006 for the settlement of various federal and state tax audit matters. The resolution of these tax matters did not significantly impact our cash taxes paid or our operating cash flows for the nine months ended September 30, 2006. This is because the tax benefit of the settlement was recorded as a reduction in our recorded liability balances. Accordingly, the impacts of the tax audit settlements are reflected in the Condensed Consolidated Statement of Cash Flows for the nine months ended September 30, 2006 as an increase in net income and as a change in accounts payable and accrued liabilities.</w:t>
      </w:r>
    </w:p>
    <w:p>
      <w:pPr>
        <w:spacing w:after="0" w:line="3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We used $407 million of our cash resources for investing activities during the nine months ended September 30, 2007, a decrease of</w:t>
      </w:r>
      <w:r>
        <w:rPr>
          <w:rFonts w:ascii="Arial" w:cs="Arial" w:eastAsia="Arial" w:hAnsi="Arial"/>
          <w:sz w:val="13"/>
          <w:szCs w:val="13"/>
          <w:i w:val="1"/>
          <w:iCs w:val="1"/>
          <w:color w:val="auto"/>
        </w:rPr>
        <w:t xml:space="preserve"> </w:t>
      </w:r>
      <w:r>
        <w:rPr>
          <w:rFonts w:ascii="Arial" w:cs="Arial" w:eastAsia="Arial" w:hAnsi="Arial"/>
          <w:sz w:val="13"/>
          <w:szCs w:val="13"/>
          <w:color w:val="auto"/>
        </w:rPr>
        <w:t>$184 million when compared with the nine months ended September 30, 2006. This decrease is primarily due to the following:</w:t>
      </w:r>
    </w:p>
    <w:p>
      <w:pPr>
        <w:spacing w:after="0" w:line="59" w:lineRule="exact"/>
        <w:rPr>
          <w:sz w:val="20"/>
          <w:szCs w:val="20"/>
          <w:color w:val="auto"/>
        </w:rPr>
      </w:pPr>
    </w:p>
    <w:p>
      <w:pPr>
        <w:ind w:left="1280" w:right="2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Change in cash flows from purchases and sales of short-term investments </w:t>
      </w:r>
      <w:r>
        <w:rPr>
          <w:rFonts w:ascii="Arial" w:cs="Arial" w:eastAsia="Arial" w:hAnsi="Arial"/>
          <w:sz w:val="13"/>
          <w:szCs w:val="13"/>
          <w:color w:val="auto"/>
        </w:rPr>
        <w:t>— During the nine months ended September 30, 2007, net sales of short-term investments provided</w:t>
      </w:r>
      <w:r>
        <w:rPr>
          <w:rFonts w:ascii="Arial" w:cs="Arial" w:eastAsia="Arial" w:hAnsi="Arial"/>
          <w:sz w:val="13"/>
          <w:szCs w:val="13"/>
          <w:i w:val="1"/>
          <w:iCs w:val="1"/>
          <w:color w:val="auto"/>
        </w:rPr>
        <w:t xml:space="preserve"> </w:t>
      </w:r>
      <w:r>
        <w:rPr>
          <w:rFonts w:ascii="Arial" w:cs="Arial" w:eastAsia="Arial" w:hAnsi="Arial"/>
          <w:sz w:val="13"/>
          <w:szCs w:val="13"/>
          <w:color w:val="auto"/>
        </w:rPr>
        <w:t>$67 million of cash. During the nine months ended September 30, 2006, we used $26 million of our cash for net purchases of short-term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20"/>
        <w:spacing w:after="0" w:line="276" w:lineRule="auto"/>
        <w:rPr>
          <w:sz w:val="20"/>
          <w:szCs w:val="20"/>
          <w:color w:val="auto"/>
        </w:rPr>
      </w:pPr>
      <w:r>
        <w:rPr>
          <w:rFonts w:ascii="Arial" w:cs="Arial" w:eastAsia="Arial" w:hAnsi="Arial"/>
          <w:sz w:val="13"/>
          <w:szCs w:val="13"/>
          <w:color w:val="auto"/>
        </w:rPr>
        <w:t>investments. In 2007, we have used cash provided by net sales of short-term investments to fund our common stock repurchases, dividend payments and debt repayments, all of which have increased when compared with 2006.</w:t>
      </w:r>
    </w:p>
    <w:p>
      <w:pPr>
        <w:spacing w:after="0" w:line="59" w:lineRule="exact"/>
        <w:rPr>
          <w:sz w:val="20"/>
          <w:szCs w:val="20"/>
          <w:color w:val="auto"/>
        </w:rPr>
      </w:pPr>
    </w:p>
    <w:p>
      <w:pPr>
        <w:ind w:left="1280" w:right="14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Increased proceeds from divestitures </w:t>
      </w:r>
      <w:r>
        <w:rPr>
          <w:rFonts w:ascii="Arial" w:cs="Arial" w:eastAsia="Arial" w:hAnsi="Arial"/>
          <w:sz w:val="13"/>
          <w:szCs w:val="13"/>
          <w:color w:val="auto"/>
        </w:rPr>
        <w:t>— Proceeds from divestitures of businesses (net of cash divested) and other sales of assets increased $37 million when comparing the nine</w:t>
      </w:r>
      <w:r>
        <w:rPr>
          <w:rFonts w:ascii="Arial" w:cs="Arial" w:eastAsia="Arial" w:hAnsi="Arial"/>
          <w:sz w:val="13"/>
          <w:szCs w:val="13"/>
          <w:i w:val="1"/>
          <w:iCs w:val="1"/>
          <w:color w:val="auto"/>
        </w:rPr>
        <w:t xml:space="preserve"> </w:t>
      </w:r>
      <w:r>
        <w:rPr>
          <w:rFonts w:ascii="Arial" w:cs="Arial" w:eastAsia="Arial" w:hAnsi="Arial"/>
          <w:sz w:val="13"/>
          <w:szCs w:val="13"/>
          <w:color w:val="auto"/>
        </w:rPr>
        <w:t>months ended September 30, 2007 with the comparable prior year period. In 2007, our proceeds from divestitures have been driven by the sale of collection, transfer and recycling operations in the eastern United States.</w:t>
      </w:r>
    </w:p>
    <w:p>
      <w:pPr>
        <w:spacing w:after="0" w:line="57" w:lineRule="exact"/>
        <w:rPr>
          <w:rFonts w:ascii="Arial" w:cs="Arial" w:eastAsia="Arial" w:hAnsi="Arial"/>
          <w:sz w:val="13"/>
          <w:szCs w:val="13"/>
          <w:color w:val="auto"/>
        </w:rPr>
      </w:pPr>
    </w:p>
    <w:p>
      <w:pPr>
        <w:ind w:left="1280" w:right="60" w:hanging="190"/>
        <w:spacing w:after="0" w:line="296" w:lineRule="auto"/>
        <w:tabs>
          <w:tab w:leader="none" w:pos="12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Decline in capital expenditures </w:t>
      </w:r>
      <w:r>
        <w:rPr>
          <w:rFonts w:ascii="Arial" w:cs="Arial" w:eastAsia="Arial" w:hAnsi="Arial"/>
          <w:sz w:val="12"/>
          <w:szCs w:val="12"/>
          <w:color w:val="auto"/>
        </w:rPr>
        <w:t>— Capital expenditures during the nine months ended September 30, 2007 were $721 million, which is $125 million less than in the nine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September 30, 2006. The decline in capital expenditures is due to relatively high levels of fleet capital spending in 2006 in order to adequately prepare for any potential operational difficulties that could be encountered as a result of significant changes in heavy-duty truck engines beginning in January 2007.</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We used $1,519 million of our cash resources for financing activities during 2007, an increase of $303 million when compared with 2006.</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increase is primarily due to the following:</w:t>
      </w:r>
    </w:p>
    <w:p>
      <w:pPr>
        <w:spacing w:after="0" w:line="89"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Increased share repurchases and dividend payments — </w:t>
      </w:r>
      <w:r>
        <w:rPr>
          <w:rFonts w:ascii="Arial" w:cs="Arial" w:eastAsia="Arial" w:hAnsi="Arial"/>
          <w:sz w:val="12"/>
          <w:szCs w:val="12"/>
          <w:color w:val="auto"/>
        </w:rPr>
        <w:t>During the nine months ended September 30, 2007, we spent $1,059 million on share repurchases, an increase of</w:t>
      </w:r>
    </w:p>
    <w:p>
      <w:pPr>
        <w:spacing w:after="0" w:line="26" w:lineRule="exact"/>
        <w:rPr>
          <w:rFonts w:ascii="Arial" w:cs="Arial" w:eastAsia="Arial" w:hAnsi="Arial"/>
          <w:sz w:val="12"/>
          <w:szCs w:val="12"/>
          <w:color w:val="auto"/>
        </w:rPr>
      </w:pPr>
    </w:p>
    <w:p>
      <w:pPr>
        <w:jc w:val="both"/>
        <w:ind w:left="1280" w:right="20"/>
        <w:spacing w:after="0" w:line="290" w:lineRule="auto"/>
        <w:rPr>
          <w:rFonts w:ascii="Arial" w:cs="Arial" w:eastAsia="Arial" w:hAnsi="Arial"/>
          <w:sz w:val="12"/>
          <w:szCs w:val="12"/>
          <w:color w:val="auto"/>
        </w:rPr>
      </w:pPr>
      <w:r>
        <w:rPr>
          <w:rFonts w:ascii="Arial" w:cs="Arial" w:eastAsia="Arial" w:hAnsi="Arial"/>
          <w:sz w:val="12"/>
          <w:szCs w:val="12"/>
          <w:color w:val="auto"/>
        </w:rPr>
        <w:t>$125 million when compared with the prior year period. In addition, cash paid for our quarterly dividend program increased by $16 million when comparing the current and prior year periods, from $358 million during the nine months ended September 30, 2006 to $374 million for the nine months ended September 30, 2007. The increase in dividends paid is due to an increase in our quarterly per share dividend from $0.22 in 2006 to $0.24 in 2007, offset in part by the year-over-year decrease in shares outstanding.</w:t>
      </w:r>
    </w:p>
    <w:p>
      <w:pPr>
        <w:spacing w:after="0" w:line="42"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Increase in net debt repayments — </w:t>
      </w:r>
      <w:r>
        <w:rPr>
          <w:rFonts w:ascii="Arial" w:cs="Arial" w:eastAsia="Arial" w:hAnsi="Arial"/>
          <w:sz w:val="13"/>
          <w:szCs w:val="13"/>
          <w:color w:val="auto"/>
        </w:rPr>
        <w:t>During the nine months ended September 30, 2007, net debt repayments were approximately $219 million as compared with $118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comparable 2006 period. In 2007, our debt repayments include $78 million for tax-exempt borrowings, $75 million for capital lease and other debt and $66 million for outstanding advances under our Canadian credit facility.</w:t>
      </w:r>
    </w:p>
    <w:p>
      <w:pPr>
        <w:spacing w:after="0" w:line="57"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Decline in proceeds and tax benefits from the exercise of options and warrants — </w:t>
      </w:r>
      <w:r>
        <w:rPr>
          <w:rFonts w:ascii="Arial" w:cs="Arial" w:eastAsia="Arial" w:hAnsi="Arial"/>
          <w:sz w:val="13"/>
          <w:szCs w:val="13"/>
          <w:color w:val="auto"/>
        </w:rPr>
        <w:t>The exercise of common stock options and warrants and related excess tax benefits generated a</w:t>
      </w:r>
      <w:r>
        <w:rPr>
          <w:rFonts w:ascii="Arial" w:cs="Arial" w:eastAsia="Arial" w:hAnsi="Arial"/>
          <w:sz w:val="13"/>
          <w:szCs w:val="13"/>
          <w:i w:val="1"/>
          <w:iCs w:val="1"/>
          <w:color w:val="auto"/>
        </w:rPr>
        <w:t xml:space="preserve"> </w:t>
      </w:r>
      <w:r>
        <w:rPr>
          <w:rFonts w:ascii="Arial" w:cs="Arial" w:eastAsia="Arial" w:hAnsi="Arial"/>
          <w:sz w:val="13"/>
          <w:szCs w:val="13"/>
          <w:color w:val="auto"/>
        </w:rPr>
        <w:t>total of $163 million of financing cash flow during 2007, a decrease of $90 million from the comparable prior year period. We believe that stock option and warrant exercises were relatively higher in 2006 due to the accelerated vesting of all outstanding stock options in December 2005 and the substantial increase in the market price of our common stock during 2006 as compared with our historical prices.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discussed in Note 5 to our Condensed Consolidated Financial Statements, 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nine months ended September 30, 2007 nor are they expected to have a material impact on our future financial position, results of operations or liquidity.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9,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2006 in response to Item 1A to Part I of Form 10-K.</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October 2004, the Company announced that its Board of Directors approved a capital allocation program that included the authorization of up to $1.2 billion of stock repurchases and dividend payments annually for each of 2005, 2006 and 2007. In March 2007, our Board of Directors approved up to $600 million of additional share repurchases for 2007, increasing the maximum amount of capital available for our share repurchases and dividend payments for 2007 to $1.8 billion. All of the common stock repurchases made in 2007 have been pursuant to that program. The following table summarizes our third quarter 2007 share repurchase activity:</w:t>
      </w:r>
    </w:p>
    <w:p>
      <w:pPr>
        <w:spacing w:after="0" w:line="22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18"/>
        </w:trPr>
        <w:tc>
          <w:tcPr>
            <w:tcW w:w="36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2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Announced Plans or</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May yet be Purchased Under</w:t>
            </w:r>
          </w:p>
        </w:tc>
        <w:tc>
          <w:tcPr>
            <w:tcW w:w="0" w:type="dxa"/>
            <w:vAlign w:val="bottom"/>
          </w:tcPr>
          <w:p>
            <w:pPr>
              <w:spacing w:after="0"/>
              <w:rPr>
                <w:sz w:val="1"/>
                <w:szCs w:val="1"/>
                <w:color w:val="auto"/>
              </w:rPr>
            </w:pPr>
          </w:p>
        </w:tc>
      </w:tr>
      <w:tr>
        <w:trPr>
          <w:trHeight w:val="125"/>
        </w:trPr>
        <w:tc>
          <w:tcPr>
            <w:tcW w:w="3620" w:type="dxa"/>
            <w:vAlign w:val="bottom"/>
            <w:gridSpan w:val="2"/>
            <w:vMerge w:val="continue"/>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 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508,700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39.23</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508,700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720 Million</w:t>
            </w:r>
          </w:p>
        </w:tc>
        <w:tc>
          <w:tcPr>
            <w:tcW w:w="0" w:type="dxa"/>
            <w:vAlign w:val="bottom"/>
          </w:tcPr>
          <w:p>
            <w:pPr>
              <w:spacing w:after="0"/>
              <w:rPr>
                <w:sz w:val="1"/>
                <w:szCs w:val="1"/>
                <w:color w:val="auto"/>
              </w:rPr>
            </w:pPr>
          </w:p>
        </w:tc>
      </w:tr>
      <w:tr>
        <w:trPr>
          <w:trHeight w:val="157"/>
        </w:trPr>
        <w:tc>
          <w:tcPr>
            <w:tcW w:w="3620" w:type="dxa"/>
            <w:vAlign w:val="bottom"/>
            <w:gridSpan w:val="2"/>
          </w:tcPr>
          <w:p>
            <w:pPr>
              <w:spacing w:after="0"/>
              <w:rPr>
                <w:sz w:val="20"/>
                <w:szCs w:val="20"/>
                <w:color w:val="auto"/>
              </w:rPr>
            </w:pPr>
            <w:r>
              <w:rPr>
                <w:rFonts w:ascii="Arial" w:cs="Arial" w:eastAsia="Arial" w:hAnsi="Arial"/>
                <w:sz w:val="13"/>
                <w:szCs w:val="13"/>
                <w:color w:val="auto"/>
              </w:rPr>
              <w:t>August 1 — 31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6,461,524</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36.68</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6,461,524</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ind w:left="1240"/>
              <w:spacing w:after="0"/>
              <w:rPr>
                <w:sz w:val="20"/>
                <w:szCs w:val="20"/>
                <w:color w:val="auto"/>
              </w:rPr>
            </w:pPr>
            <w:r>
              <w:rPr>
                <w:rFonts w:ascii="Arial" w:cs="Arial" w:eastAsia="Arial" w:hAnsi="Arial"/>
                <w:sz w:val="13"/>
                <w:szCs w:val="13"/>
                <w:color w:val="auto"/>
              </w:rPr>
              <w:t>483 Million</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1 — 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3,480,782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37.63</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3,480,782</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352 Million</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37.12</w:t>
            </w: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gridSpan w:val="2"/>
            <w:vMerge w:val="continue"/>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10,451,006</w:t>
            </w:r>
          </w:p>
        </w:tc>
        <w:tc>
          <w:tcPr>
            <w:tcW w:w="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10,451,006</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180" w:right="40" w:hanging="493"/>
        <w:spacing w:after="0" w:line="285" w:lineRule="auto"/>
        <w:tabs>
          <w:tab w:leader="none" w:pos="1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each period presented, the maximum dollar value of shares that may yet be purchased under the program has been provided as of the end of each respective period. These amounts are not necessarily an indication of the amount we intend to repurchase during the remainder of the year. As discussed above, the amount of capital available for share repurchases during 2007 is $1.8 billion, net of dividends paid. During the nine months ended September 30, 2007, we paid $374 million in dividends. The maximum dollar value of shares that may be purchased under the program included in the table above includes the effect of these dividend payments as if all payments had been made at July 1, 2007. However, this amount does not include the impact of dividend payments we expect to make during the fourth quarter of 2007 as a result of future dividend declarations.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00" w:type="dxa"/>
            <w:vAlign w:val="bottom"/>
          </w:tcPr>
          <w:p>
            <w:pPr>
              <w:ind w:left="680"/>
              <w:spacing w:after="0"/>
              <w:rPr>
                <w:sz w:val="20"/>
                <w:szCs w:val="20"/>
                <w:color w:val="auto"/>
              </w:rPr>
            </w:pPr>
            <w:r>
              <w:rPr>
                <w:rFonts w:ascii="Arial" w:cs="Arial" w:eastAsia="Arial" w:hAnsi="Arial"/>
                <w:sz w:val="13"/>
                <w:szCs w:val="13"/>
                <w:b w:val="1"/>
                <w:bCs w:val="1"/>
                <w:color w:val="auto"/>
              </w:rPr>
              <w:t>Item 6.</w:t>
            </w:r>
          </w:p>
        </w:tc>
        <w:tc>
          <w:tcPr>
            <w:tcW w:w="101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1300" w:type="dxa"/>
            <w:vAlign w:val="bottom"/>
          </w:tcPr>
          <w:p>
            <w:pPr>
              <w:ind w:left="780"/>
              <w:spacing w:after="0"/>
              <w:rPr>
                <w:sz w:val="20"/>
                <w:szCs w:val="20"/>
                <w:color w:val="auto"/>
              </w:rPr>
            </w:pPr>
            <w:r>
              <w:rPr>
                <w:rFonts w:ascii="Arial" w:cs="Arial" w:eastAsia="Arial" w:hAnsi="Arial"/>
                <w:sz w:val="10"/>
                <w:szCs w:val="10"/>
                <w:b w:val="1"/>
                <w:bCs w:val="1"/>
                <w:color w:val="auto"/>
              </w:rPr>
              <w:t>Exhibit</w:t>
            </w:r>
          </w:p>
        </w:tc>
        <w:tc>
          <w:tcPr>
            <w:tcW w:w="10160" w:type="dxa"/>
            <w:vAlign w:val="bottom"/>
            <w:gridSpan w:val="3"/>
            <w:vMerge w:val="restart"/>
          </w:tcPr>
          <w:p>
            <w:pPr>
              <w:ind w:left="48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300" w:type="dxa"/>
            <w:vAlign w:val="bottom"/>
          </w:tcPr>
          <w:p>
            <w:pPr>
              <w:ind w:left="940"/>
              <w:spacing w:after="0"/>
              <w:rPr>
                <w:sz w:val="20"/>
                <w:szCs w:val="20"/>
                <w:color w:val="auto"/>
              </w:rPr>
            </w:pPr>
            <w:r>
              <w:rPr>
                <w:rFonts w:ascii="Arial" w:cs="Arial" w:eastAsia="Arial" w:hAnsi="Arial"/>
                <w:sz w:val="10"/>
                <w:szCs w:val="10"/>
                <w:b w:val="1"/>
                <w:bCs w:val="1"/>
                <w:color w:val="auto"/>
              </w:rPr>
              <w:t>No.</w:t>
            </w:r>
          </w:p>
        </w:tc>
        <w:tc>
          <w:tcPr>
            <w:tcW w:w="10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00" w:type="dxa"/>
            <w:vAlign w:val="bottom"/>
          </w:tcPr>
          <w:p>
            <w:pPr>
              <w:ind w:left="880"/>
              <w:spacing w:after="0"/>
              <w:rPr>
                <w:sz w:val="20"/>
                <w:szCs w:val="20"/>
                <w:color w:val="auto"/>
              </w:rPr>
            </w:pPr>
            <w:r>
              <w:rPr>
                <w:rFonts w:ascii="Arial" w:cs="Arial" w:eastAsia="Arial" w:hAnsi="Arial"/>
                <w:sz w:val="13"/>
                <w:szCs w:val="13"/>
                <w:color w:val="auto"/>
              </w:rPr>
              <w:t>12</w:t>
            </w:r>
          </w:p>
        </w:tc>
        <w:tc>
          <w:tcPr>
            <w:tcW w:w="4840" w:type="dxa"/>
            <w:vAlign w:val="bottom"/>
          </w:tcPr>
          <w:p>
            <w:pPr>
              <w:ind w:left="18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Arial" w:cs="Arial" w:eastAsia="Arial" w:hAnsi="Arial"/>
                <w:sz w:val="13"/>
                <w:szCs w:val="13"/>
                <w:color w:val="auto"/>
              </w:rPr>
              <w:t>31.1</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Arial" w:cs="Arial" w:eastAsia="Arial" w:hAnsi="Arial"/>
                <w:sz w:val="13"/>
                <w:szCs w:val="13"/>
                <w:color w:val="auto"/>
              </w:rPr>
              <w:t>31.2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0160" w:type="dxa"/>
            <w:vAlign w:val="bottom"/>
            <w:gridSpan w:val="3"/>
          </w:tcPr>
          <w:p>
            <w:pPr>
              <w:ind w:left="40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Arial" w:cs="Arial" w:eastAsia="Arial" w:hAnsi="Arial"/>
                <w:sz w:val="13"/>
                <w:szCs w:val="13"/>
                <w:color w:val="auto"/>
              </w:rPr>
              <w:t>32.1</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1300" w:type="dxa"/>
            <w:vAlign w:val="bottom"/>
          </w:tcPr>
          <w:p>
            <w:pPr>
              <w:ind w:left="880"/>
              <w:spacing w:after="0"/>
              <w:rPr>
                <w:sz w:val="20"/>
                <w:szCs w:val="20"/>
                <w:color w:val="auto"/>
              </w:rPr>
            </w:pPr>
            <w:r>
              <w:rPr>
                <w:rFonts w:ascii="Arial" w:cs="Arial" w:eastAsia="Arial" w:hAnsi="Arial"/>
                <w:sz w:val="13"/>
                <w:szCs w:val="13"/>
                <w:color w:val="auto"/>
              </w:rPr>
              <w:t>32.2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130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0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-1032510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0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20"/>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97"/>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280"/>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7400" w:type="dxa"/>
            <w:vAlign w:val="bottom"/>
            <w:gridSpan w:val="2"/>
          </w:tcPr>
          <w:p>
            <w:pPr>
              <w:ind w:left="680"/>
              <w:spacing w:after="0"/>
              <w:rPr>
                <w:sz w:val="20"/>
                <w:szCs w:val="20"/>
                <w:color w:val="auto"/>
              </w:rPr>
            </w:pPr>
            <w:r>
              <w:rPr>
                <w:rFonts w:ascii="Arial" w:cs="Arial" w:eastAsia="Arial" w:hAnsi="Arial"/>
                <w:sz w:val="13"/>
                <w:szCs w:val="13"/>
                <w:color w:val="auto"/>
              </w:rPr>
              <w:t>Date: October 26, 2007</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51</w:t>
            </w: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9120" w:type="dxa"/>
            <w:vAlign w:val="bottom"/>
            <w:gridSpan w:val="3"/>
          </w:tcPr>
          <w:p>
            <w:pPr>
              <w:ind w:left="3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5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9120" w:type="dxa"/>
            <w:vAlign w:val="bottom"/>
            <w:gridSpan w:val="3"/>
            <w:vMerge w:val="restart"/>
          </w:tcPr>
          <w:p>
            <w:pPr>
              <w:ind w:left="48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52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9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20" w:type="dxa"/>
            <w:vAlign w:val="bottom"/>
          </w:tcPr>
          <w:p>
            <w:pPr>
              <w:ind w:left="100"/>
              <w:spacing w:after="0"/>
              <w:rPr>
                <w:sz w:val="20"/>
                <w:szCs w:val="20"/>
                <w:color w:val="auto"/>
              </w:rPr>
            </w:pPr>
            <w:r>
              <w:rPr>
                <w:rFonts w:ascii="Arial" w:cs="Arial" w:eastAsia="Arial" w:hAnsi="Arial"/>
                <w:sz w:val="13"/>
                <w:szCs w:val="13"/>
                <w:color w:val="auto"/>
              </w:rPr>
              <w:t>12</w:t>
            </w:r>
          </w:p>
        </w:tc>
        <w:tc>
          <w:tcPr>
            <w:tcW w:w="4840" w:type="dxa"/>
            <w:vAlign w:val="bottom"/>
          </w:tcPr>
          <w:p>
            <w:pPr>
              <w:ind w:left="18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20" w:type="dxa"/>
            <w:vAlign w:val="bottom"/>
          </w:tcPr>
          <w:p>
            <w:pPr>
              <w:ind w:left="100"/>
              <w:spacing w:after="0"/>
              <w:rPr>
                <w:sz w:val="20"/>
                <w:szCs w:val="20"/>
                <w:color w:val="auto"/>
              </w:rPr>
            </w:pPr>
            <w:r>
              <w:rPr>
                <w:rFonts w:ascii="Arial" w:cs="Arial" w:eastAsia="Arial" w:hAnsi="Arial"/>
                <w:sz w:val="13"/>
                <w:szCs w:val="13"/>
                <w:color w:val="auto"/>
              </w:rPr>
              <w:t>31.1</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520" w:type="dxa"/>
            <w:vAlign w:val="bottom"/>
          </w:tcPr>
          <w:p>
            <w:pPr>
              <w:ind w:left="100"/>
              <w:spacing w:after="0"/>
              <w:rPr>
                <w:sz w:val="20"/>
                <w:szCs w:val="20"/>
                <w:color w:val="auto"/>
              </w:rPr>
            </w:pPr>
            <w:r>
              <w:rPr>
                <w:rFonts w:ascii="Arial" w:cs="Arial" w:eastAsia="Arial" w:hAnsi="Arial"/>
                <w:sz w:val="13"/>
                <w:szCs w:val="13"/>
                <w:color w:val="auto"/>
              </w:rPr>
              <w:t>31.2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w w:val="91"/>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9120" w:type="dxa"/>
            <w:vAlign w:val="bottom"/>
            <w:gridSpan w:val="3"/>
          </w:tcPr>
          <w:p>
            <w:pPr>
              <w:ind w:left="40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520" w:type="dxa"/>
            <w:vAlign w:val="bottom"/>
          </w:tcPr>
          <w:p>
            <w:pPr>
              <w:ind w:left="100"/>
              <w:spacing w:after="0"/>
              <w:rPr>
                <w:sz w:val="20"/>
                <w:szCs w:val="20"/>
                <w:color w:val="auto"/>
              </w:rPr>
            </w:pPr>
            <w:r>
              <w:rPr>
                <w:rFonts w:ascii="Arial" w:cs="Arial" w:eastAsia="Arial" w:hAnsi="Arial"/>
                <w:sz w:val="13"/>
                <w:szCs w:val="13"/>
                <w:color w:val="auto"/>
              </w:rPr>
              <w:t>32.1</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520" w:type="dxa"/>
            <w:vAlign w:val="bottom"/>
          </w:tcPr>
          <w:p>
            <w:pPr>
              <w:ind w:left="100"/>
              <w:spacing w:after="0"/>
              <w:rPr>
                <w:sz w:val="20"/>
                <w:szCs w:val="20"/>
                <w:color w:val="auto"/>
              </w:rPr>
            </w:pPr>
            <w:r>
              <w:rPr>
                <w:rFonts w:ascii="Arial" w:cs="Arial" w:eastAsia="Arial" w:hAnsi="Arial"/>
                <w:sz w:val="13"/>
                <w:szCs w:val="13"/>
                <w:color w:val="auto"/>
              </w:rPr>
              <w:t>32.2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-916305</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420"/>
          </w:cols>
          <w:pgMar w:left="220" w:top="343" w:right="125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color w:val="auto"/>
        </w:rPr>
        <w:t>EXHIBIT 12</w:t>
      </w:r>
    </w:p>
    <w:p>
      <w:pPr>
        <w:spacing w:after="0" w:line="240" w:lineRule="exact"/>
        <w:rPr>
          <w:sz w:val="20"/>
          <w:szCs w:val="20"/>
          <w:color w:val="auto"/>
        </w:rPr>
      </w:pPr>
    </w:p>
    <w:p>
      <w:pPr>
        <w:ind w:left="4821"/>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September 30,</w:t>
      </w:r>
    </w:p>
    <w:tbl>
      <w:tblPr>
        <w:tblLayout w:type="fixed"/>
        <w:tblInd w:w="1"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losses in equity investments and minority interests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1,331</w:t>
            </w:r>
          </w:p>
        </w:tc>
        <w:tc>
          <w:tcPr>
            <w:tcW w:w="500" w:type="dxa"/>
            <w:vAlign w:val="bottom"/>
            <w:gridSpan w:val="2"/>
            <w:shd w:val="clear" w:color="auto" w:fill="CCEEFF"/>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Earnings available for fixed charges (a)</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395</w:t>
            </w:r>
          </w:p>
        </w:tc>
        <w:tc>
          <w:tcPr>
            <w:tcW w:w="5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Total fixed charges (a)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453</w:t>
            </w:r>
          </w:p>
        </w:tc>
        <w:tc>
          <w:tcPr>
            <w:tcW w:w="5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3.9x</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hanging="461"/>
        <w:spacing w:after="0" w:line="371" w:lineRule="auto"/>
        <w:tabs>
          <w:tab w:leader="none" w:pos="461" w:val="left"/>
        </w:tabs>
        <w:numPr>
          <w:ilvl w:val="0"/>
          <w:numId w:val="44"/>
        </w:numPr>
        <w:rPr>
          <w:rFonts w:ascii="Arial" w:cs="Arial" w:eastAsia="Arial" w:hAnsi="Arial"/>
          <w:sz w:val="11"/>
          <w:szCs w:val="11"/>
          <w:color w:val="auto"/>
        </w:rPr>
      </w:pPr>
      <w:r>
        <w:rPr>
          <w:rFonts w:ascii="Arial" w:cs="Arial" w:eastAsia="Arial" w:hAnsi="Arial"/>
          <w:sz w:val="11"/>
          <w:szCs w:val="11"/>
          <w:color w:val="auto"/>
        </w:rPr>
        <w:t>To the extent interest may be assessed by taxing authorities on any underpayment of income tax, such amounts are classified as a component of income tax expense in our Statements of Operations. For purposes of this disclosure, interest expense related to income tax matters has been excluded from our measurements of “Earnings available for fixed charges” and “Total fixed charges” for all periods presented.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61"/>
          </w:cols>
          <w:pgMar w:left="219" w:top="721" w:right="21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October 26, 2007</w:t>
      </w:r>
    </w:p>
    <w:p>
      <w:pPr>
        <w:spacing w:after="0" w:line="16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33451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51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Chief Executive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60"/>
          </w:cols>
          <w:pgMar w:left="220" w:top="721" w:right="219" w:bottom="1440" w:gutter="0" w:footer="0" w:header="0"/>
        </w:sectPr>
      </w:pPr>
    </w:p>
    <w:bookmarkStart w:id="57" w:name="page58"/>
    <w:bookmarkEnd w:id="57"/>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680" w:hanging="455"/>
        <w:spacing w:after="0"/>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4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October 26, 2007</w:t>
      </w:r>
    </w:p>
    <w:p>
      <w:pPr>
        <w:spacing w:after="0" w:line="16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33451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5180" cy="635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60"/>
          </w:cols>
          <w:pgMar w:left="220" w:top="720" w:right="21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2007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10795</wp:posOffset>
            </wp:positionV>
            <wp:extent cx="26212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26,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460"/>
          </w:cols>
          <w:pgMar w:left="220" w:top="720" w:right="21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2007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4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10795</wp:posOffset>
            </wp:positionV>
            <wp:extent cx="26212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26,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2"/>
    </w:lvl>
  </w:abstractNum>
  <w:abstractNum w:abstractNumId="10">
    <w:nsid w:val="3A95F874"/>
    <w:multiLevelType w:val="hybridMultilevel"/>
    <w:lvl w:ilvl="0">
      <w:lvlJc w:val="left"/>
      <w:lvlText w:val="(%1)"/>
      <w:numFmt w:val="lowerRoman"/>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decimal"/>
      <w:start w:val="6"/>
    </w:lvl>
  </w:abstractNum>
  <w:abstractNum w:abstractNumId="13">
    <w:nsid w:val="7C3DBD3D"/>
    <w:multiLevelType w:val="hybridMultilevel"/>
    <w:lvl w:ilvl="0">
      <w:lvlJc w:val="left"/>
      <w:lvlText w:val="%1."/>
      <w:numFmt w:val="decimal"/>
      <w:start w:val="7"/>
    </w:lvl>
  </w:abstractNum>
  <w:abstractNum w:abstractNumId="14">
    <w:nsid w:val="737B8DDC"/>
    <w:multiLevelType w:val="hybridMultilevel"/>
    <w:lvl w:ilvl="0">
      <w:lvlJc w:val="left"/>
      <w:lvlText w:val="%1."/>
      <w:numFmt w:val="decimal"/>
      <w:start w:val="8"/>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decimal"/>
      <w:start w:val="9"/>
    </w:lvl>
  </w:abstractNum>
  <w:abstractNum w:abstractNumId="17">
    <w:nsid w:val="4516DDE9"/>
    <w:multiLevelType w:val="hybridMultilevel"/>
    <w:lvl w:ilvl="0">
      <w:lvlJc w:val="left"/>
      <w:lvlText w:val="(%1)"/>
      <w:numFmt w:val="lowerRoman"/>
      <w:start w:val="3"/>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decimal"/>
      <w:start w:val="1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4"/>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decimal"/>
      <w:start w:val="12"/>
    </w:lvl>
  </w:abstractNum>
  <w:abstractNum w:abstractNumId="24">
    <w:nsid w:val="3804823E"/>
    <w:multiLevelType w:val="hybridMultilevel"/>
    <w:lvl w:ilvl="0">
      <w:lvlJc w:val="left"/>
      <w:lvlText w:val="%1."/>
      <w:numFmt w:val="decimal"/>
      <w:start w:val="13"/>
    </w:lvl>
  </w:abstractNum>
  <w:abstractNum w:abstractNumId="25">
    <w:nsid w:val="77465F01"/>
    <w:multiLevelType w:val="hybridMultilevel"/>
    <w:lvl w:ilvl="0">
      <w:lvlJc w:val="left"/>
      <w:lvlText w:val="%1."/>
      <w:numFmt w:val="decimal"/>
      <w:start w:val="14"/>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Roman"/>
      <w:start w:val="7"/>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Roman"/>
      <w:start w:val="2"/>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2019-12-20T04:09:03Z</dcterms:created>
  <dcterms:modified xsi:type="dcterms:W3CDTF">2019-12-20T04:09:03Z</dcterms:modified>
</cp:coreProperties>
</file>