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Smith Donald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-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1"/>
        <w:gridCol w:w="922"/>
        <w:gridCol w:w="791"/>
        <w:gridCol w:w="612"/>
        <w:gridCol w:w="343"/>
        <w:gridCol w:w="770"/>
        <w:gridCol w:w="426"/>
        <w:gridCol w:w="1044"/>
        <w:gridCol w:w="1356"/>
        <w:gridCol w:w="973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207.76</w:t>
            </w:r>
            <w:r>
              <w:rPr/>
              <w:t xml:space="preserve"> </w:t>
            </w:r>
          </w:p>
        </w:tc>
        <w:tc>
          <w:tcPr>
            <w:tcW w:w="1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207.7819</w:t>
            </w:r>
            <w:r>
              <w:rPr/>
              <w:t xml:space="preserve"> </w:t>
            </w:r>
          </w:p>
        </w:tc>
        <w:tc>
          <w:tcPr>
            <w:tcW w:w="1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4,586.5721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Settlement of performance share award granted under Waste Management, Inc. 2014 Stock Incentive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Sale of additional shares to cover personal federal income tax obligation pursuant to a Rule 10b5-1 Trading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7534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3298</Characters>
  <CharactersWithSpaces>3831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