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Capitol Street, Suite 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20, 2025</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EDGAR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May 8,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333-287083</w:t>
      </w:r>
    </w:p>
    <w:p>
      <w:pPr>
        <w:spacing w:after="0" w:line="200" w:lineRule="exact"/>
        <w:rPr>
          <w:sz w:val="24"/>
          <w:szCs w:val="24"/>
          <w:color w:val="auto"/>
        </w:rPr>
      </w:pPr>
    </w:p>
    <w:p>
      <w:pPr>
        <w:sectPr>
          <w:pgSz w:w="11900" w:h="16838" w:orient="portrait"/>
          <w:cols w:equalWidth="0" w:num="2">
            <w:col w:w="260" w:space="400"/>
            <w:col w:w="10580"/>
          </w:cols>
          <w:pgMar w:left="320" w:top="46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the above referenced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relating to the registration by Waste Management, Inc.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and Waste Management Holdings, Inc. as the additional guarantor registrant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together with the Issuer, the “</w:t>
      </w:r>
      <w:r>
        <w:rPr>
          <w:rFonts w:ascii="Times New Roman" w:cs="Times New Roman" w:eastAsia="Times New Roman" w:hAnsi="Times New Roman"/>
          <w:sz w:val="18"/>
          <w:szCs w:val="18"/>
          <w:b w:val="1"/>
          <w:bCs w:val="1"/>
          <w:i w:val="1"/>
          <w:iCs w:val="1"/>
          <w:color w:val="auto"/>
        </w:rPr>
        <w:t>Registrants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$485,084,000 aggregate principal amount of the Issuer’s 3.875% Senior Notes due 2029 (the “</w:t>
      </w: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color w:val="auto"/>
        </w:rPr>
        <w:t>”) to be offered by the Issuer in exchange (the “</w:t>
      </w:r>
      <w:r>
        <w:rPr>
          <w:rFonts w:ascii="Times New Roman" w:cs="Times New Roman" w:eastAsia="Times New Roman" w:hAnsi="Times New Roman"/>
          <w:sz w:val="18"/>
          <w:szCs w:val="18"/>
          <w:b w:val="1"/>
          <w:bCs w:val="1"/>
          <w:i w:val="1"/>
          <w:iCs w:val="1"/>
          <w:color w:val="auto"/>
        </w:rPr>
        <w:t>Exchange Offer</w:t>
      </w:r>
      <w:r>
        <w:rPr>
          <w:rFonts w:ascii="Times New Roman" w:cs="Times New Roman" w:eastAsia="Times New Roman" w:hAnsi="Times New Roman"/>
          <w:sz w:val="18"/>
          <w:szCs w:val="18"/>
          <w:color w:val="auto"/>
        </w:rPr>
        <w:t>”) for a like principal amount of the Issuer’s issued and outstanding 3.875% Senior Notes due 2029 and the guarantees of such Exchange Notes by the Guarantor, the Registrants hereby confirm and represent as follows:</w:t>
      </w:r>
    </w:p>
    <w:p>
      <w:pPr>
        <w:spacing w:after="0" w:line="186" w:lineRule="exact"/>
        <w:rPr>
          <w:sz w:val="24"/>
          <w:szCs w:val="24"/>
          <w:color w:val="auto"/>
        </w:rPr>
      </w:pPr>
    </w:p>
    <w:p>
      <w:pPr>
        <w:jc w:val="both"/>
        <w:ind w:firstLine="656"/>
        <w:spacing w:after="0" w:line="261" w:lineRule="auto"/>
        <w:tabs>
          <w:tab w:leader="none" w:pos="11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are registering the Exchange Offer in reliance on the position of the staff of the Securities and Exchange Commission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i w:val="1"/>
          <w:iCs w:val="1"/>
          <w:color w:val="auto"/>
        </w:rPr>
        <w:t>Exxon Capital Holdings Corporation</w:t>
      </w:r>
      <w:r>
        <w:rPr>
          <w:rFonts w:ascii="Times New Roman" w:cs="Times New Roman" w:eastAsia="Times New Roman" w:hAnsi="Times New Roman"/>
          <w:sz w:val="18"/>
          <w:szCs w:val="18"/>
          <w:color w:val="auto"/>
        </w:rPr>
        <w:t xml:space="preserve">, SEC No-Action Letter (available May 13, 1988), </w:t>
      </w:r>
      <w:r>
        <w:rPr>
          <w:rFonts w:ascii="Times New Roman" w:cs="Times New Roman" w:eastAsia="Times New Roman" w:hAnsi="Times New Roman"/>
          <w:sz w:val="18"/>
          <w:szCs w:val="18"/>
          <w:i w:val="1"/>
          <w:iCs w:val="1"/>
          <w:color w:val="auto"/>
        </w:rPr>
        <w:t>Morgan Stanley &amp; Co. Incorporated</w:t>
      </w:r>
      <w:r>
        <w:rPr>
          <w:rFonts w:ascii="Times New Roman" w:cs="Times New Roman" w:eastAsia="Times New Roman" w:hAnsi="Times New Roman"/>
          <w:sz w:val="18"/>
          <w:szCs w:val="18"/>
          <w:color w:val="auto"/>
        </w:rPr>
        <w:t xml:space="preserve">, SEC No-Action Letter (available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(available July 2, 1993) and similar no-action letters (collectively, the “</w:t>
      </w:r>
      <w:r>
        <w:rPr>
          <w:rFonts w:ascii="Times New Roman" w:cs="Times New Roman" w:eastAsia="Times New Roman" w:hAnsi="Times New Roman"/>
          <w:sz w:val="18"/>
          <w:szCs w:val="18"/>
          <w:b w:val="1"/>
          <w:bCs w:val="1"/>
          <w:i w:val="1"/>
          <w:iCs w:val="1"/>
          <w:color w:val="auto"/>
        </w:rPr>
        <w:t>SEC No-Action Letters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have not entered into any arrangement or understanding with any person who will receive Exchange Notes in the Exchange Offer to distribute those Exchange Notes following completion of the Exchange Offer. The Registrants are not aware of any person that will participate in the Exchange Offer with a view to distribute the Exchange Notes.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will disclose to each person participating in the Exchange Offer that if such participant acquires the Exchange Notes for the purpose of distributing them, such person (a) cannot rely on the Staff’s interpretive position expressed in the SEC No-Action Letters, and (b) must comply with the registration and prospectus delivery requirements of the Securities Act, in order to resell Exchange Notes, and be identified as an underwriter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ind w:firstLine="656"/>
        <w:spacing w:after="0" w:line="256" w:lineRule="auto"/>
        <w:tabs>
          <w:tab w:leader="none" w:pos="11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will include in the letter of transmittal an acknowledgement to be executed by each person participating in the Exchange Offer that such participant does not intend to engage in a distribution of the Exchange Notes. In addition, the Registrants will include in the letter of transmittal an acknowledgement for each person that is a broker-dealer exchanging securities it acquired for its own account as a result of market-making activities or other trading activities that such broker-dealer will satisfy any prospectus delivery requirements in connection with any resale of Exchange Notes received pursuant to the Exchange Offer. The letter of transmittal will also include a statement to the effect that by so acknowledging and by delivering a prospectus, a broker-dealer will not be deemed to admit that it is an “underwriter” within the meaning of the Securities Act.</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Please contact Clinton W. Rancher or Parker Hinman of Baker Botts L.L.P. at (713) 229-1820 or (713) 229-1924, respectively, with any questions or comments regarding the foregoing.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5632"/>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9"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17145</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72"/>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5972"/>
        <w:spacing w:after="0"/>
        <w:tabs>
          <w:tab w:leader="none" w:pos="6492"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3"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29" w:lineRule="exact"/>
        <w:rPr>
          <w:sz w:val="20"/>
          <w:szCs w:val="20"/>
          <w:color w:val="auto"/>
        </w:rPr>
      </w:pPr>
    </w:p>
    <w:p>
      <w:pPr>
        <w:ind w:left="5632"/>
        <w:spacing w:after="0"/>
        <w:rPr>
          <w:sz w:val="20"/>
          <w:szCs w:val="20"/>
          <w:color w:val="auto"/>
        </w:rPr>
      </w:pPr>
      <w:r>
        <w:rPr>
          <w:rFonts w:ascii="Times New Roman" w:cs="Times New Roman" w:eastAsia="Times New Roman" w:hAnsi="Times New Roman"/>
          <w:sz w:val="18"/>
          <w:szCs w:val="18"/>
          <w:color w:val="auto"/>
        </w:rPr>
        <w:t>By: /s/ 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17145</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72"/>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jc w:val="right"/>
        <w:ind w:right="1539"/>
        <w:spacing w:after="0"/>
        <w:tabs>
          <w:tab w:leader="none" w:pos="2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652" w:right="6639" w:hanging="652"/>
        <w:spacing w:after="0" w:line="312" w:lineRule="auto"/>
        <w:tabs>
          <w:tab w:leader="none" w:pos="65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Clinton W. Rancher, Baker Botts L.L.P. Parker Hinman, Baker Botts L.L.P.</w:t>
      </w:r>
    </w:p>
    <w:p>
      <w:pPr>
        <w:spacing w:after="0" w:line="138" w:lineRule="exact"/>
        <w:rPr>
          <w:sz w:val="20"/>
          <w:szCs w:val="20"/>
          <w:color w:val="auto"/>
        </w:rPr>
      </w:pPr>
    </w:p>
    <w:p>
      <w:pPr>
        <w:ind w:left="413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Exxon Capital Letter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1"/>
      </w:cols>
      <w:pgMar w:left="328"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2025-06-23T23:09:01Z</dcterms:created>
  <dcterms:modified xsi:type="dcterms:W3CDTF">2025-06-23T23:09:01Z</dcterms:modified>
</cp:coreProperties>
</file>