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12,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20"/>
          </w:cols>
          <w:pgMar w:left="240" w:top="544" w:right="2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500"/>
          </w:cols>
          <w:pgMar w:left="240" w:top="544" w:right="23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0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4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200"/>
          </w:cols>
          <w:pgMar w:left="240" w:top="544"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gridSpan w:val="2"/>
          </w:tcPr>
          <w:p>
            <w:pPr>
              <w:ind w:left="1280"/>
              <w:spacing w:after="0"/>
              <w:rPr>
                <w:sz w:val="20"/>
                <w:szCs w:val="20"/>
                <w:color w:val="auto"/>
              </w:rPr>
            </w:pPr>
            <w:r>
              <w:rPr>
                <w:rFonts w:ascii="Arial" w:cs="Arial" w:eastAsia="Arial" w:hAnsi="Arial"/>
                <w:sz w:val="14"/>
                <w:szCs w:val="14"/>
                <w:b w:val="1"/>
                <w:bCs w:val="1"/>
                <w:color w:val="auto"/>
              </w:rPr>
              <w:t>Title of each class</w:t>
            </w:r>
          </w:p>
        </w:tc>
        <w:tc>
          <w:tcPr>
            <w:tcW w:w="800" w:type="dxa"/>
            <w:vAlign w:val="bottom"/>
          </w:tcPr>
          <w:p>
            <w:pPr>
              <w:spacing w:after="0"/>
              <w:rPr>
                <w:sz w:val="14"/>
                <w:szCs w:val="14"/>
                <w:color w:val="auto"/>
              </w:rPr>
            </w:pPr>
          </w:p>
        </w:tc>
        <w:tc>
          <w:tcPr>
            <w:tcW w:w="3080" w:type="dxa"/>
            <w:vAlign w:val="bottom"/>
            <w:gridSpan w:val="2"/>
          </w:tcPr>
          <w:p>
            <w:pPr>
              <w:ind w:left="460"/>
              <w:spacing w:after="0"/>
              <w:rPr>
                <w:sz w:val="20"/>
                <w:szCs w:val="20"/>
                <w:color w:val="auto"/>
              </w:rPr>
            </w:pPr>
            <w:r>
              <w:rPr>
                <w:rFonts w:ascii="Arial" w:cs="Arial" w:eastAsia="Arial" w:hAnsi="Arial"/>
                <w:sz w:val="14"/>
                <w:szCs w:val="14"/>
                <w:b w:val="1"/>
                <w:bCs w:val="1"/>
                <w:color w:val="auto"/>
              </w:rPr>
              <w:t>Trading Symbol(s)</w:t>
            </w:r>
          </w:p>
        </w:tc>
        <w:tc>
          <w:tcPr>
            <w:tcW w:w="3640" w:type="dxa"/>
            <w:vAlign w:val="bottom"/>
          </w:tcPr>
          <w:p>
            <w:pPr>
              <w:ind w:left="480"/>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24"/>
        </w:trPr>
        <w:tc>
          <w:tcPr>
            <w:tcW w:w="20" w:type="dxa"/>
            <w:vAlign w:val="bottom"/>
          </w:tcPr>
          <w:p>
            <w:pPr>
              <w:spacing w:after="0"/>
              <w:rPr>
                <w:sz w:val="19"/>
                <w:szCs w:val="19"/>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Common Stock, $0.01 par value</w:t>
            </w:r>
          </w:p>
        </w:tc>
        <w:tc>
          <w:tcPr>
            <w:tcW w:w="240" w:type="dxa"/>
            <w:vAlign w:val="bottom"/>
          </w:tcPr>
          <w:p>
            <w:pPr>
              <w:spacing w:after="0"/>
              <w:rPr>
                <w:sz w:val="19"/>
                <w:szCs w:val="19"/>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WM</w:t>
            </w:r>
          </w:p>
        </w:tc>
        <w:tc>
          <w:tcPr>
            <w:tcW w:w="2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New York Stock Exchange</w:t>
            </w: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type w:val="continuous"/>
        </w:sectPr>
      </w:pPr>
    </w:p>
    <w:bookmarkStart w:id="1" w:name="page2"/>
    <w:bookmarkEnd w:id="1"/>
    <w:p>
      <w:pPr>
        <w:spacing w:after="0"/>
        <w:tabs>
          <w:tab w:leader="none" w:pos="11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previously disclosed and reported in the Current Report on Form 8-K filed on April 15, 2019 by Waste Management, Inc. (the “</w:t>
      </w:r>
      <w:r>
        <w:rPr>
          <w:rFonts w:ascii="Arial" w:cs="Arial" w:eastAsia="Arial" w:hAnsi="Arial"/>
          <w:sz w:val="17"/>
          <w:szCs w:val="17"/>
          <w:u w:val="single" w:color="auto"/>
          <w:color w:val="auto"/>
        </w:rPr>
        <w:t>Company</w:t>
      </w:r>
      <w:r>
        <w:rPr>
          <w:rFonts w:ascii="Arial" w:cs="Arial" w:eastAsia="Arial" w:hAnsi="Arial"/>
          <w:sz w:val="17"/>
          <w:szCs w:val="17"/>
          <w:color w:val="auto"/>
        </w:rPr>
        <w:t>”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Waste Management</w:t>
      </w:r>
      <w:r>
        <w:rPr>
          <w:rFonts w:ascii="Arial" w:cs="Arial" w:eastAsia="Arial" w:hAnsi="Arial"/>
          <w:sz w:val="16"/>
          <w:szCs w:val="16"/>
          <w:color w:val="auto"/>
        </w:rPr>
        <w:t>”) with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on April 14, 2019, Waste Management, Everglades Merger Sub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Delaware corporation and an indirect wholly-owned subsidiary of Waste Management (“</w:t>
      </w:r>
      <w:r>
        <w:rPr>
          <w:rFonts w:ascii="Arial" w:cs="Arial" w:eastAsia="Arial" w:hAnsi="Arial"/>
          <w:sz w:val="16"/>
          <w:szCs w:val="16"/>
          <w:u w:val="single" w:color="auto"/>
          <w:color w:val="auto"/>
        </w:rPr>
        <w:t>Merger Sub</w:t>
      </w:r>
      <w:r>
        <w:rPr>
          <w:rFonts w:ascii="Arial" w:cs="Arial" w:eastAsia="Arial" w:hAnsi="Arial"/>
          <w:sz w:val="16"/>
          <w:szCs w:val="16"/>
          <w:color w:val="auto"/>
        </w:rPr>
        <w:t>”) and Advanced Disposal Services, Inc. (“</w:t>
      </w:r>
      <w:r>
        <w:rPr>
          <w:rFonts w:ascii="Arial" w:cs="Arial" w:eastAsia="Arial" w:hAnsi="Arial"/>
          <w:sz w:val="16"/>
          <w:szCs w:val="16"/>
          <w:u w:val="single" w:color="auto"/>
          <w:color w:val="auto"/>
        </w:rPr>
        <w:t>Advanced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Disposal</w:t>
      </w:r>
      <w:r>
        <w:rPr>
          <w:rFonts w:ascii="Arial" w:cs="Arial" w:eastAsia="Arial" w:hAnsi="Arial"/>
          <w:sz w:val="17"/>
          <w:szCs w:val="17"/>
          <w:color w:val="auto"/>
        </w:rPr>
        <w:t>”) entered into an Agreement and Plan of Merger (as may be amended from time to time,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pursuant to which, upon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terms and subject to the conditions set forth in the Merger Agreement, Merger Sub will merge with and into Advanced Disposal, and Advanced Disposal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continue as the surviving company and an indirect, wholly-owned subsidiary of Waste Management (the “</w:t>
      </w:r>
      <w:r>
        <w:rPr>
          <w:rFonts w:ascii="Arial" w:cs="Arial" w:eastAsia="Arial" w:hAnsi="Arial"/>
          <w:sz w:val="18"/>
          <w:szCs w:val="18"/>
          <w:u w:val="single" w:color="auto"/>
          <w:color w:val="auto"/>
        </w:rPr>
        <w:t>Merger</w:t>
      </w:r>
      <w:r>
        <w:rPr>
          <w:rFonts w:ascii="Arial" w:cs="Arial" w:eastAsia="Arial" w:hAnsi="Arial"/>
          <w:sz w:val="18"/>
          <w:szCs w:val="18"/>
          <w:color w:val="auto"/>
        </w:rPr>
        <w:t>”).</w:t>
      </w:r>
    </w:p>
    <w:p>
      <w:pPr>
        <w:spacing w:after="0" w:line="21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On May 9, 2019, each of Waste Management and Advanced Disposal filed its respective premerger notification and report with the U.S. Department of Justice (the “</w:t>
      </w:r>
      <w:r>
        <w:rPr>
          <w:rFonts w:ascii="Arial" w:cs="Arial" w:eastAsia="Arial" w:hAnsi="Arial"/>
          <w:sz w:val="18"/>
          <w:szCs w:val="18"/>
          <w:u w:val="single" w:color="auto"/>
          <w:color w:val="auto"/>
        </w:rPr>
        <w:t>DOJ</w:t>
      </w:r>
      <w:r>
        <w:rPr>
          <w:rFonts w:ascii="Arial" w:cs="Arial" w:eastAsia="Arial" w:hAnsi="Arial"/>
          <w:sz w:val="18"/>
          <w:szCs w:val="18"/>
          <w:color w:val="auto"/>
        </w:rPr>
        <w:t>”) and the U.S. Federal Trade Commission under the Hart-Scott-Rodino Antitrust Improvements Act of 1976, as amended (the “</w:t>
      </w:r>
      <w:r>
        <w:rPr>
          <w:rFonts w:ascii="Arial" w:cs="Arial" w:eastAsia="Arial" w:hAnsi="Arial"/>
          <w:sz w:val="18"/>
          <w:szCs w:val="18"/>
          <w:u w:val="single" w:color="auto"/>
          <w:color w:val="auto"/>
        </w:rPr>
        <w:t>HSR</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 As part of the parties’ continuing cooperation with the DOJ and in order to provide the DOJ with additional time for review, Waste Management and Advanced Disposal voluntarily withdrew the premerger notification and report on June 10, 2019 and then refiled the premerger notification and report on June 12, 2019.</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On July 12, 2019, Waste Management and Advanced Disposal each received a request for additional information and documentary materials (collectively, the “</w:t>
      </w:r>
      <w:r>
        <w:rPr>
          <w:rFonts w:ascii="Arial" w:cs="Arial" w:eastAsia="Arial" w:hAnsi="Arial"/>
          <w:sz w:val="18"/>
          <w:szCs w:val="18"/>
          <w:u w:val="single" w:color="auto"/>
          <w:color w:val="auto"/>
        </w:rPr>
        <w:t>Second Request</w:t>
      </w:r>
      <w:r>
        <w:rPr>
          <w:rFonts w:ascii="Arial" w:cs="Arial" w:eastAsia="Arial" w:hAnsi="Arial"/>
          <w:sz w:val="18"/>
          <w:szCs w:val="18"/>
          <w:color w:val="auto"/>
        </w:rPr>
        <w:t>”) from the DOJ in connection with the DOJ’s review of the Merger. The effect of the Second Request is to extend the waiting period imposed under the HSR Act until the 30th day after substantial compliance by Waste Management and Advanced Disposal with the Second Request, unless the waiting period is terminated earlier by the DOJ. The parties have been working cooperatively with the DOJ and will continue to do so. The parties continue to expect to complete the Merger during the first quarter of 2020, subject to the satisfaction or waiver of the closing conditions specified in the Merger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This filing contains forward-looking statements about the Company, Advanced Disposal and the proposed acquisition, including but not limited to all statements about the timing and approvals of the proposed acquisition; ability to consummate acquisition; and all outcomes of the proposed acquisition, which are made pursuant to the safe harbor provisions of the Private Securities Litigation Reform Act of 1995. Words such as “expect,” “likely,” “outlook,” “forecast,” “preliminary,” “would,” “could,” “should,” “can,” “will,” “project,” “intend,” “plan,” “goal,” “guidance,” “target,” “continue,” “sustain, “ “synergy,” “on track,” “believe,” “seek,” “estimate,” “anticipate,” “may,” “possible,” “assume,” and variations of such words and similar expressions are intended to identify such forward-looking statements. You should view these statements with caution and should not place undue reliance on such statements. They are based on the facts and circumstances known to the Company and Advanced Disposal (as the case may be) as of the date the statements are made. These forward-looking statements are subject to risks and uncertainties that could cause actual results to be materially different from those set forth in such forward-looking statements, including but not limited to, general economic and capital markets conditions; inability to obtain required regulatory or government approvals or to obtain such approvals on satisfactory conditions; inability to satisfy other closing conditions; inability to obtain financing; the occurrence of any event, change or other circumstance that could give rise to the termination of the definitive agreement; legal proceedings that may be instituted related to the proposed acquisition; unexpected costs, charges or expenses; failure to successfully integrate the acquisition, realize anticipated synergies or obtain the results anticipated; and other risks and uncertainties described in the Company’s and Advanced Disposal’s filings with the SEC, including Part I, Item 1A of each company’s most recently filed Annual Report on Form 10-K, as updated by subsequent quarterly reports on Form 10-Q, which are incorporated herein by reference, and in other documents that the Company or Advanced Disposal file or furnish with the SEC. Except to the extent required by law, neither the Company nor Advanced Disposal assume any obligation to update any forward-looking statement, including financial estimates and forecasts, whether as a result of future events, circumstances or developments or otherwise.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240"/>
              <w:spacing w:after="0"/>
              <w:rPr>
                <w:sz w:val="20"/>
                <w:szCs w:val="20"/>
                <w:color w:val="auto"/>
              </w:rPr>
            </w:pPr>
            <w:r>
              <w:rPr>
                <w:rFonts w:ascii="Arial" w:cs="Arial" w:eastAsia="Arial" w:hAnsi="Arial"/>
                <w:sz w:val="18"/>
                <w:szCs w:val="18"/>
                <w:color w:val="auto"/>
              </w:rPr>
              <w:t>WASTE MANAGEMENT, INC.</w:t>
            </w:r>
          </w:p>
        </w:tc>
        <w:tc>
          <w:tcPr>
            <w:tcW w:w="40" w:type="dxa"/>
            <w:vAlign w:val="bottom"/>
          </w:tcPr>
          <w:p>
            <w:pPr>
              <w:spacing w:after="0"/>
              <w:rPr>
                <w:sz w:val="20"/>
                <w:szCs w:val="20"/>
                <w:color w:val="auto"/>
              </w:rPr>
            </w:pP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July 17, 2019</w:t>
            </w:r>
          </w:p>
        </w:tc>
        <w:tc>
          <w:tcPr>
            <w:tcW w:w="7880" w:type="dxa"/>
            <w:vAlign w:val="bottom"/>
            <w:gridSpan w:val="2"/>
          </w:tcPr>
          <w:p>
            <w:pPr>
              <w:ind w:left="2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Courtney A. Tippy</w:t>
            </w:r>
          </w:p>
        </w:tc>
        <w:tc>
          <w:tcPr>
            <w:tcW w:w="4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Courtney A. Tippy</w:t>
            </w:r>
          </w:p>
        </w:tc>
        <w:tc>
          <w:tcPr>
            <w:tcW w:w="4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Vice President &amp; Corporate Secretary</w:t>
            </w:r>
          </w:p>
        </w:tc>
        <w:tc>
          <w:tcPr>
            <w:tcW w:w="40" w:type="dxa"/>
            <w:vAlign w:val="bottom"/>
          </w:tcPr>
          <w:p>
            <w:pPr>
              <w:spacing w:after="0"/>
              <w:rPr>
                <w:sz w:val="20"/>
                <w:szCs w:val="20"/>
                <w:color w:val="auto"/>
              </w:rPr>
            </w:pPr>
          </w:p>
        </w:tc>
      </w:tr>
      <w:tr>
        <w:trPr>
          <w:trHeight w:val="432"/>
        </w:trPr>
        <w:tc>
          <w:tcPr>
            <w:tcW w:w="3540" w:type="dxa"/>
            <w:vAlign w:val="bottom"/>
          </w:tcPr>
          <w:p>
            <w:pPr>
              <w:spacing w:after="0"/>
              <w:rPr>
                <w:sz w:val="24"/>
                <w:szCs w:val="24"/>
                <w:color w:val="auto"/>
              </w:rPr>
            </w:pPr>
          </w:p>
        </w:tc>
        <w:tc>
          <w:tcPr>
            <w:tcW w:w="2660" w:type="dxa"/>
            <w:vAlign w:val="bottom"/>
          </w:tcPr>
          <w:p>
            <w:pPr>
              <w:jc w:val="right"/>
              <w:ind w:right="350"/>
              <w:spacing w:after="0"/>
              <w:rPr>
                <w:sz w:val="20"/>
                <w:szCs w:val="20"/>
                <w:color w:val="auto"/>
              </w:rPr>
            </w:pPr>
            <w:r>
              <w:rPr>
                <w:rFonts w:ascii="Arial" w:cs="Arial" w:eastAsia="Arial" w:hAnsi="Arial"/>
                <w:sz w:val="18"/>
                <w:szCs w:val="18"/>
                <w:color w:val="auto"/>
              </w:rPr>
              <w:t>3</w:t>
            </w:r>
          </w:p>
        </w:tc>
        <w:tc>
          <w:tcPr>
            <w:tcW w:w="52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40" w:type="dxa"/>
            <w:vAlign w:val="bottom"/>
            <w:tcBorders>
              <w:bottom w:val="single" w:sz="8" w:color="808080"/>
            </w:tcBorders>
          </w:tcPr>
          <w:p>
            <w:pPr>
              <w:spacing w:after="0"/>
              <w:rPr>
                <w:sz w:val="11"/>
                <w:szCs w:val="11"/>
                <w:color w:val="auto"/>
              </w:rPr>
            </w:pPr>
          </w:p>
        </w:tc>
        <w:tc>
          <w:tcPr>
            <w:tcW w:w="2660" w:type="dxa"/>
            <w:vAlign w:val="bottom"/>
            <w:tcBorders>
              <w:bottom w:val="single" w:sz="8" w:color="808080"/>
            </w:tcBorders>
          </w:tcPr>
          <w:p>
            <w:pPr>
              <w:spacing w:after="0"/>
              <w:rPr>
                <w:sz w:val="11"/>
                <w:szCs w:val="11"/>
                <w:color w:val="auto"/>
              </w:rPr>
            </w:pPr>
          </w:p>
        </w:tc>
        <w:tc>
          <w:tcPr>
            <w:tcW w:w="52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33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2019-11-30T23:26:59Z</dcterms:created>
  <dcterms:modified xsi:type="dcterms:W3CDTF">2019-11-30T23:26:59Z</dcterms:modified>
</cp:coreProperties>
</file>