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August 24, 2011 relating to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August 24, 2011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to Prospectus dated September 22, 2009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333-162059</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Final Pricing Term Sheet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2.600% Senior Notes due 2016</w:t>
      </w:r>
    </w:p>
    <w:p>
      <w:pPr>
        <w:sectPr>
          <w:pgSz w:w="11900" w:h="16838" w:orient="portrait"/>
          <w:cols w:equalWidth="0" w:num="1">
            <w:col w:w="11420"/>
          </w:cols>
          <w:pgMar w:left="240" w:top="341" w:right="239" w:bottom="1440" w:gutter="0" w:footer="0" w:header="0"/>
        </w:sectPr>
      </w:pP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color w:val="auto"/>
        </w:rPr>
        <w:t>Waste Management, Inc.</w:t>
      </w:r>
    </w:p>
    <w:p>
      <w:pPr>
        <w:spacing w:after="0" w:line="200"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Guarantor: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Waste Management Holdings, Inc.</w:t>
      </w:r>
    </w:p>
    <w:p>
      <w:pPr>
        <w:spacing w:after="0" w:line="200"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Principal Amount: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$500,000,000</w:t>
      </w:r>
    </w:p>
    <w:p>
      <w:pPr>
        <w:spacing w:after="0" w:line="211"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7"/>
          <w:szCs w:val="17"/>
          <w:color w:val="auto"/>
        </w:rPr>
        <w:t>Maturity: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September 1, 2016</w:t>
      </w:r>
    </w:p>
    <w:p>
      <w:pPr>
        <w:spacing w:after="0" w:line="222"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Coupon:</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2.600%</w:t>
      </w:r>
    </w:p>
    <w:p>
      <w:pPr>
        <w:spacing w:after="0" w:line="211"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99.991% of face amount</w:t>
      </w:r>
    </w:p>
    <w:p>
      <w:pPr>
        <w:spacing w:after="0" w:line="200"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Underwriting Discount: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0.60%</w:t>
      </w:r>
    </w:p>
    <w:p>
      <w:pPr>
        <w:spacing w:after="0" w:line="211"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1.500% due 07/31/2016</w:t>
      </w:r>
    </w:p>
    <w:p>
      <w:pPr>
        <w:spacing w:after="0" w:line="200"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1.60%</w:t>
      </w:r>
    </w:p>
    <w:p>
      <w:pPr>
        <w:spacing w:after="0" w:line="200"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102-12+, 1.002%</w:t>
      </w:r>
    </w:p>
    <w:p>
      <w:pPr>
        <w:spacing w:after="0" w:line="200"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2.602%</w:t>
      </w:r>
    </w:p>
    <w:p>
      <w:pPr>
        <w:spacing w:after="0" w:line="222"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Semi-annually on March 1 and Suptember 1, commencing on March 1, 2012.</w:t>
      </w:r>
    </w:p>
    <w:p>
      <w:pPr>
        <w:spacing w:after="0" w:line="200"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Redemption Provisions: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Redeemable at any time in whole or from time to time in part, at the option of the Company, at a make whole redemption price using the applicable Treasury rate plus 25 basis points (as defined and described in further detail in the Prospectus Supplement).</w:t>
      </w:r>
    </w:p>
    <w:p>
      <w:pPr>
        <w:spacing w:after="0" w:line="181"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T+3; August 29, 2011</w:t>
      </w:r>
    </w:p>
    <w:p>
      <w:pPr>
        <w:spacing w:after="0" w:line="200"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CUSIP:</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94106LAX7</w:t>
      </w:r>
    </w:p>
    <w:p>
      <w:pPr>
        <w:spacing w:after="0" w:line="200"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Joint Book-Running and</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Joint Lead Managers: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Credit Suisse Securities (USA) LLC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00"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Banco Bilbao Vizcaya Argentaria, S.A.</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BNY Mellon Capital Markets,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Comercia Securities, Inc.</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Mitsubishi UFJ Securities (USA), Inc.</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SMBC Nikko Capital Markets Limited</w:t>
      </w:r>
    </w:p>
    <w:p>
      <w:pPr>
        <w:spacing w:after="0" w:line="200"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Anticipated Ratings:</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Moody’s: Baa3 (Positive)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S&amp;P: BBB (Stable)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Fitch: BBB (Stable)</w:t>
      </w:r>
    </w:p>
    <w:p>
      <w:pPr>
        <w:spacing w:after="0" w:line="99" w:lineRule="exact"/>
        <w:rPr>
          <w:sz w:val="24"/>
          <w:szCs w:val="24"/>
          <w:color w:val="auto"/>
        </w:rPr>
      </w:pPr>
    </w:p>
    <w:p>
      <w:pPr>
        <w:sectPr>
          <w:pgSz w:w="11900" w:h="16838" w:orient="portrait"/>
          <w:cols w:equalWidth="0" w:num="2">
            <w:col w:w="2860" w:space="720"/>
            <w:col w:w="7840"/>
          </w:cols>
          <w:pgMar w:left="240" w:top="34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A securities rating is not a recommendation to buy, sell or hold securities and may be subject to revision or withdrawal at any time.</w:t>
      </w:r>
    </w:p>
    <w:p>
      <w:pPr>
        <w:spacing w:after="0" w:line="121" w:lineRule="exact"/>
        <w:rPr>
          <w:sz w:val="24"/>
          <w:szCs w:val="24"/>
          <w:color w:val="auto"/>
        </w:rPr>
      </w:pPr>
    </w:p>
    <w:p>
      <w:pPr>
        <w:ind w:right="220"/>
        <w:spacing w:after="0" w:line="273" w:lineRule="auto"/>
        <w:rPr>
          <w:sz w:val="20"/>
          <w:szCs w:val="20"/>
          <w:color w:val="auto"/>
        </w:rPr>
      </w:pPr>
      <w:r>
        <w:rPr>
          <w:rFonts w:ascii="Arial" w:cs="Arial" w:eastAsia="Arial" w:hAnsi="Arial"/>
          <w:sz w:val="17"/>
          <w:szCs w:val="17"/>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Credit Suisse Securities (USA) LLC toll-free at 800-221-1037; (2) J.P. Morgan Securities LLC collect at 1-212-834-4533; or (3) Wells Fargo Securities, LLC toll-free at 800-326-5897.</w:t>
      </w:r>
    </w:p>
    <w:p>
      <w:pPr>
        <w:spacing w:after="0" w:line="70" w:lineRule="exact"/>
        <w:rPr>
          <w:sz w:val="24"/>
          <w:szCs w:val="24"/>
          <w:color w:val="auto"/>
        </w:rPr>
      </w:pPr>
    </w:p>
    <w:p>
      <w:pPr>
        <w:ind w:right="780"/>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sectPr>
      <w:pgSz w:w="11900" w:h="16838" w:orient="portrait"/>
      <w:cols w:equalWidth="0" w:num="1">
        <w:col w:w="11420"/>
      </w:cols>
      <w:pgMar w:left="240" w:top="34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2019-12-10T09:12:35Z</dcterms:created>
  <dcterms:modified xsi:type="dcterms:W3CDTF">2019-12-10T09:12:35Z</dcterms:modified>
</cp:coreProperties>
</file>