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040" w:hanging="941"/>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ANNUAL REPORT PURSUANT TO SECTION 13 OR 15(d)</w:t>
      </w:r>
    </w:p>
    <w:p>
      <w:pPr>
        <w:spacing w:after="0" w:line="13" w:lineRule="exact"/>
        <w:rPr>
          <w:sz w:val="24"/>
          <w:szCs w:val="24"/>
          <w:color w:val="auto"/>
        </w:rPr>
      </w:pPr>
    </w:p>
    <w:p>
      <w:pPr>
        <w:ind w:left="1040"/>
        <w:spacing w:after="0"/>
        <w:rPr>
          <w:sz w:val="20"/>
          <w:szCs w:val="20"/>
          <w:color w:val="auto"/>
        </w:rPr>
      </w:pPr>
      <w:r>
        <w:rPr>
          <w:rFonts w:ascii="Arial" w:cs="Arial" w:eastAsia="Arial" w:hAnsi="Arial"/>
          <w:sz w:val="22"/>
          <w:szCs w:val="22"/>
          <w:b w:val="1"/>
          <w:bCs w:val="1"/>
          <w:color w:val="auto"/>
        </w:rPr>
        <w:t>OF THE SECURITIES AND EXCHANGE ACT OF 1934</w:t>
      </w:r>
    </w:p>
    <w:p>
      <w:pPr>
        <w:ind w:left="1040"/>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1" w:lineRule="exact"/>
        <w:rPr>
          <w:sz w:val="24"/>
          <w:szCs w:val="24"/>
          <w:color w:val="auto"/>
        </w:rPr>
      </w:pPr>
    </w:p>
    <w:p>
      <w:pPr>
        <w:ind w:left="6100"/>
        <w:spacing w:after="0"/>
        <w:rPr>
          <w:sz w:val="20"/>
          <w:szCs w:val="20"/>
          <w:color w:val="auto"/>
        </w:rPr>
      </w:pPr>
      <w:r>
        <w:rPr>
          <w:rFonts w:ascii="Arial" w:cs="Arial" w:eastAsia="Arial" w:hAnsi="Arial"/>
          <w:sz w:val="18"/>
          <w:szCs w:val="18"/>
          <w:b w:val="1"/>
          <w:bCs w:val="1"/>
          <w:color w:val="auto"/>
        </w:rPr>
        <w:t>OR</w:t>
      </w:r>
    </w:p>
    <w:p>
      <w:pPr>
        <w:ind w:left="1040" w:hanging="941"/>
        <w:spacing w:after="0" w:line="237" w:lineRule="auto"/>
        <w:tabs>
          <w:tab w:leader="none" w:pos="104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ind w:left="1040"/>
        <w:spacing w:after="0"/>
        <w:rPr>
          <w:sz w:val="20"/>
          <w:szCs w:val="20"/>
          <w:color w:val="auto"/>
        </w:rPr>
      </w:pPr>
      <w:r>
        <w:rPr>
          <w:rFonts w:ascii="Arial" w:cs="Arial" w:eastAsia="Arial" w:hAnsi="Arial"/>
          <w:sz w:val="22"/>
          <w:szCs w:val="22"/>
          <w:b w:val="1"/>
          <w:bCs w:val="1"/>
          <w:color w:val="auto"/>
        </w:rPr>
        <w:t>OF THE SECURITIES AND EXCHANGE ACT OF 1934</w:t>
      </w:r>
    </w:p>
    <w:tbl>
      <w:tblPr>
        <w:tblLayout w:type="fixed"/>
        <w:tblInd w:w="1040" w:type="dxa"/>
        <w:tblCellMar>
          <w:top w:w="0" w:type="dxa"/>
          <w:left w:w="0" w:type="dxa"/>
          <w:bottom w:w="0" w:type="dxa"/>
          <w:right w:w="0" w:type="dxa"/>
        </w:tblCellMar>
      </w:tblPr>
      <w:tr>
        <w:trPr>
          <w:trHeight w:val="228"/>
        </w:trPr>
        <w:tc>
          <w:tcPr>
            <w:tcW w:w="274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4320" w:type="dxa"/>
            <w:vAlign w:val="bottom"/>
          </w:tcPr>
          <w:p>
            <w:pPr>
              <w:ind w:left="60"/>
              <w:spacing w:after="0"/>
              <w:rPr>
                <w:sz w:val="20"/>
                <w:szCs w:val="20"/>
                <w:color w:val="auto"/>
              </w:rPr>
            </w:pPr>
            <w:r>
              <w:rPr>
                <w:rFonts w:ascii="Arial" w:cs="Arial" w:eastAsia="Arial" w:hAnsi="Arial"/>
                <w:sz w:val="18"/>
                <w:szCs w:val="18"/>
                <w:b w:val="1"/>
                <w:bCs w:val="1"/>
                <w:color w:val="auto"/>
              </w:rPr>
              <w:t>to</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740" w:type="dxa"/>
            <w:vAlign w:val="bottom"/>
          </w:tcPr>
          <w:p>
            <w:pPr>
              <w:spacing w:after="0"/>
              <w:rPr>
                <w:sz w:val="24"/>
                <w:szCs w:val="24"/>
                <w:color w:val="auto"/>
              </w:rPr>
            </w:pPr>
          </w:p>
        </w:tc>
        <w:tc>
          <w:tcPr>
            <w:tcW w:w="4320" w:type="dxa"/>
            <w:vAlign w:val="bottom"/>
          </w:tcPr>
          <w:p>
            <w:pPr>
              <w:jc w:val="center"/>
              <w:ind w:right="359"/>
              <w:spacing w:after="0"/>
              <w:rPr>
                <w:sz w:val="20"/>
                <w:szCs w:val="20"/>
                <w:color w:val="auto"/>
              </w:rPr>
            </w:pPr>
            <w:r>
              <w:rPr>
                <w:rFonts w:ascii="Arial" w:cs="Arial" w:eastAsia="Arial" w:hAnsi="Arial"/>
                <w:sz w:val="18"/>
                <w:szCs w:val="18"/>
                <w:b w:val="1"/>
                <w:bCs w:val="1"/>
                <w:color w:val="auto"/>
                <w:w w:val="88"/>
              </w:rPr>
              <w:t>Commission file number 1-12154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7060" w:type="dxa"/>
            <w:vAlign w:val="bottom"/>
            <w:gridSpan w:val="2"/>
          </w:tcPr>
          <w:p>
            <w:pPr>
              <w:jc w:val="center"/>
              <w:ind w:left="2180"/>
              <w:spacing w:after="0"/>
              <w:rPr>
                <w:sz w:val="20"/>
                <w:szCs w:val="20"/>
                <w:color w:val="auto"/>
              </w:rPr>
            </w:pPr>
            <w:r>
              <w:rPr>
                <w:rFonts w:ascii="Arial" w:cs="Arial" w:eastAsia="Arial" w:hAnsi="Arial"/>
                <w:sz w:val="43"/>
                <w:szCs w:val="43"/>
                <w:b w:val="1"/>
                <w:bCs w:val="1"/>
                <w:color w:val="auto"/>
                <w:w w:val="91"/>
              </w:rPr>
              <w:t>Waste Management, Inc.</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4320" w:type="dxa"/>
            <w:vAlign w:val="bottom"/>
          </w:tcPr>
          <w:p>
            <w:pPr>
              <w:jc w:val="center"/>
              <w:ind w:right="379"/>
              <w:spacing w:after="0"/>
              <w:rPr>
                <w:sz w:val="20"/>
                <w:szCs w:val="20"/>
                <w:color w:val="auto"/>
              </w:rPr>
            </w:pPr>
            <w:r>
              <w:rPr>
                <w:rFonts w:ascii="Arial" w:cs="Arial" w:eastAsia="Arial" w:hAnsi="Arial"/>
                <w:sz w:val="14"/>
                <w:szCs w:val="14"/>
                <w:i w:val="1"/>
                <w:iCs w:val="1"/>
                <w:color w:val="auto"/>
                <w:w w:val="88"/>
              </w:rPr>
              <w:t>(Exact name of registrant as specified in its charter)</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2740" w:type="dxa"/>
            <w:vAlign w:val="bottom"/>
          </w:tcPr>
          <w:p>
            <w:pPr>
              <w:jc w:val="center"/>
              <w:ind w:left="820"/>
              <w:spacing w:after="0"/>
              <w:rPr>
                <w:sz w:val="20"/>
                <w:szCs w:val="20"/>
                <w:color w:val="auto"/>
              </w:rPr>
            </w:pPr>
            <w:r>
              <w:rPr>
                <w:rFonts w:ascii="Arial" w:cs="Arial" w:eastAsia="Arial" w:hAnsi="Arial"/>
                <w:sz w:val="18"/>
                <w:szCs w:val="18"/>
                <w:b w:val="1"/>
                <w:bCs w:val="1"/>
                <w:color w:val="auto"/>
                <w:w w:val="88"/>
              </w:rPr>
              <w:t>Delaware</w:t>
            </w:r>
          </w:p>
        </w:tc>
        <w:tc>
          <w:tcPr>
            <w:tcW w:w="432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8"/>
                <w:szCs w:val="18"/>
                <w:b w:val="1"/>
                <w:bCs w:val="1"/>
                <w:color w:val="auto"/>
              </w:rPr>
              <w:t>73-1309529</w:t>
            </w:r>
          </w:p>
        </w:tc>
        <w:tc>
          <w:tcPr>
            <w:tcW w:w="0" w:type="dxa"/>
            <w:vAlign w:val="bottom"/>
          </w:tcPr>
          <w:p>
            <w:pPr>
              <w:spacing w:after="0"/>
              <w:rPr>
                <w:sz w:val="1"/>
                <w:szCs w:val="1"/>
                <w:color w:val="auto"/>
              </w:rPr>
            </w:pPr>
          </w:p>
        </w:tc>
      </w:tr>
      <w:tr>
        <w:trPr>
          <w:trHeight w:val="149"/>
        </w:trPr>
        <w:tc>
          <w:tcPr>
            <w:tcW w:w="2740" w:type="dxa"/>
            <w:vAlign w:val="bottom"/>
          </w:tcPr>
          <w:p>
            <w:pPr>
              <w:jc w:val="center"/>
              <w:ind w:left="820"/>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4320" w:type="dxa"/>
            <w:vAlign w:val="bottom"/>
          </w:tcPr>
          <w:p>
            <w:pPr>
              <w:spacing w:after="0"/>
              <w:rPr>
                <w:sz w:val="12"/>
                <w:szCs w:val="12"/>
                <w:color w:val="auto"/>
              </w:rPr>
            </w:pPr>
          </w:p>
        </w:tc>
        <w:tc>
          <w:tcPr>
            <w:tcW w:w="1080" w:type="dxa"/>
            <w:vAlign w:val="bottom"/>
          </w:tcPr>
          <w:p>
            <w:pPr>
              <w:jc w:val="center"/>
              <w:ind w:left="24"/>
              <w:spacing w:after="0" w:line="149" w:lineRule="exact"/>
              <w:rPr>
                <w:sz w:val="20"/>
                <w:szCs w:val="20"/>
                <w:color w:val="auto"/>
              </w:rPr>
            </w:pPr>
            <w:r>
              <w:rPr>
                <w:rFonts w:ascii="Arial" w:cs="Arial" w:eastAsia="Arial" w:hAnsi="Arial"/>
                <w:sz w:val="14"/>
                <w:szCs w:val="14"/>
                <w:i w:val="1"/>
                <w:iCs w:val="1"/>
                <w:color w:val="auto"/>
                <w:w w:val="87"/>
              </w:rPr>
              <w:t>(I.R.S. Employer</w:t>
            </w:r>
          </w:p>
        </w:tc>
        <w:tc>
          <w:tcPr>
            <w:tcW w:w="0" w:type="dxa"/>
            <w:vAlign w:val="bottom"/>
          </w:tcPr>
          <w:p>
            <w:pPr>
              <w:spacing w:after="0"/>
              <w:rPr>
                <w:sz w:val="1"/>
                <w:szCs w:val="1"/>
                <w:color w:val="auto"/>
              </w:rPr>
            </w:pPr>
          </w:p>
        </w:tc>
      </w:tr>
      <w:tr>
        <w:trPr>
          <w:trHeight w:val="172"/>
        </w:trPr>
        <w:tc>
          <w:tcPr>
            <w:tcW w:w="2740" w:type="dxa"/>
            <w:vAlign w:val="bottom"/>
          </w:tcPr>
          <w:p>
            <w:pPr>
              <w:jc w:val="center"/>
              <w:ind w:left="820"/>
              <w:spacing w:after="0"/>
              <w:rPr>
                <w:sz w:val="20"/>
                <w:szCs w:val="20"/>
                <w:color w:val="auto"/>
              </w:rPr>
            </w:pPr>
            <w:r>
              <w:rPr>
                <w:rFonts w:ascii="Arial" w:cs="Arial" w:eastAsia="Arial" w:hAnsi="Arial"/>
                <w:sz w:val="14"/>
                <w:szCs w:val="14"/>
                <w:i w:val="1"/>
                <w:iCs w:val="1"/>
                <w:color w:val="auto"/>
                <w:w w:val="91"/>
              </w:rPr>
              <w:t>incorporation or organization)</w:t>
            </w:r>
          </w:p>
        </w:tc>
        <w:tc>
          <w:tcPr>
            <w:tcW w:w="4320" w:type="dxa"/>
            <w:vAlign w:val="bottom"/>
          </w:tcPr>
          <w:p>
            <w:pPr>
              <w:spacing w:after="0"/>
              <w:rPr>
                <w:sz w:val="14"/>
                <w:szCs w:val="14"/>
                <w:color w:val="auto"/>
              </w:rPr>
            </w:pPr>
          </w:p>
        </w:tc>
        <w:tc>
          <w:tcPr>
            <w:tcW w:w="1080" w:type="dxa"/>
            <w:vAlign w:val="bottom"/>
          </w:tcPr>
          <w:p>
            <w:pPr>
              <w:jc w:val="center"/>
              <w:ind w:left="4"/>
              <w:spacing w:after="0"/>
              <w:rPr>
                <w:sz w:val="20"/>
                <w:szCs w:val="20"/>
                <w:color w:val="auto"/>
              </w:rPr>
            </w:pPr>
            <w:r>
              <w:rPr>
                <w:rFonts w:ascii="Arial" w:cs="Arial" w:eastAsia="Arial" w:hAnsi="Arial"/>
                <w:sz w:val="14"/>
                <w:szCs w:val="14"/>
                <w:i w:val="1"/>
                <w:iCs w:val="1"/>
                <w:color w:val="auto"/>
                <w:w w:val="91"/>
              </w:rPr>
              <w:t>Identification No.)</w:t>
            </w:r>
          </w:p>
        </w:tc>
        <w:tc>
          <w:tcPr>
            <w:tcW w:w="0" w:type="dxa"/>
            <w:vAlign w:val="bottom"/>
          </w:tcPr>
          <w:p>
            <w:pPr>
              <w:spacing w:after="0"/>
              <w:rPr>
                <w:sz w:val="1"/>
                <w:szCs w:val="1"/>
                <w:color w:val="auto"/>
              </w:rPr>
            </w:pPr>
          </w:p>
        </w:tc>
      </w:tr>
      <w:tr>
        <w:trPr>
          <w:trHeight w:val="310"/>
        </w:trPr>
        <w:tc>
          <w:tcPr>
            <w:tcW w:w="7060" w:type="dxa"/>
            <w:vAlign w:val="bottom"/>
            <w:gridSpan w:val="2"/>
          </w:tcPr>
          <w:p>
            <w:pPr>
              <w:jc w:val="center"/>
              <w:ind w:right="3339"/>
              <w:spacing w:after="0"/>
              <w:rPr>
                <w:sz w:val="20"/>
                <w:szCs w:val="20"/>
                <w:color w:val="auto"/>
              </w:rPr>
            </w:pPr>
            <w:r>
              <w:rPr>
                <w:rFonts w:ascii="Arial" w:cs="Arial" w:eastAsia="Arial" w:hAnsi="Arial"/>
                <w:sz w:val="18"/>
                <w:szCs w:val="18"/>
                <w:b w:val="1"/>
                <w:bCs w:val="1"/>
                <w:color w:val="auto"/>
                <w:w w:val="87"/>
              </w:rPr>
              <w:t>1001 Fannin Street, Suite 4000</w:t>
            </w:r>
          </w:p>
        </w:tc>
        <w:tc>
          <w:tcPr>
            <w:tcW w:w="1080" w:type="dxa"/>
            <w:vAlign w:val="bottom"/>
            <w:vMerge w:val="restart"/>
          </w:tcPr>
          <w:p>
            <w:pPr>
              <w:jc w:val="right"/>
              <w:ind w:right="204"/>
              <w:spacing w:after="0"/>
              <w:rPr>
                <w:sz w:val="20"/>
                <w:szCs w:val="20"/>
                <w:color w:val="auto"/>
              </w:rPr>
            </w:pPr>
            <w:r>
              <w:rPr>
                <w:rFonts w:ascii="Arial" w:cs="Arial" w:eastAsia="Arial" w:hAnsi="Arial"/>
                <w:sz w:val="18"/>
                <w:szCs w:val="18"/>
                <w:b w:val="1"/>
                <w:bCs w:val="1"/>
                <w:color w:val="auto"/>
              </w:rPr>
              <w:t>77002</w:t>
            </w:r>
          </w:p>
        </w:tc>
        <w:tc>
          <w:tcPr>
            <w:tcW w:w="0" w:type="dxa"/>
            <w:vAlign w:val="bottom"/>
          </w:tcPr>
          <w:p>
            <w:pPr>
              <w:spacing w:after="0"/>
              <w:rPr>
                <w:sz w:val="1"/>
                <w:szCs w:val="1"/>
                <w:color w:val="auto"/>
              </w:rPr>
            </w:pPr>
          </w:p>
        </w:tc>
      </w:tr>
      <w:tr>
        <w:trPr>
          <w:trHeight w:val="71"/>
        </w:trPr>
        <w:tc>
          <w:tcPr>
            <w:tcW w:w="2740" w:type="dxa"/>
            <w:vAlign w:val="bottom"/>
            <w:vMerge w:val="restart"/>
          </w:tcPr>
          <w:p>
            <w:pPr>
              <w:jc w:val="center"/>
              <w:ind w:left="820"/>
              <w:spacing w:after="0"/>
              <w:rPr>
                <w:sz w:val="20"/>
                <w:szCs w:val="20"/>
                <w:color w:val="auto"/>
              </w:rPr>
            </w:pPr>
            <w:r>
              <w:rPr>
                <w:rFonts w:ascii="Arial" w:cs="Arial" w:eastAsia="Arial" w:hAnsi="Arial"/>
                <w:sz w:val="18"/>
                <w:szCs w:val="18"/>
                <w:b w:val="1"/>
                <w:bCs w:val="1"/>
                <w:color w:val="auto"/>
                <w:w w:val="85"/>
              </w:rPr>
              <w:t>Houston, Texas</w:t>
            </w:r>
          </w:p>
        </w:tc>
        <w:tc>
          <w:tcPr>
            <w:tcW w:w="4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740" w:type="dxa"/>
            <w:vAlign w:val="bottom"/>
            <w:vMerge w:val="continue"/>
          </w:tcPr>
          <w:p>
            <w:pPr>
              <w:spacing w:after="0"/>
              <w:rPr>
                <w:sz w:val="14"/>
                <w:szCs w:val="14"/>
                <w:color w:val="auto"/>
              </w:rPr>
            </w:pPr>
          </w:p>
        </w:tc>
        <w:tc>
          <w:tcPr>
            <w:tcW w:w="4320" w:type="dxa"/>
            <w:vAlign w:val="bottom"/>
          </w:tcPr>
          <w:p>
            <w:pPr>
              <w:spacing w:after="0"/>
              <w:rPr>
                <w:sz w:val="14"/>
                <w:szCs w:val="14"/>
                <w:color w:val="auto"/>
              </w:rPr>
            </w:pPr>
          </w:p>
        </w:tc>
        <w:tc>
          <w:tcPr>
            <w:tcW w:w="1080" w:type="dxa"/>
            <w:vAlign w:val="bottom"/>
          </w:tcPr>
          <w:p>
            <w:pPr>
              <w:jc w:val="center"/>
              <w:ind w:left="4"/>
              <w:spacing w:after="0"/>
              <w:rPr>
                <w:sz w:val="20"/>
                <w:szCs w:val="20"/>
                <w:color w:val="auto"/>
              </w:rPr>
            </w:pPr>
            <w:r>
              <w:rPr>
                <w:rFonts w:ascii="Arial" w:cs="Arial" w:eastAsia="Arial" w:hAnsi="Arial"/>
                <w:sz w:val="14"/>
                <w:szCs w:val="14"/>
                <w:i w:val="1"/>
                <w:iCs w:val="1"/>
                <w:color w:val="auto"/>
                <w:w w:val="88"/>
              </w:rPr>
              <w:t>(Zip code)</w:t>
            </w:r>
          </w:p>
        </w:tc>
        <w:tc>
          <w:tcPr>
            <w:tcW w:w="0" w:type="dxa"/>
            <w:vAlign w:val="bottom"/>
          </w:tcPr>
          <w:p>
            <w:pPr>
              <w:spacing w:after="0"/>
              <w:rPr>
                <w:sz w:val="1"/>
                <w:szCs w:val="1"/>
                <w:color w:val="auto"/>
              </w:rPr>
            </w:pPr>
          </w:p>
        </w:tc>
      </w:tr>
    </w:tbl>
    <w:p>
      <w:pPr>
        <w:ind w:left="180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 512-6200</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3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Title of Each Class</w:t>
            </w:r>
          </w:p>
        </w:tc>
        <w:tc>
          <w:tcPr>
            <w:tcW w:w="4000" w:type="dxa"/>
            <w:vAlign w:val="bottom"/>
          </w:tcPr>
          <w:p>
            <w:pPr>
              <w:spacing w:after="0"/>
              <w:rPr>
                <w:sz w:val="14"/>
                <w:szCs w:val="14"/>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Exchange on Which Registered</w:t>
            </w:r>
          </w:p>
        </w:tc>
        <w:tc>
          <w:tcPr>
            <w:tcW w:w="140" w:type="dxa"/>
            <w:vAlign w:val="bottom"/>
          </w:tcPr>
          <w:p>
            <w:pPr>
              <w:spacing w:after="0"/>
              <w:rPr>
                <w:sz w:val="14"/>
                <w:szCs w:val="14"/>
                <w:color w:val="auto"/>
              </w:rPr>
            </w:pPr>
          </w:p>
        </w:tc>
      </w:tr>
      <w:tr>
        <w:trPr>
          <w:trHeight w:val="216"/>
        </w:trPr>
        <w:tc>
          <w:tcPr>
            <w:tcW w:w="1940" w:type="dxa"/>
            <w:vAlign w:val="bottom"/>
          </w:tcPr>
          <w:p>
            <w:pPr>
              <w:ind w:left="1420"/>
              <w:spacing w:after="0"/>
              <w:rPr>
                <w:sz w:val="20"/>
                <w:szCs w:val="20"/>
                <w:color w:val="auto"/>
              </w:rPr>
            </w:pPr>
            <w:r>
              <w:rPr>
                <w:rFonts w:ascii="Arial" w:cs="Arial" w:eastAsia="Arial" w:hAnsi="Arial"/>
                <w:sz w:val="16"/>
                <w:szCs w:val="16"/>
                <w:color w:val="auto"/>
                <w:w w:val="76"/>
              </w:rPr>
              <w:t>Common</w:t>
            </w: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Stock, $.01 par value</w:t>
            </w:r>
          </w:p>
        </w:tc>
        <w:tc>
          <w:tcPr>
            <w:tcW w:w="2480" w:type="dxa"/>
            <w:vAlign w:val="bottom"/>
            <w:gridSpan w:val="3"/>
          </w:tcPr>
          <w:p>
            <w:pPr>
              <w:jc w:val="center"/>
              <w:spacing w:after="0"/>
              <w:rPr>
                <w:sz w:val="20"/>
                <w:szCs w:val="20"/>
                <w:color w:val="auto"/>
              </w:rPr>
            </w:pPr>
            <w:r>
              <w:rPr>
                <w:rFonts w:ascii="Arial" w:cs="Arial" w:eastAsia="Arial" w:hAnsi="Arial"/>
                <w:sz w:val="18"/>
                <w:szCs w:val="18"/>
                <w:color w:val="auto"/>
                <w:w w:val="89"/>
              </w:rPr>
              <w:t>New York Stock Exchange</w:t>
            </w:r>
          </w:p>
        </w:tc>
        <w:tc>
          <w:tcPr>
            <w:tcW w:w="140" w:type="dxa"/>
            <w:vAlign w:val="bottom"/>
          </w:tcPr>
          <w:p>
            <w:pPr>
              <w:spacing w:after="0"/>
              <w:rPr>
                <w:sz w:val="18"/>
                <w:szCs w:val="18"/>
                <w:color w:val="auto"/>
              </w:rPr>
            </w:pPr>
          </w:p>
        </w:tc>
      </w:tr>
      <w:tr>
        <w:trPr>
          <w:trHeight w:val="309"/>
        </w:trPr>
        <w:tc>
          <w:tcPr>
            <w:tcW w:w="84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by Rule 405 of the Securities Act.</w:t>
            </w:r>
          </w:p>
        </w:tc>
        <w:tc>
          <w:tcPr>
            <w:tcW w:w="6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84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4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bl>
    <w:p>
      <w:pPr>
        <w:spacing w:after="0" w:line="55"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8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Regulations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Regulations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60" w:firstLine="342"/>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85"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ind w:firstLine="364"/>
        <w:spacing w:after="0" w:line="242"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(Do not check if a smaller reporting company)</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66" w:lineRule="exact"/>
        <w:rPr>
          <w:sz w:val="24"/>
          <w:szCs w:val="24"/>
          <w:color w:val="auto"/>
        </w:rPr>
      </w:pPr>
    </w:p>
    <w:p>
      <w:pPr>
        <w:sectPr>
          <w:pgSz w:w="11900" w:h="16838" w:orient="portrait"/>
          <w:cols w:equalWidth="0" w:num="6">
            <w:col w:w="1580" w:space="100"/>
            <w:col w:w="560" w:space="720"/>
            <w:col w:w="1180" w:space="80"/>
            <w:col w:w="220" w:space="720"/>
            <w:col w:w="5000" w:space="120"/>
            <w:col w:w="114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5" w:lineRule="exact"/>
        <w:rPr>
          <w:sz w:val="24"/>
          <w:szCs w:val="24"/>
          <w:color w:val="auto"/>
        </w:rPr>
      </w:pPr>
    </w:p>
    <w:p>
      <w:pPr>
        <w:sectPr>
          <w:pgSz w:w="11900" w:h="16838" w:orient="portrait"/>
          <w:cols w:equalWidth="0" w:num="4">
            <w:col w:w="7240" w:space="180"/>
            <w:col w:w="260" w:space="80"/>
            <w:col w:w="160" w:space="180"/>
            <w:col w:w="3320"/>
          </w:cols>
          <w:pgMar w:left="240" w:top="230" w:right="239" w:bottom="1440" w:gutter="0" w:footer="0" w:header="0"/>
          <w:type w:val="continuous"/>
        </w:sectPr>
      </w:pPr>
    </w:p>
    <w:p>
      <w:pPr>
        <w:ind w:right="460" w:firstLine="342"/>
        <w:spacing w:after="0" w:line="306" w:lineRule="auto"/>
        <w:rPr>
          <w:sz w:val="20"/>
          <w:szCs w:val="20"/>
          <w:color w:val="auto"/>
        </w:rPr>
      </w:pPr>
      <w:r>
        <w:rPr>
          <w:rFonts w:ascii="Arial" w:cs="Arial" w:eastAsia="Arial" w:hAnsi="Arial"/>
          <w:sz w:val="16"/>
          <w:szCs w:val="16"/>
          <w:color w:val="auto"/>
        </w:rPr>
        <w:t>The aggregate market value of the voting stock held by non-affiliates of the registrant at June 30, 2011 was approximately $17.6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26" w:lineRule="exact"/>
        <w:rPr>
          <w:sz w:val="24"/>
          <w:szCs w:val="24"/>
          <w:color w:val="auto"/>
        </w:rPr>
      </w:pPr>
    </w:p>
    <w:p>
      <w:pPr>
        <w:ind w:right="160" w:firstLine="342"/>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February 10, 2012 was 461,374,381 (excluding treasury shares of 168,908,080).</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5580" w:type="dxa"/>
            <w:vAlign w:val="bottom"/>
            <w:gridSpan w:val="2"/>
          </w:tcPr>
          <w:p>
            <w:pPr>
              <w:jc w:val="center"/>
              <w:ind w:right="4852"/>
              <w:spacing w:after="0"/>
              <w:rPr>
                <w:sz w:val="20"/>
                <w:szCs w:val="20"/>
                <w:color w:val="auto"/>
              </w:rPr>
            </w:pPr>
            <w:r>
              <w:rPr>
                <w:rFonts w:ascii="Arial" w:cs="Arial" w:eastAsia="Arial" w:hAnsi="Arial"/>
                <w:sz w:val="14"/>
                <w:szCs w:val="14"/>
                <w:b w:val="1"/>
                <w:bCs w:val="1"/>
                <w:color w:val="auto"/>
                <w:w w:val="87"/>
              </w:rPr>
              <w:t>Document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Incorporated as to</w:t>
            </w:r>
          </w:p>
        </w:tc>
        <w:tc>
          <w:tcPr>
            <w:tcW w:w="2160" w:type="dxa"/>
            <w:vAlign w:val="bottom"/>
          </w:tcPr>
          <w:p>
            <w:pPr>
              <w:spacing w:after="0"/>
              <w:rPr>
                <w:sz w:val="14"/>
                <w:szCs w:val="14"/>
                <w:color w:val="auto"/>
              </w:rPr>
            </w:pPr>
          </w:p>
        </w:tc>
      </w:tr>
      <w:tr>
        <w:trPr>
          <w:trHeight w:val="201"/>
        </w:trPr>
        <w:tc>
          <w:tcPr>
            <w:tcW w:w="2540" w:type="dxa"/>
            <w:vAlign w:val="bottom"/>
          </w:tcPr>
          <w:p>
            <w:pPr>
              <w:ind w:left="2020"/>
              <w:spacing w:after="0" w:line="201" w:lineRule="exact"/>
              <w:rPr>
                <w:sz w:val="20"/>
                <w:szCs w:val="20"/>
                <w:color w:val="auto"/>
              </w:rPr>
            </w:pPr>
            <w:r>
              <w:rPr>
                <w:rFonts w:ascii="Arial" w:cs="Arial" w:eastAsia="Arial" w:hAnsi="Arial"/>
                <w:sz w:val="18"/>
                <w:szCs w:val="18"/>
                <w:color w:val="auto"/>
              </w:rPr>
              <w:t>Proxy</w:t>
            </w:r>
          </w:p>
        </w:tc>
        <w:tc>
          <w:tcPr>
            <w:tcW w:w="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7"/>
              </w:rPr>
              <w:t>Statement</w:t>
            </w:r>
          </w:p>
        </w:tc>
        <w:tc>
          <w:tcPr>
            <w:tcW w:w="4940" w:type="dxa"/>
            <w:vAlign w:val="bottom"/>
          </w:tcPr>
          <w:p>
            <w:pPr>
              <w:ind w:left="60"/>
              <w:spacing w:after="0" w:line="201" w:lineRule="exact"/>
              <w:rPr>
                <w:sz w:val="20"/>
                <w:szCs w:val="20"/>
                <w:color w:val="auto"/>
              </w:rPr>
            </w:pPr>
            <w:r>
              <w:rPr>
                <w:rFonts w:ascii="Arial" w:cs="Arial" w:eastAsia="Arial" w:hAnsi="Arial"/>
                <w:sz w:val="18"/>
                <w:szCs w:val="18"/>
                <w:color w:val="auto"/>
              </w:rPr>
              <w:t>for the</w:t>
            </w: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Part III</w:t>
            </w:r>
          </w:p>
        </w:tc>
        <w:tc>
          <w:tcPr>
            <w:tcW w:w="2160" w:type="dxa"/>
            <w:vAlign w:val="bottom"/>
          </w:tcPr>
          <w:p>
            <w:pPr>
              <w:spacing w:after="0"/>
              <w:rPr>
                <w:sz w:val="17"/>
                <w:szCs w:val="17"/>
                <w:color w:val="auto"/>
              </w:rPr>
            </w:pPr>
          </w:p>
        </w:tc>
      </w:tr>
      <w:tr>
        <w:trPr>
          <w:trHeight w:val="222"/>
        </w:trPr>
        <w:tc>
          <w:tcPr>
            <w:tcW w:w="8120" w:type="dxa"/>
            <w:vAlign w:val="bottom"/>
            <w:gridSpan w:val="3"/>
          </w:tcPr>
          <w:p>
            <w:pPr>
              <w:jc w:val="center"/>
              <w:ind w:right="2292"/>
              <w:spacing w:after="0"/>
              <w:rPr>
                <w:sz w:val="20"/>
                <w:szCs w:val="20"/>
                <w:color w:val="auto"/>
              </w:rPr>
            </w:pPr>
            <w:r>
              <w:rPr>
                <w:rFonts w:ascii="Arial" w:cs="Arial" w:eastAsia="Arial" w:hAnsi="Arial"/>
                <w:sz w:val="18"/>
                <w:szCs w:val="18"/>
                <w:color w:val="auto"/>
                <w:w w:val="90"/>
              </w:rPr>
              <w:t>2012 Annual Meeting of Stockholders</w:t>
            </w:r>
          </w:p>
        </w:tc>
        <w:tc>
          <w:tcPr>
            <w:tcW w:w="11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137"/>
        </w:trPr>
        <w:tc>
          <w:tcPr>
            <w:tcW w:w="25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9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r>
      <w:tr>
        <w:trPr>
          <w:trHeight w:val="82"/>
        </w:trPr>
        <w:tc>
          <w:tcPr>
            <w:tcW w:w="25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9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40" w:type="dxa"/>
            <w:vAlign w:val="bottom"/>
            <w:gridSpan w:val="16"/>
          </w:tcPr>
          <w:p>
            <w:pPr>
              <w:jc w:val="center"/>
              <w:ind w:right="3820"/>
              <w:spacing w:after="0"/>
              <w:rPr>
                <w:sz w:val="20"/>
                <w:szCs w:val="20"/>
                <w:color w:val="auto"/>
              </w:rPr>
            </w:pPr>
            <w:r>
              <w:rPr>
                <w:rFonts w:ascii="Arial" w:cs="Arial" w:eastAsia="Arial" w:hAnsi="Arial"/>
                <w:sz w:val="18"/>
                <w:szCs w:val="18"/>
                <w:b w:val="1"/>
                <w:bCs w:val="1"/>
                <w:color w:val="auto"/>
                <w:w w:val="96"/>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580" w:type="dxa"/>
            <w:vAlign w:val="bottom"/>
            <w:gridSpan w:val="2"/>
            <w:vMerge w:val="restart"/>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5260" w:type="dxa"/>
            <w:vAlign w:val="bottom"/>
            <w:gridSpan w:val="9"/>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80" w:type="dxa"/>
            <w:vAlign w:val="bottom"/>
            <w:tcBorders>
              <w:bottom w:val="single" w:sz="8" w:color="0000EE"/>
            </w:tcBorders>
            <w:gridSpan w:val="2"/>
            <w:vMerge w:val="continue"/>
          </w:tcPr>
          <w:p>
            <w:pPr>
              <w:spacing w:after="0"/>
              <w:rPr>
                <w:sz w:val="13"/>
                <w:szCs w:val="13"/>
                <w:color w:val="auto"/>
              </w:rPr>
            </w:pPr>
          </w:p>
        </w:tc>
        <w:tc>
          <w:tcPr>
            <w:tcW w:w="5260" w:type="dxa"/>
            <w:vAlign w:val="bottom"/>
            <w:gridSpan w:val="9"/>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0180" w:type="dxa"/>
            <w:vAlign w:val="bottom"/>
            <w:gridSpan w:val="28"/>
          </w:tcPr>
          <w:p>
            <w:pPr>
              <w:ind w:left="18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Item 1A.</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910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1B.</w:t>
              </w:r>
            </w:hyperlink>
          </w:p>
        </w:tc>
        <w:tc>
          <w:tcPr>
            <w:tcW w:w="10180" w:type="dxa"/>
            <w:vAlign w:val="bottom"/>
            <w:gridSpan w:val="28"/>
          </w:tcPr>
          <w:p>
            <w:pPr>
              <w:ind w:left="180"/>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2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800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10180" w:type="dxa"/>
            <w:vAlign w:val="bottom"/>
            <w:gridSpan w:val="28"/>
          </w:tcPr>
          <w:p>
            <w:pPr>
              <w:ind w:left="18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10180" w:type="dxa"/>
            <w:vAlign w:val="bottom"/>
            <w:gridSpan w:val="28"/>
          </w:tcPr>
          <w:p>
            <w:pPr>
              <w:ind w:left="18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72"/>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12"/>
          </w:tcPr>
          <w:p>
            <w:pPr>
              <w:jc w:val="center"/>
              <w:ind w:right="5240"/>
              <w:spacing w:after="0"/>
              <w:rPr>
                <w:rFonts w:ascii="Arial" w:cs="Arial" w:eastAsia="Arial" w:hAnsi="Arial"/>
                <w:sz w:val="18"/>
                <w:szCs w:val="18"/>
                <w:b w:val="1"/>
                <w:bCs w:val="1"/>
                <w:color w:val="0000EE"/>
                <w:w w:val="96"/>
              </w:rPr>
            </w:pPr>
            <w:hyperlink w:anchor="page26">
              <w:r>
                <w:rPr>
                  <w:rFonts w:ascii="Arial" w:cs="Arial" w:eastAsia="Arial" w:hAnsi="Arial"/>
                  <w:sz w:val="18"/>
                  <w:szCs w:val="18"/>
                  <w:b w:val="1"/>
                  <w:bCs w:val="1"/>
                  <w:color w:val="0000EE"/>
                  <w:w w:val="96"/>
                </w:rPr>
                <w:t>PART 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10180" w:type="dxa"/>
            <w:vAlign w:val="bottom"/>
            <w:gridSpan w:val="28"/>
          </w:tcPr>
          <w:p>
            <w:pPr>
              <w:ind w:left="18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10180" w:type="dxa"/>
            <w:vAlign w:val="bottom"/>
            <w:gridSpan w:val="28"/>
          </w:tcPr>
          <w:p>
            <w:pPr>
              <w:ind w:left="18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7.</w:t>
              </w:r>
            </w:hyperlink>
          </w:p>
        </w:tc>
        <w:tc>
          <w:tcPr>
            <w:tcW w:w="10180" w:type="dxa"/>
            <w:vAlign w:val="bottom"/>
            <w:gridSpan w:val="28"/>
          </w:tcPr>
          <w:p>
            <w:pPr>
              <w:ind w:left="18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Item 7A.</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Quantitative and Qualitative Disclosures About Market Risk</w:t>
              </w:r>
            </w:hyperlink>
          </w:p>
        </w:tc>
        <w:tc>
          <w:tcPr>
            <w:tcW w:w="574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Item 8.</w:t>
              </w:r>
            </w:hyperlink>
          </w:p>
        </w:tc>
        <w:tc>
          <w:tcPr>
            <w:tcW w:w="10180" w:type="dxa"/>
            <w:vAlign w:val="bottom"/>
            <w:gridSpan w:val="28"/>
          </w:tcPr>
          <w:p>
            <w:pPr>
              <w:ind w:left="180"/>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Financial Statements and Supplementary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Item 9.</w:t>
              </w:r>
            </w:hyperlink>
          </w:p>
        </w:tc>
        <w:tc>
          <w:tcPr>
            <w:tcW w:w="10180" w:type="dxa"/>
            <w:vAlign w:val="bottom"/>
            <w:gridSpan w:val="28"/>
          </w:tcPr>
          <w:p>
            <w:pPr>
              <w:ind w:left="180"/>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44">
              <w:r>
                <w:rPr>
                  <w:rFonts w:ascii="Arial" w:cs="Arial" w:eastAsia="Arial" w:hAnsi="Arial"/>
                  <w:sz w:val="18"/>
                  <w:szCs w:val="18"/>
                  <w:color w:val="0000EE"/>
                  <w:w w:val="92"/>
                </w:rPr>
                <w:t>Item 9A.</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144">
              <w:r>
                <w:rPr>
                  <w:rFonts w:ascii="Arial" w:cs="Arial" w:eastAsia="Arial" w:hAnsi="Arial"/>
                  <w:sz w:val="18"/>
                  <w:szCs w:val="18"/>
                  <w:color w:val="0000EE"/>
                  <w:w w:val="86"/>
                </w:rPr>
                <w:t>Controls and Procedures</w:t>
              </w:r>
            </w:hyperlink>
          </w:p>
        </w:tc>
        <w:tc>
          <w:tcPr>
            <w:tcW w:w="826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Item 9B.</w:t>
              </w:r>
            </w:hyperlink>
          </w:p>
        </w:tc>
        <w:tc>
          <w:tcPr>
            <w:tcW w:w="10180" w:type="dxa"/>
            <w:vAlign w:val="bottom"/>
            <w:gridSpan w:val="28"/>
          </w:tcPr>
          <w:p>
            <w:pPr>
              <w:ind w:left="180"/>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37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0" w:type="dxa"/>
            <w:vAlign w:val="bottom"/>
            <w:gridSpan w:val="15"/>
          </w:tcPr>
          <w:p>
            <w:pPr>
              <w:jc w:val="center"/>
              <w:ind w:right="5100"/>
              <w:spacing w:after="0"/>
              <w:rPr>
                <w:rFonts w:ascii="Arial" w:cs="Arial" w:eastAsia="Arial" w:hAnsi="Arial"/>
                <w:sz w:val="18"/>
                <w:szCs w:val="18"/>
                <w:b w:val="1"/>
                <w:bCs w:val="1"/>
                <w:color w:val="0000EE"/>
              </w:rPr>
            </w:pPr>
            <w:hyperlink w:anchor="page144">
              <w:r>
                <w:rPr>
                  <w:rFonts w:ascii="Arial" w:cs="Arial" w:eastAsia="Arial" w:hAnsi="Arial"/>
                  <w:sz w:val="18"/>
                  <w:szCs w:val="18"/>
                  <w:b w:val="1"/>
                  <w:bCs w:val="1"/>
                  <w:color w:val="0000EE"/>
                </w:rPr>
                <w:t>PART III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Item 10.</w:t>
              </w:r>
            </w:hyperlink>
          </w:p>
        </w:tc>
        <w:tc>
          <w:tcPr>
            <w:tcW w:w="2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4100" w:type="dxa"/>
            <w:vAlign w:val="bottom"/>
            <w:gridSpan w:val="13"/>
          </w:tcPr>
          <w:p>
            <w:pPr>
              <w:spacing w:after="0" w:line="196" w:lineRule="exact"/>
              <w:rPr>
                <w:rFonts w:ascii="Arial" w:cs="Arial" w:eastAsia="Arial" w:hAnsi="Arial"/>
                <w:sz w:val="18"/>
                <w:szCs w:val="18"/>
                <w:color w:val="0000EE"/>
                <w:w w:val="90"/>
              </w:rPr>
            </w:pPr>
            <w:hyperlink w:anchor="page144">
              <w:r>
                <w:rPr>
                  <w:rFonts w:ascii="Arial" w:cs="Arial" w:eastAsia="Arial" w:hAnsi="Arial"/>
                  <w:sz w:val="18"/>
                  <w:szCs w:val="18"/>
                  <w:color w:val="0000EE"/>
                  <w:w w:val="90"/>
                </w:rPr>
                <w:t>Directors, Executive Officers and Corporate Governance</w:t>
              </w:r>
            </w:hyperlink>
          </w:p>
        </w:tc>
        <w:tc>
          <w:tcPr>
            <w:tcW w:w="720" w:type="dxa"/>
            <w:vAlign w:val="bottom"/>
            <w:tcBorders>
              <w:top w:val="single" w:sz="8" w:color="0000EE"/>
            </w:tcBorders>
            <w:gridSpan w:val="8"/>
          </w:tcPr>
          <w:p>
            <w:pPr>
              <w:spacing w:after="0"/>
              <w:rPr>
                <w:sz w:val="17"/>
                <w:szCs w:val="17"/>
                <w:color w:val="auto"/>
              </w:rPr>
            </w:pPr>
          </w:p>
        </w:tc>
        <w:tc>
          <w:tcPr>
            <w:tcW w:w="51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Item 11.</w:t>
              </w:r>
            </w:hyperlink>
          </w:p>
        </w:tc>
        <w:tc>
          <w:tcPr>
            <w:tcW w:w="2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4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Executive Compensation</w:t>
              </w:r>
            </w:hyperlink>
          </w:p>
        </w:tc>
        <w:tc>
          <w:tcPr>
            <w:tcW w:w="600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Item 12.</w:t>
              </w:r>
            </w:hyperlink>
          </w:p>
        </w:tc>
        <w:tc>
          <w:tcPr>
            <w:tcW w:w="2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10000" w:type="dxa"/>
            <w:vAlign w:val="bottom"/>
            <w:gridSpan w:val="27"/>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Item 13.</w:t>
              </w:r>
            </w:hyperlink>
          </w:p>
        </w:tc>
        <w:tc>
          <w:tcPr>
            <w:tcW w:w="2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71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Certain Relationships and Related Transactions, and Director Independence</w:t>
              </w:r>
            </w:hyperlink>
          </w:p>
        </w:tc>
        <w:tc>
          <w:tcPr>
            <w:tcW w:w="28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Item 14.</w:t>
              </w:r>
            </w:hyperlink>
          </w:p>
        </w:tc>
        <w:tc>
          <w:tcPr>
            <w:tcW w:w="2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53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Principal Accounting Fees and Services</w:t>
              </w:r>
            </w:hyperlink>
          </w:p>
        </w:tc>
        <w:tc>
          <w:tcPr>
            <w:tcW w:w="46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37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5"/>
              </w:rPr>
            </w:pPr>
            <w:hyperlink w:anchor="page145">
              <w:r>
                <w:rPr>
                  <w:rFonts w:ascii="Arial" w:cs="Arial" w:eastAsia="Arial" w:hAnsi="Arial"/>
                  <w:sz w:val="18"/>
                  <w:szCs w:val="18"/>
                  <w:b w:val="1"/>
                  <w:bCs w:val="1"/>
                  <w:color w:val="0000EE"/>
                  <w:w w:val="95"/>
                </w:rPr>
                <w:t>PART IV</w:t>
              </w:r>
            </w:hyperlink>
          </w:p>
        </w:tc>
        <w:tc>
          <w:tcPr>
            <w:tcW w:w="5200" w:type="dxa"/>
            <w:vAlign w:val="bottom"/>
            <w:gridSpan w:val="7"/>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Item 15.</w:t>
              </w:r>
            </w:hyperlink>
          </w:p>
        </w:tc>
        <w:tc>
          <w:tcPr>
            <w:tcW w:w="2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45">
              <w:r>
                <w:rPr>
                  <w:rFonts w:ascii="Arial" w:cs="Arial" w:eastAsia="Arial" w:hAnsi="Arial"/>
                  <w:sz w:val="18"/>
                  <w:szCs w:val="18"/>
                  <w:color w:val="0000EE"/>
                  <w:w w:val="87"/>
                </w:rPr>
                <w:t>Exhibits, Financial Statement Schedules</w:t>
              </w:r>
            </w:hyperlink>
          </w:p>
        </w:tc>
        <w:tc>
          <w:tcPr>
            <w:tcW w:w="716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383"/>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40" w:type="dxa"/>
            <w:vAlign w:val="bottom"/>
            <w:gridSpan w:val="20"/>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as described in Note 20 to the Consolidated Financial Statements.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WM was incorporated in Oklahoma in 1987 under the name “USA Waste Services, Inc.” and was reincorporated as a Delaware company in 1995. In a 1998 merger, the Illinois-based waste services company formerly known as Waste Management, Inc. became a wholly-owned subsidiary of WM and changed its name to Waste Management Holdings, Inc. (“WM Holdings”). At the same time, our parent holding company changed its name from USA Waste Services to Waste Management, Inc. Like WM, WM Holdings is a holding company and all operations are conducted by subsidiaries. For detail on the financial position, results of operations and cash flows of WM, WM Holdings and their subsidiaries, see Note 23 to the Consolidated Financial Statements.</w:t>
      </w:r>
    </w:p>
    <w:p>
      <w:pPr>
        <w:spacing w:after="0" w:line="3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 During 2011, our largest customer represented approximately 1% of annual revenues. We employed approximately 44,300 people as of December 31, 2011.</w:t>
      </w:r>
    </w:p>
    <w:p>
      <w:pPr>
        <w:spacing w:after="0" w:line="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Through our core waste management services, we own or operate 271 landfill sites, which is the largest network of landfills in our industry. In order to make disposal more practical for larger urban markets, where the distance to landfills or waste-to-energy facilities is typically farther, we manage 287 transfer stations that consolidate, compact and transport waste efficiently and economically. We also use waste to create energy. One method we use involves recovering the gas produced naturally as waste decomposes in landfills for use in the generation of electricity. We also use waste to create energy through a highly efficient combustion process. Our waste-to-energy subsidiary, Wheelabrator Technologies Inc., operates 22 plants that produce clean, renewable energy. We are a leading recycler in North America, handling materials that include paper, cardboard, glass, plastic, metal and electronics. Through our recycling operations, we provide cost-efficient, environmentally sound programs for municipalities, businesses and households across the U.S. and Canada. In addition to traditional waste operations, we are also expanding to increase the service offerings we provide for our customers.</w:t>
      </w:r>
    </w:p>
    <w:p>
      <w:pPr>
        <w:spacing w:after="0" w:line="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Company’s goals are targeted at serving our customers, our employees, the environment, the communities in which we work and our stockholders, and achievement of our goals is intended to meet the needs of a changing industry. The waste industry continues to confront significant changes. Our Company and others have recognized the value of the traditional waste stream as a potential resource. Landfill volumes have declined in recent years, as customers are increasingly using alternatives to traditional disposal, such as recycling and composting, while also working to reduce the waste they generate. Accomplishment of our goals will grow our Company and allow us to meet the needs of our customers and communities as they, too, Think Green</w:t>
      </w:r>
      <w:r>
        <w:rPr>
          <w:rFonts w:ascii="Arial" w:cs="Arial" w:eastAsia="Arial" w:hAnsi="Arial"/>
          <w:sz w:val="10"/>
          <w:szCs w:val="10"/>
          <w:color w:val="auto"/>
        </w:rPr>
        <w:t>®</w:t>
      </w:r>
      <w:r>
        <w:rPr>
          <w:rFonts w:ascii="Arial" w:cs="Arial" w:eastAsia="Arial" w:hAnsi="Arial"/>
          <w:sz w:val="16"/>
          <w:szCs w:val="16"/>
          <w:color w:val="auto"/>
        </w:rPr>
        <w:t>. We believe that helping our customers achieve their environmental goals will enable us to achieve profitable growth.</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Company is dedicated to three transformational goals that we believe will drive continued growth and leadership in a dynamic industry: know more about our customers and how to service them than anyone else; use conversion and processing technology to extract more value from the materials we manage; and continuously improve our operational efficiency. We intend to pursue achievement of our long-term goals in the short-term through efforts to:</w:t>
      </w:r>
    </w:p>
    <w:p>
      <w:pPr>
        <w:spacing w:after="0" w:line="26" w:lineRule="exact"/>
        <w:rPr>
          <w:sz w:val="20"/>
          <w:szCs w:val="20"/>
          <w:color w:val="auto"/>
        </w:rPr>
      </w:pPr>
    </w:p>
    <w:p>
      <w:pPr>
        <w:ind w:left="700" w:hanging="246"/>
        <w:spacing w:after="0" w:line="268"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 our markets by implementing customer-focused growth, through customer segmentation and through strategic acquisitions, while maintaining our pricing discipline and increasing the amount of recyclable materials we manage each year;</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 our customer loyalty;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 into new markets by investing in greener technologies;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Pursue initiatives that improve our operations and cost structure.</w:t>
      </w:r>
    </w:p>
    <w:p>
      <w:pPr>
        <w:spacing w:after="0" w:line="90" w:lineRule="exact"/>
        <w:rPr>
          <w:sz w:val="20"/>
          <w:szCs w:val="20"/>
          <w:color w:val="auto"/>
        </w:rPr>
      </w:pPr>
    </w:p>
    <w:p>
      <w:pPr>
        <w:jc w:val="both"/>
        <w:ind w:right="260" w:firstLine="456"/>
        <w:spacing w:after="0" w:line="303" w:lineRule="auto"/>
        <w:rPr>
          <w:sz w:val="20"/>
          <w:szCs w:val="20"/>
          <w:color w:val="auto"/>
        </w:rPr>
      </w:pPr>
      <w:r>
        <w:rPr>
          <w:rFonts w:ascii="Arial" w:cs="Arial" w:eastAsia="Arial" w:hAnsi="Arial"/>
          <w:sz w:val="15"/>
          <w:szCs w:val="15"/>
          <w:color w:val="auto"/>
        </w:rPr>
        <w:t>These efforts will be supported by ongoing improvements in information technologies. We believe that execution of our strategy will provide long-term value to our stockholders. In addition, we intend to continue to return value to our stockholders through common stock repurchases and dividend payments. In December 2011, we announced that our Board of Directors expects that quarterly dividend payments will be increased to $0.355 per share in 2012, which is a</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4.4% increase from the quarterly dividend we paid in 2011. This will result in an increase in the amount of free cash flow that we expect to pay out as dividends for the ninth consecutive year and is an indication of our ability to generate strong and consistent cash flows. All quarterly dividends will be declared at the discretion of our Board of Directors.</w:t>
      </w:r>
    </w:p>
    <w:p>
      <w:pPr>
        <w:spacing w:after="0" w:line="138" w:lineRule="exact"/>
        <w:rPr>
          <w:sz w:val="20"/>
          <w:szCs w:val="20"/>
          <w:color w:val="auto"/>
        </w:rPr>
      </w:pPr>
    </w:p>
    <w:p>
      <w:pPr>
        <w:jc w:val="right"/>
        <w:ind w:right="10560"/>
        <w:spacing w:after="0"/>
        <w:rPr>
          <w:sz w:val="20"/>
          <w:szCs w:val="20"/>
          <w:color w:val="auto"/>
        </w:rPr>
      </w:pPr>
      <w:r>
        <w:rPr>
          <w:rFonts w:ascii="Arial" w:cs="Arial" w:eastAsia="Arial" w:hAnsi="Arial"/>
          <w:sz w:val="15"/>
          <w:szCs w:val="15"/>
          <w:b w:val="1"/>
          <w:bCs w:val="1"/>
          <w:color w:val="auto"/>
        </w:rPr>
        <w:t>Operations</w:t>
      </w:r>
    </w:p>
    <w:p>
      <w:pPr>
        <w:spacing w:after="0" w:line="131" w:lineRule="exact"/>
        <w:rPr>
          <w:sz w:val="20"/>
          <w:szCs w:val="20"/>
          <w:color w:val="auto"/>
        </w:rPr>
      </w:pPr>
    </w:p>
    <w:p>
      <w:pPr>
        <w:jc w:val="right"/>
        <w:ind w:right="1058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 manage and evaluate our principal operations through five Groups. Our four geographic operating Groups, comprised of our Eastern, Midwest, Southern and Western Groups, provide collection, transfer, disposal (in both solid waste and hazardous waste landfills) and recycling services. Our fifth Group is the Wheelabrator Group, which provides waste-to-energy services and manages waste-to-energy facilities and independent power production plants, or IPPs. We also provide additional services that are not managed through our five Groups, as described below. These operations are presented in this report as “Other.”</w:t>
      </w:r>
    </w:p>
    <w:p>
      <w:pPr>
        <w:spacing w:after="0" w:line="1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The table below shows the total revenues (in millions) contributed annually by each of our Groups, or reportable segments, in the three-year period ended December 31, 2011. More information about our results of operations by reportable segment is included in Note 21 to the Consolidated Financial Statements and 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included in this report.</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Years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Eastern</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Midwest</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3,213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3,048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Western</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3,173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Other</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1"/>
              </w:rPr>
              <w:t>(2,031)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(1,962)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(1,946)</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100" w:type="dxa"/>
            <w:vAlign w:val="bottom"/>
            <w:vMerge w:val="continue"/>
          </w:tcPr>
          <w:p>
            <w:pPr>
              <w:spacing w:after="0"/>
              <w:rPr>
                <w:sz w:val="19"/>
                <w:szCs w:val="19"/>
                <w:color w:val="auto"/>
              </w:rPr>
            </w:pPr>
          </w:p>
        </w:tc>
        <w:tc>
          <w:tcPr>
            <w:tcW w:w="4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13,378</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12,515</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11,791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500" w:type="dxa"/>
            <w:vAlign w:val="bottom"/>
            <w:vMerge w:val="restart"/>
          </w:tcPr>
          <w:p>
            <w:pPr>
              <w:jc w:val="right"/>
              <w:ind w:right="2212"/>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0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services we provide include collection, landfill (solid and hazardous waste landfills), transfer, waste-to-energy facilities and independent power production plants, recycling and other services, as described below. The following table shows revenues (in millions) contributed by these services for each of the three years indicated:</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Years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Collection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Landfill</w:t>
            </w:r>
          </w:p>
        </w:tc>
        <w:tc>
          <w:tcPr>
            <w:tcW w:w="100" w:type="dxa"/>
            <w:vAlign w:val="bottom"/>
          </w:tcPr>
          <w:p>
            <w:pPr>
              <w:spacing w:after="0"/>
              <w:rPr>
                <w:sz w:val="18"/>
                <w:szCs w:val="18"/>
                <w:color w:val="auto"/>
              </w:rPr>
            </w:pPr>
          </w:p>
        </w:tc>
        <w:tc>
          <w:tcPr>
            <w:tcW w:w="1000" w:type="dxa"/>
            <w:vAlign w:val="bottom"/>
            <w:gridSpan w:val="2"/>
          </w:tcPr>
          <w:p>
            <w:pPr>
              <w:jc w:val="right"/>
              <w:ind w:right="452"/>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2,540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889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1"/>
              </w:rPr>
              <w:t>(2,031)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(1,962)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(1,946)</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13,378</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12,515</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11,791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i w:val="1"/>
          <w:iCs w:val="1"/>
          <w:color w:val="auto"/>
        </w:rPr>
        <w:t xml:space="preserve">Collection. </w:t>
      </w:r>
      <w:r>
        <w:rPr>
          <w:rFonts w:ascii="Arial" w:cs="Arial" w:eastAsia="Arial" w:hAnsi="Arial"/>
          <w:sz w:val="18"/>
          <w:szCs w:val="18"/>
          <w:color w:val="auto"/>
        </w:rPr>
        <w:t>Our commitment to customers begins with a vast waste collection network. Collection involves picking up and transporting waste and</w:t>
      </w:r>
      <w:r>
        <w:rPr>
          <w:rFonts w:ascii="Arial" w:cs="Arial" w:eastAsia="Arial" w:hAnsi="Arial"/>
          <w:sz w:val="18"/>
          <w:szCs w:val="18"/>
          <w:i w:val="1"/>
          <w:iCs w:val="1"/>
          <w:color w:val="auto"/>
        </w:rPr>
        <w:t xml:space="preserve"> </w:t>
      </w:r>
      <w:r>
        <w:rPr>
          <w:rFonts w:ascii="Arial" w:cs="Arial" w:eastAsia="Arial" w:hAnsi="Arial"/>
          <w:sz w:val="18"/>
          <w:szCs w:val="18"/>
          <w:color w:val="auto"/>
        </w:rPr>
        <w:t>recyclable materials from where it was generated to a transfer station, material recovery facility (“MRF”) or disposal site. We generally provide collection services under one of two types of arrangements:</w:t>
      </w:r>
    </w:p>
    <w:p>
      <w:pPr>
        <w:spacing w:after="0" w:line="59" w:lineRule="exact"/>
        <w:rPr>
          <w:sz w:val="20"/>
          <w:szCs w:val="20"/>
          <w:color w:val="auto"/>
        </w:rPr>
      </w:pPr>
    </w:p>
    <w:p>
      <w:pPr>
        <w:ind w:left="700" w:right="20" w:hanging="246"/>
        <w:spacing w:after="0" w:line="291"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commercial and industrial collection services, typically we have a three-year service agreement.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39" w:lineRule="exact"/>
        <w:rPr>
          <w:rFonts w:ascii="Arial" w:cs="Arial" w:eastAsia="Arial" w:hAnsi="Arial"/>
          <w:sz w:val="16"/>
          <w:szCs w:val="16"/>
          <w:color w:val="auto"/>
        </w:rPr>
      </w:pPr>
    </w:p>
    <w:p>
      <w:pPr>
        <w:ind w:left="700" w:hanging="246"/>
        <w:spacing w:after="0" w:line="298"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five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Landfill. </w:t>
      </w:r>
      <w:r>
        <w:rPr>
          <w:rFonts w:ascii="Arial" w:cs="Arial" w:eastAsia="Arial" w:hAnsi="Arial"/>
          <w:sz w:val="16"/>
          <w:szCs w:val="16"/>
          <w:color w:val="auto"/>
        </w:rPr>
        <w:t>Landfills are the main depositories for solid waste in North America. At December 31, 2011, we owned or operated 266 solid waste landfills,</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represents the largest network of landfills in North America. Solid waste landfills are constructed and operated on land with engineering safeguards that limit the possibility of 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3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All solid waste management companies must have access to a disposal facility, such as a solid waste landfill. The significant capital requirements of developing and operating a landfill serve as a barrier to landfill ownership and, as a result,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competition and the type and weight or volume of solid waste deposited.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also operate five secure hazardous waste landfills in the United States. 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3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At December 31, 2011, we owned or operated 287 transfer stations in North America. We deposit waste at these stations, as do other waste</w:t>
      </w:r>
      <w:r>
        <w:rPr>
          <w:rFonts w:ascii="Arial" w:cs="Arial" w:eastAsia="Arial" w:hAnsi="Arial"/>
          <w:sz w:val="18"/>
          <w:szCs w:val="18"/>
          <w:i w:val="1"/>
          <w:iCs w:val="1"/>
          <w:color w:val="auto"/>
        </w:rPr>
        <w:t xml:space="preserve"> </w:t>
      </w:r>
      <w:r>
        <w:rPr>
          <w:rFonts w:ascii="Arial" w:cs="Arial" w:eastAsia="Arial" w:hAnsi="Arial"/>
          <w:sz w:val="18"/>
          <w:szCs w:val="18"/>
          <w:color w:val="auto"/>
        </w:rPr>
        <w:t>haulers. The solid waste is then consolidated and compacted to reduce the volume and increase the density of the waste and transported by transfer trucks or by rail to disposal sites. At December 31, 2011, our WM Healthcare Solutions subsidiary (discussed below) also had 21 smaller transfer operations (separate from its ten processing facilities, but some of which are located at other existing Company facilities) that are permitted to consolidate regulated medical waste collections for disposal.</w:t>
      </w:r>
    </w:p>
    <w:p>
      <w:pPr>
        <w:spacing w:after="0" w:line="6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and general market factors.</w:t>
      </w:r>
    </w:p>
    <w:p>
      <w:pPr>
        <w:spacing w:after="0" w:line="5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62"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2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Wheelabrator. </w:t>
      </w:r>
      <w:r>
        <w:rPr>
          <w:rFonts w:ascii="Arial" w:cs="Arial" w:eastAsia="Arial" w:hAnsi="Arial"/>
          <w:sz w:val="18"/>
          <w:szCs w:val="18"/>
          <w:color w:val="auto"/>
        </w:rPr>
        <w:t>As of December 31, 2011, we owned or operated 17 waste-to-energy facilities and five independent power production plants, or IPPs,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located in the Northeast, in the Mid-Atlantic, and in Florida, California and Washington.</w:t>
      </w:r>
    </w:p>
    <w:p>
      <w:pPr>
        <w:spacing w:after="0" w:line="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At our waste-to-energy facilities, solid waste is burned at high temperatures in specially designed boilers to produce heat that is converted into high-pressure steam. As of December 31, 2011, our waste-to-energy facilities were capable of processing up to 22,300 tons of solid waste each day. In 2011, our waste-to-energy facilities received and processed 8 million tons of solid waste, or approximately 22,000 tons per day.</w:t>
      </w:r>
    </w:p>
    <w:p>
      <w:pPr>
        <w:spacing w:after="0" w:line="2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IPPs convert various waste and conventional fuels into steam. The plants burn wood waste, anthracite coal waste (culm), tires, landfill gas and natural gas. These facilities are integral to the solid waste industry, disposing of urban wood, waste tires, railroad ties and utility poles. Our anthracite culm facility in Pennsylvania processes the waste materials left over from coal mining operations from over half a century ago. Ash remaining after burning the culm is used to reclaim the land damaged by decades of coal mining.</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generate steam at our waste-to-energy and IPPs facilities for the production of electricity. We sell the electricity produced at our facilities into wholesale markets, which include investor-owned utilities, power marketers and regional power pools. Some of our facilities also sell steam directly to end users. Fees charged for electricity and steam at our waste-to-energy facilities and IPPs have generally been subject to the terms and conditions of long-term contracts that include interim adjustments to the prices charged for changes in market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conditions such as inflation, electricity prices and other general market factors. During 2010 and 2009, several of our long-term energy contracts and short-term pricing arrangements expired, significantly increasing our waste-to-energy revenues’ exposure to volatility attributable to changes in market prices for electricity, which generally correlate with fluctuations in natural gas prices in the markets in which we operate. Our market-price volatility will continue to increase as additional long-term contracts expire. The next long-term contract will expire in March 2012. We use short-term “receive fixed, pay variable” electricity commodity swaps to mitigate the variability in our revenues and cash flows caused by fluctuations in the market prices for electricity. Refer to the </w:t>
      </w:r>
      <w:r>
        <w:rPr>
          <w:rFonts w:ascii="Arial" w:cs="Arial" w:eastAsia="Arial" w:hAnsi="Arial"/>
          <w:sz w:val="18"/>
          <w:szCs w:val="18"/>
          <w:i w:val="1"/>
          <w:iCs w:val="1"/>
          <w:color w:val="auto"/>
        </w:rPr>
        <w:t>Quantitative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Qualitative Disclosures About Market Risk </w:t>
      </w:r>
      <w:r>
        <w:rPr>
          <w:rFonts w:ascii="Arial" w:cs="Arial" w:eastAsia="Arial" w:hAnsi="Arial"/>
          <w:sz w:val="18"/>
          <w:szCs w:val="18"/>
          <w:color w:val="auto"/>
        </w:rPr>
        <w:t>section of this report for additional information about the Company’s current considerations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of this market exposure.</w:t>
      </w:r>
    </w:p>
    <w:p>
      <w:pPr>
        <w:spacing w:after="0" w:line="6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continue to look at opportunities to expand our waste-to-energy business. In 2010, we made two investments which increased the total assets of our Wheelabrator Group by $318 million. In the first quarter of 2010, we paid $142 million to acquire a 40% equity investment in Shanghai Environment Group (“SEG”), a subsidiary of Shanghai Chengtou Holding Co., Ltd. As a joint venture partner in SEG, we will participate in the operation and management of waste-to-energy and other waste services in the Chinese market. SEG will also focus on building new waste-to-energy facilities in China. As of December 31, 2011, SEG owned and operated two waste-to-energy facilities, five landfills and five transfer stations. An additional five waste-to-energy facilities were under construction. Our share of SEG’s earnings are included in “Equity in net losses in unconsolidated entities” in our Consolidated Statement of Operations. In the second quarter of 2010, we paid $150 million for the acquisition of a waste-to-energy facility in Portsmouth, Virginia. Additionally, Wheelabrator is actively pursuing development projects with industry partners and pursuing other opportunities to provide waste-to-energy services in the United Kingdom.</w:t>
      </w:r>
    </w:p>
    <w:p>
      <w:pPr>
        <w:spacing w:after="0" w:line="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Recycling. </w:t>
      </w:r>
      <w:r>
        <w:rPr>
          <w:rFonts w:ascii="Arial" w:cs="Arial" w:eastAsia="Arial" w:hAnsi="Arial"/>
          <w:sz w:val="16"/>
          <w:szCs w:val="16"/>
          <w:color w:val="auto"/>
        </w:rPr>
        <w:t>Our recycling operations provide communities and industries with an alternative to traditional landfill disposal and support our strategic goals</w:t>
      </w:r>
      <w:r>
        <w:rPr>
          <w:rFonts w:ascii="Arial" w:cs="Arial" w:eastAsia="Arial" w:hAnsi="Arial"/>
          <w:sz w:val="16"/>
          <w:szCs w:val="16"/>
          <w:i w:val="1"/>
          <w:iCs w:val="1"/>
          <w:color w:val="auto"/>
        </w:rPr>
        <w:t xml:space="preserve"> </w:t>
      </w:r>
      <w:r>
        <w:rPr>
          <w:rFonts w:ascii="Arial" w:cs="Arial" w:eastAsia="Arial" w:hAnsi="Arial"/>
          <w:sz w:val="16"/>
          <w:szCs w:val="16"/>
          <w:color w:val="auto"/>
        </w:rPr>
        <w:t>to extract more value from the materials we manage. In 2001, we became the first major solid waste company to focus on residential single-stream recycling, which allows customers to mix recyclable paper, plastic and glass in one bin. Residential single-stream programs have greatly increased the recycling rates. Single-stream recycling is possible through the use of various mechanized screens and optical sorting technologies. We have also been advancing the single-stream recycling programs for commercial applications. Recycling involves the separation of reusable materials from the waste stream for processing and resale or other disposition. Our recycling operations include the following:</w:t>
      </w:r>
    </w:p>
    <w:p>
      <w:pPr>
        <w:spacing w:after="0" w:line="39" w:lineRule="exact"/>
        <w:rPr>
          <w:sz w:val="20"/>
          <w:szCs w:val="20"/>
          <w:color w:val="auto"/>
        </w:rPr>
      </w:pPr>
    </w:p>
    <w:p>
      <w:pPr>
        <w:ind w:left="460" w:right="80" w:firstLine="438"/>
        <w:spacing w:after="0" w:line="255" w:lineRule="auto"/>
        <w:rPr>
          <w:sz w:val="20"/>
          <w:szCs w:val="20"/>
          <w:color w:val="auto"/>
        </w:rPr>
      </w:pPr>
      <w:r>
        <w:rPr>
          <w:rFonts w:ascii="Arial" w:cs="Arial" w:eastAsia="Arial" w:hAnsi="Arial"/>
          <w:sz w:val="18"/>
          <w:szCs w:val="18"/>
          <w:i w:val="1"/>
          <w:iCs w:val="1"/>
          <w:color w:val="auto"/>
        </w:rPr>
        <w:t xml:space="preserve">Materials processing </w:t>
      </w:r>
      <w:r>
        <w:rPr>
          <w:rFonts w:ascii="Arial" w:cs="Arial" w:eastAsia="Arial" w:hAnsi="Arial"/>
          <w:sz w:val="18"/>
          <w:szCs w:val="18"/>
          <w:color w:val="auto"/>
        </w:rPr>
        <w:t>— Through our collection operations, we collect recyclable materials from residential, commercial and industrial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and direct these materials to one of our MRFs for processing. We operate 107 MRFs where paper, cardboard, metals, plastics, glass, construction and demolition materials and other recyclable commodities are recovered for resale. We also operate 13 secondary processing facilities where recyclable materials can be further processed into raw products used in the manufacturing of consumer goods. Materials processing services include data destruction and automated color sorting.</w:t>
      </w:r>
    </w:p>
    <w:p>
      <w:pPr>
        <w:spacing w:after="0" w:line="62"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i w:val="1"/>
          <w:iCs w:val="1"/>
          <w:color w:val="auto"/>
        </w:rPr>
        <w:t xml:space="preserve">Plastics materials recycling </w:t>
      </w:r>
      <w:r>
        <w:rPr>
          <w:rFonts w:ascii="Arial" w:cs="Arial" w:eastAsia="Arial" w:hAnsi="Arial"/>
          <w:sz w:val="18"/>
          <w:szCs w:val="18"/>
          <w:color w:val="auto"/>
        </w:rPr>
        <w:t>— Using state-of-the-art sorting and processing technology, we process, inventory and sell plastic commodities making</w:t>
      </w:r>
      <w:r>
        <w:rPr>
          <w:rFonts w:ascii="Arial" w:cs="Arial" w:eastAsia="Arial" w:hAnsi="Arial"/>
          <w:sz w:val="18"/>
          <w:szCs w:val="18"/>
          <w:i w:val="1"/>
          <w:iCs w:val="1"/>
          <w:color w:val="auto"/>
        </w:rPr>
        <w:t xml:space="preserve"> </w:t>
      </w:r>
      <w:r>
        <w:rPr>
          <w:rFonts w:ascii="Arial" w:cs="Arial" w:eastAsia="Arial" w:hAnsi="Arial"/>
          <w:sz w:val="18"/>
          <w:szCs w:val="18"/>
          <w:color w:val="auto"/>
        </w:rPr>
        <w:t>the recycling of such items more cost effective and convenient.</w:t>
      </w:r>
    </w:p>
    <w:p>
      <w:pPr>
        <w:spacing w:after="0" w:line="51" w:lineRule="exact"/>
        <w:rPr>
          <w:sz w:val="20"/>
          <w:szCs w:val="20"/>
          <w:color w:val="auto"/>
        </w:rPr>
      </w:pPr>
    </w:p>
    <w:p>
      <w:pPr>
        <w:ind w:left="460" w:right="180" w:firstLine="438"/>
        <w:spacing w:after="0" w:line="259" w:lineRule="auto"/>
        <w:rPr>
          <w:sz w:val="20"/>
          <w:szCs w:val="20"/>
          <w:color w:val="auto"/>
        </w:rPr>
      </w:pPr>
      <w:r>
        <w:rPr>
          <w:rFonts w:ascii="Arial" w:cs="Arial" w:eastAsia="Arial" w:hAnsi="Arial"/>
          <w:sz w:val="18"/>
          <w:szCs w:val="18"/>
          <w:i w:val="1"/>
          <w:iCs w:val="1"/>
          <w:color w:val="auto"/>
        </w:rPr>
        <w:t xml:space="preserve">Commodities recycling </w:t>
      </w:r>
      <w:r>
        <w:rPr>
          <w:rFonts w:ascii="Arial" w:cs="Arial" w:eastAsia="Arial" w:hAnsi="Arial"/>
          <w:sz w:val="18"/>
          <w:szCs w:val="18"/>
          <w:color w:val="auto"/>
        </w:rPr>
        <w:t>— We market and resell recyclable commodities to customers world-wide. We manage the marketing of recyclable</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commodities that are processed in our facilities by maintaining comprehensive service centers that continuously analyze market prices, logistics, market demands and product quality.</w:t>
      </w:r>
    </w:p>
    <w:p>
      <w:pPr>
        <w:spacing w:after="0" w:line="59"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Fees for recycling services are influenced by the type of recyclable commodities being processed, the volume or weight of the recyclable material, degree of processing required, the market value of the recovered material and other market factors.</w:t>
      </w:r>
    </w:p>
    <w:p>
      <w:pPr>
        <w:spacing w:after="0" w:line="5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Some of the recyclable materials processed in our MRFs are purchased from various sources, including third parties and our own operations. The cost per ton of material purchased is based on market prices and the cost to transport the processed goods to our customers to whom we sell such materials. The price we pay for recyclable materials is often referred to as a “rebate.” Rebates generally are based upon the price we receive for sales of</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57" w:lineRule="auto"/>
        <w:rPr>
          <w:sz w:val="20"/>
          <w:szCs w:val="20"/>
          <w:color w:val="auto"/>
        </w:rPr>
      </w:pPr>
      <w:r>
        <w:rPr>
          <w:rFonts w:ascii="Arial" w:cs="Arial" w:eastAsia="Arial" w:hAnsi="Arial"/>
          <w:sz w:val="15"/>
          <w:szCs w:val="15"/>
          <w:color w:val="auto"/>
        </w:rPr>
        <w:t>processed goods and on market conditions, but in some cases are based on fixed contractual rates or on defined minimum per-ton rates. As a result, changes in commodity prices for recycled fiber can significantly affect our revenues, the rebates we pay to our suppliers and our operating income and margins.</w:t>
      </w:r>
    </w:p>
    <w:p>
      <w:pPr>
        <w:ind w:left="460"/>
        <w:spacing w:after="0"/>
        <w:tabs>
          <w:tab w:leader="none" w:pos="1060" w:val="left"/>
        </w:tabs>
        <w:rPr>
          <w:sz w:val="20"/>
          <w:szCs w:val="20"/>
          <w:color w:val="auto"/>
        </w:rPr>
      </w:pPr>
      <w:r>
        <w:rPr>
          <w:rFonts w:ascii="Arial" w:cs="Arial" w:eastAsia="Arial" w:hAnsi="Arial"/>
          <w:sz w:val="18"/>
          <w:szCs w:val="18"/>
          <w:i w:val="1"/>
          <w:iCs w:val="1"/>
          <w:color w:val="auto"/>
        </w:rPr>
        <w:t>Other.</w:t>
      </w:r>
      <w:r>
        <w:rPr>
          <w:sz w:val="20"/>
          <w:szCs w:val="20"/>
          <w:color w:val="auto"/>
        </w:rPr>
        <w:tab/>
      </w:r>
      <w:r>
        <w:rPr>
          <w:rFonts w:ascii="Arial" w:cs="Arial" w:eastAsia="Arial" w:hAnsi="Arial"/>
          <w:sz w:val="16"/>
          <w:szCs w:val="16"/>
          <w:color w:val="auto"/>
        </w:rPr>
        <w:t>Other services not managed within our Groups include the following:</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provide recycling brokerage services which involves managing the marketing of recyclable materials for third parties. The experience of our recycling operations in managing recyclable commodities for our own operations gives us the expertise needed to effectively manage volumes for third parties. Utilizing the resources and knowledge of our recycling operations’ service centers, we can assist customers in marketing and selling their recyclable commodities with little to no capital requirements. We also provide electronics recycling. We recycle discarded computers, communications equipment, and other electronic equipment. Services include the collection, sorting and disassembling of electronics in an effort to reuse or recycle all collected materials. In recent years, we have teamed with major electronics manufacturers to offer comprehensive “take-back” programs of their products to assist the general public in disposing of their old electronics in a convenient and environmentally safe manner.</w:t>
      </w:r>
    </w:p>
    <w:p>
      <w:pPr>
        <w:spacing w:after="0" w:line="3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WM Sustainability Services provides a variety of sustainability services to businesses and organizations. This includes in-plant services, where our employees work full-time inside our customers’ facilities to provide full-service waste management solutions and consulting services. Our vertically integrated waste management operations enable us to provide customers with full management of their waste. The breadth of our service offerings and the familiarity we have with waste management practices gives us the unique ability to assist customers in minimizing waste they generate, identifying recycling opportunities and determining the most efficient means available for waste collection and disposal.</w:t>
      </w:r>
    </w:p>
    <w:p>
      <w:pPr>
        <w:spacing w:after="0" w:line="3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develop, operate and promote projects for the beneficial use of landfill gas through our WM Renewable Energy Program. Landfill gas is produced naturally as waste decomposes in a landfill. The methane component of the landfill gas is a readily available, renewable energy source that can be gathered and used beneficially as an alternative to fossil fuel. The EPA endorses landfill gas as a renewable energy resource, in the same category as wind, solar and geothermal resources. At December 31, 2011, landfill gas beneficial use projects were producing commercial quantities of methane gas at 131 of our solid waste landfills. At 102 of these landfills, the processed gas is used to fuel electricity generators. The electricity is then sold to public utilities, municipal utilities or power cooperatives. At 18 landfills, the gas is used at the landfill or delivered by pipeline to industrial customers as a direct substitute for fossil fuels in industrial processes. At ten landfills, the landfill gas is processed to pipeline-quality natural gas and then sold to natural gas suppliers. At one landfill, the gas is processed into liquefied natural gas and used as vehicle fuel.</w:t>
      </w:r>
    </w:p>
    <w:p>
      <w:pPr>
        <w:spacing w:after="0" w:line="3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Although many waste management services such as collection and disposal are local services, our Strategic Accounts program works with customers whose locations span the United States. Our Strategic Accounts program provides centralized customer service, billing and management of accounts to streamline the administration of customers’ multiple and nationwide locations’ waste management needs. On July 28, 2011, we acquired Oakleaf Global Holdings and its primary operations (“Oakleaf”), which provides outsourced waste and recycling services through a nationwide network of third-party haulers. Oakleaf has increased our national accounts customer base and enhanced our ability to provide comprehensive environmental solutions.</w:t>
      </w:r>
    </w:p>
    <w:p>
      <w:pPr>
        <w:spacing w:after="0" w:line="3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WM Healthcare Solutions subsidiary offers integrated medical waste services for healthcare facilities, pharmacies and individuals. We provide full-service solutions to facilities to assist them in best practices, identifying waste streams and proper disposal.</w:t>
      </w:r>
    </w:p>
    <w:p>
      <w:pPr>
        <w:spacing w:after="0" w:line="51"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We also have begun investing in businesses and technologies that are designed to offer services and solutions ancillary or supplementary to our current operations. These investments include joint ventures, acquisitions and partial ownership interests. The solutions and services include the collection of project waste, including construction debris and household or yard waste, through our Bagster</w:t>
      </w:r>
      <w:r>
        <w:rPr>
          <w:rFonts w:ascii="Arial" w:cs="Arial" w:eastAsia="Arial" w:hAnsi="Arial"/>
          <w:sz w:val="10"/>
          <w:szCs w:val="10"/>
          <w:color w:val="auto"/>
        </w:rPr>
        <w:t>®</w:t>
      </w:r>
      <w:r>
        <w:rPr>
          <w:rFonts w:ascii="Arial" w:cs="Arial" w:eastAsia="Arial" w:hAnsi="Arial"/>
          <w:sz w:val="16"/>
          <w:szCs w:val="16"/>
          <w:color w:val="auto"/>
        </w:rPr>
        <w:t xml:space="preserve"> program; the development, operation and marketing of plasma gasification facilities; operation of a landfill gas-to-liquid natural gas plant; solar powered trash compactors; and organic waste-to-fuel conversion technology. Part of our expansion of services includes offering portable self-storage services; fluorescent bulb and universal waste mail-back through our LampTracker</w:t>
      </w:r>
      <w:r>
        <w:rPr>
          <w:rFonts w:ascii="Arial" w:cs="Arial" w:eastAsia="Arial" w:hAnsi="Arial"/>
          <w:sz w:val="10"/>
          <w:szCs w:val="10"/>
          <w:color w:val="auto"/>
        </w:rPr>
        <w:t>®</w:t>
      </w:r>
      <w:r>
        <w:rPr>
          <w:rFonts w:ascii="Arial" w:cs="Arial" w:eastAsia="Arial" w:hAnsi="Arial"/>
          <w:sz w:val="16"/>
          <w:szCs w:val="16"/>
          <w:color w:val="auto"/>
        </w:rPr>
        <w:t xml:space="preserve"> program; and a sharps mail return program through which individuals can safely dispose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their used syringes and lancets using our MedWaste Tracker</w:t>
      </w:r>
      <w:r>
        <w:rPr>
          <w:rFonts w:ascii="Arial" w:cs="Arial" w:eastAsia="Arial" w:hAnsi="Arial"/>
          <w:sz w:val="11"/>
          <w:szCs w:val="11"/>
          <w:color w:val="auto"/>
        </w:rPr>
        <w:t>®</w:t>
      </w:r>
      <w:r>
        <w:rPr>
          <w:rFonts w:ascii="Arial" w:cs="Arial" w:eastAsia="Arial" w:hAnsi="Arial"/>
          <w:sz w:val="18"/>
          <w:szCs w:val="18"/>
          <w:color w:val="auto"/>
        </w:rPr>
        <w:t xml:space="preserve"> system. In addition, we have made investments that involve acquisition and development of interests in oil and gas producing properties. Finally, we rent portable restroom facilities to municipalities and commercial customers under the name Port-o-Let</w:t>
      </w:r>
      <w:r>
        <w:rPr>
          <w:rFonts w:ascii="Arial" w:cs="Arial" w:eastAsia="Arial" w:hAnsi="Arial"/>
          <w:sz w:val="11"/>
          <w:szCs w:val="11"/>
          <w:color w:val="auto"/>
        </w:rPr>
        <w:t>®</w:t>
      </w:r>
      <w:r>
        <w:rPr>
          <w:rFonts w:ascii="Arial" w:cs="Arial" w:eastAsia="Arial" w:hAnsi="Arial"/>
          <w:sz w:val="18"/>
          <w:szCs w:val="18"/>
          <w:color w:val="auto"/>
        </w:rPr>
        <w:t>, we service such facilities and we provide street and parking lot sweeping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encounter intense competition from governmental, quasi-governmental and private sources in all aspects of our operations. In North America, the industry consists primarily of two national waste management companies, regional companies and local companies of varying sizes and financial resources, including companies that specialize in certain discrete areas of waste management, operators of alternative disposal facilities and companies that seek to use parts of the waste stream as feedstock for renewable energy and other by-products. We compete with these companies as well as with counties and municipalities that maintain their own waste collection and disposal operations.</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Operating costs, disposal costs and collection fees vary widely throughout the geographic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core business based on pricing and quality of service. We have also begun competing for business based on service offerings. As companies, individuals and communities look for ways to be more sustainable, we are investing in greener technologies and promoting our comprehensive services that go beyond our core business of collecting and disposing of waste.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Our operating revenues normally tend to be somewhat higher in the summer months, primarily due to the traditional seasonal increase in the volume of construction and demolition waste. Historically, the volumes of industrial and residential waste in certain regions in which we operate have tended to increase during the summer months. Our second and third quarter revenues and results of operations typically reflect these seasonal trends.</w:t>
      </w:r>
    </w:p>
    <w:p>
      <w:pPr>
        <w:spacing w:after="0" w:line="2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Additionally, certain destructive weather conditions that tend to occur during the second half of the year, such as the hurricanes that most often impact our Southern Group, can actually increase our revenues in the areas affected. While weather-related and other “one-time” occurrences can boost revenues through additional work,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At December 31, 2011, we had approximately 44,300 full-time employees, of which approximately 8,300 were employed in administrative and sales positions and the balance in operations. Approximately 9,200 of our employees are covered by collective bargaining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Assurance and Insurance Obligations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Assurance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Municipal and governmental waste service contracts generally require contracting parties to demonstrate financial responsibility for their obligations under the contract. Financial assurance is also a requirement for obtaining or retaining disposal site or transfer station operating permits. Various forms of financial assurance are also required to support variable-rate tax-exempt debt and by regulatory agencies for estimated final capping, closure, post-closure and environmental remedial obligations at many of our landfills.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 The following table summarizes the various forms and dollar amounts (in millions) of financial assurance that we had outstanding as of December 31, 2011: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Surety bonds: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tcPr>
          <w:p>
            <w:pPr>
              <w:ind w:left="220"/>
              <w:spacing w:after="0"/>
              <w:rPr>
                <w:sz w:val="20"/>
                <w:szCs w:val="20"/>
                <w:color w:val="auto"/>
              </w:rPr>
            </w:pPr>
            <w:r>
              <w:rPr>
                <w:rFonts w:ascii="Arial" w:cs="Arial" w:eastAsia="Arial" w:hAnsi="Arial"/>
                <w:sz w:val="18"/>
                <w:szCs w:val="18"/>
                <w:color w:val="auto"/>
              </w:rPr>
              <w:t>Issued by consolidated subsidiary(a)</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215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Issued by affiliated entity(b)</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1,003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6000" w:type="dxa"/>
            <w:vAlign w:val="bottom"/>
            <w:gridSpan w:val="2"/>
          </w:tcPr>
          <w:p>
            <w:pPr>
              <w:ind w:left="220"/>
              <w:spacing w:after="0"/>
              <w:rPr>
                <w:sz w:val="20"/>
                <w:szCs w:val="20"/>
                <w:color w:val="auto"/>
              </w:rPr>
            </w:pPr>
            <w:r>
              <w:rPr>
                <w:rFonts w:ascii="Arial" w:cs="Arial" w:eastAsia="Arial" w:hAnsi="Arial"/>
                <w:sz w:val="18"/>
                <w:szCs w:val="18"/>
                <w:color w:val="auto"/>
              </w:rPr>
              <w:t>Issued by third-party surety companies</w:t>
            </w:r>
          </w:p>
        </w:tc>
        <w:tc>
          <w:tcPr>
            <w:tcW w:w="2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1,734</w:t>
            </w: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surety bonds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Letters of credit:</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Revolving credit facility(c)</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1,012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tcPr>
          <w:p>
            <w:pPr>
              <w:ind w:left="220"/>
              <w:spacing w:after="0"/>
              <w:rPr>
                <w:sz w:val="20"/>
                <w:szCs w:val="20"/>
                <w:color w:val="auto"/>
              </w:rPr>
            </w:pPr>
            <w:r>
              <w:rPr>
                <w:rFonts w:ascii="Arial" w:cs="Arial" w:eastAsia="Arial" w:hAnsi="Arial"/>
                <w:sz w:val="18"/>
                <w:szCs w:val="18"/>
                <w:color w:val="auto"/>
              </w:rPr>
              <w:t>Letter of credit facilities(d)</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502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lines of credit</w:t>
            </w:r>
          </w:p>
        </w:tc>
        <w:tc>
          <w:tcPr>
            <w:tcW w:w="2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6460" w:type="dxa"/>
            <w:vAlign w:val="bottom"/>
            <w:gridSpan w:val="3"/>
          </w:tcPr>
          <w:p>
            <w:pPr>
              <w:ind w:left="460"/>
              <w:spacing w:after="0"/>
              <w:rPr>
                <w:sz w:val="20"/>
                <w:szCs w:val="20"/>
                <w:color w:val="auto"/>
              </w:rPr>
            </w:pPr>
            <w:r>
              <w:rPr>
                <w:rFonts w:ascii="Arial" w:cs="Arial" w:eastAsia="Arial" w:hAnsi="Arial"/>
                <w:sz w:val="18"/>
                <w:szCs w:val="18"/>
                <w:color w:val="auto"/>
              </w:rPr>
              <w:t>Total letters of credit</w:t>
            </w:r>
          </w:p>
        </w:tc>
        <w:tc>
          <w:tcPr>
            <w:tcW w:w="2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19"/>
                <w:szCs w:val="19"/>
                <w:color w:val="auto"/>
              </w:rPr>
            </w:pPr>
          </w:p>
        </w:tc>
      </w:tr>
      <w:tr>
        <w:trPr>
          <w:trHeight w:val="218"/>
        </w:trPr>
        <w:tc>
          <w:tcPr>
            <w:tcW w:w="4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policies: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tcPr>
          <w:p>
            <w:pPr>
              <w:ind w:left="220"/>
              <w:spacing w:after="0"/>
              <w:rPr>
                <w:sz w:val="20"/>
                <w:szCs w:val="20"/>
                <w:color w:val="auto"/>
              </w:rPr>
            </w:pPr>
            <w:r>
              <w:rPr>
                <w:rFonts w:ascii="Arial" w:cs="Arial" w:eastAsia="Arial" w:hAnsi="Arial"/>
                <w:sz w:val="18"/>
                <w:szCs w:val="18"/>
                <w:color w:val="auto"/>
              </w:rPr>
              <w:t>Issued by consolidated subsidiary(a)</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1,057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Issued by affiliated entity(b)</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6000" w:type="dxa"/>
            <w:vAlign w:val="bottom"/>
            <w:gridSpan w:val="2"/>
          </w:tcPr>
          <w:p>
            <w:pPr>
              <w:ind w:left="220"/>
              <w:spacing w:after="0"/>
              <w:rPr>
                <w:sz w:val="20"/>
                <w:szCs w:val="20"/>
                <w:color w:val="auto"/>
              </w:rPr>
            </w:pPr>
            <w:r>
              <w:rPr>
                <w:rFonts w:ascii="Arial" w:cs="Arial" w:eastAsia="Arial" w:hAnsi="Arial"/>
                <w:sz w:val="18"/>
                <w:szCs w:val="18"/>
                <w:color w:val="auto"/>
              </w:rPr>
              <w:t>Issued by third-party insurance companies</w:t>
            </w:r>
          </w:p>
        </w:tc>
        <w:tc>
          <w:tcPr>
            <w:tcW w:w="2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insurance policies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Funded trust and escrow accounts(e)</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guarantees(f)</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r>
      <w:tr>
        <w:trPr>
          <w:trHeight w:val="222"/>
        </w:trPr>
        <w:tc>
          <w:tcPr>
            <w:tcW w:w="6460" w:type="dxa"/>
            <w:vAlign w:val="bottom"/>
            <w:gridSpan w:val="3"/>
          </w:tcPr>
          <w:p>
            <w:pPr>
              <w:ind w:left="460"/>
              <w:spacing w:after="0"/>
              <w:rPr>
                <w:sz w:val="20"/>
                <w:szCs w:val="20"/>
                <w:color w:val="auto"/>
              </w:rPr>
            </w:pPr>
            <w:r>
              <w:rPr>
                <w:rFonts w:ascii="Arial" w:cs="Arial" w:eastAsia="Arial" w:hAnsi="Arial"/>
                <w:sz w:val="18"/>
                <w:szCs w:val="18"/>
                <w:color w:val="auto"/>
              </w:rPr>
              <w:t>Total financial assurance(g)</w:t>
            </w:r>
          </w:p>
        </w:tc>
        <w:tc>
          <w:tcPr>
            <w:tcW w:w="2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6,369</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73" w:lineRule="exact"/>
        <w:rPr>
          <w:sz w:val="20"/>
          <w:szCs w:val="20"/>
          <w:color w:val="auto"/>
        </w:rPr>
      </w:pPr>
    </w:p>
    <w:p>
      <w:pPr>
        <w:ind w:left="460" w:right="2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use surety bonds and insurance policies issued by a wholly-owned insurance subsidiary, National Guaranty Insurance Company of Vermont, the sole business of which is to issue financial assurance to WM and its subsidiaries. National Guaranty Insurance Company is authorized to write up to approximately $1.5 billion in surety bonds or insurance policies for our final capping, closure and post-closure requirements, waste collection contracts and other business-related obligations.</w:t>
      </w:r>
    </w:p>
    <w:p>
      <w:pPr>
        <w:spacing w:after="0" w:line="35"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hold a noncontrolling interest in an entity that we use to obtain financial assurance. Our contractual agreement with this entity does not specifically limit the amounts of surety bonds or insurance that we may obtain, making our financial assurance under this agreement limited only by the guidelines and restrictions of surety and insurance regulations.</w:t>
      </w:r>
    </w:p>
    <w:p>
      <w:pPr>
        <w:spacing w:after="0" w:line="32"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WM has a $2.0 billion revolving credit facility with a term ending May 2016. At December 31, 2011, we had $150 million of outstanding borrowings and $1,012 million of letters of credit issued and supported by the facility. The unused and available credit capacity of the facility was $838 million as of December 31, 2011.</w:t>
      </w:r>
    </w:p>
    <w:p>
      <w:pPr>
        <w:spacing w:after="0" w:line="32" w:lineRule="exact"/>
        <w:rPr>
          <w:rFonts w:ascii="Arial" w:cs="Arial" w:eastAsia="Arial" w:hAnsi="Arial"/>
          <w:sz w:val="18"/>
          <w:szCs w:val="18"/>
          <w:color w:val="auto"/>
        </w:rPr>
      </w:pPr>
    </w:p>
    <w:p>
      <w:pPr>
        <w:ind w:left="460" w:right="360" w:hanging="452"/>
        <w:spacing w:after="0" w:line="338"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have an aggregate committed capacity of $505 million under letter of credit facilities with terms ending from June 2013 to June 2015. As of December 31, 2011, no borrowings were outstanding under these letter of credit facilities and we had $3 million of unused or available credit capacity.</w:t>
      </w:r>
    </w:p>
    <w:p>
      <w:pPr>
        <w:ind w:left="46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funded trust and escrow accounts generally have been established to support landfill final capping, closure, post-closure and environmental remediation obligations and our performance under various operating contracts. Balances maintained in these trust funds and escrow accounts will fluctuate based on (i) changes in statutory requirements; (ii) future deposits made to comply with contractual arrangements; (iii) the ongoing use of funds for qualifying activities; (iv) acquisitions or divestitures of landfills; and (v) changes in the fair value of the financial instruments held in the trust fund or escrow accounts. The assets held in our funded trust and escrow accounts may be drawn and used to meet the obligations for which the trusts and escrows were established.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4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WM provides financial guarantees on behalf of its subsidiaries to municipalities, customers and regulatory authorities. They are provided primarily to support our performance of landfill final capping, closure and post-closure activities.</w:t>
      </w:r>
    </w:p>
    <w:p>
      <w:pPr>
        <w:spacing w:after="0" w:line="23" w:lineRule="exact"/>
        <w:rPr>
          <w:rFonts w:ascii="Arial" w:cs="Arial" w:eastAsia="Arial" w:hAnsi="Arial"/>
          <w:sz w:val="18"/>
          <w:szCs w:val="18"/>
          <w:color w:val="auto"/>
        </w:rPr>
      </w:pPr>
    </w:p>
    <w:p>
      <w:pPr>
        <w:ind w:left="460" w:right="6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financial assurance required can, and generally will, differ from the obligation determined and recorded under accounting principles generally accepted in the U.S.</w:t>
      </w:r>
    </w:p>
    <w:p>
      <w:pPr>
        <w:spacing w:after="0" w:line="51"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Virtually no claims have been made against our financial assurance instruments in the past, and considering our current financial position, management does not expect there to be claims against these instruments that will have a material adverse effect on our Consolidated Financial Statements.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carry a broad range of insurance coverages, including general liability, automobile liability, 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As of December 31, 2011, our general liability insurance program carried self-insurance exposures of up to $2.5 million per incident and our workers’ compensation insurance program carried self-insurance exposures of up to $5 million per incident. As of December 31, 2011, our auto liability insurance program included a per incident base deductible of $5 million, subject to additional deductibles of $4.8 million in the $5 million to $10 million layer. We do not expect the impact of any known casualty, property, environmental or other contingency to have a material impact on our financial condition, results of operations or cash flows. Our estimated insurance liabilities as of December 31, 2011 are summarized in Note 11 to the Consolidated Financial Statements.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Directors’ and Officers’ Liability Insurance policy we choose to maintain covers only individual executive liability, often referred to as “Broad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Form Side A,” and does not provide corporate reimbursement coverage, often referred to as “Side B.” The Side A policy covers directors and officers directly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including defense costs, when corporate indemnification is unavailable. Side A-only coverage cannot be exhausted by payments to the Company, 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is not insured for any money it advances for defense costs or pays as indemnity to the insured directors and officers.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business is subject to extensive and evolving federal, state or provincial and local environmental, health, safety and transportation laws and regulations. These laws and regulations are administered by the U.S. EPA, Environment Canada, and various other federal, state and local environmental, zoning, transportation, land use, health and safety agencies in the United States and Canada. Many of these agencies regularly examine our operations to monitor compliance with these laws and regulations and have the power to enforce compliance, obtain injunctions or impose civil or criminal penalties in case of violations. In recent years, we have perceived an increase in both the amount of government regulation and the number of enforcement actions being brought by regulatory entities against operations in the waste services industry. We expect this heightened governmental focus on regulation and enforcement to continue.</w:t>
      </w:r>
    </w:p>
    <w:p>
      <w:pPr>
        <w:spacing w:after="0" w:line="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Because the major component of our business is the collection and disposal of solid waste in an environmentally sound manner, a significant amount of our capital expenditures are related, either directly or indirectly, to environmental protection measures, including compliance with federal, state or provincial and local provisions that regulate the placement of materials into the environment. There are costs associated with siting, design, operations, monitoring, site maintenance, corrective actions, financial assurance, and facility closure and post-closure obligations. In connection with our acquisition, development or expansion of a disposal facility or transfer station, we must often spend considerable time, effort and money to obtain or maintain required permits and approvals. There cannot be any assurances that we will be able to obtain or maintain required governmental approvals. Once obtained, operating permits are subject to renewal, modification, suspension or revocation by the issuing agency. Compliance with these and any future regulatory requirements could require us to make significant capital and operating expenditures. However, most of these expenditures are made in the normal course of business and do not place us at any competitive disadvantage.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United States federal statutes affecting our business are summarized below:</w:t>
      </w:r>
    </w:p>
    <w:p>
      <w:pPr>
        <w:spacing w:after="0" w:line="90" w:lineRule="exact"/>
        <w:rPr>
          <w:sz w:val="20"/>
          <w:szCs w:val="20"/>
          <w:color w:val="auto"/>
        </w:rPr>
      </w:pPr>
    </w:p>
    <w:p>
      <w:pPr>
        <w:ind w:left="700" w:hanging="246"/>
        <w:spacing w:after="0" w:line="255"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Resource Conservation and Recovery Act of 1976, as amended, regulates handling, transporting and disposing of hazardous and non-hazardous waste and delegates authority to states to develop programs to ensure the safe disposal of solid waste. In 1991, the EPA issued its final regulations under Subtitle D of RCRA, which set forth minimum federal performance and design criteria for solid waste landfills. These regulations are typically implemented by the states, although states can impose requirements that are more stringent than the Subtitle D standards. We incur costs in complying with these standards in the ordinary course of our operations.</w:t>
      </w:r>
    </w:p>
    <w:p>
      <w:pPr>
        <w:spacing w:after="0" w:line="61" w:lineRule="exact"/>
        <w:rPr>
          <w:rFonts w:ascii="Arial" w:cs="Arial" w:eastAsia="Arial" w:hAnsi="Arial"/>
          <w:sz w:val="18"/>
          <w:szCs w:val="18"/>
          <w:color w:val="auto"/>
        </w:rPr>
      </w:pPr>
    </w:p>
    <w:p>
      <w:pPr>
        <w:ind w:left="700" w:right="20" w:hanging="246"/>
        <w:spacing w:after="0" w:line="286"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Comprehensive Environmental Response, Compensation and Liability Act of 1980, as amended,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disposal of hazardous substances; it can be based upon the release or threatened release, even as a result of lawful, unintentional and non-negligent action, of hazardous substances as the term is defined by CERCLA and other applicable statutes and regulations.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 include obligations to a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46" w:lineRule="exact"/>
        <w:rPr>
          <w:rFonts w:ascii="Arial" w:cs="Arial" w:eastAsia="Arial" w:hAnsi="Arial"/>
          <w:sz w:val="16"/>
          <w:szCs w:val="16"/>
          <w:color w:val="auto"/>
        </w:rPr>
      </w:pPr>
    </w:p>
    <w:p>
      <w:pPr>
        <w:ind w:left="700" w:hanging="246"/>
        <w:spacing w:after="0" w:line="289"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Federal Water Pollution Control Act of 1972, known as the Clean Water Act, regulates the discharge of pollutants into streams, rivers, groundwater, or other surface waters from a variety of sources, including solid and hazardous waste disposal sites. If run-off from our operations may be discharged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that require landfills and other waste-handling facilities to obtain storm water discharge permits. In addition, if a landfill or other facility discharges wastewater through a sewage system to a publicly-owned treatment works, the facility must comply with discharge limits imposed by the treatment works. Also, before the development or expansion of a landfill can alter or affect “wetlands,” a permit may have to be obtained providing for mitigation or replacement wetlands. The Clean Water Act provides for civil, criminal and administrative penalties for violations of its provisions.</w:t>
      </w:r>
    </w:p>
    <w:p>
      <w:pPr>
        <w:spacing w:after="0" w:line="37" w:lineRule="exact"/>
        <w:rPr>
          <w:rFonts w:ascii="Arial" w:cs="Arial" w:eastAsia="Arial" w:hAnsi="Arial"/>
          <w:sz w:val="16"/>
          <w:szCs w:val="16"/>
          <w:color w:val="auto"/>
        </w:rPr>
      </w:pPr>
    </w:p>
    <w:p>
      <w:pPr>
        <w:ind w:left="700" w:right="40" w:hanging="246"/>
        <w:spacing w:after="0" w:line="289"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Clean Air Act of 1970, as amended, provides for increased federal, state and local regulation of the emission of air pollutants. Certain of our operations are subject to the requirements of the Clean Air Act, including large municipal solid waste landfills and large municipal waste-to-energy facilities. Standards have also been imposed on manufacturers of transportation vehicles (including waste collection vehicles). In 1996 the EPA issued new source performance standards and emission guidelines controlling landfill gases from new and existing large landfills. In January 2003, the EPA issued Maximum Achievable Control Technology standards for municipal solid waste landfills subject to the new source performance standards. These regulations impose limits on air emissions from large municipal solid waste landfills, subject most of our large municipal solid waste landfills to certain operating permit requirements under Title V of the Clean Air Act and, in many instances, require installation of landfill gas collection and control systems to control emissions or to treat and utilize landfill gas on- or off-site.</w:t>
      </w:r>
    </w:p>
    <w:p>
      <w:pPr>
        <w:spacing w:after="0" w:line="37" w:lineRule="exact"/>
        <w:rPr>
          <w:rFonts w:ascii="Arial" w:cs="Arial" w:eastAsia="Arial" w:hAnsi="Arial"/>
          <w:sz w:val="16"/>
          <w:szCs w:val="16"/>
          <w:color w:val="auto"/>
        </w:rPr>
      </w:pPr>
    </w:p>
    <w:p>
      <w:pPr>
        <w:ind w:left="700" w:right="100"/>
        <w:spacing w:after="0" w:line="256" w:lineRule="auto"/>
        <w:rPr>
          <w:rFonts w:ascii="Arial" w:cs="Arial" w:eastAsia="Arial" w:hAnsi="Arial"/>
          <w:sz w:val="16"/>
          <w:szCs w:val="16"/>
          <w:color w:val="auto"/>
        </w:rPr>
      </w:pPr>
      <w:r>
        <w:rPr>
          <w:rFonts w:ascii="Arial" w:cs="Arial" w:eastAsia="Arial" w:hAnsi="Arial"/>
          <w:sz w:val="18"/>
          <w:szCs w:val="18"/>
          <w:color w:val="auto"/>
        </w:rPr>
        <w:t>The EPA has issued new source performance standards and emission guidelines for large and small municipal waste-to-energy facilities, which include stringent emission limits for various pollutants based on Maximum Achievable Control Technology standards. These sources are also subject to operating permit requirements under Title V of the Clean Air Act. The Clean Air Act requires the EPA to review and revise the MACT standards applicable to municipal waste-to-energy facilities every five years.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46"/>
        <w:spacing w:after="0" w:line="290"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Occupational Safety and Health Act of 1970,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actively monitoring the following recent developments in United States federal statutes affecting our business:</w:t>
      </w:r>
    </w:p>
    <w:p>
      <w:pPr>
        <w:spacing w:after="0" w:line="90" w:lineRule="exact"/>
        <w:rPr>
          <w:sz w:val="20"/>
          <w:szCs w:val="20"/>
          <w:color w:val="auto"/>
        </w:rPr>
      </w:pPr>
    </w:p>
    <w:p>
      <w:pPr>
        <w:ind w:left="700" w:hanging="246"/>
        <w:spacing w:after="0" w:line="286"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2010, the EPA issued the Prevention of Significant Deterioration, or PSD, and Title V Greenhouse Gas, or GHG, Tailoring Rule which expanded the EPA’s federal air permitting authority to include the six GHGs, including methane and carbon dioxide. Air permits for new and modified large municipal solid waste landfills, waste-to-energy facilities and landfill gas-to-energy facilities could be impacted, but the degree of impact is incumbent upon the EPA’s final determination on permitting of biogenic GHG emissions (e.g. carbon dioxide) as well as the EPA’s or implementing states’ determinations on what may constitute “Best Available Control Technology” for new projects exceeding certain thresholds. In addition, recent final and proposed reductions in certain National Ambient Air Quality Standards and related PSD increment/significance thresholds could impact the cost, timeliness and availability of air permits for new and modified large municipal solid waste landfills, waste-to-energy facilities and landfill gas-to-energy facilities. In general, controlling emissions involves drilling collection wells into a landfill and routing the gas to a suitable energy recovery system or combustion device. The landfill gas at 131 of our solid waste landfills is currently being captured and utilized for its renewable energy value. Efforts to curtail the emission of greenhouse gases and to ameliorate the effect of climate change may require our landfills to deploy more stringent emission controls, with resulting capital or operating costs; however, we do not believe that such regulations will have a material adverse impact on our business as a whole. See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 “The adoption of climate change legislation or regulations restricting emissions of “greenhouse gases” could increase our costs to operate.”</w:t>
      </w:r>
    </w:p>
    <w:p>
      <w:pPr>
        <w:spacing w:after="0" w:line="39" w:lineRule="exact"/>
        <w:rPr>
          <w:rFonts w:ascii="Arial" w:cs="Arial" w:eastAsia="Arial" w:hAnsi="Arial"/>
          <w:sz w:val="16"/>
          <w:szCs w:val="16"/>
          <w:color w:val="auto"/>
        </w:rPr>
      </w:pPr>
    </w:p>
    <w:p>
      <w:pPr>
        <w:ind w:left="700" w:hanging="246"/>
        <w:spacing w:after="0" w:line="288"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2011, the EPA published the Non-Hazardous Secondary Materials, or NHSM, Rule, which provides the standards and procedures for identifying whether NHSM are solid waste under RCRA when used as fuels or ingredients in combustion units. The EPA also published new source performance standards and emission guidelines for commercial and industrial solid waste incineration units, and Maximum Achievable Control Technology Standards for commercial and industrial boilers. The EPA has published clarifications and is currently considering amendments to these rules. In addition, there is litigation surrounding the rules and there is proposed legislation seeking to delay implementation and revise the requirements. Some of the potential regulatory outcomes could have a significant impact on some of our projects in which we are seeking to convert biomass or other secondary materials into products, fuels or energy, as well as some of our landfill gas to energy and biomass to energy projects. It is not possible to quantify the financial impact of these rulemakings, which are being reconsidered at this time. However, we do not believe the rules will have a material adverse impact on our business as a whole.</w:t>
      </w:r>
    </w:p>
    <w:p>
      <w:pPr>
        <w:spacing w:after="0" w:line="3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There are also various state or provincial and local regulations that affect our operations. Each state and province in which we operate has its own laws and regulations governing solid waste disposal, water and air pollution, and, in most cases, releases and cleanup of hazardous substances and liabilities for such matters. States and provinces have also adopted regulations governing the design, operation, maintenance and closure of landfills and transfer stations. Some counties, municipalities and other local governments have adopted similar laws and regulations. Our facilities and operations are likely to be subject to these types of requirements.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our landfill and waste-to-energy operations are affected by the increasing preference for alternatives to landfill and waste-to-energy disposal. Several state and local governments mandate recycling and waste reduction at the source and prohibit the disposal of certain types of waste, such as yard and food waste, 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landfills or waste-to-energy facilities. Legislative and regulatory measures to mandate or encourage waste reduction at the source and waste recycling also have been or are under consideration by the U.S. Congress and the EPA.</w:t>
      </w:r>
    </w:p>
    <w:p>
      <w:pPr>
        <w:spacing w:after="0" w:line="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Additionally, several state and local governments have enacted “flow control” regulations, which attempt to require that all waste generated within the state or local jurisdiction be deposited at specific sites. In 1994, the United States Supreme Court ruled that a flow control ordinance that gave preference to a local facility that was privately owned was unconstitutional, but in 2007, the Court ruled that an ordinance directing waste to a facility owned by the local government was constitutional. In addition, from time to time, the United States Congress has considered legislation authorizing states to adopt regulations, restrictions, or taxes on the importation of out-of-state or out-of-jurisdiction waste. The United States Congress’ adoption of legislation allowing restrictions on interstate transportation of out-of-state or out-of-jurisdiction waste or certain types of flow control or the adoption of legislation affecting interstate transportation of waste at the state level could adversely affect our operations. Courts’ interpretation of flow control legislation or the Supreme Court decisions also could adversely affect our solid and hazardous waste management services.</w:t>
      </w:r>
    </w:p>
    <w:p>
      <w:pPr>
        <w:spacing w:after="0" w:line="4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Many states, provinces and local jurisdictions have enacted “fitness” laws that allow the agencies that have jurisdiction over waste services contracts or permits to deny or revoke these contracts or permits based on the applicant’s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3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See Note 11 to the Consolidated Financial Statements for disclosures relating to our current assessments of the impact of regulations on our current and future operations.</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similar nature and generally include statements containing:</w:t>
      </w:r>
    </w:p>
    <w:p>
      <w:pPr>
        <w:spacing w:after="0" w:line="62" w:lineRule="exact"/>
        <w:rPr>
          <w:sz w:val="20"/>
          <w:szCs w:val="20"/>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Consolidated Financial Statements and the notes thereto. Outlined below are some of the risks that we believe could affect our business and financial statements for 2012 and beyond and that could cause actual results to be materially different from those that may be set forth in forward-looking statements made by the Company.</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encounter intense competition from governmental, quasi-governmental and private sources in all aspects of our operations. In North America, the industry consists primarily of two national waste management companies, regional companies and local companies of varying sizes and financial resources, including companies that specialize in certain discrete areas of waste management, operators of alternative disposal facilities and companies that seek to use parts of the waste stream as feedstock for renewable energy and other by products.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competitors may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fail to implement our business strategy, our financial performance and our growth could be materially and adversely affected.</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We have adopted a business strategy built on three key initiatives: know more about our customers and how to service them than anyone else; use conversion and processing technology to extract more value from the materials we manage; and continuously improve our operational efficiency. In the short-term, we intend to pursue these initiatives through efforts to:</w:t>
      </w:r>
    </w:p>
    <w:p>
      <w:pPr>
        <w:spacing w:after="0" w:line="62" w:lineRule="exact"/>
        <w:rPr>
          <w:sz w:val="20"/>
          <w:szCs w:val="20"/>
          <w:color w:val="auto"/>
        </w:rPr>
      </w:pPr>
    </w:p>
    <w:p>
      <w:pPr>
        <w:ind w:left="700" w:hanging="246"/>
        <w:spacing w:after="0" w:line="268"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 our markets by implementing customer-focused growth, through customer segmentation and through strategic acquisitions, while maintaining our pricing discipline and increasing the amount of recyclable materials we manage each year;</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 our customer loyalty;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 into new markets by investing in greener technologies;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Pursue initiatives that improve our operations and cost structure.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risks involved in pursuing our strategy, including the following:</w:t>
      </w:r>
    </w:p>
    <w:p>
      <w:pPr>
        <w:spacing w:after="0" w:line="90" w:lineRule="exact"/>
        <w:rPr>
          <w:sz w:val="20"/>
          <w:szCs w:val="20"/>
          <w:color w:val="auto"/>
        </w:rPr>
      </w:pPr>
    </w:p>
    <w:p>
      <w:pPr>
        <w:ind w:left="700" w:hanging="246"/>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strategy may result in a significant change to our business, and our employees, customers or investors may not embrace and support our strategy.</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hire or retain the personnel necessary to manage our strategy effectively.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Customer segmentation is new to our business, and it could result in fragmentation of our efforts, rather than improved customer relationships.</w:t>
      </w:r>
    </w:p>
    <w:p>
      <w:pPr>
        <w:spacing w:after="0" w:line="113" w:lineRule="exact"/>
        <w:rPr>
          <w:rFonts w:ascii="Arial" w:cs="Arial" w:eastAsia="Arial" w:hAnsi="Arial"/>
          <w:sz w:val="16"/>
          <w:szCs w:val="16"/>
          <w:color w:val="auto"/>
        </w:rPr>
      </w:pPr>
    </w:p>
    <w:p>
      <w:pPr>
        <w:ind w:left="700" w:right="80" w:hanging="246"/>
        <w:spacing w:after="0" w:line="332"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efforts to enhance our revenues, we have implemented price increases and environmental fees, and we have continued our fuel surcharge program to offset fuel costs. The loss of volumes as a result of price increases may negatively affect our cash flows or results of operations.</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unsuccessful in implementing improvements to operational efficiency and such efforts may not yield the intended result.</w:t>
      </w:r>
    </w:p>
    <w:p>
      <w:pPr>
        <w:spacing w:after="0" w:line="90" w:lineRule="exact"/>
        <w:rPr>
          <w:rFonts w:ascii="Arial" w:cs="Arial" w:eastAsia="Arial" w:hAnsi="Arial"/>
          <w:sz w:val="18"/>
          <w:szCs w:val="18"/>
          <w:color w:val="auto"/>
        </w:rPr>
      </w:pPr>
    </w:p>
    <w:p>
      <w:pPr>
        <w:jc w:val="both"/>
        <w:ind w:left="700" w:right="480" w:hanging="246"/>
        <w:spacing w:after="0" w:line="259"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make strategic acquisitions and invest in greener technologies depends on our ability to identify desirable acquisition or investment targets, negotiate advantageous transactions despite competition for such opportunities, fund such acquisitions on favorable terms, and realize the benefits we expect from those transactions.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20" w:hanging="246"/>
        <w:spacing w:after="0" w:line="332"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Acquisitions, investments and/or new service offerings may not increase our earnings in the timeframe anticipated, or at all, due to difficulties operating in new markets or providing new service offerings, failure to operate within budget, integration issues, or regulatory issues, among others.</w:t>
      </w:r>
    </w:p>
    <w:p>
      <w:pPr>
        <w:spacing w:after="0" w:line="4" w:lineRule="exact"/>
        <w:rPr>
          <w:rFonts w:ascii="Arial" w:cs="Arial" w:eastAsia="Arial" w:hAnsi="Arial"/>
          <w:sz w:val="16"/>
          <w:szCs w:val="16"/>
          <w:color w:val="auto"/>
        </w:rPr>
      </w:pPr>
    </w:p>
    <w:p>
      <w:pPr>
        <w:ind w:left="700" w:right="560" w:hanging="246"/>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Integration of acquisitions, investments and/or new services offerings could increase our exposure to the risk of inadvertent noncompliance with applicable laws and regulations.</w:t>
      </w:r>
    </w:p>
    <w:p>
      <w:pPr>
        <w:spacing w:after="0" w:line="50" w:lineRule="exact"/>
        <w:rPr>
          <w:rFonts w:ascii="Arial" w:cs="Arial" w:eastAsia="Arial" w:hAnsi="Arial"/>
          <w:sz w:val="18"/>
          <w:szCs w:val="18"/>
          <w:color w:val="auto"/>
        </w:rPr>
      </w:pPr>
    </w:p>
    <w:p>
      <w:pPr>
        <w:ind w:left="700" w:right="280" w:hanging="246"/>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Execution of our strategy may cause us to incur substantial research and development costs and/or additional indebtedness, which may divert capital away from our traditional business operations.</w:t>
      </w:r>
    </w:p>
    <w:p>
      <w:pPr>
        <w:spacing w:after="0" w:line="50" w:lineRule="exact"/>
        <w:rPr>
          <w:rFonts w:ascii="Arial" w:cs="Arial" w:eastAsia="Arial" w:hAnsi="Arial"/>
          <w:sz w:val="18"/>
          <w:szCs w:val="18"/>
          <w:color w:val="auto"/>
        </w:rPr>
      </w:pPr>
    </w:p>
    <w:p>
      <w:pPr>
        <w:ind w:left="700" w:right="240" w:hanging="246"/>
        <w:spacing w:after="0" w:line="259"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risks set forth above, implementation of our business strategy could also be affected by a number of factors beyond our control, such as increased competition, legal developments, government regulation, general economic conditions, increased operating costs or expenses and changes in industry trends. Further, we may decide to alter or discontinue certain aspects of our business strategy at any time. If we are not able to implement our business strategy successfully, our long-term growth and profitability may be adversely affected. Even if we are able to implement some or all of the initiatives of our business plan successfully, our operating results may not improve to the extent we anticipate, or at all.</w:t>
      </w:r>
    </w:p>
    <w:p>
      <w:pPr>
        <w:spacing w:after="0" w:line="116"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The waste industry is subject to extensive government regulation; existing or future regulations and/or enforcement actions may restrict our operations, increase our costs of operations or require us to make additional capital expenditures.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Stringent government regulations at the federal, state, provincial, and local level in the United States and Canada have a substantial impact on our business, and compliance with such regulations is costly. A large number of complex laws, rules, orders and interpretations govern environmental protection, health, safety, land use, zoning, transportation and related matters. In recent years, we have perceived an increase in both the amount of government regulation and the number of enforcement actions being brought by regulatory entities against operations, in the waste services industry. We expect this heightened governmental focus on regulation and enforcement to continue. Among other things, governmental regulations and enforcement actions may restrict our operations and adversely affect our financial condition, results of operations and cash flows by imposing conditions such as:</w:t>
      </w:r>
    </w:p>
    <w:p>
      <w:pPr>
        <w:spacing w:after="0" w:line="39" w:lineRule="exact"/>
        <w:rPr>
          <w:sz w:val="20"/>
          <w:szCs w:val="20"/>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siting and constructing new waste disposal, transfer or processing facilities or on expanding existing facilities;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mandates regarding the disposal of solid waste, including requirements to recycle rather than landfill certain waste streams.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5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59"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also have significant financial obligations relating to final capping, closure, post-closure and environmental remediation at our existing landfills. We establish accruals for these estimated costs, but we could underestimate such accruals. Environmental regulatory changes could accelerate or increase capping, closure, post-closure and remediation costs, requiring our expenditures to materially exceed our current accruals.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Various states have enacted, or are considering enacting, laws that restrict the disposal within the state of solid waste generated outside the state. Additionally, several state and local governments have enacted “flow control” regulations, which attempt to require that all waste generated within the state or local jurisdiction be deposited at specific sites. The United States Congress’ adoption of legislation allowing restrictions on interstate transportation of out-of-state or out-of-jurisdiction waste or certain types of flow control or the adoption of legislation affecting interstate transportation of waste at the state level could adversely affect our operations. Courts’ interpretation of flow control legislation or the Supreme Court decisions also could adversely affect our solid and hazardous waste management services.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revenues will fluctuate based on changes in commodity prices.</w:t>
      </w:r>
    </w:p>
    <w:p>
      <w:pPr>
        <w:spacing w:after="0" w:line="90"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Our recycling operations process for sale certain recyclable materials, including fibers, aluminum and glass, all of which are subject to significant market price fluctuations. The majority of the recyclables that we process for sale are paper fibers, including old corrugated cardboard and old newsprint. The fluctuations in the market prices or demand for these commodities, particularly demand from Chinese paper mills, can affect our operating income and cash flows negatively, as we experienced in 2009, or positively, as we experienced in 2010 and 2011. As we have increased the size of our recycling operations, we have also increased our exposure to commodity price fluctuations. The decline in market prices in 2009 for commodities resulted in a year-over-year decrease in revenue of $447 million compared with 2008. Increases in the prices of recycling commodities resulted in year-over-year increases in revenue of $423 million and $216 million in 2010 and 2011, respectively. Market prices for recyclable commodities have increased significantly from the near-historic lows experienced in late</w:t>
      </w:r>
    </w:p>
    <w:p>
      <w:pPr>
        <w:spacing w:after="0" w:line="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2008 and early 2009. Overall commodity prices have increased year-over-year approximately 57% and 18% in 2010 and 2011, respectively. Despite the recent positive trend in commodity prices, these prices may fluctuate substantially and without notice in the future. Additionally, our recycling operations offer rebates to suppliers. Therefore, even if we experience higher revenues based on increased market prices for commodities, the rebates we pay will also increase. In other circumstances, the rebates may be subject to a floor, such that as market prices decrease, any expected profit margins on materials subject to the rebate floor are eliminated.</w:t>
      </w:r>
    </w:p>
    <w:p>
      <w:pPr>
        <w:spacing w:after="0" w:line="64"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There are also significant price fluctuations in the price of methane gas, electricity and other energy-related products that are marketed and sold by our landfill gas recovery, waste-to-energy and independent power production plant operations that can significantly impact our revenue from yield provided by such businesses. In most of the markets in which we operate, electricity prices correlate with natural gas prices. During the years ended December 31, 2011, 2010 and 2009, approximately 54%, 47% and 46%, respectively, of the electricity revenue at our waste-to-energy facilities was subject to current market rates. Our waste-to-energy facilities’ exposure to market price volatility will continue to increase as additional long-term contracts expire. We cannot assure you that we will be able to enter into renewal contracts on comparable or favorable terms, or at all. To mitigate a portion of the variability in our revenues and cash flows caused by fluctuations in the market prices for electricity, we use “receive fixed, pay variable” electricity swaps. These swaps are generally short-term in nature. Additionally, revenues from our independent power production plants can be affected by price fluctuations. If we are unable to successfully negotiate long-term contracts, or if market prices are at lower levels for sustained periods, our revenues could be adversely affected.</w:t>
      </w:r>
    </w:p>
    <w:p>
      <w:pPr>
        <w:spacing w:after="0" w:line="120"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Increasing customer preference for alternatives to landfill disposal and waste-to-energy facilities could reduce our ability to operate at full capacity and cause our revenues and operating results to decline.</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customers are increasingly diverting waste to alternatives to landfill and waste-to-energy disposal, such as recycling and composting, while also working to reduce the amount of waste they generate. In addition, several state and local governments mandate recycling and waste reduction at the source and prohibit the disposal of certain types of waste, such as yard and food waste, at landfills or waste-to-energy facilities. Where such organic waste is not banned from the landfill or waste-to-energy facility, large customers such as grocery stores and restaurants are choosing to divert their organic waste from landfills. Zero-waste goals (sending no waste to the landfill) have been set by many of North America’s largest companies. Although such mandates and initiatives help to protect our environment, these developments reduce the volume of waste going to landfills and waste-to-energy facilities in certain areas, which may affect our ability to operate our landfills and waste-to-energy facilities at full capacity, as well as affecting the prices that we can charge for landfill disposal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waste-to-energy services. Our landfills and our waste-to-energy facilities currently provide and have historically provided our highest operating margins. If we are not successful in expanding our service offerings and growing lines of businesses to service waste streams that do not go to landfills or waste-to-energy facilities and to provide services for customers that wish to reduce waste entirely, then our revenues and operating results will decline. Additionally, despite the development of new service offerings and lines of business, it is reasonably possible that our revenues and our operating margins could be negatively affected due to disposal alternatives.</w:t>
      </w:r>
    </w:p>
    <w:p>
      <w:pPr>
        <w:spacing w:after="0" w:line="143" w:lineRule="exact"/>
        <w:rPr>
          <w:sz w:val="20"/>
          <w:szCs w:val="20"/>
          <w:color w:val="auto"/>
        </w:rPr>
      </w:pPr>
    </w:p>
    <w:p>
      <w:pPr>
        <w:ind w:left="240" w:right="600"/>
        <w:spacing w:after="0" w:line="332" w:lineRule="auto"/>
        <w:rPr>
          <w:sz w:val="20"/>
          <w:szCs w:val="20"/>
          <w:color w:val="auto"/>
        </w:rPr>
      </w:pPr>
      <w:r>
        <w:rPr>
          <w:rFonts w:ascii="Arial" w:cs="Arial" w:eastAsia="Arial" w:hAnsi="Arial"/>
          <w:sz w:val="16"/>
          <w:szCs w:val="16"/>
          <w:b w:val="1"/>
          <w:bCs w:val="1"/>
          <w:i w:val="1"/>
          <w:iCs w:val="1"/>
          <w:color w:val="auto"/>
        </w:rPr>
        <w:t>Developments in technology could trigger a fundamental change in the waste management industry, as waste streams are increasingly viewed as a resource, which may adversely impact volumes at our landfills and waste-to-energy facilities and our profitability.</w:t>
      </w:r>
    </w:p>
    <w:p>
      <w:pPr>
        <w:spacing w:after="0" w:line="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company and others have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these technologies. It is possible that such investments and technological advancements may reduce the cost of waste disposal or power production to a level below our costs and may reduce the demand for landfill space and waste-to-energy facilities. As a result, our revenues and operating margins could be adversely affected due to advancements in disposal alternatives.</w:t>
      </w:r>
    </w:p>
    <w:p>
      <w:pPr>
        <w:spacing w:after="0" w:line="116" w:lineRule="exact"/>
        <w:rPr>
          <w:sz w:val="20"/>
          <w:szCs w:val="20"/>
          <w:color w:val="auto"/>
        </w:rPr>
      </w:pPr>
    </w:p>
    <w:p>
      <w:pPr>
        <w:ind w:left="240" w:right="940"/>
        <w:spacing w:after="0" w:line="268" w:lineRule="auto"/>
        <w:rPr>
          <w:sz w:val="20"/>
          <w:szCs w:val="20"/>
          <w:color w:val="auto"/>
        </w:rPr>
      </w:pPr>
      <w:r>
        <w:rPr>
          <w:rFonts w:ascii="Arial" w:cs="Arial" w:eastAsia="Arial" w:hAnsi="Arial"/>
          <w:sz w:val="18"/>
          <w:szCs w:val="18"/>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existing and proposed service offerings to customers may require that we invest in, develop or license, and protect, new technologies. Research and development of new technologies often requires significant spending that may divert capital investment away from our traditional business operations. We may experience difficulties or delays in the research, development, production and/or marketing of new products and services which may negatively impact our operating results and prevent us from recouping or realizing a return on the investments required to bring new products and services to market. Further, protecting our intellectual property rights and combating unlicensed copying and use of intellectual property is difficult, and any inability to obtain or protect new technologies could impact our services to customers and development of new revenue sources. Our Company and others are increasingly focusing on new technologies that provide alternatives to traditional disposal and maximize the resource value of waste. If a competitor develops or obtains exclusive rights to a “breakthrough technology” that provides a revolutionary change in traditional waste management, or if we have inferior intellectual property to our competitors, our financial results may suffer.</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depends on our reputation and the value of our brand.</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we have developed a reputation for high-quality service, reliability and social and environmental responsibility, and we believe our brand symbolizes these attributes. The Waste Management brand name, trademarks and logos and our reputation are powerful sales and marketing tools, and we devote significant resources to promoting and protecting them. Adverse publicity, whether or not justified, relating to activities by our operations, employees or agents could tarnish our reputation and reduce the value of our brand. Damage to our reputation and loss of brand equity could reduce demand for our services. This reduction in demand, together with the dedication of time and expense necessary to defend our reputation, could have an adverse effect on our financial condition, liquidity and results of operations, as well as require additional resources to rebuild our reputation and restore the value of our brand.</w:t>
      </w:r>
    </w:p>
    <w:p>
      <w:pPr>
        <w:spacing w:after="0" w:line="120"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as well as contractual obligations that may result in significant liabilities.</w:t>
      </w:r>
    </w:p>
    <w:p>
      <w:pPr>
        <w:spacing w:after="0" w:line="5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There is risk of incurring significant environmental liabilities in the use, treatment, storage, transfer and disposal of waste materials. Under applicable environmental laws and regulations, we could be liable if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This risk is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particular concern as we execute our growth strategy, partially though acquisitions, because we may be unsuccessful in identifying and assessing potential liabilities during our due diligence investigations. Further, the counterparties in such transactions may be unable to perform their indemnification obligations owed to us. Additionally,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3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the ordinary course of our business, we have in the past, we are currently, and we may in the future, become involved in legal and administrative proceedings relating to land use and environmental laws and regulations. These include proceedings in which:</w:t>
      </w:r>
    </w:p>
    <w:p>
      <w:pPr>
        <w:spacing w:after="0" w:line="51" w:lineRule="exact"/>
        <w:rPr>
          <w:sz w:val="20"/>
          <w:szCs w:val="20"/>
          <w:color w:val="auto"/>
        </w:rPr>
      </w:pPr>
    </w:p>
    <w:p>
      <w:pPr>
        <w:ind w:left="700" w:right="240" w:hanging="246"/>
        <w:spacing w:after="0" w:line="268"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50" w:lineRule="exact"/>
        <w:rPr>
          <w:rFonts w:ascii="Arial" w:cs="Arial" w:eastAsia="Arial" w:hAnsi="Arial"/>
          <w:sz w:val="18"/>
          <w:szCs w:val="18"/>
          <w:color w:val="auto"/>
        </w:rPr>
      </w:pPr>
    </w:p>
    <w:p>
      <w:pPr>
        <w:ind w:left="700" w:right="180" w:hanging="246"/>
        <w:spacing w:after="0" w:line="332"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local communities, citizen groups,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5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Further, we often enter into contractual arrangements with landowners imposing obligations on us to meet certain regulatory or contractual conditions upon site closure or upon termination of the agreements. Compliance with these arrangements is inherently subject to subjective determinations and may result in disputes, including litigation. Costs to remediate or restore the condition of closed sites may be significant.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economic conditions can directly and adversely affect our revenues and our operating margins.</w:t>
      </w:r>
    </w:p>
    <w:p>
      <w:pPr>
        <w:spacing w:after="0" w:line="90"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Our business is directly affected by changes in national and general economic factors that are outside of our control, including consumer confidence, interest rates and access to capital markets. A weak economy generally results in decreased consumer spending and decreases in volumes of waste generated, which decreases our revenues. In addition, we have a relatively high fixed-cost structure, which is difficult to quickly adjust to match shifting volume levels. Consumer uncertainty and the loss of consumer confidence may limit the number or amount of services requested by customers and our ability to implement our pricing strategy. Economic conditions may also limit our ability to implement our pricing strategy. For example, many of our contracts have price adjustment provisions that are tied to an index such as the Consumer Price Index, and our costs may increase in excess of the increase, if any, in the Consumer Price Index.</w:t>
      </w:r>
    </w:p>
    <w:p>
      <w:pPr>
        <w:spacing w:after="0" w:line="105"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Some of our customers, including governmental entities, have suffered financial difficulties affecting their credit risk, which could negatively impact our operating results.</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provide service to a number of governmental entities and municipalities, some of which have suffered significant financial difficulties due to the downturn in the U.S. economy and reduced tax revenue. Some of these entities could be unable to pay amounts owed to us or renew contracts with us at previous or increased rates.</w:t>
      </w:r>
    </w:p>
    <w:p>
      <w:pPr>
        <w:spacing w:after="0" w:line="59"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Many non-governmental customers have also suffered serious financial difficulties, including bankruptcy in some cases. Purchasers of our recyclable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 financial difficulties of municipalities could result in a decline in investors’ demand for municipal bonds and a correlating increase in interest rates. As of December 31, 2011, we had $611 million of tax-exempt bonds that are subject to re-pricing on either a daily or a weekly basis through a remarketing process and $305 million of tax-exempt bonds with term interest rate periods that are subject to re-pricing within the next twelve months. If the weakness in the municipal debt market results in re-pricing of our tax-exempt bonds at significantly higher interest rates, we will incur increased interest expenses that may negatively affect our operating results and cash flows.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ability to meet our financial and operating objectives depends in part on our ability to obtain and maintain the permits necessary to operate landfill sites.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 or seek to impose liability on us for environmental damage. Responding to these challenges has, at times, increased our costs and extended the time associated with establishing new facilities and expanding existing facilities. In addition, failure to receive regulatory and zoning approval may prohibit us from establishing new facilities or expanding existing facilities. Our failure to obtain the required permits to operate our landfills could have a material adverse impact on our consolidated financial condition, results of operations and cash flows.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shortages in fuel supply or increases in fuel prices will increase our operating expenses.</w:t>
      </w:r>
    </w:p>
    <w:p>
      <w:pPr>
        <w:spacing w:after="0" w:line="90"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The price and supply of fuel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We have seen average quarterly fuel prices increase by as much as 33% on a year-over-year basis and decrease by as much as 47% on a year-over-year basis within the last three years. We need fuel to run our collection and transfer trucks and our equipment used in our landfill operations. Supply shortages could substantially increase our operating expenses. Additionally, as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pass-through of the increased costs. Additionally, we are currently party to a pending litigation that pertains to our fuel and environmental charge and generally alleges that such charges were not properly disclosed, were unfair, and were contrary to contract. See Note 11 of the Consolidated Financial Statements for more information. Regardless of any offsetting surcharge programs, the increased operating costs will decrease our operating margins.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are increasingly dependent on technology in our operations and if our technology fails, our business could be adversely affected.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experience problems with the operation of our current information technology systems or the technology systems of third parties on which we rely, as well as the development and deployment of new information technology systems, that could adversely affect, or even temporarily disrupt, all or a portion of our operations until resolved. Inabilities and delays in implementing new systems can also affect our ability to realize projected or expected cost savings. Additionally, any systems failures could impede our ability to timely collect and report financial results in accordance with applicable laws and regulations.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cybersecurity incident could negatively impact our business and our relationships with customers.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use computers in substantially all aspects of our business operations. We also use mobile devices, social networking and other online activities to connect with our employees and our customers. Such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the Company and its business partners. We also rely on a Payment Card Industry compliant third party to protect our customers’ credit card information. Further, as the Company pursues its strategy to grow through acquisitions and to pursue new initiatives that improve our operations and cost structure, the Company is also expanding and improving its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information technologies, resulting in a larger technological presence and corresponding exposure to cybersecurity risk. If we fail to assess and identify cybersecurity risks associated with acquisitions and new initiatives,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operating expenses could increase as a result of labor unions organizing or changes in regulations related to labor unions.</w:t>
      </w:r>
    </w:p>
    <w:p>
      <w:pPr>
        <w:spacing w:after="0" w:line="90"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the negotiation of collective bargaining agreements could divert management attention and result in increased operating expenses and lower net income. If we are unable to negotiate acceptable collective bargaining agreements, our operating expenses could increase significantly as a result of work stoppages, including strikes. Any of these matters could adversely affect our financial condition, results of operations and cash flows.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face significant liabilities for withdrawal from multiemployer pension plans.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participated in and contributed to various “multiemployer” pension plans administered by employer and union trustees. In renegotiation of collective bargaining agreements with labor unions that participate in these plans, we may decide to discontinue participation in various plans. When we withdraw from plans, we can incur withdrawal liabilities for those plans that have underfunded pension liabilities. Various factors affect our liabilities for a plan’s underfunded status, including the numbers of retirees and active workers in the plan, the ongoing solvency of participating employers, the investment returns obtained on plan assets, and the ratio of our historical participation in such plan to all employers’ historical participation. We reflect any withdrawal liability as an operating expense in our statement of operations and as a liability on our balance sheet.</w:t>
      </w:r>
    </w:p>
    <w:p>
      <w:pPr>
        <w:spacing w:after="0" w:line="3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previously withdrawn several employee bargaining units from underfunded multiemployer pension plans, and we recognized related expenses of $26 million in 2010 and $9 million in 2009. We are still negotiating and litigating final resolutions of our withdrawal liability for these previous withdrawals, which could be materially higher than the charges we have recognized.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operational and safety risks, including the risk of personal injury to employees and others.</w:t>
      </w:r>
    </w:p>
    <w:p>
      <w:pPr>
        <w:spacing w:after="0" w:line="90"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color w:val="auto"/>
        </w:rPr>
        <w:t>Provision of environmental and waste management services involves risks such as truck accidents, equipment defects, malfunctions and failures, and natural disasters, which could potentially result in releases of hazardous materials, injury or death of employees and others, or a need to shut down or reduce operation of our facilities while remedial actions are undertaken. These risks expose us to potential liability for pollution and other environmental damages, personal injury, loss of life, business interruption, and property damage or destruction.</w:t>
      </w:r>
    </w:p>
    <w:p>
      <w:pPr>
        <w:spacing w:after="0" w:line="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While we seek to minimize our exposure to such risks through comprehensive training and compliance programs, as well as vehicle and equipment maintenance programs, if we were to incur substantial liabilities in excess of any applicable insurance, our business, results of operations and financial condition could be adversely affected.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600"/>
        <w:spacing w:after="0" w:line="332" w:lineRule="auto"/>
        <w:rPr>
          <w:sz w:val="20"/>
          <w:szCs w:val="20"/>
          <w:color w:val="auto"/>
        </w:rPr>
      </w:pPr>
      <w:r>
        <w:rPr>
          <w:rFonts w:ascii="Arial" w:cs="Arial" w:eastAsia="Arial" w:hAnsi="Arial"/>
          <w:sz w:val="16"/>
          <w:szCs w:val="16"/>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statutorily-required levels. We face the risk of incurring additional costs for environmental damage if our insurance coverage is ultimately inadequate to cover those damages. We also carry a broad range of other insurance coverages that are customary for a company our size. We use these programs to mitigate risk of loss, thereby enabling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were unable to meet their obligations, or our own obligations for claims were more than we estimated, there could be a material adverse effect to our financial results.</w:t>
      </w:r>
    </w:p>
    <w:p>
      <w:pPr>
        <w:spacing w:after="0" w:line="3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to fulfill our financial assurance obligations with respect to variable-rate tax-exempt debt, final capping, closure, post-closure and environmental remediation obligations, we generally obtain letters of credit or surety bonds, rely on insurance, including captive insurance, fund trust and escrow accounts or rely upon WM financial guarantees. We currently have in place all financial assurance instruments necessary for our operations. General economic factors may adversely affect the cost of our current financial assurance instruments and changes in regulations may impose stricter requirements on the types of financial assurance that will be accepted.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record material charges against our earnings due to any number of events that could cause impairments to our assets.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accordance with generally accepted accounting principles,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If we determine a development or expansion project is impaired, we will charge against earnings any unamortized capitalized expenditures and advances relating to such facility or project reduced by any portion of the capitalized costs that we estimate will be recoverable, through sale or otherwise. We also carry a significant amount of goodwill on our Consolidated Balance Sheet, which is required to be assessed for impairment annually, and more frequently in the case of certain triggering events. We may be required to incur charges against earnings if we determine that events such as those described cause impairments. Any such charges could have a material adverse effect on our results of operations.</w:t>
      </w:r>
    </w:p>
    <w:p>
      <w:pPr>
        <w:spacing w:after="0" w:line="118"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b w:val="1"/>
          <w:bCs w:val="1"/>
          <w:i w:val="1"/>
          <w:iCs w:val="1"/>
          <w:color w:val="auto"/>
        </w:rPr>
        <w:t>Our capital requirements and our business strategy could increase our expenses or cause us to change our growth and development plans, or fail to maintain our desired credit profile.</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Recent economic conditions have reduced our cash flows from operations and could do so in the future. If impacts on our cash flows from operations are significant, we may reduce or suspend capital expenditures, growth and acquisition activity, implementation of our business strategy, dividend declarations or share repurchases. We may choose to incur indebtedness to pay for these activities, and there can be no assurances that we would be able to incur indebtedness on terms we deem acceptable or that we would maintain our targeted balance of debt to equity. We also may need to incur indebtedness to refinance scheduled debt maturities, and it is possible that the cost of financing could increase significantly, thereby increasing our expenses and decreasing our net income. Further, our ability to execute our financial strategy and our ability to incur indebtedness depends on our ability to maintain investment grade ratings on our senior debt. The credit rating process is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contingent upon our credit profile, as well as a number of other factors, many of which are beyond our control. If we were unable to maintain our investment grade credit ratings in the future, our interest expense would increase and our ability to obtain financing on favorable terms could be adversely affected.</w:t>
      </w:r>
    </w:p>
    <w:p>
      <w:pPr>
        <w:spacing w:after="0" w:line="4"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Additionally, we have $2.2 billion of debt as of December 31, 2011 that is exposed to changes in market interest rates within the next twelve months because of the combined impact of our tax-exempt bonds, our interest rate swap agreements and borrowings outstanding under our Canadian Credit Facility. Therefore, increases in interest rates can increase our interest expenses which also would lower our net income and decrease our cash flow.</w:t>
      </w:r>
    </w:p>
    <w:p>
      <w:pPr>
        <w:spacing w:after="0" w:line="26" w:lineRule="exact"/>
        <w:rPr>
          <w:sz w:val="20"/>
          <w:szCs w:val="20"/>
          <w:color w:val="auto"/>
        </w:rPr>
      </w:pPr>
    </w:p>
    <w:p>
      <w:pPr>
        <w:ind w:right="680" w:firstLine="456"/>
        <w:spacing w:after="0" w:line="286" w:lineRule="auto"/>
        <w:rPr>
          <w:sz w:val="20"/>
          <w:szCs w:val="20"/>
          <w:color w:val="auto"/>
        </w:rPr>
      </w:pPr>
      <w:r>
        <w:rPr>
          <w:rFonts w:ascii="Arial" w:cs="Arial" w:eastAsia="Arial" w:hAnsi="Arial"/>
          <w:sz w:val="16"/>
          <w:szCs w:val="16"/>
          <w:color w:val="auto"/>
        </w:rPr>
        <w:t>We may use our five-year, $2.0 billion revolving credit facility to meet our cash needs, to the extent available. As of December 31, 2011, we had $150 million of borrowings and $1,012 million of letters of credit issued and supported by the facility, leaving an unused and available credit capacity of</w:t>
      </w:r>
    </w:p>
    <w:p>
      <w:pPr>
        <w:ind w:right="140"/>
        <w:spacing w:after="0" w:line="254" w:lineRule="auto"/>
        <w:rPr>
          <w:sz w:val="20"/>
          <w:szCs w:val="20"/>
          <w:color w:val="auto"/>
        </w:rPr>
      </w:pPr>
      <w:r>
        <w:rPr>
          <w:rFonts w:ascii="Arial" w:cs="Arial" w:eastAsia="Arial" w:hAnsi="Arial"/>
          <w:sz w:val="18"/>
          <w:szCs w:val="18"/>
          <w:color w:val="auto"/>
        </w:rPr>
        <w:t>$838 million. 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adoption of climate change legislation or regulations restricting emissions of “greenhouse gases” could increase our costs to operate.</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Efforts to curtail the emission of GHGs, to ameliorate the effect of climate change, continue to advance on the federal, regional, and state level. Our landfill operations emit methane, identified as a GHG. In the 111th Congress, the U.S. House of Representatives passed a bill that would regulate GHGs comprehensively. While the centerpiece of that bill would be a GHG emission allowance cap-and-trade system, neither landfills nor qualifying waste-to-energy plants would be compelled to hold allowances for their GHG emissions. Rather, they would be subject to certain further emission controls to be determined through administrative rule-making. Should comprehensive federal climate change legislation be enacted, we expect it to impose costs on our operations, the materiality of which we cannot predict.</w:t>
      </w:r>
    </w:p>
    <w:p>
      <w:pPr>
        <w:spacing w:after="0" w:line="6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Absent comprehensive federal legislation to control GHG emissions, the EPA is moving ahead administratively under its existing Clean Air Act authority. In 2010, the EPA published a Prevention of Significant Deterioration (“PSD”) and Title V Greenhouse Gas Tailoring Rule (“PSD tailoring rule”). The rule sets new thresholds for GHG emissions that define when Clean Air Act permits are required under the PSD and Title V programs. The EPA’s legal authority to “tailor” statutory thresholds in this rule has been challenged, and the EPA has delayed regulation of certain emissions pending further regulatory analysis. We cannot predict the final requirements of stationary source rules that might apply to landfills and waste-to-energy facilities as a result of this rulemaking and, accordingly, further developments in this area could have a material effect on our results of operations or cash flows.</w:t>
      </w:r>
    </w:p>
    <w:p>
      <w:pPr>
        <w:spacing w:after="0" w:line="120"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The seasonal nature of our business and “one-time” special projects cause our results to fluctuate, and prior performance is not necessarily indicative of our future results.</w:t>
      </w:r>
    </w:p>
    <w:p>
      <w:pPr>
        <w:spacing w:after="0" w:line="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that most often impact our Southern Group, can actually increase our revenues in the areas affected. While weather-related and other “one-time” occurrences can boost revenues through additional work, as a result of significant start-up costs and other factors, such revenue sometimes generates earnings at comparatively lower margins. During 2010, our financial results included revenue generated as a result of clean-up efforts in connection with the oil spill along the Gulf Coast and the substantial flooding in Tennessee; however, these special projects have a limited time span.</w:t>
      </w:r>
    </w:p>
    <w:p>
      <w:pPr>
        <w:spacing w:after="0" w:line="3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Certain weather conditions, including severe weather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For these and other reasons, operating results in any interim period are not necessarily indicative of operating results for an entire year, and operating results for any historical period are not necessarily indicative of operating results for a future period. Our stock price may be negatively impacted by interim variations in our results.</w:t>
      </w:r>
    </w:p>
    <w:p>
      <w:pPr>
        <w:spacing w:after="0" w:line="140"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We could be subject to significant fines and penalties, and our reputation could be adversely affected, if our businesses, or third parties with whom we have a relationship, were to fail to comply with United States or foreign laws or regulations.</w:t>
      </w:r>
    </w:p>
    <w:p>
      <w:pPr>
        <w:spacing w:after="0" w:line="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Some of our projects and new business may be conducted in countries where corruption has historically been prevalent. It is our policy to comply with all applicable anti-bribery laws, such as the U.S. Foreign Corrupt Practices Act, and with applicable local laws of the foreign countries in which we operate, and we monitor our local partners’ compliance with such laws as well. Our reputation may be adversely affected if we were reported to be associated with corrupt practices or if we or our local partners failed to comply with such laws. Such damage to our reputation could adversely affect our ability to grow our business. Additionally, violations of such laws could subject us to significant fines and penalties.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Currently pending or future litigation or governmental proceedings could result in material adverse consequences, including judgments or settlements.</w:t>
      </w:r>
    </w:p>
    <w:p>
      <w:pPr>
        <w:spacing w:after="0" w:line="12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are involved in civil litigation in the ordinary course of our business and from time-to-time are involved in governmental proceedings relating to the conduct of our business. 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experience adverse impacts on our reported results of operations as a result of adopting new accounting standards or interpretations.</w:t>
      </w:r>
    </w:p>
    <w:p>
      <w:pPr>
        <w:spacing w:after="0" w:line="11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implementation of and compliance with changes in accounting rules, including new accounting rules and interpretations, could adversely affect our reported financial position or operating results or cause unanticipated fluctuations in our reported operating results in future periods.</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principal executive offices are in Houston, Texas, where we lease approximately 480,000 square feet under leases expiring in 2020. Our Group offices are in Pennsylvania, Illinois, Georgia, Arizona and New Hampshire. We also have field-based administrative offices in Arizona, Illinois, Texas and Connecticut. We own or lease real property in most locations where we have operations. We have operations in each of the fifty states, other than Montana. We also have operations in the District of Columbia, Puerto Rico and throughout Canada.</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principal property and equipment consists of land (primarily landfills and other disposal facilities, transfer stations and bases for collection operations), buildings, vehicles and equipment. We believe that our vehicles, equipment, and operating properties are adequately maintained and sufficient for our current operations. However, we expect to continue to make investments in additional equipment and property for expansion, for replacement of assets, and in connection with our strategic growth plans. For more information, 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included within this report.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various operations at December 31 for the periods noted:</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4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9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Landfills:</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60" w:type="dxa"/>
            <w:vAlign w:val="bottom"/>
          </w:tcPr>
          <w:p>
            <w:pPr>
              <w:ind w:left="220"/>
              <w:spacing w:after="0"/>
              <w:rPr>
                <w:sz w:val="20"/>
                <w:szCs w:val="20"/>
                <w:color w:val="auto"/>
              </w:rPr>
            </w:pPr>
            <w:r>
              <w:rPr>
                <w:rFonts w:ascii="Arial" w:cs="Arial" w:eastAsia="Arial" w:hAnsi="Arial"/>
                <w:sz w:val="18"/>
                <w:szCs w:val="18"/>
                <w:color w:val="auto"/>
              </w:rPr>
              <w:t>Owned</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211</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210</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Operated through lease agreements</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23"/>
        </w:trPr>
        <w:tc>
          <w:tcPr>
            <w:tcW w:w="9360" w:type="dxa"/>
            <w:vAlign w:val="bottom"/>
          </w:tcPr>
          <w:p>
            <w:pPr>
              <w:ind w:left="220"/>
              <w:spacing w:after="0"/>
              <w:rPr>
                <w:sz w:val="20"/>
                <w:szCs w:val="20"/>
                <w:color w:val="auto"/>
              </w:rPr>
            </w:pPr>
            <w:r>
              <w:rPr>
                <w:rFonts w:ascii="Arial" w:cs="Arial" w:eastAsia="Arial" w:hAnsi="Arial"/>
                <w:sz w:val="18"/>
                <w:szCs w:val="18"/>
                <w:color w:val="auto"/>
              </w:rPr>
              <w:t>Operated through contractual agreements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271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271</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Transfer stations</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287</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286</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Material recovery facilities</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107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Secondary processing facilities</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Waste-to-energy facilities</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22"/>
        </w:trPr>
        <w:tc>
          <w:tcPr>
            <w:tcW w:w="9360" w:type="dxa"/>
            <w:vAlign w:val="bottom"/>
          </w:tcPr>
          <w:p>
            <w:pPr>
              <w:spacing w:after="0"/>
              <w:rPr>
                <w:sz w:val="20"/>
                <w:szCs w:val="20"/>
                <w:color w:val="auto"/>
              </w:rPr>
            </w:pPr>
            <w:r>
              <w:rPr>
                <w:rFonts w:ascii="Arial" w:cs="Arial" w:eastAsia="Arial" w:hAnsi="Arial"/>
                <w:sz w:val="18"/>
                <w:szCs w:val="18"/>
                <w:color w:val="auto"/>
              </w:rPr>
              <w:t>Independent power production plants</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right="80" w:firstLine="456"/>
        <w:spacing w:after="0" w:line="331" w:lineRule="auto"/>
        <w:rPr>
          <w:sz w:val="20"/>
          <w:szCs w:val="20"/>
          <w:color w:val="auto"/>
        </w:rPr>
      </w:pPr>
      <w:r>
        <w:rPr>
          <w:rFonts w:ascii="Arial" w:cs="Arial" w:eastAsia="Arial" w:hAnsi="Arial"/>
          <w:sz w:val="16"/>
          <w:szCs w:val="16"/>
          <w:color w:val="auto"/>
        </w:rPr>
        <w:t>The following table provides certain information by Group regarding the 236 landfills owned or operated through lease agreements and a count, by Group, of landfills operated through contractual agreements, transfer stations and material recovery facilities as of December 31, 2011: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2"/>
              </w:rPr>
              <w:t>Landfills Owned or Operated</w:t>
            </w: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Landfills</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1"/>
        </w:trPr>
        <w:tc>
          <w:tcPr>
            <w:tcW w:w="1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540"/>
              <w:spacing w:after="0" w:line="141" w:lineRule="exact"/>
              <w:rPr>
                <w:sz w:val="20"/>
                <w:szCs w:val="20"/>
                <w:color w:val="auto"/>
              </w:rPr>
            </w:pPr>
            <w:r>
              <w:rPr>
                <w:rFonts w:ascii="Arial" w:cs="Arial" w:eastAsia="Arial" w:hAnsi="Arial"/>
                <w:sz w:val="14"/>
                <w:szCs w:val="14"/>
                <w:b w:val="1"/>
                <w:bCs w:val="1"/>
                <w:color w:val="auto"/>
                <w:w w:val="92"/>
              </w:rPr>
              <w:t>Through Lease Agreements</w:t>
            </w:r>
          </w:p>
        </w:tc>
        <w:tc>
          <w:tcPr>
            <w:tcW w:w="6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w w:val="90"/>
              </w:rPr>
              <w:t>Operating</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15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Through</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Material</w:t>
            </w:r>
          </w:p>
        </w:tc>
      </w:tr>
      <w:tr>
        <w:trPr>
          <w:trHeight w:val="149"/>
        </w:trPr>
        <w:tc>
          <w:tcPr>
            <w:tcW w:w="15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Total</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Permitted</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Expansion</w:t>
            </w:r>
          </w:p>
        </w:tc>
        <w:tc>
          <w:tcPr>
            <w:tcW w:w="5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0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Transfer</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8"/>
              </w:rPr>
              <w:t>Recovery</w:t>
            </w:r>
          </w:p>
        </w:tc>
      </w:tr>
      <w:tr>
        <w:trPr>
          <w:trHeight w:val="161"/>
        </w:trPr>
        <w:tc>
          <w:tcPr>
            <w:tcW w:w="1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Landfills</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Acreage(a)</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4"/>
              </w:rPr>
              <w:t>Acreage(b)</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5"/>
              </w:rPr>
              <w:t>Acreage(c)</w:t>
            </w:r>
          </w:p>
        </w:tc>
        <w:tc>
          <w:tcPr>
            <w:tcW w:w="5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Agreements</w:t>
            </w:r>
          </w:p>
        </w:tc>
        <w:tc>
          <w:tcPr>
            <w:tcW w:w="50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Stations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Facilities</w:t>
            </w:r>
          </w:p>
        </w:tc>
      </w:tr>
      <w:tr>
        <w:trPr>
          <w:trHeight w:val="210"/>
        </w:trPr>
        <w:tc>
          <w:tcPr>
            <w:tcW w:w="4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Eastern</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28,509</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4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33,829</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9,692</w:t>
            </w:r>
          </w:p>
        </w:tc>
        <w:tc>
          <w:tcPr>
            <w:tcW w:w="640" w:type="dxa"/>
            <w:vAlign w:val="bottom"/>
          </w:tcPr>
          <w:p>
            <w:pPr>
              <w:jc w:val="right"/>
              <w:spacing w:after="0"/>
              <w:rPr>
                <w:sz w:val="20"/>
                <w:szCs w:val="20"/>
                <w:color w:val="auto"/>
              </w:rPr>
            </w:pPr>
            <w:r>
              <w:rPr>
                <w:rFonts w:ascii="Arial" w:cs="Arial" w:eastAsia="Arial" w:hAnsi="Arial"/>
                <w:sz w:val="18"/>
                <w:szCs w:val="18"/>
                <w:color w:val="auto"/>
              </w:rPr>
              <w:t>1,102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98</w:t>
            </w: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Southern</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39,622</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13,078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Western</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41,870</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8,531</w:t>
            </w:r>
          </w:p>
        </w:tc>
        <w:tc>
          <w:tcPr>
            <w:tcW w:w="640" w:type="dxa"/>
            <w:vAlign w:val="bottom"/>
          </w:tcPr>
          <w:p>
            <w:pPr>
              <w:jc w:val="right"/>
              <w:spacing w:after="0"/>
              <w:rPr>
                <w:sz w:val="20"/>
                <w:szCs w:val="20"/>
                <w:color w:val="auto"/>
              </w:rPr>
            </w:pPr>
            <w:r>
              <w:rPr>
                <w:rFonts w:ascii="Arial" w:cs="Arial" w:eastAsia="Arial" w:hAnsi="Arial"/>
                <w:sz w:val="18"/>
                <w:szCs w:val="18"/>
                <w:color w:val="auto"/>
              </w:rPr>
              <w:t>725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57</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781</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5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144,611</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37,689</w:t>
            </w:r>
          </w:p>
        </w:tc>
        <w:tc>
          <w:tcPr>
            <w:tcW w:w="640" w:type="dxa"/>
            <w:vAlign w:val="bottom"/>
          </w:tcPr>
          <w:p>
            <w:pPr>
              <w:jc w:val="right"/>
              <w:spacing w:after="0"/>
              <w:rPr>
                <w:sz w:val="20"/>
                <w:szCs w:val="20"/>
                <w:color w:val="auto"/>
              </w:rPr>
            </w:pPr>
            <w:r>
              <w:rPr>
                <w:rFonts w:ascii="Arial" w:cs="Arial" w:eastAsia="Arial" w:hAnsi="Arial"/>
                <w:sz w:val="18"/>
                <w:szCs w:val="18"/>
                <w:color w:val="auto"/>
              </w:rPr>
              <w:t>2,308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287</w:t>
            </w: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acreage” includes permitted acreage, expansion acreage, other acreage available for future disposal that has not been permitted, buffer land and other land owned or leased by our landfill operations.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“Permitted acreage” consists of all acreage at the landfill encompassed by an active permit to dispose of waste.</w:t>
      </w:r>
    </w:p>
    <w:p>
      <w:pPr>
        <w:spacing w:after="0" w:line="63"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“Expansion acreage” consists of unpermitted acreage where the related expansion efforts meet our criteria to be included as expansion airspace. A discussion of the related criteria is included within the </w:t>
      </w:r>
      <w:r>
        <w:rPr>
          <w:rFonts w:ascii="Arial" w:cs="Arial" w:eastAsia="Arial" w:hAnsi="Arial"/>
          <w:sz w:val="18"/>
          <w:szCs w:val="18"/>
          <w:i w:val="1"/>
          <w:iCs w:val="1"/>
          <w:color w:val="auto"/>
        </w:rPr>
        <w:t>Management’s Discussion and Analysis of Financial Condition and Results of Operations — 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Estimates and Assumptions </w:t>
      </w:r>
      <w:r>
        <w:rPr>
          <w:rFonts w:ascii="Arial" w:cs="Arial" w:eastAsia="Arial" w:hAnsi="Arial"/>
          <w:sz w:val="18"/>
          <w:szCs w:val="18"/>
          <w:color w:val="auto"/>
        </w:rPr>
        <w:t>section included herein.</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 of Note 11 in the Consolidated Financial Statements included in this report.</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common stock is traded on the New York Stock Exchange (“NYSE”) under the symbol “WM.” The following table sets forth the range of the high and low per-share sales prices for our common stock as reported on the NYSE:</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2010</w:t>
            </w:r>
          </w:p>
        </w:tc>
        <w:tc>
          <w:tcPr>
            <w:tcW w:w="28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3860" w:type="dxa"/>
            <w:vAlign w:val="bottom"/>
            <w:gridSpan w:val="3"/>
          </w:tcPr>
          <w:p>
            <w:pPr>
              <w:jc w:val="right"/>
              <w:ind w:right="500"/>
              <w:spacing w:after="0"/>
              <w:rPr>
                <w:sz w:val="20"/>
                <w:szCs w:val="20"/>
                <w:color w:val="auto"/>
              </w:rPr>
            </w:pPr>
            <w:r>
              <w:rPr>
                <w:rFonts w:ascii="Arial" w:cs="Arial" w:eastAsia="Arial" w:hAnsi="Arial"/>
                <w:sz w:val="18"/>
                <w:szCs w:val="18"/>
                <w:color w:val="auto"/>
              </w:rPr>
              <w:t>$35.00</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$31.29</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Second Quarter</w:t>
            </w:r>
          </w:p>
        </w:tc>
        <w:tc>
          <w:tcPr>
            <w:tcW w:w="3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35.98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Third Quarter</w:t>
            </w:r>
          </w:p>
        </w:tc>
        <w:tc>
          <w:tcPr>
            <w:tcW w:w="3860" w:type="dxa"/>
            <w:vAlign w:val="bottom"/>
            <w:gridSpan w:val="3"/>
          </w:tcPr>
          <w:p>
            <w:pPr>
              <w:jc w:val="right"/>
              <w:ind w:right="500"/>
              <w:spacing w:after="0"/>
              <w:rPr>
                <w:sz w:val="20"/>
                <w:szCs w:val="20"/>
                <w:color w:val="auto"/>
              </w:rPr>
            </w:pPr>
            <w:r>
              <w:rPr>
                <w:rFonts w:ascii="Arial" w:cs="Arial" w:eastAsia="Arial" w:hAnsi="Arial"/>
                <w:sz w:val="18"/>
                <w:szCs w:val="18"/>
                <w:color w:val="auto"/>
              </w:rPr>
              <w:t>36.24</w:t>
            </w:r>
          </w:p>
        </w:tc>
        <w:tc>
          <w:tcPr>
            <w:tcW w:w="500" w:type="dxa"/>
            <w:vAlign w:val="bottom"/>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Fourth Quarter</w:t>
            </w:r>
          </w:p>
        </w:tc>
        <w:tc>
          <w:tcPr>
            <w:tcW w:w="3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2011</w:t>
            </w:r>
          </w:p>
        </w:tc>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 Quarter</w:t>
            </w:r>
          </w:p>
        </w:tc>
        <w:tc>
          <w:tcPr>
            <w:tcW w:w="3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$35.86</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3860" w:type="dxa"/>
            <w:vAlign w:val="bottom"/>
            <w:gridSpan w:val="3"/>
          </w:tcPr>
          <w:p>
            <w:pPr>
              <w:jc w:val="right"/>
              <w:ind w:right="500"/>
              <w:spacing w:after="0"/>
              <w:rPr>
                <w:sz w:val="20"/>
                <w:szCs w:val="20"/>
                <w:color w:val="auto"/>
              </w:rPr>
            </w:pPr>
            <w:r>
              <w:rPr>
                <w:rFonts w:ascii="Arial" w:cs="Arial" w:eastAsia="Arial" w:hAnsi="Arial"/>
                <w:sz w:val="18"/>
                <w:szCs w:val="18"/>
                <w:color w:val="auto"/>
              </w:rPr>
              <w:t>39.69</w:t>
            </w:r>
          </w:p>
        </w:tc>
        <w:tc>
          <w:tcPr>
            <w:tcW w:w="500" w:type="dxa"/>
            <w:vAlign w:val="bottom"/>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Third Quarter</w:t>
            </w:r>
          </w:p>
        </w:tc>
        <w:tc>
          <w:tcPr>
            <w:tcW w:w="3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3860" w:type="dxa"/>
            <w:vAlign w:val="bottom"/>
            <w:gridSpan w:val="3"/>
          </w:tcPr>
          <w:p>
            <w:pPr>
              <w:jc w:val="right"/>
              <w:ind w:right="500"/>
              <w:spacing w:after="0"/>
              <w:rPr>
                <w:sz w:val="20"/>
                <w:szCs w:val="20"/>
                <w:color w:val="auto"/>
              </w:rPr>
            </w:pPr>
            <w:r>
              <w:rPr>
                <w:rFonts w:ascii="Arial" w:cs="Arial" w:eastAsia="Arial" w:hAnsi="Arial"/>
                <w:sz w:val="18"/>
                <w:szCs w:val="18"/>
                <w:color w:val="auto"/>
              </w:rPr>
              <w:t>35.52</w:t>
            </w:r>
          </w:p>
        </w:tc>
        <w:tc>
          <w:tcPr>
            <w:tcW w:w="500" w:type="dxa"/>
            <w:vAlign w:val="bottom"/>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040" w:type="dxa"/>
            <w:vAlign w:val="bottom"/>
          </w:tcPr>
          <w:p>
            <w:pPr>
              <w:ind w:left="220"/>
              <w:spacing w:after="0"/>
              <w:rPr>
                <w:sz w:val="20"/>
                <w:szCs w:val="20"/>
                <w:color w:val="auto"/>
              </w:rPr>
            </w:pPr>
            <w:r>
              <w:rPr>
                <w:rFonts w:ascii="Arial" w:cs="Arial" w:eastAsia="Arial" w:hAnsi="Arial"/>
                <w:sz w:val="18"/>
                <w:szCs w:val="18"/>
                <w:color w:val="auto"/>
              </w:rPr>
              <w:t>First Quarter (through February 10, 2012)</w:t>
            </w:r>
          </w:p>
        </w:tc>
        <w:tc>
          <w:tcPr>
            <w:tcW w:w="3860" w:type="dxa"/>
            <w:vAlign w:val="bottom"/>
            <w:gridSpan w:val="3"/>
          </w:tcPr>
          <w:p>
            <w:pPr>
              <w:jc w:val="right"/>
              <w:ind w:right="500"/>
              <w:spacing w:after="0"/>
              <w:rPr>
                <w:sz w:val="20"/>
                <w:szCs w:val="20"/>
                <w:color w:val="auto"/>
              </w:rPr>
            </w:pPr>
            <w:r>
              <w:rPr>
                <w:rFonts w:ascii="Arial" w:cs="Arial" w:eastAsia="Arial" w:hAnsi="Arial"/>
                <w:sz w:val="18"/>
                <w:szCs w:val="18"/>
                <w:color w:val="auto"/>
              </w:rPr>
              <w:t>$35.53</w:t>
            </w: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$ 32.11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February 10, 2012, the closing sale price as reported on the NYSE was $35.21 per share. The number of holders of record of our common stock on February 10, 2012 was 13,682.</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graph below shows the relative investment performance of Waste Management, Inc. common stock, the Dow Jones Waste &amp; Disposal Services Index and the S&amp;P 500 Index for the last five years, assuming reinvestment of dividends at date of payment into the common stock. The graph is presented pursuant to SEC rules and is not meant to be an indication of our future performance.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118110</wp:posOffset>
            </wp:positionV>
            <wp:extent cx="4485005" cy="21437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8500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12/31/06</w:t>
            </w:r>
          </w:p>
        </w:tc>
        <w:tc>
          <w:tcPr>
            <w:tcW w:w="5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12/31/07</w:t>
            </w:r>
          </w:p>
        </w:tc>
        <w:tc>
          <w:tcPr>
            <w:tcW w:w="5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12/31/08</w:t>
            </w: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12/31/09</w:t>
            </w:r>
          </w:p>
        </w:tc>
        <w:tc>
          <w:tcPr>
            <w:tcW w:w="5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12/31/10</w:t>
            </w:r>
          </w:p>
        </w:tc>
        <w:tc>
          <w:tcPr>
            <w:tcW w:w="28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3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Inc.</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91.23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$95.55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3"/>
              </w:rPr>
              <w:t>101.48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114.80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S&amp;P 500 Index</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105.49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$66.46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84.05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96.71</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Dow Jones Waste &amp; Disposal Services Index</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3"/>
              </w:rPr>
              <w:t>104.57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$98.21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3"/>
              </w:rPr>
              <w:t>111.79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132.79</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quarterly dividends have been declared by our Board of Directors and paid in accordance with our capital allocation programs. Cash dividends declared and paid were $569 million in 2009, or $1.16 per common share, $604 million in 2010, or $1.26 per common share and $637 million in 2011, or $1.36 per common share.</w:t>
      </w:r>
    </w:p>
    <w:p>
      <w:pPr>
        <w:spacing w:after="0" w:line="5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2011, we repurchased $575 million of our common stock, pursuant to our capital allocation program. The following table summarizes common stock repurchases made during the fourth quarter of 2011:</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Approximate Maximum</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980" w:type="dxa"/>
            <w:vAlign w:val="bottom"/>
          </w:tcPr>
          <w:p>
            <w:pPr>
              <w:spacing w:after="0"/>
              <w:rPr>
                <w:sz w:val="12"/>
                <w:szCs w:val="12"/>
                <w:color w:val="auto"/>
              </w:rPr>
            </w:pPr>
          </w:p>
        </w:tc>
        <w:tc>
          <w:tcPr>
            <w:tcW w:w="1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Dollar Value of Shares that</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3040" w:type="dxa"/>
            <w:vAlign w:val="bottom"/>
            <w:gridSpan w:val="2"/>
            <w:vMerge w:val="restart"/>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980" w:type="dxa"/>
            <w:vAlign w:val="bottom"/>
          </w:tcPr>
          <w:p>
            <w:pPr>
              <w:spacing w:after="0"/>
              <w:rPr>
                <w:sz w:val="12"/>
                <w:szCs w:val="12"/>
                <w:color w:val="auto"/>
              </w:rPr>
            </w:pPr>
          </w:p>
        </w:tc>
        <w:tc>
          <w:tcPr>
            <w:tcW w:w="1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Price Paid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2760" w:type="dxa"/>
            <w:vAlign w:val="bottom"/>
            <w:gridSpan w:val="4"/>
          </w:tcPr>
          <w:p>
            <w:pPr>
              <w:ind w:left="980"/>
              <w:spacing w:after="0" w:line="149" w:lineRule="exact"/>
              <w:rPr>
                <w:sz w:val="20"/>
                <w:szCs w:val="20"/>
                <w:color w:val="auto"/>
              </w:rPr>
            </w:pPr>
            <w:r>
              <w:rPr>
                <w:rFonts w:ascii="Arial" w:cs="Arial" w:eastAsia="Arial" w:hAnsi="Arial"/>
                <w:sz w:val="14"/>
                <w:szCs w:val="14"/>
                <w:b w:val="1"/>
                <w:bCs w:val="1"/>
                <w:color w:val="auto"/>
                <w:w w:val="91"/>
              </w:rPr>
              <w:t>May Yet be Purchased Under</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3040" w:type="dxa"/>
            <w:vAlign w:val="bottom"/>
            <w:gridSpan w:val="2"/>
            <w:vMerge w:val="continue"/>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980" w:type="dxa"/>
            <w:vAlign w:val="bottom"/>
          </w:tcPr>
          <w:p>
            <w:pPr>
              <w:spacing w:after="0"/>
              <w:rPr>
                <w:sz w:val="14"/>
                <w:szCs w:val="14"/>
                <w:color w:val="auto"/>
              </w:rPr>
            </w:pPr>
          </w:p>
        </w:tc>
        <w:tc>
          <w:tcPr>
            <w:tcW w:w="17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per Share(a)</w:t>
            </w: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Programs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the Plans or Programs(b)</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4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October 1 — 31</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913,700</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32.30</w:t>
            </w:r>
          </w:p>
        </w:tc>
        <w:tc>
          <w:tcPr>
            <w:tcW w:w="10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913,700</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ind w:left="1420"/>
              <w:spacing w:after="0" w:line="203" w:lineRule="exact"/>
              <w:rPr>
                <w:sz w:val="20"/>
                <w:szCs w:val="20"/>
                <w:color w:val="auto"/>
              </w:rPr>
            </w:pPr>
            <w:r>
              <w:rPr>
                <w:rFonts w:ascii="Arial" w:cs="Arial" w:eastAsia="Arial" w:hAnsi="Arial"/>
                <w:sz w:val="18"/>
                <w:szCs w:val="18"/>
                <w:color w:val="auto"/>
                <w:w w:val="77"/>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November 1 — 30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 31</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44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913,700</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32.30</w:t>
            </w:r>
          </w:p>
        </w:tc>
        <w:tc>
          <w:tcPr>
            <w:tcW w:w="10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913,700</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amount represents the weighted average price paid per share and includes a per-share commission paid for all repurchases.</w:t>
      </w:r>
    </w:p>
    <w:p>
      <w:pPr>
        <w:spacing w:after="0" w:line="63"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approximate maximum dollar value of shares that may yet be purchased under the program is shown as zero because our capital allocation program, by its own terms, provided for up to $575 million in share repurchases in 2011, and these repurchases were completed in October 2011.</w:t>
      </w:r>
    </w:p>
    <w:p>
      <w:pPr>
        <w:spacing w:after="0" w:line="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December 2011, we announced that our Board of Directors expects to increase the per share quarterly dividend from $0.34 to $0.355 for dividends declared in 2012. However, all future dividend declarations are at the discretion of the Board of Directors, and depend on various factors, including our net earnings, financial condition, cash required for future business plans and other factors the Board of Directions may deem relevant. Additionally, the Board of Directors approved up to $500 million in share repurchases for 2012. However, future share repurchases will be made at the discretion of management, and will depend on factors similar to those considered by the Board of Directors in making dividend declarations.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information below was derived from the audited Consolidated Financial Statements included in this report and in previous annual reports we filed with the SEC. This information should be read together with those Consolidated Financial Statements and the notes thereto. The adoption of new accounting pronouncements, changes in certain accounting policies and certain reclassifications impact the comparability of the financial information presented below. These historical results are not necessarily indicative of the results to be expected in the future.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5"/>
              </w:rPr>
              <w:t>Years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720"/>
              <w:spacing w:after="0" w:line="142" w:lineRule="exact"/>
              <w:rPr>
                <w:sz w:val="20"/>
                <w:szCs w:val="20"/>
                <w:color w:val="auto"/>
              </w:rPr>
            </w:pPr>
            <w:r>
              <w:rPr>
                <w:rFonts w:ascii="Arial" w:cs="Arial" w:eastAsia="Arial" w:hAnsi="Arial"/>
                <w:sz w:val="14"/>
                <w:szCs w:val="14"/>
                <w:b w:val="1"/>
                <w:bCs w:val="1"/>
                <w:color w:val="auto"/>
                <w:w w:val="99"/>
              </w:rPr>
              <w:t>2011(a)</w:t>
            </w:r>
          </w:p>
        </w:tc>
        <w:tc>
          <w:tcPr>
            <w:tcW w:w="68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2010(a)</w:t>
            </w:r>
          </w:p>
        </w:tc>
        <w:tc>
          <w:tcPr>
            <w:tcW w:w="5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center"/>
              <w:ind w:right="640"/>
              <w:spacing w:after="0" w:line="142" w:lineRule="exact"/>
              <w:rPr>
                <w:sz w:val="20"/>
                <w:szCs w:val="20"/>
                <w:color w:val="auto"/>
              </w:rPr>
            </w:pPr>
            <w:r>
              <w:rPr>
                <w:rFonts w:ascii="Arial" w:cs="Arial" w:eastAsia="Arial" w:hAnsi="Arial"/>
                <w:sz w:val="14"/>
                <w:szCs w:val="14"/>
                <w:b w:val="1"/>
                <w:bCs w:val="1"/>
                <w:color w:val="auto"/>
                <w:w w:val="86"/>
              </w:rPr>
              <w:t>2009(a)</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60" w:type="dxa"/>
            <w:vAlign w:val="bottom"/>
            <w:gridSpan w:val="9"/>
          </w:tcPr>
          <w:p>
            <w:pPr>
              <w:jc w:val="center"/>
              <w:ind w:right="740"/>
              <w:spacing w:after="0" w:line="142" w:lineRule="exact"/>
              <w:rPr>
                <w:sz w:val="20"/>
                <w:szCs w:val="20"/>
                <w:color w:val="auto"/>
              </w:rPr>
            </w:pPr>
            <w:r>
              <w:rPr>
                <w:rFonts w:ascii="Arial" w:cs="Arial" w:eastAsia="Arial" w:hAnsi="Arial"/>
                <w:sz w:val="14"/>
                <w:szCs w:val="14"/>
                <w:b w:val="1"/>
                <w:bCs w:val="1"/>
                <w:color w:val="auto"/>
                <w:w w:val="86"/>
              </w:rPr>
              <w:t>(In millions, except per share amounts)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13,378</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12,515</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w w:val="83"/>
              </w:rPr>
              <w:t>11,791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13,388</w:t>
            </w:r>
          </w:p>
        </w:tc>
        <w:tc>
          <w:tcPr>
            <w:tcW w:w="6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8,541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7,824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7,241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8,466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1,364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1,229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1,166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1,238</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w w:val="95"/>
              </w:rPr>
              <w:t>(Income) expense from divestitures, asset impairments and unusual items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10,399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9,904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11,154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11,056</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2,028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2,116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1,887</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2,234</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1,631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1,473</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1,797</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1,060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1,128</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961</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994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1,087</w:t>
            </w:r>
          </w:p>
        </w:tc>
        <w:tc>
          <w:tcPr>
            <w:tcW w:w="6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2.04</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2.01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2.19</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6,672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6,021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5,870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5,620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22,569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21,476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3"/>
              </w:rPr>
              <w:t>21,154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20,227</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Debt, including current portion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9,756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8,907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8,873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8,326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Waste Management, Inc. stockholders’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6,285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6,390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6,591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6,591</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6,185</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8" w:lineRule="exact"/>
        <w:rPr>
          <w:sz w:val="20"/>
          <w:szCs w:val="20"/>
          <w:color w:val="auto"/>
        </w:rPr>
      </w:pPr>
    </w:p>
    <w:p>
      <w:pPr>
        <w:ind w:left="460" w:right="400" w:hanging="452"/>
        <w:spacing w:after="0" w:line="306"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For more information regarding these financial data, see the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section included in this report. For disclosures associated with the impact of the adoption of new accounting pronouncements and changes in our accounting policies on the comparability of this information, see Note 2 of the Consolidated Financial Statements.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This section includes a discussion of our results of operations for the three years ended December 31, 2011. This discussion may contain forward-looking statements that anticipate results based on management’s plans that are subject to uncertainty. We discuss in more detail various factors that could cause actual results to differ from expectations in Item 1A, </w:t>
      </w:r>
      <w:r>
        <w:rPr>
          <w:rFonts w:ascii="Arial" w:cs="Arial" w:eastAsia="Arial" w:hAnsi="Arial"/>
          <w:sz w:val="18"/>
          <w:szCs w:val="18"/>
          <w:i w:val="1"/>
          <w:iCs w:val="1"/>
          <w:color w:val="auto"/>
        </w:rPr>
        <w:t>Risk Factors</w:t>
      </w:r>
      <w:r>
        <w:rPr>
          <w:rFonts w:ascii="Arial" w:cs="Arial" w:eastAsia="Arial" w:hAnsi="Arial"/>
          <w:sz w:val="18"/>
          <w:szCs w:val="18"/>
          <w:color w:val="auto"/>
        </w:rPr>
        <w:t>. The following discussion should be read in light of that disclosure and together with the Consolidated Financial Statements and the notes to the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Our Company is dedicated to three transformational goals that we believe will drive continued growth and leadership in a dynamic industry: know more about our customers and how to service them than anyone else; use conversion and processing technology to extract more value from the materials we manage; and continuously improve our operational efficiency. Our strategy supports diversion from landfills and converting waste into valuable products as customers seek more economically and environmentally sound alternatives. We intend to pursue achievement of our long-term goals in the short-term through efforts to:</w:t>
      </w:r>
    </w:p>
    <w:p>
      <w:pPr>
        <w:spacing w:after="0" w:line="17" w:lineRule="exact"/>
        <w:rPr>
          <w:sz w:val="20"/>
          <w:szCs w:val="20"/>
          <w:color w:val="auto"/>
        </w:rPr>
      </w:pPr>
    </w:p>
    <w:p>
      <w:pPr>
        <w:ind w:left="700" w:hanging="246"/>
        <w:spacing w:after="0" w:line="268"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 our markets by implementing customer-focused growth, through customer segmentation and through strategic acquisitions, while maintaining our pricing discipline and increasing the amount of recyclable materials we manage each year;</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 our customer loyalty;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 into new markets by investing in greener technologies;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Pursue initiatives that improve our operations and cost structure.</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These efforts will be supported by ongoing improvements in information technologies. We believe that execution of our strategy will provide long-term value to our stockholders.</w:t>
      </w:r>
    </w:p>
    <w:p>
      <w:pPr>
        <w:spacing w:after="0" w:line="51"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Our 2011 results of operations reflect the impact of improved recyclable commodity prices and recycling volumes, our discipline in pricing and our continued investment in our strategic initiatives, including our July 28, 2011 acquisition of the primary operations of Oakleaf Global Holdings (“Oakleaf”). Highlights of our financial results for 2011 include:</w:t>
      </w:r>
    </w:p>
    <w:p>
      <w:pPr>
        <w:spacing w:after="0" w:line="59" w:lineRule="exact"/>
        <w:rPr>
          <w:sz w:val="20"/>
          <w:szCs w:val="20"/>
          <w:color w:val="auto"/>
        </w:rPr>
      </w:pPr>
    </w:p>
    <w:p>
      <w:pPr>
        <w:ind w:left="700" w:right="60" w:hanging="246"/>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Revenues of $13.4 billion compared with $12.5 billion in 2010, an increase of $863 million, or 6.9%. This increase in revenues is primarily attributable to:</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Internal revenue growth from yield on our collection and disposal business of 1.8% in the current period, which increased revenue by $193 million;</w:t>
      </w:r>
    </w:p>
    <w:p>
      <w:pPr>
        <w:spacing w:after="0" w:line="113" w:lineRule="exact"/>
        <w:rPr>
          <w:rFonts w:ascii="Arial" w:cs="Arial" w:eastAsia="Arial" w:hAnsi="Arial"/>
          <w:sz w:val="16"/>
          <w:szCs w:val="16"/>
          <w:color w:val="auto"/>
        </w:rPr>
      </w:pPr>
    </w:p>
    <w:p>
      <w:pPr>
        <w:ind w:left="920" w:right="280" w:hanging="237"/>
        <w:spacing w:after="0" w:line="268" w:lineRule="auto"/>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Increases from recyclable commodity prices of $216 million; increases primarily from our fuel surcharge program of $169 million; and increases from foreign currency translation of $31 million; and</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Increases associated with acquired businesses of $449 million, of which $251 million was related to Oakleaf;</w:t>
      </w:r>
    </w:p>
    <w:p>
      <w:pPr>
        <w:spacing w:after="0" w:line="90" w:lineRule="exact"/>
        <w:rPr>
          <w:rFonts w:ascii="Arial" w:cs="Arial" w:eastAsia="Arial" w:hAnsi="Arial"/>
          <w:sz w:val="18"/>
          <w:szCs w:val="18"/>
          <w:color w:val="auto"/>
        </w:rPr>
      </w:pPr>
    </w:p>
    <w:p>
      <w:pPr>
        <w:ind w:left="700" w:right="20" w:hanging="246"/>
        <w:spacing w:after="0" w:line="256"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Internal revenue growth from volume was negative 1.5% in 2011, compared with negative 2.6% in 2010. The year-over-year decline in internal revenue growth due to volume was $187 million, of which $94 million relates to the oil spill clean-up project along the Gulf Coast in 2010. Revenue declines due to volume from our collection and waste-to-energy businesses were offset in part by revenue increases from our recycling brokerage business and our material recovery facilities;</w:t>
      </w:r>
    </w:p>
    <w:p>
      <w:pPr>
        <w:spacing w:after="0" w:line="62" w:lineRule="exact"/>
        <w:rPr>
          <w:rFonts w:ascii="Arial" w:cs="Arial" w:eastAsia="Arial" w:hAnsi="Arial"/>
          <w:sz w:val="18"/>
          <w:szCs w:val="18"/>
          <w:color w:val="auto"/>
        </w:rPr>
      </w:pPr>
    </w:p>
    <w:p>
      <w:pPr>
        <w:ind w:left="700" w:right="100" w:hanging="246"/>
        <w:spacing w:after="0" w:line="298"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expenses of $8.5 billion, or 63.8% of revenues, compared with $7.8 billion, or 62.5% of revenues, in 2010. This increase of $717 million, or 9.2%, is due primarily to higher customer rebates related to increased recyclable commodity prices and volumes; the impact of higher fuel prices on direct fuel costs and indirect fuel costs included in subcontractor costs; and further increases in subcontractor costs associated in large part with our acquisition of Oakleaf, all of which have related revenue increases as noted above;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20" w:hanging="246"/>
        <w:spacing w:after="0" w:line="306"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Selling, general and administrative expenses increased $90 million, or 6.2%, from $1,461 million in 2010 to $1,551 million in 2011, primarily due to costs incurred to support our strategic growth plans and initiatives, including our acquisition of Oakleaf, and cost savings programs. We began to see the associated benefits of our cost savings programs in the second half of the year and expect the benefits to increase throughout 2012;</w:t>
      </w:r>
    </w:p>
    <w:p>
      <w:pPr>
        <w:spacing w:after="0" w:line="25" w:lineRule="exact"/>
        <w:rPr>
          <w:rFonts w:ascii="Arial" w:cs="Arial" w:eastAsia="Arial" w:hAnsi="Arial"/>
          <w:sz w:val="16"/>
          <w:szCs w:val="16"/>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from operations of $2.0 billion, or 15.2% of revenues, in 2011 compared with $2.1 billion, or 16.9% of revenues, in 2010;</w:t>
      </w:r>
    </w:p>
    <w:p>
      <w:pPr>
        <w:spacing w:after="0" w:line="90" w:lineRule="exact"/>
        <w:rPr>
          <w:rFonts w:ascii="Arial" w:cs="Arial" w:eastAsia="Arial" w:hAnsi="Arial"/>
          <w:sz w:val="18"/>
          <w:szCs w:val="18"/>
          <w:color w:val="auto"/>
        </w:rPr>
      </w:pPr>
    </w:p>
    <w:p>
      <w:pPr>
        <w:ind w:left="700" w:right="22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$961 million, or $2.04 per diluted share for 2011, as compared with $953 million, or $1.98 per diluted share in 2010.</w:t>
      </w:r>
    </w:p>
    <w:p>
      <w:pPr>
        <w:spacing w:after="0" w:line="50" w:lineRule="exact"/>
        <w:rPr>
          <w:rFonts w:ascii="Arial" w:cs="Arial" w:eastAsia="Arial" w:hAnsi="Arial"/>
          <w:sz w:val="18"/>
          <w:szCs w:val="18"/>
          <w:color w:val="auto"/>
        </w:rPr>
      </w:pPr>
    </w:p>
    <w:p>
      <w:pPr>
        <w:ind w:left="700" w:right="12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cash provided by operating activities increased 8.5% from $2.3 billion in 2010 to $2.5 billion in 2011. We returned $1.2 billion to our shareholders through dividends and share repurchases in 2011, compared with $1.1 billion in 2010.</w:t>
      </w:r>
    </w:p>
    <w:p>
      <w:pPr>
        <w:spacing w:after="0" w:line="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explanation of certain notable items that impacted the comparability of our 2011 results with 2010 has been provided to support investors’ understanding of our performance. Our 2011 results were affected by the following:</w:t>
      </w:r>
    </w:p>
    <w:p>
      <w:pPr>
        <w:spacing w:after="0" w:line="51" w:lineRule="exact"/>
        <w:rPr>
          <w:sz w:val="20"/>
          <w:szCs w:val="20"/>
          <w:color w:val="auto"/>
        </w:rPr>
      </w:pPr>
    </w:p>
    <w:p>
      <w:pPr>
        <w:ind w:left="700" w:hanging="246"/>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recognition of a pre-tax charge of $24 million as a result of a litigation loss, which had a negative impact of $0.03 on our diluted earnings per share;</w:t>
      </w:r>
    </w:p>
    <w:p>
      <w:pPr>
        <w:spacing w:after="0" w:line="113" w:lineRule="exact"/>
        <w:rPr>
          <w:rFonts w:ascii="Arial" w:cs="Arial" w:eastAsia="Arial" w:hAnsi="Arial"/>
          <w:sz w:val="16"/>
          <w:szCs w:val="16"/>
          <w:color w:val="auto"/>
        </w:rPr>
      </w:pPr>
    </w:p>
    <w:p>
      <w:pPr>
        <w:jc w:val="both"/>
        <w:ind w:left="700" w:right="340" w:hanging="246"/>
        <w:spacing w:after="0" w:line="259"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recognition of pre-tax restructuring charges, excluding charges recognized in the operating results of Oakleaf, of $17 million related to our cost savings programs. These charges were primarily related to employee severance and benefit costs and had a negative impact of $0.02 on our diluted earnings per share;</w:t>
      </w:r>
    </w:p>
    <w:p>
      <w:pPr>
        <w:spacing w:after="0" w:line="59" w:lineRule="exact"/>
        <w:rPr>
          <w:rFonts w:ascii="Arial" w:cs="Arial" w:eastAsia="Arial" w:hAnsi="Arial"/>
          <w:sz w:val="18"/>
          <w:szCs w:val="18"/>
          <w:color w:val="auto"/>
        </w:rPr>
      </w:pPr>
    </w:p>
    <w:p>
      <w:pPr>
        <w:ind w:left="700" w:right="200" w:hanging="246"/>
        <w:spacing w:after="0" w:line="332"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reduction in pre-tax earnings of approximately $11 million related to the Oakleaf acquisition, which includes the operating results of Oakleaf and related interest expense and integration costs. These items had a negative impact of $0.01 on our diluted earnings per share;</w:t>
      </w:r>
    </w:p>
    <w:p>
      <w:pPr>
        <w:spacing w:after="0" w:line="4" w:lineRule="exact"/>
        <w:rPr>
          <w:rFonts w:ascii="Arial" w:cs="Arial" w:eastAsia="Arial" w:hAnsi="Arial"/>
          <w:sz w:val="16"/>
          <w:szCs w:val="16"/>
          <w:color w:val="auto"/>
        </w:rPr>
      </w:pPr>
    </w:p>
    <w:p>
      <w:pPr>
        <w:ind w:left="700" w:right="240" w:hanging="246"/>
        <w:spacing w:after="0" w:line="268"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recognition of a favorable pre-tax benefit of $9 million from a revision to an environmental remediation liability at a closed landfill, which had a positive impact of $0.01 on our diluted earnings per share;</w:t>
      </w:r>
    </w:p>
    <w:p>
      <w:pPr>
        <w:spacing w:after="0" w:line="50" w:lineRule="exact"/>
        <w:rPr>
          <w:rFonts w:ascii="Arial" w:cs="Arial" w:eastAsia="Arial" w:hAnsi="Arial"/>
          <w:sz w:val="18"/>
          <w:szCs w:val="18"/>
          <w:color w:val="auto"/>
        </w:rPr>
      </w:pPr>
    </w:p>
    <w:p>
      <w:pPr>
        <w:ind w:left="700" w:right="540" w:hanging="246"/>
        <w:spacing w:after="0" w:line="268"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recognition of non-cash, pre-tax asset impairment charges of $9 million primarily related to two of our medical waste services facilities. The impairment charges had a negative impact of $0.01 on our diluted earnings per share; and</w:t>
      </w:r>
    </w:p>
    <w:p>
      <w:pPr>
        <w:spacing w:after="0" w:line="50" w:lineRule="exact"/>
        <w:rPr>
          <w:rFonts w:ascii="Arial" w:cs="Arial" w:eastAsia="Arial" w:hAnsi="Arial"/>
          <w:sz w:val="18"/>
          <w:szCs w:val="18"/>
          <w:color w:val="auto"/>
        </w:rPr>
      </w:pPr>
    </w:p>
    <w:p>
      <w:pPr>
        <w:ind w:left="700" w:right="180" w:hanging="246"/>
        <w:spacing w:after="0" w:line="268"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recognition of a tax benefit of $19 million due to favorable tax audit settlements and favorable adjustments relating to the finalization of our 2010 tax returns. These items had a positive impact of $0.04 on our diluted earnings per share.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2010 results were affected by the following:</w:t>
      </w:r>
    </w:p>
    <w:p>
      <w:pPr>
        <w:spacing w:after="0" w:line="90" w:lineRule="exact"/>
        <w:rPr>
          <w:sz w:val="20"/>
          <w:szCs w:val="20"/>
          <w:color w:val="auto"/>
        </w:rPr>
      </w:pPr>
    </w:p>
    <w:p>
      <w:pPr>
        <w:ind w:left="700" w:right="12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recognition of pre-tax charges aggregating $55 million related to remediation and closure costs at five closed sites, which had a negative impact of $0.07 on our diluted earnings per share;</w:t>
      </w:r>
    </w:p>
    <w:p>
      <w:pPr>
        <w:spacing w:after="0" w:line="50" w:lineRule="exact"/>
        <w:rPr>
          <w:rFonts w:ascii="Arial" w:cs="Arial" w:eastAsia="Arial" w:hAnsi="Arial"/>
          <w:sz w:val="18"/>
          <w:szCs w:val="18"/>
          <w:color w:val="auto"/>
        </w:rPr>
      </w:pPr>
    </w:p>
    <w:p>
      <w:pPr>
        <w:ind w:left="700" w:right="100" w:hanging="246"/>
        <w:spacing w:after="0" w:line="357" w:lineRule="auto"/>
        <w:tabs>
          <w:tab w:leader="none" w:pos="7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recognition of net tax charges of $32 million due to refinements in estimates of our deferred state income taxes and the finalization of our 2009 tax returns, partially offset by favorable tax audit settlements, all of which, combined, had a negative impact of $0.07 on our diluted earnings per share;</w:t>
      </w:r>
    </w:p>
    <w:p>
      <w:pPr>
        <w:ind w:left="70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recognition of a net favorable pre-tax benefit of $46 million for litigation and associated costs, which had a favorable impact of $0.06 on our diluted earnings per share; and</w:t>
      </w:r>
    </w:p>
    <w:p>
      <w:pPr>
        <w:spacing w:after="0" w:line="50" w:lineRule="exact"/>
        <w:rPr>
          <w:rFonts w:ascii="Arial" w:cs="Arial" w:eastAsia="Arial" w:hAnsi="Arial"/>
          <w:sz w:val="18"/>
          <w:szCs w:val="18"/>
          <w:color w:val="auto"/>
        </w:rPr>
      </w:pPr>
    </w:p>
    <w:p>
      <w:pPr>
        <w:ind w:left="700" w:right="64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recognition of net pre-tax charges of $26 million as a result of the withdrawal of certain of our union bargaining units from an underfunded multiemployer pension plan, which had a negative impact of $0.03 on our diluted earnings per share.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finished 2011 on a positive note with strong fourth quarter results that we intend to build upon going into 2012. Our employees are focused on continuing the progress that we have made on our strategic growth initiatives and cost savings programs. In 2012, we expect to continue to accomplish our goals of growing our revenue, expanding our operating margins, increasing our return on invested capital and returning cash to our shareholders.</w:t>
      </w:r>
    </w:p>
    <w:p>
      <w:pPr>
        <w:spacing w:after="0" w:line="2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Free Cash Flow </w:t>
      </w:r>
      <w:r>
        <w:rPr>
          <w:rFonts w:ascii="Arial" w:cs="Arial" w:eastAsia="Arial" w:hAnsi="Arial"/>
          <w:sz w:val="16"/>
          <w:szCs w:val="16"/>
          <w:color w:val="auto"/>
        </w:rPr>
        <w:t>— As is our practice, we are presenting free cash flow, which is a non-GAAP measure of liquidity, in our disclosures because we use this</w:t>
      </w:r>
      <w:r>
        <w:rPr>
          <w:rFonts w:ascii="Arial" w:cs="Arial" w:eastAsia="Arial" w:hAnsi="Arial"/>
          <w:sz w:val="16"/>
          <w:szCs w:val="16"/>
          <w:i w:val="1"/>
          <w:iCs w:val="1"/>
          <w:color w:val="auto"/>
        </w:rPr>
        <w:t xml:space="preserve"> </w:t>
      </w:r>
      <w:r>
        <w:rPr>
          <w:rFonts w:ascii="Arial" w:cs="Arial" w:eastAsia="Arial" w:hAnsi="Arial"/>
          <w:sz w:val="16"/>
          <w:szCs w:val="16"/>
          <w:color w:val="auto"/>
        </w:rPr>
        <w:t>measure in the evaluation and management of our business. We define free cash flow as net cash provided by operating activities, less capital expenditures, plus proceeds from divestitures of businesses (net of cash divested) and other sales of assets.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we believe free cash flow gives investors greater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3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the same as similarly-titled measures presented by other companies: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Years Ended</w:t>
            </w: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8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$ 2,469</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900" w:type="dxa"/>
            <w:vAlign w:val="bottom"/>
            <w:gridSpan w:val="4"/>
          </w:tcPr>
          <w:p>
            <w:pPr>
              <w:jc w:val="right"/>
              <w:ind w:right="300"/>
              <w:spacing w:after="0"/>
              <w:rPr>
                <w:sz w:val="20"/>
                <w:szCs w:val="20"/>
                <w:color w:val="auto"/>
              </w:rPr>
            </w:pPr>
            <w:r>
              <w:rPr>
                <w:rFonts w:ascii="Arial" w:cs="Arial" w:eastAsia="Arial" w:hAnsi="Arial"/>
                <w:sz w:val="18"/>
                <w:szCs w:val="18"/>
                <w:color w:val="auto"/>
              </w:rPr>
              <w:t>(1,324)</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(1,104)</w:t>
            </w:r>
          </w:p>
        </w:tc>
      </w:tr>
      <w:tr>
        <w:trPr>
          <w:trHeight w:val="216"/>
        </w:trPr>
        <w:tc>
          <w:tcPr>
            <w:tcW w:w="46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divestitures of businesses (net of cash divested) and other sales of assets (a)</w:t>
            </w: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22"/>
        </w:trPr>
        <w:tc>
          <w:tcPr>
            <w:tcW w:w="9100" w:type="dxa"/>
            <w:vAlign w:val="bottom"/>
            <w:gridSpan w:val="3"/>
          </w:tcPr>
          <w:p>
            <w:pPr>
              <w:ind w:left="460"/>
              <w:spacing w:after="0"/>
              <w:rPr>
                <w:sz w:val="20"/>
                <w:szCs w:val="20"/>
                <w:color w:val="auto"/>
              </w:rPr>
            </w:pPr>
            <w:r>
              <w:rPr>
                <w:rFonts w:ascii="Arial" w:cs="Arial" w:eastAsia="Arial" w:hAnsi="Arial"/>
                <w:sz w:val="18"/>
                <w:szCs w:val="18"/>
                <w:color w:val="auto"/>
              </w:rPr>
              <w:t>Free cash flow</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$ 1,198</w:t>
            </w:r>
          </w:p>
        </w:tc>
        <w:tc>
          <w:tcPr>
            <w:tcW w:w="32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$ 1,215</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73" w:lineRule="exact"/>
        <w:rPr>
          <w:sz w:val="20"/>
          <w:szCs w:val="20"/>
          <w:color w:val="auto"/>
        </w:rPr>
      </w:pPr>
    </w:p>
    <w:p>
      <w:pPr>
        <w:ind w:left="460" w:right="2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Proceeds from divestitures of businesses for the year ended December 31, 2011 included the receipt of a payment of $17 million related to a note receivable from a prior year divestiture. This repayment is included as a component of “Other” within “Cash flows from investing activities” in our Consolidated Statement of Cash Flows.</w:t>
      </w:r>
    </w:p>
    <w:p>
      <w:pPr>
        <w:spacing w:after="0" w:line="5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When comparing our cash flows from operating activities for the year ended December 31, 2011 to the comparable period in 2010, the change is primarily attributable to decreases in our income tax payments, which have positively affected our cash flow from operations this year, as well as a cash payment of $37 million made when our Canadian hedges matured in December 2010. This current year increase was partially offset by a favorable cash benefit of $77 million resulting from a litigation settlement in April 2010 and a $65 million federal tax refund in the third quarter of 2010 related to the liquidation of a foreign subsidiary in 2009.</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increase in capital expenditures is a result of our increased spending on natural gas vehicles and fueling infrastructure, information technology infrastructure and growth initiatives, as well as our taking advantage of bonus depreciation. The year-over-year increase in capital expenditures was also affected by timing differences associated with cash payments for the previous years’ fourth quarter capital spending. We generally use a significant portion of our free cash flow on capital spending in the fourth quarter of each year. A more significant portion of our fourth quarter 2010 spending was paid in cash in 2011 than in the preceding year.</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ability to generate $1.2 billion in free cash flow in 2011 enabled us to return $1.2 billion in cash to stockholders during the year through the payment of $637 million in dividends and the repurchase of $575 million of our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Acquisition of Oakleaf Global Holdings </w:t>
      </w:r>
      <w:r>
        <w:rPr>
          <w:rFonts w:ascii="Arial" w:cs="Arial" w:eastAsia="Arial" w:hAnsi="Arial"/>
          <w:sz w:val="16"/>
          <w:szCs w:val="16"/>
          <w:color w:val="auto"/>
        </w:rPr>
        <w:t>— On July 28, 2011, we paid $432 million, net of cash received of $4 million and inclusive of certain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to acquire Oakleaf. Oakleaf provides outsourced waste and recycling services through a nationwide network of third-party haulers. The operations we acquired generated approximately $580 million in revenues in 2010. We acquired Oakleaf to advance our growth and transformation strategies and increase our national accounts customer base while enhancing our ability to provide comprehensive environmental solutions. For the year ended December 31, 2011, we incurred</w:t>
      </w:r>
    </w:p>
    <w:p>
      <w:pPr>
        <w:spacing w:after="0" w:line="3"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$1 million of acquisition-related costs, which are classified as “Selling, general and administrative” expenses. Since the acquisition date, Oakleaf has recognized revenues of $265 million and net income of less than $1 million, which are included in our Consolidated Statement of Operations.</w:t>
      </w:r>
    </w:p>
    <w:p>
      <w:pPr>
        <w:spacing w:after="0" w:line="12" w:lineRule="exact"/>
        <w:rPr>
          <w:sz w:val="20"/>
          <w:szCs w:val="20"/>
          <w:color w:val="auto"/>
        </w:rPr>
      </w:pPr>
    </w:p>
    <w:p>
      <w:pPr>
        <w:ind w:right="600" w:firstLine="456"/>
        <w:spacing w:after="0" w:line="331" w:lineRule="auto"/>
        <w:rPr>
          <w:sz w:val="20"/>
          <w:szCs w:val="20"/>
          <w:color w:val="auto"/>
        </w:rPr>
      </w:pPr>
      <w:r>
        <w:rPr>
          <w:rFonts w:ascii="Arial" w:cs="Arial" w:eastAsia="Arial" w:hAnsi="Arial"/>
          <w:sz w:val="16"/>
          <w:szCs w:val="16"/>
          <w:color w:val="auto"/>
        </w:rPr>
        <w:t>The following table shows adjustments to the preliminary allocation of the purchase price of Oakleaf to tangible and intangible assets acquired and liabilities assumed based on their estimated fair value from September 30, 2011 to December 31, 2011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4"/>
                <w:szCs w:val="14"/>
                <w:b w:val="1"/>
                <w:bCs w:val="1"/>
                <w:color w:val="auto"/>
              </w:rPr>
              <w:t>September 30, 2011</w:t>
            </w:r>
          </w:p>
        </w:tc>
        <w:tc>
          <w:tcPr>
            <w:tcW w:w="5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Adjustments (a)</w:t>
            </w:r>
          </w:p>
        </w:tc>
        <w:tc>
          <w:tcPr>
            <w:tcW w:w="5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and other receivables</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(80)</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(48)</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8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purchase price</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880" w:type="dxa"/>
            <w:vAlign w:val="bottom"/>
            <w:gridSpan w:val="2"/>
            <w:vMerge w:val="continue"/>
          </w:tcPr>
          <w:p>
            <w:pPr>
              <w:spacing w:after="0"/>
              <w:rPr>
                <w:sz w:val="19"/>
                <w:szCs w:val="19"/>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432</w:t>
            </w:r>
          </w:p>
        </w:tc>
        <w:tc>
          <w:tcPr>
            <w:tcW w:w="600" w:type="dxa"/>
            <w:vAlign w:val="bottom"/>
          </w:tcPr>
          <w:p>
            <w:pPr>
              <w:spacing w:after="0"/>
              <w:rPr>
                <w:sz w:val="19"/>
                <w:szCs w:val="19"/>
                <w:color w:val="auto"/>
              </w:rPr>
            </w:pP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 price adjustments relate primarily to changes in the valuation of the customer and vendor relationships and evaluation of physical and market conditions of equipment.</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following table presents the preliminary allocation of the purchase price to intangible assets (amounts in millions, except for amortization periods):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Amortization</w:t>
            </w:r>
          </w:p>
        </w:tc>
      </w:tr>
      <w:tr>
        <w:trPr>
          <w:trHeight w:val="161"/>
        </w:trPr>
        <w:tc>
          <w:tcPr>
            <w:tcW w:w="7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Amount</w:t>
            </w:r>
          </w:p>
        </w:tc>
        <w:tc>
          <w:tcPr>
            <w:tcW w:w="1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Periods (in Years)</w:t>
            </w:r>
          </w:p>
        </w:tc>
      </w:tr>
      <w:tr>
        <w:trPr>
          <w:trHeight w:val="210"/>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Vendor relationships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2180" w:type="dxa"/>
            <w:vAlign w:val="bottom"/>
            <w:gridSpan w:val="2"/>
          </w:tcPr>
          <w:p>
            <w:pPr>
              <w:jc w:val="center"/>
              <w:ind w:left="1032"/>
              <w:spacing w:after="0"/>
              <w:rPr>
                <w:sz w:val="20"/>
                <w:szCs w:val="20"/>
                <w:color w:val="auto"/>
              </w:rPr>
            </w:pPr>
            <w:r>
              <w:rPr>
                <w:rFonts w:ascii="Arial" w:cs="Arial" w:eastAsia="Arial" w:hAnsi="Arial"/>
                <w:sz w:val="18"/>
                <w:szCs w:val="18"/>
                <w:color w:val="auto"/>
                <w:w w:val="85"/>
              </w:rPr>
              <w:t>10.0</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18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5"/>
              </w:rPr>
              <w:t>15.0</w:t>
            </w:r>
          </w:p>
        </w:tc>
      </w:tr>
      <w:tr>
        <w:trPr>
          <w:trHeight w:val="222"/>
        </w:trPr>
        <w:tc>
          <w:tcPr>
            <w:tcW w:w="7840" w:type="dxa"/>
            <w:vAlign w:val="bottom"/>
          </w:tcPr>
          <w:p>
            <w:pPr>
              <w:ind w:left="220"/>
              <w:spacing w:after="0"/>
              <w:rPr>
                <w:sz w:val="20"/>
                <w:szCs w:val="20"/>
                <w:color w:val="auto"/>
              </w:rPr>
            </w:pPr>
            <w:r>
              <w:rPr>
                <w:rFonts w:ascii="Arial" w:cs="Arial" w:eastAsia="Arial" w:hAnsi="Arial"/>
                <w:sz w:val="18"/>
                <w:szCs w:val="18"/>
                <w:color w:val="auto"/>
              </w:rPr>
              <w:t>Total intangible assets subject to amortization</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180" w:type="dxa"/>
            <w:vAlign w:val="bottom"/>
            <w:gridSpan w:val="2"/>
          </w:tcPr>
          <w:p>
            <w:pPr>
              <w:jc w:val="center"/>
              <w:ind w:left="1032"/>
              <w:spacing w:after="0"/>
              <w:rPr>
                <w:sz w:val="20"/>
                <w:szCs w:val="20"/>
                <w:color w:val="auto"/>
              </w:rPr>
            </w:pPr>
            <w:r>
              <w:rPr>
                <w:rFonts w:ascii="Arial" w:cs="Arial" w:eastAsia="Arial" w:hAnsi="Arial"/>
                <w:sz w:val="18"/>
                <w:szCs w:val="18"/>
                <w:color w:val="auto"/>
                <w:w w:val="85"/>
              </w:rPr>
              <w:t>10.5</w:t>
            </w:r>
          </w:p>
        </w:tc>
      </w:tr>
      <w:tr>
        <w:trPr>
          <w:trHeight w:val="20"/>
        </w:trPr>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Goodwill of $327 million was calculated as the excess of the consideration paid over the net assets recognized and represents the future economic benefits arising from other assets acquired that could not be individually identified and separately recognized. Goodwill is a result of expected synergies from combining the Company’s operations with Oakleaf’s national accounts customer base and vendor network. The vendor-hauler network expands our partnership with third-party service providers. In many cases we can provide vendor-haulers with opportunities to maintain and increase their business by utilizing our extensive post-collection network. We believe this will generate significant benefits for the Company and for the vendor-haulers. Goodwill acquired has been allocated to our four geographic Groups based on our preliminary valuations. Goodwill related to this acquisition is not deductible for income tax purposes.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 of Oakleaf occurred at January 1, 2010 (in millions, except per share amounts):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18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83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$ 13,693</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13,059</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955</w:t>
            </w:r>
          </w:p>
        </w:tc>
        <w:tc>
          <w:tcPr>
            <w:tcW w:w="70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2.03</w:t>
            </w: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of Consolidated Financial Information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Goodwill Impairment Testing </w:t>
      </w:r>
      <w:r>
        <w:rPr>
          <w:rFonts w:ascii="Arial" w:cs="Arial" w:eastAsia="Arial" w:hAnsi="Arial"/>
          <w:sz w:val="16"/>
          <w:szCs w:val="16"/>
          <w:color w:val="auto"/>
        </w:rPr>
        <w:t>— In September 2011, the Financial Accounting Standards Board (“FASB”) amended authoritative guidance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impairment testing. The amended guidance provides companies the option to first assess qualitative factors to determine whether the existence of events or circumstances leads to a determination that it is more likely than not that the fair value of a reporting unit is less than its carrying amount before performing the two-step impairment test. If, after assessing the totality of events or circumstances, an entity determines it is not more likely than not that the fair value of a reporting unit is less than its carrying amount, then performing the two-step impairment test is unnecessary. The amendments are effective for goodwill impairment tests performed for fiscal years beginning after December 15, 2011; however, early adoption was permitted. The Company’s early adoption of this guidance in 2011 did not have an impact on our consolidated financial statements. Additional information on impairment testing can be found in Note 3 to the Consolidated Financial Statements.</w:t>
      </w:r>
    </w:p>
    <w:p>
      <w:pPr>
        <w:spacing w:after="0" w:line="3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Multiple-Deliverable Revenue Arrangements </w:t>
      </w:r>
      <w:r>
        <w:rPr>
          <w:rFonts w:ascii="Arial" w:cs="Arial" w:eastAsia="Arial" w:hAnsi="Arial"/>
          <w:sz w:val="16"/>
          <w:szCs w:val="16"/>
          <w:color w:val="auto"/>
        </w:rPr>
        <w:t>— In October 2009, the FASB amended authoritative guidance associated with multiple-deliverable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This amended guidance addresses the determination of when individual deliverables within an arrangement are required to be treated as separate units of accounting and modifies the manner in which consideration is allocated across the separately identifiable deliverables. The amendments to authoritative guidance associated with multiple-deliverable revenue arrangements became effective for the Company on January 1, 2011. The new accounting standard has been applied prospectively to arrangements entered into or materially modified after the date of adoption. The adoption of this guidance has not had a material impact on our consolidated financial statements.</w:t>
      </w:r>
    </w:p>
    <w:p>
      <w:pPr>
        <w:spacing w:after="0" w:line="3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Consolidation of Variable Interest Entities </w:t>
      </w:r>
      <w:r>
        <w:rPr>
          <w:rFonts w:ascii="Arial" w:cs="Arial" w:eastAsia="Arial" w:hAnsi="Arial"/>
          <w:sz w:val="16"/>
          <w:szCs w:val="16"/>
          <w:color w:val="auto"/>
        </w:rPr>
        <w:t>— In June 2009, the FASB issued revised authoritative guidance associated with the consolidation of variable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entities. The new guidance primarily uses a qualitative approach for determining whether an enterprise is the primary beneficiary of a variable interest entity and, is therefore, required to consolidate the entity. This new guidance generally defines the primary beneficiary as the entity that has (i) the power to direct the activities of the variable interest entity that can most significantly impact the entity’s performance and (ii) the obligation to absorb losses and the right to receive benefits from the variable interest entity that could be significant from the perspective of the entity. The new guidance also requires that we continually reassess whether we are the primary beneficiary of a variable interest entity rather than conducting a reassessment only upon the occurrence of specific events.</w:t>
      </w:r>
    </w:p>
    <w:p>
      <w:pPr>
        <w:spacing w:after="0" w:line="3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a result of our implementation of this guidance, effective January 1, 2010, we deconsolidated certain final capping, closure, post-closure and environmental remediation trusts because we share power over significant activities of these trusts with others. Our financial interests in these entities are discussed in Note 20. The deconsolidation of these trusts has not materially affected our financial position, results of operations or cash flows during the periods presented.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landfills, environmental remediation liabilities, asset impairments, deferred income taxes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Landfills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Accounting for landfills requires that significant estimates and assumptions be made regarding (i) the cost to construct and develop each landfill asset;</w:t>
      </w:r>
    </w:p>
    <w:p>
      <w:pPr>
        <w:spacing w:after="0" w:line="38" w:lineRule="exact"/>
        <w:rPr>
          <w:sz w:val="20"/>
          <w:szCs w:val="20"/>
          <w:color w:val="auto"/>
        </w:rPr>
      </w:pPr>
    </w:p>
    <w:p>
      <w:pPr>
        <w:ind w:firstLine="8"/>
        <w:spacing w:after="0" w:line="352" w:lineRule="auto"/>
        <w:tabs>
          <w:tab w:leader="none" w:pos="258"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estimated fair value of final capping, closure and post-closure asset retirement obligations, which must consider both the expected cost and timing of these activities; (iii) the determination of each landfill’s remaining permitted and expansion airspace; and (iv) the airspace associated with each final capping event.</w:t>
      </w:r>
    </w:p>
    <w:p>
      <w:pPr>
        <w:spacing w:after="0" w:line="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Landfill Costs </w:t>
      </w:r>
      <w:r>
        <w:rPr>
          <w:rFonts w:ascii="Arial" w:cs="Arial" w:eastAsia="Arial" w:hAnsi="Arial"/>
          <w:sz w:val="18"/>
          <w:szCs w:val="18"/>
          <w:color w:val="auto"/>
        </w:rPr>
        <w:t>— We estimate the total cost to develop each of our landfill sites to its remaining permitted and expansion capacity. This estimate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required landfill buffer property.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w:t>
      </w:r>
    </w:p>
    <w:p>
      <w:pPr>
        <w:spacing w:after="0" w:line="6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Final Capping Costs </w:t>
      </w:r>
      <w:r>
        <w:rPr>
          <w:rFonts w:ascii="Arial" w:cs="Arial" w:eastAsia="Arial" w:hAnsi="Arial"/>
          <w:sz w:val="16"/>
          <w:szCs w:val="16"/>
          <w:color w:val="auto"/>
        </w:rPr>
        <w:t>— We estimate the cost for each final capping event based on the area to be finally capped and the capping materials and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The estimates also consider when these costs would actually be paid and factor in inflation and discount rates. Our engineering personnel allocate final landfill capping costs to specific final capping events. The landfill capacity associated with each final capping event is then quantified and the final capping costs for each event are amortized over the related capacity associated with the event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asset, the adjustment to the asset must be amortized immediately through expense. When the change in estimate relates to a final capping event that has not been fully consumed, the adjustment to the asset is recognized in income prospectively as a component of landfill airspace amortization.</w:t>
      </w:r>
    </w:p>
    <w:p>
      <w:pPr>
        <w:spacing w:after="0" w:line="3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Closure and Post-Closure Costs </w:t>
      </w:r>
      <w:r>
        <w:rPr>
          <w:rFonts w:ascii="Arial" w:cs="Arial" w:eastAsia="Arial" w:hAnsi="Arial"/>
          <w:sz w:val="16"/>
          <w:szCs w:val="16"/>
          <w:color w:val="auto"/>
        </w:rPr>
        <w:t>— We base our estimates for closure and post-closure costs on our interpretations of permit and 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closure and post-closure monitoring and maintenance. The estimates for landfill closure and post-closure costs also consider when the costs would actually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asset, the adjustment to the asset must be amortized immediately through expense. When the change in estimate relates to a landfill asset that has not been fully consumed, the adjustment to the asset is recognized in income prospectively as a component of landfill airspace amortization.</w:t>
      </w:r>
    </w:p>
    <w:p>
      <w:pPr>
        <w:spacing w:after="0" w:line="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 Our engineers, in consultation with third-party engineering consultants and surveyors, are responsible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permitted airspace at our landfills. The remaining permitted airspace is determined by an annual survey, which is used to compare the existing landfill topography to the expected final landfill topography.</w:t>
      </w:r>
    </w:p>
    <w:p>
      <w:pPr>
        <w:spacing w:after="0" w:line="5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Expansion Airspace </w:t>
      </w:r>
      <w:r>
        <w:rPr>
          <w:rFonts w:ascii="Arial" w:cs="Arial" w:eastAsia="Arial" w:hAnsi="Arial"/>
          <w:sz w:val="18"/>
          <w:szCs w:val="18"/>
          <w:color w:val="auto"/>
        </w:rPr>
        <w:t>— We include currently unpermitted expansion airspace in our estimate of remaining permitted and expansion airspace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First, to include airspace associated with an expansion effort, we must generally expect the initial expansion permit application to be submitted within one year, and the final expansion permit to be received within five years. Second, we must believe the success of obtaining the expansion permit is likely, considering the following criteria:</w:t>
      </w:r>
    </w:p>
    <w:p>
      <w:pPr>
        <w:spacing w:after="0" w:line="62" w:lineRule="exact"/>
        <w:rPr>
          <w:sz w:val="20"/>
          <w:szCs w:val="20"/>
          <w:color w:val="auto"/>
        </w:rPr>
      </w:pPr>
    </w:p>
    <w:p>
      <w:pPr>
        <w:jc w:val="center"/>
        <w:ind w:left="5620" w:right="360" w:hanging="5166"/>
        <w:spacing w:after="0" w:line="440" w:lineRule="auto"/>
        <w:tabs>
          <w:tab w:leader="none" w:pos="691"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 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220" w:hanging="246"/>
        <w:spacing w:after="0" w:line="268"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likely that the approvals will be received within the normal application and processing time periods for approvals in the jurisdiction in which the landfill is located;</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90" w:lineRule="exact"/>
        <w:rPr>
          <w:rFonts w:ascii="Arial" w:cs="Arial" w:eastAsia="Arial" w:hAnsi="Arial"/>
          <w:sz w:val="18"/>
          <w:szCs w:val="18"/>
          <w:color w:val="auto"/>
        </w:rPr>
      </w:pPr>
    </w:p>
    <w:p>
      <w:pPr>
        <w:ind w:left="700" w:right="340" w:hanging="246"/>
        <w:spacing w:after="0" w:line="268"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impair the success of such expansion;</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Financial analysis has been completed, and the results demonstrate that the expansion has a positive financial and operational impact; and</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Airspace and related costs, including additional closure and post-closure costs, have been estimated based on conceptual design.</w:t>
      </w:r>
    </w:p>
    <w:p>
      <w:pPr>
        <w:spacing w:after="0" w:line="9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of our principal financial officer and a review by the Audit Committee of our Board of Directors on a quarterly basis. Of the 33 landfill sites with expansions at December 31, 2011, 11 landfills required the principal financial officer to approve the inclusion of the unpermitted airspace. Seven of these landfills required approval by our principal financial officer because of community or political opposition that could impede the expansion process. The remaining four landfills required approval primarily due to local zoning restrictions or because the permit application processes do not meet the one- or five-year requirements.</w:t>
      </w:r>
    </w:p>
    <w:p>
      <w:pPr>
        <w:spacing w:after="0" w:line="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 related to final capping, and closure and post-closure of the expansion in the amortization basis of the landfill.</w:t>
      </w:r>
    </w:p>
    <w:p>
      <w:pPr>
        <w:spacing w:after="0" w:line="59"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Once the remaining permitted and expansion airspace is determined in cubic yards, an airspace utilization factor, or AUF, is established to calculate the remaining permitted and expansion capacity in tons. The AUF is established using the measured density obtained from previous annual surveys and is then adjusted to account for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color w:val="auto"/>
        </w:rPr>
        <w:t>significantly, if it is determined that the expansion capacity should no longer be considered in calculating the recoverability of the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Environmental Remediation Liabilities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These liabilities include potentially responsible party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3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 for the likely remedy are then either developed using our internal resources or by third-party environmental engineers or other service providers. Internally developed estimates are based on:</w:t>
      </w:r>
    </w:p>
    <w:p>
      <w:pPr>
        <w:spacing w:after="0" w:line="35" w:lineRule="exact"/>
        <w:rPr>
          <w:sz w:val="20"/>
          <w:szCs w:val="20"/>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number, financial resources and relative degree of responsibility of other PRPs who may be liable for remediation of a specific site; and</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Impairments</w:t>
      </w:r>
    </w:p>
    <w:p>
      <w:pPr>
        <w:spacing w:after="0" w:line="90"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Our long-lived assets, including landfills and landfill expansions, are carried on our financial statements based on their cost less accumulated depreciation or amortization. We monitor the carrying value of our long-lived assets for potential impairment whenever events or changes in circumstances, including management decisions pertaining to such assets, indicate that their carrying amounts may not be recoverable. These events or changes in circumstances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generally determined by considering (i) internally developed discounted projected cash flow analysis of the asset or asset group; (ii) actual third-party valuations; and/or</w:t>
      </w:r>
    </w:p>
    <w:p>
      <w:pPr>
        <w:spacing w:after="0" w:line="4" w:lineRule="exact"/>
        <w:rPr>
          <w:sz w:val="20"/>
          <w:szCs w:val="20"/>
          <w:color w:val="auto"/>
        </w:rPr>
      </w:pPr>
    </w:p>
    <w:p>
      <w:pPr>
        <w:ind w:right="20" w:firstLine="8"/>
        <w:spacing w:after="0" w:line="253" w:lineRule="auto"/>
        <w:tabs>
          <w:tab w:leader="none" w:pos="3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available regarding the current market for similar assets. If the fair value of an asset or asset group is determined to be less than the carrying amount of the asset or asset group, an impairment in the amount of the difference is recorded in the period that the impairment indicator occurs and is included in the “(Income) expense from divestitures, asset impairments and unusual items” line item in our Consolidated Statement of Operations. Estimating future cash flows requires significant judgment and projections may vary from the cash flows eventually realized, which could impact our ability to accurately assess whether an asset has been impaired.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other considerations for impairments of landfills, goodwill and other indefinite-lived intangible assets, as described below.</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Landfills </w:t>
      </w:r>
      <w:r>
        <w:rPr>
          <w:rFonts w:ascii="Arial" w:cs="Arial" w:eastAsia="Arial" w:hAnsi="Arial"/>
          <w:sz w:val="16"/>
          <w:szCs w:val="16"/>
          <w:color w:val="auto"/>
        </w:rPr>
        <w:t>— The assessment of impairment indicators and the recoverability of our capitalized costs associated with landfills and related expansion projects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 At December 31, 2011, three of our landfill sites in two jurisdictions in the Company’s Midwest Group, for which we believe receipt of expansion permits is probable, had ceased accepting waste. The net recorded capitalized landfill asset cost for these three sites was $469 million at December 31, 2011. We performed tests of recoverability for these landfills and the undiscounted cash flows resulting from our probability-weighted estimation approach significantly exceeded the carrying values of each of these three sites.</w:t>
      </w:r>
    </w:p>
    <w:p>
      <w:pPr>
        <w:spacing w:after="0" w:line="4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Goodwill and Other Indefinite-Lived Intangible Assets </w:t>
      </w:r>
      <w:r>
        <w:rPr>
          <w:rFonts w:ascii="Arial" w:cs="Arial" w:eastAsia="Arial" w:hAnsi="Arial"/>
          <w:sz w:val="18"/>
          <w:szCs w:val="18"/>
          <w:color w:val="auto"/>
        </w:rPr>
        <w:t>— At least annually, and more frequently if warranted, we assess our goodwill and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for impairment.</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assess whether a goodwill impairment exists using both qualitative and quantitative assessments. Our qualitative assessment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a goodwill impairment exists at the reporting unit. The first step in our quantitative assessment identifies potential impairments by comparing the estimated fair value of each reporting unit to its carrying value, including goodwill. If the carrying value exceeds estimated fair value, there is an indication of potential impairment and the second step is performed to measure the amount of impairment. Fair value is typically estimated using an income approach or a combination of the income approach and market approach when applicable. The income approach is based on the long-term projected future cash flows of our reporting units. We discount the estimated cash flows to present value using a weighted-average cost of capital that considers factors such as market assumptions, the timing of the cash flows and the risks inherent in those cash flows. We believe that this approach is appropriate because it provides a fair value estimate based upon our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cash flows. We then apply that multiple to our reporting units’ cash flows to estimate their fair values. We believe that this approach is appropriate because it provides a fair value estimate using valuation inputs from entities with operations and economic characteristics comparable to our reporting units.</w:t>
      </w:r>
    </w:p>
    <w:p>
      <w:pPr>
        <w:spacing w:after="0" w:line="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Fair value computed by these two methods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these two methods provide a reasonable approach to estimating the fair value of our reporting units.</w:t>
      </w:r>
    </w:p>
    <w:p>
      <w:pPr>
        <w:spacing w:after="0" w:line="2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assess whether other indefinite-lived intangible asset impairments exist by comparing the fair value of the asset with its carrying value. Fair value is typically estimated using an income approach for the respective asset, as described above. If the carrying value exceeds estimated fair value, an impairment would be recognized in the amount of the excess.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Refer to Note 6 to the Consolidating Financial Statements for additional information related to goodwill impairment considerations made during the reported periods.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Income Taxes</w:t>
      </w:r>
    </w:p>
    <w:p>
      <w:pPr>
        <w:spacing w:after="0" w:line="90" w:lineRule="exact"/>
        <w:rPr>
          <w:sz w:val="20"/>
          <w:szCs w:val="20"/>
          <w:color w:val="auto"/>
        </w:rPr>
      </w:pPr>
    </w:p>
    <w:p>
      <w:pPr>
        <w:jc w:val="both"/>
        <w:ind w:right="60" w:firstLine="456"/>
        <w:spacing w:after="0" w:line="314" w:lineRule="auto"/>
        <w:rPr>
          <w:sz w:val="20"/>
          <w:szCs w:val="20"/>
          <w:color w:val="auto"/>
        </w:rPr>
      </w:pPr>
      <w:r>
        <w:rPr>
          <w:rFonts w:ascii="Arial" w:cs="Arial" w:eastAsia="Arial" w:hAnsi="Arial"/>
          <w:sz w:val="15"/>
          <w:szCs w:val="15"/>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Significant judgment is required in assessing the timing and amounts of deductible and taxable items. We establish reserves for uncertain tax positions when, despite our belief that our tax return positions are fully supportable, we believe that certain positions may be challenged and potentially disallowed. When facts and circumstances change, we adjust these reserves through our provision for income taxes.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Insured and Self-Insured Claims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have retained a significant portion of the risks related to our health and welfare, automobile, general liability and workers’ compensation insurance programs. Our liabilities associated with the exposure for unpaid claims and associated expenses, including incurred but not reported losses, are based on an actuarial valuation and internal estimates. The accruals for these liabilities could be revised if future occurrences or loss development significantly differ from our assumptions used. Estimated recoveries associated with our insured claims are recorded as assets when we believe that the receipt of such amounts is probable.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currently manage and evaluate our principal operations through five Groups. Our four geographic Groups, which are comprised of our Eastern, Midwest, Southern and Western Groups, provide collection, transfer, disposal (in both solid waste and hazardous waste landfills) and recycling services. Our fifth Group is the Wheelabrator Group, which provides waste-to-energy services and manages waste-to-energy facilities and independent power production plants. These five Groups are our reportable segments.</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also provide additional services that are not managed through our five Groups, including the Oakleaf operations we acquired on July 28, 2011, recycling brokerage services, electronic recycling services, in-plant services, landfill gas-to-energy services, integrated medical waste services and the impacts of investments that we are making in expanded service offerings and solutions. Part of our expansion of services includes offering portable self-storage services and fluorescent bulb and universal waste mail-back through our LampTracker</w:t>
      </w:r>
      <w:r>
        <w:rPr>
          <w:rFonts w:ascii="Arial" w:cs="Arial" w:eastAsia="Arial" w:hAnsi="Arial"/>
          <w:sz w:val="10"/>
          <w:szCs w:val="10"/>
          <w:color w:val="auto"/>
        </w:rPr>
        <w:t>®</w:t>
      </w:r>
      <w:r>
        <w:rPr>
          <w:rFonts w:ascii="Arial" w:cs="Arial" w:eastAsia="Arial" w:hAnsi="Arial"/>
          <w:sz w:val="16"/>
          <w:szCs w:val="16"/>
          <w:color w:val="auto"/>
        </w:rPr>
        <w:t xml:space="preserve"> program. In addition, we have made investments that involve the acquisition and development of interests in oil and gas producing properties. These operations are presented as “Other” in the table below. Shown below (in millions) is the contribution to revenues during each year provided by our five Groups and our Other services:</w:t>
      </w:r>
    </w:p>
    <w:p>
      <w:pPr>
        <w:spacing w:after="0" w:line="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8"/>
              </w:rPr>
              <w:t>Years Ended December 31,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1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Eastern</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Midwest</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3,213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Western</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3,282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Other</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1,532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(2,031)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(1,962)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(1,946)</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3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840" w:type="dxa"/>
            <w:vAlign w:val="bottom"/>
            <w:vMerge w:val="continue"/>
          </w:tcPr>
          <w:p>
            <w:pPr>
              <w:spacing w:after="0"/>
              <w:rPr>
                <w:sz w:val="19"/>
                <w:szCs w:val="19"/>
                <w:color w:val="auto"/>
              </w:rPr>
            </w:pPr>
          </w:p>
        </w:tc>
        <w:tc>
          <w:tcPr>
            <w:tcW w:w="3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13,378</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12,515</w:t>
            </w:r>
          </w:p>
        </w:tc>
        <w:tc>
          <w:tcPr>
            <w:tcW w:w="5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11,791</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560" w:type="dxa"/>
            <w:vAlign w:val="bottom"/>
            <w:vMerge w:val="restart"/>
          </w:tcPr>
          <w:p>
            <w:pPr>
              <w:jc w:val="right"/>
              <w:ind w:right="1432"/>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operating revenues generally come from fees charged for our collection, disposal, transfer, recycling and waste-to-energy services and from sales of commodities by our recycling, waste-to-energy and landfill gas-to-energy operations. Revenues from our collection operations are influenced by factors such as collection frequency, type of collection equipment furnished, type and volume or weight of the waste collected, distance to the disposal facility or MRF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 generally consists of tipping fees and the sale of recyclable commodities to third parties. The fees we charge for our collection, disposal, transfer and recycling services generally include fuel surcharges, which are indexed to current market costs for fuel. Our waste-to-energy revenues, which are generated by our Wheelabrator Group, are based on the type and weight or volume of waste received at our waste-to-energy facilities and IPPs and amounts charged for the sale of energy and steam. Our “Other” lines of business includes Oakleaf, our landfill gas-to-energy operations, Port-O-Let</w:t>
      </w:r>
      <w:r>
        <w:rPr>
          <w:rFonts w:ascii="Arial" w:cs="Arial" w:eastAsia="Arial" w:hAnsi="Arial"/>
          <w:sz w:val="10"/>
          <w:szCs w:val="10"/>
          <w:color w:val="auto"/>
        </w:rPr>
        <w:t>®</w:t>
      </w:r>
      <w:r>
        <w:rPr>
          <w:rFonts w:ascii="Arial" w:cs="Arial" w:eastAsia="Arial" w:hAnsi="Arial"/>
          <w:sz w:val="16"/>
          <w:szCs w:val="16"/>
          <w:color w:val="auto"/>
        </w:rPr>
        <w:t xml:space="preserve"> services, portable self-storage, fluorescent lamp recycling and oil and gas producing properties. Intercompany revenues between our operations have been eliminated in the consolidated financial statements. The mix of operating revenues from our major lines of business is reflected in the table below (in millions):</w:t>
      </w:r>
    </w:p>
    <w:p>
      <w:pPr>
        <w:spacing w:after="0" w:line="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Years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Collection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Landfill</w:t>
            </w:r>
          </w:p>
        </w:tc>
        <w:tc>
          <w:tcPr>
            <w:tcW w:w="100" w:type="dxa"/>
            <w:vAlign w:val="bottom"/>
          </w:tcPr>
          <w:p>
            <w:pPr>
              <w:spacing w:after="0"/>
              <w:rPr>
                <w:sz w:val="18"/>
                <w:szCs w:val="18"/>
                <w:color w:val="auto"/>
              </w:rPr>
            </w:pPr>
          </w:p>
        </w:tc>
        <w:tc>
          <w:tcPr>
            <w:tcW w:w="1000" w:type="dxa"/>
            <w:vAlign w:val="bottom"/>
            <w:gridSpan w:val="2"/>
          </w:tcPr>
          <w:p>
            <w:pPr>
              <w:jc w:val="right"/>
              <w:ind w:right="452"/>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2,540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889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1"/>
              </w:rPr>
              <w:t>(2,031)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(1,962)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(1,946)</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13,378</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12,515</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11,791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following table provides details associated with the period-to-period change in revenues (dollars in millions) along with an explanation of the significant components of the current period changes: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60" w:type="dxa"/>
            <w:vAlign w:val="bottom"/>
            <w:gridSpan w:val="4"/>
          </w:tcPr>
          <w:p>
            <w:pPr>
              <w:jc w:val="right"/>
              <w:ind w:right="1440"/>
              <w:spacing w:after="0"/>
              <w:rPr>
                <w:sz w:val="20"/>
                <w:szCs w:val="20"/>
                <w:color w:val="auto"/>
              </w:rPr>
            </w:pPr>
            <w:r>
              <w:rPr>
                <w:rFonts w:ascii="Arial" w:cs="Arial" w:eastAsia="Arial" w:hAnsi="Arial"/>
                <w:sz w:val="14"/>
                <w:szCs w:val="14"/>
                <w:b w:val="1"/>
                <w:bCs w:val="1"/>
                <w:color w:val="auto"/>
                <w:w w:val="91"/>
              </w:rPr>
              <w:t>Period-to-Period</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1"/>
              </w:rPr>
              <w:t>Period-to-Period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3"/>
          </w:tcPr>
          <w:p>
            <w:pPr>
              <w:jc w:val="right"/>
              <w:ind w:right="174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3"/>
          </w:tcPr>
          <w:p>
            <w:pPr>
              <w:jc w:val="right"/>
              <w:ind w:right="1560"/>
              <w:spacing w:after="0"/>
              <w:rPr>
                <w:sz w:val="20"/>
                <w:szCs w:val="20"/>
                <w:color w:val="auto"/>
              </w:rPr>
            </w:pPr>
            <w:r>
              <w:rPr>
                <w:rFonts w:ascii="Arial" w:cs="Arial" w:eastAsia="Arial" w:hAnsi="Arial"/>
                <w:sz w:val="14"/>
                <w:szCs w:val="14"/>
                <w:b w:val="1"/>
                <w:bCs w:val="1"/>
                <w:color w:val="auto"/>
                <w:w w:val="87"/>
              </w:rPr>
              <w:t>2011 vs. 2010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87"/>
              </w:rPr>
              <w:t>2010 vs. 2009</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9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yield(b)</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(187)</w:t>
            </w:r>
          </w:p>
        </w:tc>
        <w:tc>
          <w:tcPr>
            <w:tcW w:w="2360" w:type="dxa"/>
            <w:vAlign w:val="bottom"/>
            <w:gridSpan w:val="3"/>
          </w:tcPr>
          <w:p>
            <w:pPr>
              <w:jc w:val="right"/>
              <w:ind w:right="8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5"/>
              </w:rPr>
              <w:t>(304)</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385</w:t>
            </w:r>
          </w:p>
        </w:tc>
        <w:tc>
          <w:tcPr>
            <w:tcW w:w="23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420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449</w:t>
            </w:r>
          </w:p>
        </w:tc>
        <w:tc>
          <w:tcPr>
            <w:tcW w:w="2360" w:type="dxa"/>
            <w:vAlign w:val="bottom"/>
            <w:gridSpan w:val="3"/>
          </w:tcPr>
          <w:p>
            <w:pPr>
              <w:jc w:val="right"/>
              <w:ind w:right="9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rPr>
              <w:t>240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8"/>
                <w:szCs w:val="18"/>
                <w:color w:val="auto"/>
              </w:rPr>
            </w:pPr>
          </w:p>
        </w:tc>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31</w:t>
            </w:r>
          </w:p>
        </w:tc>
        <w:tc>
          <w:tcPr>
            <w:tcW w:w="2360" w:type="dxa"/>
            <w:vAlign w:val="bottom"/>
            <w:gridSpan w:val="3"/>
          </w:tcPr>
          <w:p>
            <w:pPr>
              <w:jc w:val="right"/>
              <w:ind w:right="9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rPr>
              <w:t>66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863</w:t>
            </w:r>
          </w:p>
        </w:tc>
        <w:tc>
          <w:tcPr>
            <w:tcW w:w="23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724</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Calculated by dividing the amount of current year increase or decrease by the prior year’s total company revenue adjusted to exclude the impacts of current year divestitures ($12,513 million and $11,789 million for 2011 and 2010, respectively).</w:t>
      </w:r>
    </w:p>
    <w:p>
      <w:pPr>
        <w:spacing w:after="0" w:line="23"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also analyze the changes in average yield in terms of related-business revenues in order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differentiate the changes in yield attributable to our pricing strategies from the changes that are caused by market-driven price changes in commodities. The following table summarizes changes in revenues from average yield on a related-business basis (dollars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jc w:val="center"/>
              <w:ind w:right="1000"/>
              <w:spacing w:after="0"/>
              <w:rPr>
                <w:sz w:val="20"/>
                <w:szCs w:val="20"/>
                <w:color w:val="auto"/>
              </w:rPr>
            </w:pPr>
            <w:r>
              <w:rPr>
                <w:rFonts w:ascii="Arial" w:cs="Arial" w:eastAsia="Arial" w:hAnsi="Arial"/>
                <w:sz w:val="14"/>
                <w:szCs w:val="14"/>
                <w:b w:val="1"/>
                <w:bCs w:val="1"/>
                <w:color w:val="auto"/>
                <w:w w:val="89"/>
              </w:rPr>
              <w:t>Period-to-Period</w:t>
            </w:r>
          </w:p>
        </w:tc>
        <w:tc>
          <w:tcPr>
            <w:tcW w:w="160" w:type="dxa"/>
            <w:vAlign w:val="bottom"/>
          </w:tcPr>
          <w:p>
            <w:pPr>
              <w:spacing w:after="0"/>
              <w:rPr>
                <w:sz w:val="14"/>
                <w:szCs w:val="14"/>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2"/>
              </w:rPr>
              <w:t>2011 vs. 2010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4"/>
              </w:rPr>
              <w:t>2010 vs. 2009</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Related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Related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680" w:type="dxa"/>
            <w:vAlign w:val="bottom"/>
          </w:tcPr>
          <w:p>
            <w:pPr>
              <w:spacing w:after="0"/>
              <w:rPr>
                <w:sz w:val="14"/>
                <w:szCs w:val="14"/>
                <w:color w:val="auto"/>
              </w:rPr>
            </w:pPr>
          </w:p>
        </w:tc>
        <w:tc>
          <w:tcPr>
            <w:tcW w:w="15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3"/>
              </w:rPr>
              <w:t>Business (i)</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Business (i)</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40" w:type="dxa"/>
            <w:vAlign w:val="bottom"/>
            <w:gridSpan w:val="2"/>
          </w:tcPr>
          <w:p>
            <w:pPr>
              <w:ind w:left="220"/>
              <w:spacing w:after="0"/>
              <w:rPr>
                <w:sz w:val="20"/>
                <w:szCs w:val="20"/>
                <w:color w:val="auto"/>
              </w:rPr>
            </w:pPr>
            <w:r>
              <w:rPr>
                <w:rFonts w:ascii="Arial" w:cs="Arial" w:eastAsia="Arial" w:hAnsi="Arial"/>
                <w:sz w:val="18"/>
                <w:szCs w:val="18"/>
                <w:color w:val="auto"/>
              </w:rPr>
              <w:t>Collection, landfill and transfer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2180" w:type="dxa"/>
            <w:vAlign w:val="bottom"/>
            <w:gridSpan w:val="3"/>
          </w:tcPr>
          <w:p>
            <w:pPr>
              <w:jc w:val="right"/>
              <w:ind w:right="70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218</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Waste-to-energy disposal(ii)</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1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Collection and disposal(ii)</w:t>
            </w: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1.8</w:t>
            </w: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239</w:t>
            </w:r>
          </w:p>
        </w:tc>
        <w:tc>
          <w:tcPr>
            <w:tcW w:w="1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423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Electricity(ii)</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180" w:type="dxa"/>
            <w:vAlign w:val="bottom"/>
            <w:gridSpan w:val="3"/>
          </w:tcPr>
          <w:p>
            <w:pPr>
              <w:jc w:val="right"/>
              <w:ind w:right="78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4.6</w:t>
            </w: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74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572</w:t>
            </w:r>
          </w:p>
        </w:tc>
        <w:tc>
          <w:tcPr>
            <w:tcW w:w="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724</w:t>
            </w:r>
          </w:p>
        </w:tc>
        <w:tc>
          <w:tcPr>
            <w:tcW w:w="1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right="22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related business revenue, adjusted to exclude the impacts of divestitures for the current year. The table below summarizes the related business revenues for each year, adjusted to exclude the impacts of divestitures (in millions):</w:t>
      </w:r>
    </w:p>
    <w:p>
      <w:pPr>
        <w:spacing w:after="0" w:line="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Denominator</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Related-business revenues:</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Collection, landfill and transfer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79"/>
              </w:rPr>
              <w:t>$ 10,111</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9,999</w:t>
            </w: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Waste-to-energy disposal</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Collection and disposal</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10,577</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10,412</w:t>
            </w:r>
          </w:p>
        </w:tc>
        <w:tc>
          <w:tcPr>
            <w:tcW w:w="100" w:type="dxa"/>
            <w:vAlign w:val="bottom"/>
          </w:tcPr>
          <w:p>
            <w:pPr>
              <w:spacing w:after="0"/>
              <w:rPr>
                <w:sz w:val="19"/>
                <w:szCs w:val="19"/>
                <w:color w:val="auto"/>
              </w:rPr>
            </w:pPr>
          </w:p>
        </w:tc>
      </w:tr>
      <w:tr>
        <w:trPr>
          <w:trHeight w:val="217"/>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Electricity</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Total Company</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12,513</w:t>
            </w:r>
          </w:p>
        </w:tc>
        <w:tc>
          <w:tcPr>
            <w:tcW w:w="6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11,789</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9" w:lineRule="exact"/>
        <w:rPr>
          <w:sz w:val="20"/>
          <w:szCs w:val="20"/>
          <w:color w:val="auto"/>
        </w:rPr>
      </w:pPr>
    </w:p>
    <w:p>
      <w:pPr>
        <w:ind w:left="900" w:right="2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Average revenue growth for yield for “Collection and disposal” excludes all electricity-related revenues generated by our Wheelabrator Group and our landfill gas-to-energy operations, which are reported as “Electricity” revenues.</w:t>
      </w:r>
    </w:p>
    <w:p>
      <w:pPr>
        <w:spacing w:after="0" w:line="51" w:lineRule="exact"/>
        <w:rPr>
          <w:sz w:val="20"/>
          <w:szCs w:val="20"/>
          <w:color w:val="auto"/>
        </w:rPr>
      </w:pPr>
    </w:p>
    <w:p>
      <w:pPr>
        <w:ind w:right="180" w:firstLine="456"/>
        <w:spacing w:after="0" w:line="284" w:lineRule="auto"/>
        <w:rPr>
          <w:sz w:val="20"/>
          <w:szCs w:val="20"/>
          <w:color w:val="auto"/>
        </w:rPr>
      </w:pPr>
      <w:r>
        <w:rPr>
          <w:rFonts w:ascii="Arial" w:cs="Arial" w:eastAsia="Arial" w:hAnsi="Arial"/>
          <w:sz w:val="16"/>
          <w:szCs w:val="16"/>
          <w:color w:val="auto"/>
        </w:rPr>
        <w:t>Our revenues increased $863 million, or 6.9%, and $724 million, or 6.1%, for the years ended December 31, 2011 and 2010, respectively. The year-over-year change in revenues for both periods has been driven by (i) market factors, including higher recyclable commodity prices; higher diesel fuel prices, which increase revenues provided by our fuel surcharge program; and foreign currency translation, which affects revenues from our Canadian operations;</w:t>
      </w:r>
    </w:p>
    <w:p>
      <w:pPr>
        <w:spacing w:after="0" w:line="1" w:lineRule="exact"/>
        <w:rPr>
          <w:sz w:val="20"/>
          <w:szCs w:val="20"/>
          <w:color w:val="auto"/>
        </w:rPr>
      </w:pPr>
    </w:p>
    <w:p>
      <w:pPr>
        <w:ind w:right="140" w:firstLine="8"/>
        <w:spacing w:after="0" w:line="323" w:lineRule="auto"/>
        <w:tabs>
          <w:tab w:leader="none" w:pos="258"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acquisitions, particularly the acquisition of Oakleaf, which increased consolidated revenues by $251 million for 2011; and (iii) revenue growth from average yield on our collection and disposal operations. Offsetting these revenue increases were revenue declines due to lower volumes.</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Average yield</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Collection and disposal average yield </w:t>
      </w:r>
      <w:r>
        <w:rPr>
          <w:rFonts w:ascii="Arial" w:cs="Arial" w:eastAsia="Arial" w:hAnsi="Arial"/>
          <w:sz w:val="18"/>
          <w:szCs w:val="18"/>
          <w:color w:val="auto"/>
        </w:rPr>
        <w:t>— This measure reflects the effect on our revenue from the pricing activities of our collection, transfer, landfill and</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disposal operations, exclusive of volume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changes. Revenue growth from collection and disposal average yield during both years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2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both 2011 and 2010, our revenue growth from collection and disposal average yield demonstrates our commitment to our pricing strategies. This increase in revenue from yield was primarily driven by our collection operations, which experienced yield growth in all lines of business and in every geographic Group. As discussed below, increased collection revenues due to average yield have been more than offset by revenue declines from lower collection volumes. However, revenue growth from yield on base business and our efforts toward controlling variable costs continue to favorably influence margin changes in our collection line of business.</w:t>
      </w:r>
    </w:p>
    <w:p>
      <w:pPr>
        <w:spacing w:after="0" w:line="6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2011, revenue growth from collection and disposal average yield was $193 million, or 1.8%, as compared with the prior year. This revenue increase from yield was primarily driven by our collection operations; however, we also experienced yield growth from our disposal operations. Our 1.8% increase for 2011 is less than the 2.3% increase for 2010. This is due in large part to our residential line of business, in which we have experienced downward pressure on our revenue growth from yield across most of our geographic Groups, most notably in our Eastern and Southern Groups. Due to competition, it has become increasingly difficult to retain customers and to win new contracts at current average rates; as a result, in many instances, the Company has offered increased services, principally recycling services, when bidding on or renewing residential contracts and pursuing residential subscription business. Additional recycling services are typically at lower rates.This combination of increased competition and bundling of complementary services, such as recycling, in the residential line of business has put added pressure on our revenue growth from yield.</w:t>
      </w:r>
    </w:p>
    <w:p>
      <w:pPr>
        <w:spacing w:after="0" w:line="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total collection and disposal revenue growth from yield has also been negatively affected during 2011, by factors including the changes in the mix of our temporary and permanent customers in our industrial business, particularly in North and South Florida. Additionally, we saw a $5 million yield decline in our waste-to-energy facilities, primarily driven by the expiration of a long-term contract at one of our waste-to-energy operations in South Florida in August 2011. We expect this negative trend to continue into 2012 due to the expiration of a similar long-term contract that will occur at the end of March 2012. Although these factors discussed above negatively affected our revenue growth from yield in 2011 as compared with 2010, we did see a favorable rate of revenue growth from yield in our commercial line of business during 2011 as compared with the prior year. This favorable impact was driven by both price increases and additional service fees. Overall, we have found that increasing our revenue growth from yield in today’s market is a challenge given the reduced volume levels resulting from the economic slowdown, the increased service offerings in many of our new contracts, and the highly competitive environment. Despite these headwinds, we continue to maintain our pricing discipline in order to improve yield on our base business.</w:t>
      </w:r>
    </w:p>
    <w:p>
      <w:pPr>
        <w:spacing w:after="0" w:line="39"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Revenues from our environmental fee, which are included in average yield on collection and disposal, increased by $37 million and $33 million for the years ended December 31, 2011 and 2010, respectively. Environmental fee revenues totaled $288 million in 2011 as compared with $251 million in 2010 and $218 million in 2009.</w:t>
      </w:r>
    </w:p>
    <w:p>
      <w:pPr>
        <w:spacing w:after="0" w:line="5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Recycling commodities </w:t>
      </w:r>
      <w:r>
        <w:rPr>
          <w:rFonts w:ascii="Arial" w:cs="Arial" w:eastAsia="Arial" w:hAnsi="Arial"/>
          <w:sz w:val="16"/>
          <w:szCs w:val="16"/>
          <w:color w:val="auto"/>
        </w:rPr>
        <w:t>— Increases in the prices of the recycling commodities we sold resulted in an increase in revenues of $216 million in 2011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2010. For the first nine months of 2011, our overall commodity prices increased approximately 26% as compared with the first nine months of the prior year. However, during the fourth quarter of 2011, we saw a decline of approximately 8% in commodity prices due to increased supply and lower demand.</w:t>
      </w:r>
    </w:p>
    <w:p>
      <w:pPr>
        <w:spacing w:after="0" w:line="2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2010, higher recycling commodity prices were the principal driver of our revenue increase of $423 million as compared with 2009. Market prices for recyclable commodities increased significantly from the near-historic lows experienced in late 2008 and early 2009. For the twelve months of 2010, overall commodity prices increased approximately 57% as compared with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 xml:space="preserve">Fuel surcharges and mandated fees — </w:t>
      </w:r>
      <w:r>
        <w:rPr>
          <w:rFonts w:ascii="Arial" w:cs="Arial" w:eastAsia="Arial" w:hAnsi="Arial"/>
          <w:sz w:val="16"/>
          <w:szCs w:val="16"/>
          <w:color w:val="auto"/>
        </w:rPr>
        <w:t>These revenues, which are predominantly generated by our fuel surcharge program, increased by $169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$69 million for the years ended December 31, 2011 and 2010, respectively. This increase is directly attributable to higher national average prices for diesel fuel that we use for our fuel surcharge program. The mandated fees included in this line item are primarily related to the pass-through of fees 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3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Volume </w:t>
      </w:r>
      <w:r>
        <w:rPr>
          <w:rFonts w:ascii="Arial" w:cs="Arial" w:eastAsia="Arial" w:hAnsi="Arial"/>
          <w:sz w:val="16"/>
          <w:szCs w:val="16"/>
          <w:color w:val="auto"/>
        </w:rPr>
        <w:t>— Our revenue decline due to volume was $187 million, or 1.5%, for the year ended December 31, 2011. This is a notable improvement in the rate</w:t>
      </w:r>
      <w:r>
        <w:rPr>
          <w:rFonts w:ascii="Arial" w:cs="Arial" w:eastAsia="Arial" w:hAnsi="Arial"/>
          <w:sz w:val="16"/>
          <w:szCs w:val="16"/>
          <w:i w:val="1"/>
          <w:iCs w:val="1"/>
          <w:color w:val="auto"/>
        </w:rPr>
        <w:t xml:space="preserve"> </w:t>
      </w:r>
      <w:r>
        <w:rPr>
          <w:rFonts w:ascii="Arial" w:cs="Arial" w:eastAsia="Arial" w:hAnsi="Arial"/>
          <w:sz w:val="16"/>
          <w:szCs w:val="16"/>
          <w:color w:val="auto"/>
        </w:rPr>
        <w:t>of revenue decline from the prior year when revenue decline due to volume was $304 million, or 2.6%. Volume declines are generally attributable to economic conditions, increased pricing, competition and increasing focus on waste reduction and diversion by consumers. Additionally, the oil spill clean-up activities along the Gulf Coast in 2010 unfavorably impacted our year-over-year volume change by $94 million for the year ended December 31, 2011.</w:t>
      </w:r>
    </w:p>
    <w:p>
      <w:pPr>
        <w:spacing w:after="0" w:line="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2011, volume declines from our collection business accounted for $327 million of volume-related revenue decline. We experienced commercial and residential collection revenue declines due to lower volume that we attribute to the overall weakness in the economy, as well as the effects of pricing, competition and diversion of waste by consumers. Our industrial collection operations continued to be negatively affected by the current economic environment due to the construction slowdown across the United States. Lower third-party volumes in our transfer station operations also caused revenue declines in the current year and can generally be attributed to economic conditions and the effects of pricing and competition. Furthermore, as noted above, the overall year-over-year comparison of volumes in the collection line of business was unfavorably impacted by volume we received from the oil spill clean-up activities along the Gulf Coast in 2010. Additionally, in 2011, we experienced revenue declines at our waste-to-energy facilities, primarily driven by the expiration of a long-term electric power capacity agreement, which was offset to some extent by increases in waste tons processed and electricity produced.</w:t>
      </w:r>
    </w:p>
    <w:p>
      <w:pPr>
        <w:spacing w:after="0" w:line="3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Revenue declines due to volume detailed above were offset in part by revenue increases of $101 million for the year ended December 31, 2011, primarily from year-over-year volume improvements in our recycling brokerage business and in our material recovery facilities. Our continued pursuit of municipal volumes as well as the addition of new single stream recycling facilities during 2011 contributed to these revenue increases due to volume. We also experienced volume-related revenue increases of $37 million for the year ended December 31, 2011 from our strategic growth businesses and our landfill gas-to-energy operations. Additionally, our total landfill revenues increased $41 million in 2011 due to higher third-party volumes as compared with the prior year, primarily driven by higher special waste volumes in our Eastern and Midwest geographic Groups. However, our landfill municipal solid waste volumes continued to decline in 2011 as compared with the prior year due to economic conditions, increased pricing, competition and increased focus on waste reduction and diversion by consumers.</w:t>
      </w:r>
    </w:p>
    <w:p>
      <w:pPr>
        <w:spacing w:after="0" w:line="6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2010, our collection business accounted for $254 million of the total volume-related revenue decline. We experienced commercial and residential collection volume declines that we attributed to the overall weakness in the economy, as well as the effects of pricing, competition and diversion of waste by consumers. Our industrial collection operations were negatively affected by the economic environment due to the construction slowdown across the United States. The overall volume decline in the collection line of business was offset in part by an increase in volumes of $99 million associated with oil spill clean-up activities along the Gulf Coast. Lower third-party volumes in our transfer station operations also caused revenue declines in 2010, and can generally be attributed to economic conditions and the effects of pricing and competition. However, in 2010, our landfill revenues increased due to higher third-party volumes. This increase was principally due to higher special waste volumes in our Midwest and Southern Groups, driven in part by our focus on our customers and better meeting their needs.</w:t>
      </w:r>
    </w:p>
    <w:p>
      <w:pPr>
        <w:spacing w:after="0" w:line="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 Revenues increased $449 million and $240 million for the years ended December 31, 2011 and 2010, respectively,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The significant revenue increase due to acquisitions in 2011 was principally associated with Oakleaf, included in our “Other” business, demonstrating our current focus on identifying strategic growth opportunities in new, complementary lines of business. Additionally, revenue increased due to acquisitions in our collection, recycling and waste-to-energy lines of business in both periods. Divestitures accounted for decreased revenues of $2 million in each of the years ended December 31, 2011 and 2010,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operating expenses include (i) labor and related benefits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are primarily rebates paid to suppliers associated with recycling commodities; (vi) fuel costs, which represent the costs of fuel and oil to operate our truck fleet and landfill operating equipment; (vii) disposal and franchise fees and taxes, which include landfill taxes, municipal franchise fees, host community fees and royalties; (viii) landfill operating costs, which include interest accretion on landfill liabilities, interest accretion on and discount rate adjustments to environmental remediation liabilities and recovery assets, leachate and methane collection and treatment, landfill remediation costs and other landfill site costs; (ix) risk management costs, which include auto liability, workers’ compensation, general liability and insurance and claim costs; and (x) other operating costs, which include, among other costs, equipment and facility rent, property taxes, utilities and supplies.</w:t>
      </w:r>
    </w:p>
    <w:p>
      <w:pPr>
        <w:spacing w:after="0" w:line="4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operating expenses increased $717 million, or 9.2%, when comparing 2011 with 2010 and increased $583 million, or 8.1%, when comparing 2010 with 2009. Operating expenses as a percentage of revenues were 63.8% in 2011, 62.5% in 2010 and 61.4% in 2009. The increases in our operating expenses during the years ended December 31, 2011 and 2010 can largely be attributed to the following:</w:t>
      </w:r>
    </w:p>
    <w:p>
      <w:pPr>
        <w:spacing w:after="0" w:line="59"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i w:val="1"/>
          <w:iCs w:val="1"/>
          <w:color w:val="auto"/>
        </w:rPr>
        <w:t xml:space="preserve">Higher market prices for recyclable commodities — </w:t>
      </w:r>
      <w:r>
        <w:rPr>
          <w:rFonts w:ascii="Arial" w:cs="Arial" w:eastAsia="Arial" w:hAnsi="Arial"/>
          <w:sz w:val="16"/>
          <w:szCs w:val="16"/>
          <w:color w:val="auto"/>
        </w:rPr>
        <w:t>In both 2011 and 2010, increased market prices for recyclable commodities was the main driver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increase in cost of goods sold, as presented in the table below, primarily due to customer recycling rebates, which also resulted in increased revenues and earnings. For the first nine months of 2011, our overall commodity prices increased approximately 26% as compared with the first nine months of the prior year. However, during the fourth quarter of 2011, we saw a decline of approximately 8% in commodity prices due to higher supply and lower demand. During 2010, market prices for recyclable commodities increased significantly from the near-historic lows experienced in late 2008 and early 2009, reflecting a 57% increase in 2010 as compared with 2009. Increases in cost of goods sold accounted for 41% and 49% of the year-over-year increases in total operating expenses during 2011 and 2010, respectively.</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5"/>
          <w:szCs w:val="15"/>
          <w:i w:val="1"/>
          <w:iCs w:val="1"/>
          <w:color w:val="auto"/>
        </w:rPr>
        <w:t xml:space="preserve">Fuel cost increases </w:t>
      </w:r>
      <w:r>
        <w:rPr>
          <w:rFonts w:ascii="Arial" w:cs="Arial" w:eastAsia="Arial" w:hAnsi="Arial"/>
          <w:sz w:val="15"/>
          <w:szCs w:val="15"/>
          <w:color w:val="auto"/>
        </w:rPr>
        <w:t>— Higher market prices for fuel caused increases in both our direct fuel costs and our subcontractor costs in both 2011 and 2010.</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average, diesel fuel prices increased 29% in 2011 and 21% in 2010 as compared with the respective prior years. Diesel fuel prices averaged $3.85,</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$2.99 and $2.46 per gallon for 2011, 2010 and 2009, respectively. We believe the total impact of fuel cost increases, when considering both the impact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 fuel costs and an estimate of the impact to our subcontractor costs, accounted for approximately 23% and 17% of the total year-over-year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increase in operating expenses during 2011 and 2010, respectively. Increased revenues attributable to our fuel surcharge offset the unfavorable impact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higher fuel costs in 2011 and partially offset the unfavorable impact of higher fuel costs in 2010.</w:t>
      </w:r>
    </w:p>
    <w:p>
      <w:pPr>
        <w:spacing w:after="0" w:line="84" w:lineRule="exact"/>
        <w:rPr>
          <w:sz w:val="20"/>
          <w:szCs w:val="20"/>
          <w:color w:val="auto"/>
        </w:rPr>
      </w:pPr>
    </w:p>
    <w:p>
      <w:pPr>
        <w:ind w:left="460" w:right="40" w:firstLine="438"/>
        <w:spacing w:after="0" w:line="253" w:lineRule="auto"/>
        <w:rPr>
          <w:sz w:val="20"/>
          <w:szCs w:val="20"/>
          <w:color w:val="auto"/>
        </w:rPr>
      </w:pPr>
      <w:r>
        <w:rPr>
          <w:rFonts w:ascii="Arial" w:cs="Arial" w:eastAsia="Arial" w:hAnsi="Arial"/>
          <w:sz w:val="18"/>
          <w:szCs w:val="18"/>
          <w:i w:val="1"/>
          <w:iCs w:val="1"/>
          <w:color w:val="auto"/>
        </w:rPr>
        <w:t xml:space="preserve">Acquisitions and growth initiatives </w:t>
      </w:r>
      <w:r>
        <w:rPr>
          <w:rFonts w:ascii="Arial" w:cs="Arial" w:eastAsia="Arial" w:hAnsi="Arial"/>
          <w:sz w:val="18"/>
          <w:szCs w:val="18"/>
          <w:color w:val="auto"/>
        </w:rPr>
        <w:t>— In both 2011 and 2010, we experienced cost increases attributable to recently acquired businesses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growth and business development initiatives. We estimate that these cost increases, which affected each of the operating cost categories identified in the table below, accounted for approximately 42% and 17% of our $717 million and $583 million increases in operating expenses during 2011 and 2010, respectively. Recent acquisitions included the purchase of Oakleaf and a number of collection and recycling operations. In particular, the acquisition of Oakleaf increased operating costs by $213 million in the current year, primarily impacting subcontractor costs and, to a lesser extent, the cost of goods sold and other categories. The increase in operating expenses resulting from acquired businesses was more than offset by increased revenues from acquired businesses.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40" w:firstLine="438"/>
        <w:spacing w:after="0" w:line="335" w:lineRule="auto"/>
        <w:rPr>
          <w:sz w:val="20"/>
          <w:szCs w:val="20"/>
          <w:color w:val="auto"/>
        </w:rPr>
      </w:pPr>
      <w:r>
        <w:rPr>
          <w:rFonts w:ascii="Arial" w:cs="Arial" w:eastAsia="Arial" w:hAnsi="Arial"/>
          <w:sz w:val="15"/>
          <w:szCs w:val="15"/>
          <w:i w:val="1"/>
          <w:iCs w:val="1"/>
          <w:color w:val="auto"/>
        </w:rPr>
        <w:t xml:space="preserve">Canadian exchange rates </w:t>
      </w:r>
      <w:r>
        <w:rPr>
          <w:rFonts w:ascii="Arial" w:cs="Arial" w:eastAsia="Arial" w:hAnsi="Arial"/>
          <w:sz w:val="15"/>
          <w:szCs w:val="15"/>
          <w:color w:val="auto"/>
        </w:rPr>
        <w:t>— When comparing the average exchange rates for 2011 and 2010 to the prior year, the Canadian exchange rate</w:t>
      </w:r>
      <w:r>
        <w:rPr>
          <w:rFonts w:ascii="Arial" w:cs="Arial" w:eastAsia="Arial" w:hAnsi="Arial"/>
          <w:sz w:val="15"/>
          <w:szCs w:val="15"/>
          <w:i w:val="1"/>
          <w:iCs w:val="1"/>
          <w:color w:val="auto"/>
        </w:rPr>
        <w:t xml:space="preserve"> </w:t>
      </w:r>
      <w:r>
        <w:rPr>
          <w:rFonts w:ascii="Arial" w:cs="Arial" w:eastAsia="Arial" w:hAnsi="Arial"/>
          <w:sz w:val="15"/>
          <w:szCs w:val="15"/>
          <w:color w:val="auto"/>
        </w:rPr>
        <w:t>strengthened by 4% and 10%, respectively, which increased our expenses in all operating cost categories. The strengthening of the Canadian dollar increased our total operating expenses by $20 million for 2011 as compared with 2010 and $52 million for 2010 as compared with 2009.</w:t>
      </w:r>
    </w:p>
    <w:p>
      <w:pPr>
        <w:spacing w:after="0" w:line="7" w:lineRule="exact"/>
        <w:rPr>
          <w:sz w:val="20"/>
          <w:szCs w:val="20"/>
          <w:color w:val="auto"/>
        </w:rPr>
      </w:pPr>
    </w:p>
    <w:p>
      <w:pPr>
        <w:ind w:left="460" w:right="100" w:firstLine="438"/>
        <w:spacing w:after="0" w:line="294" w:lineRule="auto"/>
        <w:rPr>
          <w:sz w:val="20"/>
          <w:szCs w:val="20"/>
          <w:color w:val="auto"/>
        </w:rPr>
      </w:pPr>
      <w:r>
        <w:rPr>
          <w:rFonts w:ascii="Arial" w:cs="Arial" w:eastAsia="Arial" w:hAnsi="Arial"/>
          <w:sz w:val="16"/>
          <w:szCs w:val="16"/>
          <w:i w:val="1"/>
          <w:iCs w:val="1"/>
          <w:color w:val="auto"/>
        </w:rPr>
        <w:t xml:space="preserve">Volume declines </w:t>
      </w:r>
      <w:r>
        <w:rPr>
          <w:rFonts w:ascii="Arial" w:cs="Arial" w:eastAsia="Arial" w:hAnsi="Arial"/>
          <w:sz w:val="16"/>
          <w:szCs w:val="16"/>
          <w:color w:val="auto"/>
        </w:rPr>
        <w:t>— During 2011 and 2010, we continued to experience volume declines as a result of the ongoing weakness of the overall economic</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 pricing, competition and increased focus on waste reduction and diversion by consumers. We continue to manage our fixed costs and reduce our variable costs as we experience volume declines and have achieved cost savings as a result. These cost decreases have benefited each of the operating cost categories identified in the table below except for the cost of goods sold category, which increased as a result of additional customer rebates due to a 13% increase in recyclable material tons sold in 2011.</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major components of our operating expenses, including the impact of foreign currency translation,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Period-to-</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Period-to-</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0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w w:val="95"/>
              </w:rPr>
              <w:t>Period Change</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w w:val="91"/>
              </w:rPr>
              <w:t>Period Change</w:t>
            </w:r>
          </w:p>
        </w:tc>
        <w:tc>
          <w:tcPr>
            <w:tcW w:w="5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$2,260</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2160" w:type="dxa"/>
            <w:vAlign w:val="bottom"/>
            <w:gridSpan w:val="3"/>
          </w:tcPr>
          <w:p>
            <w:pPr>
              <w:jc w:val="right"/>
              <w:ind w:right="260"/>
              <w:spacing w:after="0"/>
              <w:rPr>
                <w:sz w:val="20"/>
                <w:szCs w:val="20"/>
                <w:color w:val="auto"/>
              </w:rPr>
            </w:pPr>
            <w:r>
              <w:rPr>
                <w:rFonts w:ascii="Arial" w:cs="Arial" w:eastAsia="Arial" w:hAnsi="Arial"/>
                <w:sz w:val="18"/>
                <w:szCs w:val="18"/>
                <w:color w:val="auto"/>
              </w:rPr>
              <w:t>937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0.6</w:t>
            </w:r>
          </w:p>
        </w:tc>
        <w:tc>
          <w:tcPr>
            <w:tcW w:w="50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2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Subcontractor costs</w:t>
            </w:r>
          </w:p>
        </w:tc>
        <w:tc>
          <w:tcPr>
            <w:tcW w:w="2160" w:type="dxa"/>
            <w:vAlign w:val="bottom"/>
            <w:gridSpan w:val="3"/>
          </w:tcPr>
          <w:p>
            <w:pPr>
              <w:jc w:val="right"/>
              <w:ind w:right="260"/>
              <w:spacing w:after="0"/>
              <w:rPr>
                <w:sz w:val="20"/>
                <w:szCs w:val="20"/>
                <w:color w:val="auto"/>
              </w:rPr>
            </w:pPr>
            <w:r>
              <w:rPr>
                <w:rFonts w:ascii="Arial" w:cs="Arial" w:eastAsia="Arial" w:hAnsi="Arial"/>
                <w:sz w:val="18"/>
                <w:szCs w:val="18"/>
                <w:color w:val="auto"/>
              </w:rPr>
              <w:t>948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178</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50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295</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288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Fuel</w:t>
            </w:r>
          </w:p>
        </w:tc>
        <w:tc>
          <w:tcPr>
            <w:tcW w:w="2160" w:type="dxa"/>
            <w:vAlign w:val="bottom"/>
            <w:gridSpan w:val="3"/>
          </w:tcPr>
          <w:p>
            <w:pPr>
              <w:jc w:val="right"/>
              <w:ind w:right="260"/>
              <w:spacing w:after="0"/>
              <w:rPr>
                <w:sz w:val="20"/>
                <w:szCs w:val="20"/>
                <w:color w:val="auto"/>
              </w:rPr>
            </w:pPr>
            <w:r>
              <w:rPr>
                <w:rFonts w:ascii="Arial" w:cs="Arial" w:eastAsia="Arial" w:hAnsi="Arial"/>
                <w:sz w:val="18"/>
                <w:szCs w:val="18"/>
                <w:color w:val="auto"/>
              </w:rPr>
              <w:t>628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135</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w:t>
            </w:r>
          </w:p>
        </w:tc>
        <w:tc>
          <w:tcPr>
            <w:tcW w:w="32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19.1</w:t>
            </w:r>
          </w:p>
        </w:tc>
        <w:tc>
          <w:tcPr>
            <w:tcW w:w="50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2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2160" w:type="dxa"/>
            <w:vAlign w:val="bottom"/>
            <w:gridSpan w:val="3"/>
          </w:tcPr>
          <w:p>
            <w:pPr>
              <w:jc w:val="right"/>
              <w:ind w:right="260"/>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32.4</w:t>
            </w:r>
          </w:p>
        </w:tc>
        <w:tc>
          <w:tcPr>
            <w:tcW w:w="5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2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4.5</w:t>
            </w:r>
          </w:p>
        </w:tc>
        <w:tc>
          <w:tcPr>
            <w:tcW w:w="5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r>
      <w:tr>
        <w:trPr>
          <w:trHeight w:val="27"/>
        </w:trPr>
        <w:tc>
          <w:tcPr>
            <w:tcW w:w="4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717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583</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7,241</w:t>
            </w:r>
          </w:p>
        </w:tc>
        <w:tc>
          <w:tcPr>
            <w:tcW w:w="100" w:type="dxa"/>
            <w:vAlign w:val="bottom"/>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period-to-period changes in our operating expenses by category are discussed below.</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The increases in 2011 and 2010 were primarily due to higher hourly and salaried wages due to merit increases and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incurred from acquisitions and growth opportunities, offset in part by cost savings that have been achieved as volumes have declined.</w:t>
      </w:r>
    </w:p>
    <w:p>
      <w:pPr>
        <w:spacing w:after="0" w:line="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comparability of our labor and related benefits costs for the periods presented has also been affected by costs incurred primarily associated with the withdrawal of certain bargaining units from underfunded multiemployer pension plans. These costs increased 2010 expense by $26 million and 2009 expense by $9 million.</w:t>
      </w:r>
    </w:p>
    <w:p>
      <w:pPr>
        <w:spacing w:after="0" w:line="59"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Comparing 2011 with 2010, the increase was due to higher costs in our geographic Groups largely attributable to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fleet maintenance costs, which include services provided by third-parties, tires, parts and internal shop labor costs. The increase in expense for tires and parts reflects the worldwide increase in commodity prices.</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Subcontractor costs </w:t>
      </w:r>
      <w:r>
        <w:rPr>
          <w:rFonts w:ascii="Arial" w:cs="Arial" w:eastAsia="Arial" w:hAnsi="Arial"/>
          <w:sz w:val="16"/>
          <w:szCs w:val="16"/>
          <w:color w:val="auto"/>
        </w:rPr>
        <w:t>— The current year increase in subcontractor costs was primarily a result of the Oakleaf acquisition, increased diesel fuel prices, other</w:t>
      </w:r>
      <w:r>
        <w:rPr>
          <w:rFonts w:ascii="Arial" w:cs="Arial" w:eastAsia="Arial" w:hAnsi="Arial"/>
          <w:sz w:val="16"/>
          <w:szCs w:val="16"/>
          <w:i w:val="1"/>
          <w:iCs w:val="1"/>
          <w:color w:val="auto"/>
        </w:rPr>
        <w:t xml:space="preserve"> </w:t>
      </w:r>
      <w:r>
        <w:rPr>
          <w:rFonts w:ascii="Arial" w:cs="Arial" w:eastAsia="Arial" w:hAnsi="Arial"/>
          <w:sz w:val="16"/>
          <w:szCs w:val="16"/>
          <w:color w:val="auto"/>
        </w:rPr>
        <w:t>recent acquisitions, our various growth and business development initiatives and additional costs associated with servicing our in-plant services customers. Oakleaf utilizes a nationwide network of third-party haulers to service its customers, which increased our subcontractor costs by $153 million during the second half of 2011 after completing the acquisition on July 28, 2011. These increases were partially offset by the impact of an additional $54 million in prior year costs attributable to oil spill clean-up activities along the Gulf Coast during 2010. The 2010 increase in subcontractor costs was largely the result of these oil spill clean-up activities, as well as higher diesel fuel prices when compared with 2009.</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 The cost increases during 2011 and 2010 were primarily due to increases in the recycling commodity rebates we pay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as a result of higher market prices for recyclable commodities. The increase in costs in 2011 was also driven by (i) increases in the volume of materials processed at our existing recycling facilities; and (ii) increases resulting from the Oakleaf acquisition and other recently acquired businesses.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The costs increases for 2011 and 2010 were a result of higher market prices for diesel fuel.</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i w:val="1"/>
          <w:iCs w:val="1"/>
          <w:color w:val="auto"/>
        </w:rPr>
        <w:t xml:space="preserve">Landfill operating costs </w:t>
      </w:r>
      <w:r>
        <w:rPr>
          <w:rFonts w:ascii="Arial" w:cs="Arial" w:eastAsia="Arial" w:hAnsi="Arial"/>
          <w:sz w:val="16"/>
          <w:szCs w:val="16"/>
          <w:color w:val="auto"/>
        </w:rPr>
        <w:t>— The changes in these costs during 2011 and 2010 were due largely to the recognition of additional estimated expense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environmental remediation liabilities of $50 million at four closed sites during 2010. During 2011, the Company recognized a $9 million favorable revision to an environmental liability at one of these sites based on the estimated cost of the remediation alternative selected by the EPA.</w:t>
      </w:r>
    </w:p>
    <w:p>
      <w:pPr>
        <w:spacing w:after="0" w:line="2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changes in this category for the years presented were also significantly impacted by the changes in U.S. Treasury rates used to estimate the present value of our environmental remediation obligations and recovery assets. As a result of changes in U.S. Treasury rates, we recognized $17 million of unfavorable adjustments during 2011, $2 million of unfavorable adjustments during 2010, and $35 million of favorable adjustments during 2009. During 2011, the discount rate we use decreased from 3.50% to 2.00%. Over the course of 2010, the discount rate decreased slightly from 3.75% to 3.50% and during 2009, the rate increased from 2.25% to 3.75%.</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The increase in risk management costs during 2011 was primarily a result of increased costs associated with auto and general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claims in the current year and the prior year recognition of favorable adjustments associated with prior period claims that were higher than similar favorable adjustments recognized during 2011.</w:t>
      </w:r>
    </w:p>
    <w:p>
      <w:pPr>
        <w:spacing w:after="0" w:line="5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Other — </w:t>
      </w:r>
      <w:r>
        <w:rPr>
          <w:rFonts w:ascii="Arial" w:cs="Arial" w:eastAsia="Arial" w:hAnsi="Arial"/>
          <w:sz w:val="16"/>
          <w:szCs w:val="16"/>
          <w:color w:val="auto"/>
        </w:rPr>
        <w:t>The 2011 increase was attributable, in part, to our various growth and business development initiatives and recently acquired businesses,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Oakleaf. These increases were partially offset by prior year costs related to the oil spill clean-up activities along the Gulf Coast in 2010. The 2010 increase was attributable, in part, to our various growth and business development initiatives, oil spill clean-up activities along the Gulf Coast, and recently acquired businesses. These cost increases in 2010 were partially offset by an increase in gains recognized from the sale of surplus real estate assets.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520" w:firstLine="456"/>
        <w:spacing w:after="0" w:line="305" w:lineRule="auto"/>
        <w:rPr>
          <w:sz w:val="20"/>
          <w:szCs w:val="20"/>
          <w:color w:val="auto"/>
        </w:rPr>
      </w:pPr>
      <w:r>
        <w:rPr>
          <w:rFonts w:ascii="Arial" w:cs="Arial" w:eastAsia="Arial" w:hAnsi="Arial"/>
          <w:sz w:val="15"/>
          <w:szCs w:val="15"/>
          <w:color w:val="auto"/>
        </w:rPr>
        <w:t>Our selling, general and administrative expenses consist of (i) labor and related benefit costs, which include salaries, bonuses, related insurance and benefits, contract labor, payroll taxes and equity-based compensation; (ii) professional fees, which include fees for consulting, legal, audit and tax services;</w:t>
      </w:r>
    </w:p>
    <w:p>
      <w:pPr>
        <w:ind w:right="100" w:firstLine="8"/>
        <w:spacing w:after="0" w:line="331" w:lineRule="auto"/>
        <w:tabs>
          <w:tab w:leader="none" w:pos="307"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provision for bad debts, which includes allowances for uncollectible customer accounts and collection fees; and (iv) other selling, general and administrative expenses, which include, among other costs, facility-related expenses, voice and data telecommunication, advertising, travel and entertainment, rentals, postage and printing. In addition, the financial impacts of litigation settlements generally are included in our “Other” selling, general and administrative expenses.</w:t>
      </w:r>
    </w:p>
    <w:p>
      <w:pPr>
        <w:spacing w:after="0" w:line="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selling, general and administrative expenses increased by $90 million, or 6.2%, and $97 million, or 7.1% when comparing 2011 with 2010 and 2010 with 2009, respectively. The increases in both years are largely due to (i) increased costs of approximately $53 million and $52 million during 2011 and 2010, respectively, incurred to support our strategic plan to grow into new markets and provide expanded service offerings, including our acquisition of Oakleaf in 2011 and (ii) increased costs of $9 million and $23 million during 2011 and 2010, respectively, resulting from improvements we are making to our information technology systems. Additionally, during 2011 we experienced increased consulting costs of $37 million incurred in connection with the start-up phase of new cost savings programs focusing on procurement and operational and back-office efficiency. Our selling, general and administrative expenses as a percentage of revenues were 11.6% in 2011, 11.7% in 2010 and 11.6% in 2009.</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selling, general and administrative costs for the years ended December 31 (dollars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Period-to-</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7"/>
              </w:rPr>
              <w:t>Period-to-</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Period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00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4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center"/>
              <w:ind w:left="158"/>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2010</w:t>
            </w:r>
          </w:p>
        </w:tc>
        <w:tc>
          <w:tcPr>
            <w:tcW w:w="4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72"/>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6"/>
              </w:rPr>
              <w:t>$70</w:t>
            </w: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Professional fees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185</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175</w:t>
            </w:r>
          </w:p>
        </w:tc>
        <w:tc>
          <w:tcPr>
            <w:tcW w:w="920" w:type="dxa"/>
            <w:vAlign w:val="bottom"/>
            <w:gridSpan w:val="3"/>
          </w:tcPr>
          <w:p>
            <w:pPr>
              <w:jc w:val="right"/>
              <w:ind w:right="152"/>
              <w:spacing w:after="0"/>
              <w:rPr>
                <w:sz w:val="20"/>
                <w:szCs w:val="20"/>
                <w:color w:val="auto"/>
              </w:rPr>
            </w:pPr>
            <w:r>
              <w:rPr>
                <w:rFonts w:ascii="Arial" w:cs="Arial" w:eastAsia="Arial" w:hAnsi="Arial"/>
                <w:sz w:val="18"/>
                <w:szCs w:val="18"/>
                <w:color w:val="auto"/>
              </w:rPr>
              <w:t>8</w:t>
            </w:r>
          </w:p>
        </w:tc>
        <w:tc>
          <w:tcPr>
            <w:tcW w:w="520" w:type="dxa"/>
            <w:vAlign w:val="bottom"/>
          </w:tcPr>
          <w:p>
            <w:pPr>
              <w:ind w:left="300"/>
              <w:spacing w:after="0"/>
              <w:rPr>
                <w:sz w:val="20"/>
                <w:szCs w:val="20"/>
                <w:color w:val="auto"/>
              </w:rPr>
            </w:pPr>
            <w:r>
              <w:rPr>
                <w:rFonts w:ascii="Arial" w:cs="Arial" w:eastAsia="Arial" w:hAnsi="Arial"/>
                <w:sz w:val="18"/>
                <w:szCs w:val="18"/>
                <w:color w:val="auto"/>
                <w:w w:val="79"/>
              </w:rPr>
              <w:t>4.8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9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406</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396</w:t>
            </w:r>
          </w:p>
        </w:tc>
        <w:tc>
          <w:tcPr>
            <w:tcW w:w="920" w:type="dxa"/>
            <w:vAlign w:val="bottom"/>
            <w:gridSpan w:val="3"/>
          </w:tcPr>
          <w:p>
            <w:pPr>
              <w:jc w:val="right"/>
              <w:ind w:right="152"/>
              <w:spacing w:after="0"/>
              <w:rPr>
                <w:sz w:val="20"/>
                <w:szCs w:val="20"/>
                <w:color w:val="auto"/>
              </w:rPr>
            </w:pPr>
            <w:r>
              <w:rPr>
                <w:rFonts w:ascii="Arial" w:cs="Arial" w:eastAsia="Arial" w:hAnsi="Arial"/>
                <w:sz w:val="18"/>
                <w:szCs w:val="18"/>
                <w:color w:val="auto"/>
              </w:rPr>
              <w:t>28</w:t>
            </w:r>
          </w:p>
        </w:tc>
        <w:tc>
          <w:tcPr>
            <w:tcW w:w="520" w:type="dxa"/>
            <w:vAlign w:val="bottom"/>
          </w:tcPr>
          <w:p>
            <w:pPr>
              <w:ind w:left="300"/>
              <w:spacing w:after="0"/>
              <w:rPr>
                <w:sz w:val="20"/>
                <w:szCs w:val="20"/>
                <w:color w:val="auto"/>
              </w:rPr>
            </w:pPr>
            <w:r>
              <w:rPr>
                <w:rFonts w:ascii="Arial" w:cs="Arial" w:eastAsia="Arial" w:hAnsi="Arial"/>
                <w:sz w:val="18"/>
                <w:szCs w:val="18"/>
                <w:color w:val="auto"/>
                <w:w w:val="79"/>
              </w:rPr>
              <w:t>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r>
      <w:tr>
        <w:trPr>
          <w:trHeight w:val="27"/>
        </w:trPr>
        <w:tc>
          <w:tcPr>
            <w:tcW w:w="4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1,551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1,461</w:t>
            </w:r>
          </w:p>
        </w:tc>
        <w:tc>
          <w:tcPr>
            <w:tcW w:w="9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w:t>
            </w: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1,364</w:t>
            </w:r>
          </w:p>
        </w:tc>
        <w:tc>
          <w:tcPr>
            <w:tcW w:w="100" w:type="dxa"/>
            <w:vAlign w:val="bottom"/>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In 2011, our labor and related benefits costs increased primarily due to (i) higher compensation costs due to an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headcount driven by our strategic growth plans, optimization initiatives, cost savings programs, and acquisition of Oakleaf; (ii) higher salaries and hourly wages due to merit increases; and (iii) higher non-cash compensation costs incurred for our performance share units and our stock option equity awards granted under our long-term incentive plan, or LTIP, offset partially by lower costs associated with our executive salary deferral plan, the costs of which are directly affected by equity-market conditions. The stock option equity awards that the Company granted in 2011 and 2010 provide that such options will continue to vest on the schedule provided in the award agreement following an employee’s retirement. Because retirement-eligible employees are not required to provide any future service to vest in these awards, we immediately recognized all of the compensation expense associated with stock option awards granted to retirement eligible employees. In 2011, the composition of our annual LTIP award grant was modified to use stock options to a greater extent and to reduce the number of performance share units awarded. Accordingly, costs increased in 2011 due to the significant increase in the number of stock option awards granted in 2011 over those granted in 2010 and an increase in the number of retirement-eligible employees receiving those awards.</w:t>
      </w:r>
    </w:p>
    <w:p>
      <w:pPr>
        <w:spacing w:after="0" w:line="4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2010, our labor and related benefits costs increased primarily due to (i) higher salaries and hourly wages due to merit increases; (ii) higher compensation costs due to an increase in headcount driven by our strategic growth plans; (iii) additional bonus expense in 2010 because our performance against targets established by our annual incentive plans was stronger in 2010 compared with 2009; (iv) increased contract labor costs as a result of our current focus on optimizing our information technology systems; (v) increased severance costs; and (vi) higher non-cash compensation costs incurred for equity awards granted under our LTIP. During the second quarter of 2009, we reversed all compensation costs previously recognized for our 2008 performance share units based on a determination that it was no longer probable that the targets established for that award would be met. Additionally, during the first quarter of 2010 we immediately recognized all of the compensation expense associated with stock option awards granted to retirement-eligible employees. We did not incur similar charges in 2009 because this retirement provision was not included in any of the equity awards that were granted during 2009.</w:t>
      </w:r>
    </w:p>
    <w:p>
      <w:pPr>
        <w:spacing w:after="0" w:line="3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Professional fees </w:t>
      </w:r>
      <w:r>
        <w:rPr>
          <w:rFonts w:ascii="Arial" w:cs="Arial" w:eastAsia="Arial" w:hAnsi="Arial"/>
          <w:sz w:val="16"/>
          <w:szCs w:val="16"/>
          <w:color w:val="auto"/>
        </w:rPr>
        <w:t>— During 2011, our professional fees increased due to consulting fees, primarily associated with the start-up phase of new cost savings</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although these fees declined significantly during the second half of the year. We have begun to see the associated benefits of these programs and expect the benefits to increase throughout 2012. This increase was offset to a certain extent by lower legal fees in 2011 as compared with 2010. This reduction in legal fees in 2011 was primarily the result of the settlement in 2010 of a lawsuit related to the abandonment of revenue management software.</w:t>
      </w:r>
    </w:p>
    <w:p>
      <w:pPr>
        <w:spacing w:after="0" w:line="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2010, our professional fees increased due to consulting fees, driven primarily by improvements we are made to our information technology systems and investments we made to support our strategic growth plans. This increase was partially offset by a reduction in legal fees in 2010 as compared with 2009.</w:t>
      </w:r>
    </w:p>
    <w:p>
      <w:pPr>
        <w:spacing w:after="0" w:line="4"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i w:val="1"/>
          <w:iCs w:val="1"/>
          <w:color w:val="auto"/>
        </w:rPr>
        <w:t xml:space="preserve">Provision for bad debts </w:t>
      </w:r>
      <w:r>
        <w:rPr>
          <w:rFonts w:ascii="Arial" w:cs="Arial" w:eastAsia="Arial" w:hAnsi="Arial"/>
          <w:sz w:val="16"/>
          <w:szCs w:val="16"/>
          <w:color w:val="auto"/>
        </w:rPr>
        <w:t>— Our provision for bad debts was slightly higher in 2011 as compared with 2010, but both 2011 and 2010 were notably lower</w:t>
      </w:r>
      <w:r>
        <w:rPr>
          <w:rFonts w:ascii="Arial" w:cs="Arial" w:eastAsia="Arial" w:hAnsi="Arial"/>
          <w:sz w:val="16"/>
          <w:szCs w:val="16"/>
          <w:i w:val="1"/>
          <w:iCs w:val="1"/>
          <w:color w:val="auto"/>
        </w:rPr>
        <w:t xml:space="preserve"> </w:t>
      </w:r>
      <w:r>
        <w:rPr>
          <w:rFonts w:ascii="Arial" w:cs="Arial" w:eastAsia="Arial" w:hAnsi="Arial"/>
          <w:sz w:val="16"/>
          <w:szCs w:val="16"/>
          <w:color w:val="auto"/>
        </w:rPr>
        <w:t>than 2009. Our provision was higher in 2009 as a result of the Company’s assessment of the weak economic environment in the beginning of 2009 and the resulting impacts on our collection risk. However, due in part to management’s continued focus on the collection of our receivables, our collection risk has moderated since 2009, thus resulting in a lower provision in both 2010 and 2011.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During 2011 and 2010, we experienced increases in our computer costs, due in part to improvements we are making to our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systems, and litigation loss and settlement costs. Also driving the increase during 2010 was increased marketing and advertising costs, driven in part by our strategic growth plans.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Depreciation and amortization includes (i) depreciation of property and equipment, including assets recorded for capital leases, on a straight-line basis from three to 50 years; (ii) amortization of landfill costs, including those incurred and all estimated future costs for landfill development, construction and asset retirement costs arising from closure and post-closure, on a units-of-consumption method as landfill airspace is consumed over the total estimated remaining capacity of a site, which includes both permitted capacity and expansion capacity that meets our Company-specific criteria for amortization purposes;</w:t>
      </w:r>
    </w:p>
    <w:p>
      <w:pPr>
        <w:spacing w:after="0" w:line="3" w:lineRule="exact"/>
        <w:rPr>
          <w:sz w:val="20"/>
          <w:szCs w:val="20"/>
          <w:color w:val="auto"/>
        </w:rPr>
      </w:pPr>
    </w:p>
    <w:p>
      <w:pPr>
        <w:ind w:right="160" w:firstLine="8"/>
        <w:spacing w:after="0" w:line="302" w:lineRule="auto"/>
        <w:tabs>
          <w:tab w:leader="none" w:pos="307"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amortization of landfill asset retirement costs arising from final capping obligations on a units-of-consumption method as airspace is consumed over the estimated capacity associated with each final capping event; and (iv) amortization of intangible assets with a definite life, either using a 150% declining balance approach or a straight-line basis over the definitive terms of the related agreements, which are generally from two to ten years depending on the type of asset.</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components of our depreciation and amortization costs for the years ended December 31 (dollars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Period-to-</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Period-to-</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Period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Period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2010</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14</w:t>
            </w:r>
          </w:p>
        </w:tc>
        <w:tc>
          <w:tcPr>
            <w:tcW w:w="880" w:type="dxa"/>
            <w:vAlign w:val="bottom"/>
          </w:tcPr>
          <w:p>
            <w:pPr>
              <w:ind w:left="660"/>
              <w:spacing w:after="0"/>
              <w:rPr>
                <w:sz w:val="20"/>
                <w:szCs w:val="20"/>
                <w:color w:val="auto"/>
              </w:rPr>
            </w:pPr>
            <w:r>
              <w:rPr>
                <w:rFonts w:ascii="Arial" w:cs="Arial" w:eastAsia="Arial" w:hAnsi="Arial"/>
                <w:sz w:val="18"/>
                <w:szCs w:val="18"/>
                <w:color w:val="auto"/>
                <w:w w:val="79"/>
              </w:rPr>
              <w:t>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gridSpan w:val="2"/>
            <w:vMerge w:val="restart"/>
          </w:tcPr>
          <w:p>
            <w:pPr>
              <w:ind w:left="6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1,229</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w:t>
            </w:r>
          </w:p>
        </w:tc>
        <w:tc>
          <w:tcPr>
            <w:tcW w:w="1140" w:type="dxa"/>
            <w:vAlign w:val="bottom"/>
            <w:gridSpan w:val="2"/>
            <w:vMerge w:val="continue"/>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1,194</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28</w:t>
            </w:r>
          </w:p>
        </w:tc>
        <w:tc>
          <w:tcPr>
            <w:tcW w:w="13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increases in amortization expense of intangible assets in 2011 and 2010 are due to our focus on the growth and development of our business through acquisitions and other investments. The increase in amortization of intangible assets in 2011 is primarily related to the amortization of customer lists, which were acquired (i) through our acquisition of Oakleaf, (ii) by our Southern Group and (iii) by our recycling and electronic brokerage services business. The increase in amortization of intangible assets in 2010 is primarily related to the amortization of definite-lived operating permits acquired by our healthcare solutions operations, customer lists acquired by our Southern and Midwest Groups and gas rights acquired by our renewable energy operations.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Beginning in July 2011, we took steps to streamline our organization as part of our cost savings programs. This reorganization eliminated over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700 employee positions throughout the Company, including approximately 300 open positions. Additionally, subsequent to our acquisition of Oakleaf,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charges in connection with restructuring that organization. During the year ended December 31, 2011, we recognized a total of $19 million of pre-tax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of which $18 million were related to employee severance and benefit costs associated with this reorganization.</w:t>
      </w:r>
    </w:p>
    <w:p>
      <w:pPr>
        <w:spacing w:after="0" w:line="8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January 2009, we streamlined our organization by (i) consolidating our Market Areas from 45 Market Areas to 25 Market Areas; (ii) integrating the management of our recycling operations with our solid waste businesses in our four geographic Groups; and (iii) realigning our Corporate organization with this new structure in order to provide support functions more efficiently. This restructuring eliminated over 1,500 employee positions throughout the Company. During 2009, we recognized $50 million of pre-tax charges associated with this restructuring, of which $41 million were related to employee severance and benefit costs. The remaining charges were primarily related to lease obligations for property that will no longer be utilized. In 2010, we recognized $2 million of income related to the reversal of pre-tax restructuring charges recorded in 2009.</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major components of “(Income) expense from divestitures, asset impairments and unusual items”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the respective periods (in millions):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Years Ended December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6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expense from divestitures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7"/>
              </w:rPr>
              <w:t>—</w:t>
            </w: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Asset impairments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78"/>
              </w:rPr>
              <w:t>83</w:t>
            </w: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0"/>
        </w:trPr>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9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(78)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ind w:left="60"/>
              <w:spacing w:after="0"/>
              <w:rPr>
                <w:sz w:val="20"/>
                <w:szCs w:val="20"/>
                <w:color w:val="auto"/>
              </w:rPr>
            </w:pPr>
            <w:r>
              <w:rPr>
                <w:rFonts w:ascii="Arial" w:cs="Arial" w:eastAsia="Arial" w:hAnsi="Arial"/>
                <w:sz w:val="16"/>
                <w:szCs w:val="16"/>
                <w:color w:val="auto"/>
                <w:w w:val="78"/>
              </w:rPr>
              <w:t>83</w:t>
            </w:r>
          </w:p>
        </w:tc>
        <w:tc>
          <w:tcPr>
            <w:tcW w:w="10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 During the year ended December 31, 2011, we recognized impairment charges relating primarily to two facilities in our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waste services business as a result of the closure of one site and of continuing operating losses at the other site. We wrote down the net book values of the sites to their estimated fair values.</w:t>
      </w:r>
    </w:p>
    <w:p>
      <w:pPr>
        <w:spacing w:after="0" w:line="5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Through December 31, 2008, we capitalized $70 million of accumulated costs associated with the development of a new waste and recycling revenue management system. A significant portion of these costs was specifically associated with the purchase of a license for waste and recycling revenue management software and the efforts required to develop and configure that software for our use. After a failed pilot implementation of the software in one of our smallest Market Areas, the development efforts associated with the revenue management system were suspended in 2007. During 2009, we determined to enhance and improve our existing revenue management system and not pursue alternatives associated with the development and implementation of the licensed software. Accordingly, in 2009, we recognized a non-cash charge of $51 million for the abandonment of the licensed software.</w:t>
      </w:r>
    </w:p>
    <w:p>
      <w:pPr>
        <w:spacing w:after="0" w:line="3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recognized an additional $32 million of impairment charges during 2009, $27 million of which was recognized by our Western Group during the fourth quarter of 2009 to fully impair a landfill in California as a result of a change in our expectations for the future operations of the landfill. The remaining impairment charges were primarily attributable to a charge required to write down certain of our investments in portable self-storage operations to their fair value as a result of our acquisition of a controlling financial interest in those operations.</w:t>
      </w:r>
    </w:p>
    <w:p>
      <w:pPr>
        <w:spacing w:after="0" w:line="62"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We filed a lawsuit in March 2008 related to the revenue management software implementation that was suspended in 2007 and abandoned in</w:t>
      </w:r>
      <w:r>
        <w:rPr>
          <w:rFonts w:ascii="Arial" w:cs="Arial" w:eastAsia="Arial" w:hAnsi="Arial"/>
          <w:sz w:val="18"/>
          <w:szCs w:val="18"/>
          <w:i w:val="1"/>
          <w:iCs w:val="1"/>
          <w:color w:val="auto"/>
        </w:rPr>
        <w:t xml:space="preserve"> </w:t>
      </w:r>
      <w:r>
        <w:rPr>
          <w:rFonts w:ascii="Arial" w:cs="Arial" w:eastAsia="Arial" w:hAnsi="Arial"/>
          <w:sz w:val="18"/>
          <w:szCs w:val="18"/>
          <w:color w:val="auto"/>
        </w:rPr>
        <w:t>2009. In April 2010, we settled the lawsuit and received a one-time cash payment. The settlement increased our “Income from operations” for the year ended December 31, 2010 by $77 million.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by reportable segment for the years ended December 31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7"/>
              </w:rPr>
              <w:t>Period-to-</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7"/>
              </w:rPr>
              <w:t>Period-to-</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left="216"/>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2010</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left="136"/>
              <w:spacing w:after="0"/>
              <w:rPr>
                <w:sz w:val="20"/>
                <w:szCs w:val="20"/>
                <w:color w:val="auto"/>
              </w:rPr>
            </w:pPr>
            <w:r>
              <w:rPr>
                <w:rFonts w:ascii="Arial" w:cs="Arial" w:eastAsia="Arial" w:hAnsi="Arial"/>
                <w:sz w:val="14"/>
                <w:szCs w:val="14"/>
                <w:b w:val="1"/>
                <w:bCs w:val="1"/>
                <w:color w:val="auto"/>
                <w:w w:val="85"/>
              </w:rPr>
              <w:t>Change</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Reportable segments: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Eastern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559</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72"/>
              <w:spacing w:after="0"/>
              <w:rPr>
                <w:sz w:val="20"/>
                <w:szCs w:val="20"/>
                <w:color w:val="auto"/>
              </w:rPr>
            </w:pPr>
            <w:r>
              <w:rPr>
                <w:rFonts w:ascii="Arial" w:cs="Arial" w:eastAsia="Arial" w:hAnsi="Arial"/>
                <w:sz w:val="18"/>
                <w:szCs w:val="18"/>
                <w:color w:val="auto"/>
              </w:rPr>
              <w:t>33</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Midwest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83</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Southern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32"/>
              <w:spacing w:after="0"/>
              <w:rPr>
                <w:sz w:val="20"/>
                <w:szCs w:val="20"/>
                <w:color w:val="auto"/>
              </w:rPr>
            </w:pPr>
            <w:r>
              <w:rPr>
                <w:rFonts w:ascii="Arial" w:cs="Arial" w:eastAsia="Arial" w:hAnsi="Arial"/>
                <w:sz w:val="18"/>
                <w:szCs w:val="18"/>
                <w:color w:val="auto"/>
              </w:rPr>
              <w:t>(65)</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844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72"/>
              <w:spacing w:after="0"/>
              <w:rPr>
                <w:sz w:val="20"/>
                <w:szCs w:val="20"/>
                <w:color w:val="auto"/>
              </w:rPr>
            </w:pPr>
            <w:r>
              <w:rPr>
                <w:rFonts w:ascii="Arial" w:cs="Arial" w:eastAsia="Arial" w:hAnsi="Arial"/>
                <w:sz w:val="18"/>
                <w:szCs w:val="18"/>
                <w:color w:val="auto"/>
              </w:rPr>
              <w:t>76</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Western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48</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32"/>
              <w:spacing w:after="0"/>
              <w:rPr>
                <w:sz w:val="20"/>
                <w:szCs w:val="20"/>
                <w:color w:val="auto"/>
              </w:rPr>
            </w:pPr>
            <w:r>
              <w:rPr>
                <w:rFonts w:ascii="Arial" w:cs="Arial" w:eastAsia="Arial" w:hAnsi="Arial"/>
                <w:sz w:val="18"/>
                <w:szCs w:val="18"/>
                <w:color w:val="auto"/>
              </w:rPr>
              <w:t>(46)</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(21.5)</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12"/>
              <w:spacing w:after="0"/>
              <w:rPr>
                <w:sz w:val="20"/>
                <w:szCs w:val="20"/>
                <w:color w:val="auto"/>
              </w:rPr>
            </w:pPr>
            <w:r>
              <w:rPr>
                <w:rFonts w:ascii="Arial" w:cs="Arial" w:eastAsia="Arial" w:hAnsi="Arial"/>
                <w:sz w:val="18"/>
                <w:szCs w:val="18"/>
                <w:color w:val="auto"/>
                <w:w w:val="93"/>
              </w:rPr>
              <w:t>(21)</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(14.1)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32"/>
              <w:spacing w:after="0"/>
              <w:rPr>
                <w:sz w:val="20"/>
                <w:szCs w:val="20"/>
                <w:color w:val="auto"/>
              </w:rPr>
            </w:pPr>
            <w:r>
              <w:rPr>
                <w:rFonts w:ascii="Arial" w:cs="Arial" w:eastAsia="Arial" w:hAnsi="Arial"/>
                <w:sz w:val="18"/>
                <w:szCs w:val="18"/>
                <w:color w:val="auto"/>
                <w:w w:val="85"/>
              </w:rPr>
              <w:t>(159)</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(425)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72"/>
              <w:spacing w:after="0"/>
              <w:rPr>
                <w:sz w:val="20"/>
                <w:szCs w:val="20"/>
                <w:color w:val="auto"/>
              </w:rPr>
            </w:pPr>
            <w:r>
              <w:rPr>
                <w:rFonts w:ascii="Arial" w:cs="Arial" w:eastAsia="Arial" w:hAnsi="Arial"/>
                <w:sz w:val="18"/>
                <w:szCs w:val="18"/>
                <w:color w:val="auto"/>
              </w:rPr>
              <w:t>9</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(88)</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2,116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79"/>
              </w:rPr>
              <w:t>229</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Reportable Segments — </w:t>
      </w:r>
      <w:r>
        <w:rPr>
          <w:rFonts w:ascii="Arial" w:cs="Arial" w:eastAsia="Arial" w:hAnsi="Arial"/>
          <w:sz w:val="16"/>
          <w:szCs w:val="16"/>
          <w:color w:val="auto"/>
        </w:rPr>
        <w:t>The most significant items affecting the results of operations of our four geographic Groups during the three-year period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are summarized below:</w:t>
      </w:r>
    </w:p>
    <w:p>
      <w:pPr>
        <w:spacing w:after="0" w:line="84" w:lineRule="exact"/>
        <w:rPr>
          <w:sz w:val="20"/>
          <w:szCs w:val="20"/>
          <w:color w:val="auto"/>
        </w:rPr>
      </w:pPr>
    </w:p>
    <w:p>
      <w:pPr>
        <w:ind w:left="700" w:hanging="24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revenue growth from yield on our base business;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prices for recyclable commodities reflected significant year-over-year improvement in both 2011 and 2010;</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accretive benefits of recent acquisitions during 2011and 2010;</w:t>
      </w:r>
    </w:p>
    <w:p>
      <w:pPr>
        <w:spacing w:after="0" w:line="9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volume declines in 2010, and to a lesser extent in 2011, due to the economy, pricing, competition and increasing focus on waste reduction and diversion by consumers;</w:t>
      </w:r>
    </w:p>
    <w:p>
      <w:pPr>
        <w:spacing w:after="0" w:line="50" w:lineRule="exact"/>
        <w:rPr>
          <w:rFonts w:ascii="Arial" w:cs="Arial" w:eastAsia="Arial" w:hAnsi="Arial"/>
          <w:sz w:val="18"/>
          <w:szCs w:val="18"/>
          <w:color w:val="auto"/>
        </w:rPr>
      </w:pPr>
    </w:p>
    <w:p>
      <w:pPr>
        <w:ind w:left="700" w:right="460" w:hanging="246"/>
        <w:spacing w:after="0" w:line="332"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higher salaries and wages due to annual merit increases in both 2011 and 2010 for salaried and hourly employees. The increases during 2011 were offset, in large part, by the transfers of certain field sales organization employees to the Corporate sales organization;</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maintenance and repair costs during 2011;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restructuring charges during 2011 and 2009.</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Other significant items affecting the comparability of our Groups’ results of operations for the years ended December 31, 2011, 2010 and 2009 are summarized below:</w:t>
      </w:r>
    </w:p>
    <w:p>
      <w:pPr>
        <w:spacing w:after="0" w:line="51" w:lineRule="exact"/>
        <w:rPr>
          <w:sz w:val="20"/>
          <w:szCs w:val="20"/>
          <w:color w:val="auto"/>
        </w:rPr>
      </w:pPr>
    </w:p>
    <w:p>
      <w:pPr>
        <w:jc w:val="both"/>
        <w:ind w:left="460" w:right="300" w:firstLine="438"/>
        <w:spacing w:after="0" w:line="259" w:lineRule="auto"/>
        <w:rPr>
          <w:sz w:val="20"/>
          <w:szCs w:val="20"/>
          <w:color w:val="auto"/>
        </w:rPr>
      </w:pPr>
      <w:r>
        <w:rPr>
          <w:rFonts w:ascii="Arial" w:cs="Arial" w:eastAsia="Arial" w:hAnsi="Arial"/>
          <w:sz w:val="18"/>
          <w:szCs w:val="18"/>
          <w:i w:val="1"/>
          <w:iCs w:val="1"/>
          <w:color w:val="auto"/>
        </w:rPr>
        <w:t xml:space="preserve">Eastern </w:t>
      </w:r>
      <w:r>
        <w:rPr>
          <w:rFonts w:ascii="Arial" w:cs="Arial" w:eastAsia="Arial" w:hAnsi="Arial"/>
          <w:sz w:val="18"/>
          <w:szCs w:val="18"/>
          <w:color w:val="auto"/>
        </w:rPr>
        <w:t>— During 2009, the Group recognized (i) an $18 million increase in revenues and income from operations associated with an oil and gas</w:t>
      </w:r>
      <w:r>
        <w:rPr>
          <w:rFonts w:ascii="Arial" w:cs="Arial" w:eastAsia="Arial" w:hAnsi="Arial"/>
          <w:sz w:val="18"/>
          <w:szCs w:val="18"/>
          <w:i w:val="1"/>
          <w:iCs w:val="1"/>
          <w:color w:val="auto"/>
        </w:rPr>
        <w:t xml:space="preserve"> </w:t>
      </w:r>
      <w:r>
        <w:rPr>
          <w:rFonts w:ascii="Arial" w:cs="Arial" w:eastAsia="Arial" w:hAnsi="Arial"/>
          <w:sz w:val="18"/>
          <w:szCs w:val="18"/>
          <w:color w:val="auto"/>
        </w:rPr>
        <w:t>lease at one of our landfills; and (ii) a $9 million charge related to bargaining unit employees in New Jersey agreeing to our proposal to withdraw them from an underfunded multiemployer pension fund.</w:t>
      </w:r>
    </w:p>
    <w:p>
      <w:pPr>
        <w:spacing w:after="0" w:line="59" w:lineRule="exact"/>
        <w:rPr>
          <w:sz w:val="20"/>
          <w:szCs w:val="20"/>
          <w:color w:val="auto"/>
        </w:rPr>
      </w:pPr>
    </w:p>
    <w:p>
      <w:pPr>
        <w:ind w:left="460" w:right="80" w:firstLine="438"/>
        <w:spacing w:after="0" w:line="259" w:lineRule="auto"/>
        <w:rPr>
          <w:sz w:val="20"/>
          <w:szCs w:val="20"/>
          <w:color w:val="auto"/>
        </w:rPr>
      </w:pPr>
      <w:r>
        <w:rPr>
          <w:rFonts w:ascii="Arial" w:cs="Arial" w:eastAsia="Arial" w:hAnsi="Arial"/>
          <w:sz w:val="18"/>
          <w:szCs w:val="18"/>
          <w:i w:val="1"/>
          <w:iCs w:val="1"/>
          <w:color w:val="auto"/>
        </w:rPr>
        <w:t xml:space="preserve">Midwest </w:t>
      </w:r>
      <w:r>
        <w:rPr>
          <w:rFonts w:ascii="Arial" w:cs="Arial" w:eastAsia="Arial" w:hAnsi="Arial"/>
          <w:sz w:val="18"/>
          <w:szCs w:val="18"/>
          <w:color w:val="auto"/>
        </w:rPr>
        <w:t>— The income from operations of our Midwest Group in 2010 was significantly affected by the recognition of charges of $26 million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employees of five bargaining units in Michigan and Ohio agreeing to our proposal to withdraw them from an underfunded multiemployer pension plan.</w:t>
      </w:r>
    </w:p>
    <w:p>
      <w:pPr>
        <w:spacing w:after="0" w:line="59" w:lineRule="exact"/>
        <w:rPr>
          <w:sz w:val="20"/>
          <w:szCs w:val="20"/>
          <w:color w:val="auto"/>
        </w:rPr>
      </w:pPr>
    </w:p>
    <w:p>
      <w:pPr>
        <w:ind w:left="460" w:right="160" w:firstLine="438"/>
        <w:spacing w:after="0" w:line="259" w:lineRule="auto"/>
        <w:rPr>
          <w:sz w:val="20"/>
          <w:szCs w:val="20"/>
          <w:color w:val="auto"/>
        </w:rPr>
      </w:pPr>
      <w:r>
        <w:rPr>
          <w:rFonts w:ascii="Arial" w:cs="Arial" w:eastAsia="Arial" w:hAnsi="Arial"/>
          <w:sz w:val="18"/>
          <w:szCs w:val="18"/>
          <w:color w:val="auto"/>
        </w:rPr>
        <w:t>Additionally, when comparing the average exchange rate in 2010 with 2009, the Canadian exchange rate strengthened by 10%, which increased the Group’s income from operations. The effects of foreign currency translation were the most significant to this Group because substantially all of our Canadian operations are managed by our Midwest Group.</w:t>
      </w:r>
    </w:p>
    <w:p>
      <w:pPr>
        <w:spacing w:after="0" w:line="59" w:lineRule="exact"/>
        <w:rPr>
          <w:sz w:val="20"/>
          <w:szCs w:val="20"/>
          <w:color w:val="auto"/>
        </w:rPr>
      </w:pPr>
    </w:p>
    <w:p>
      <w:pPr>
        <w:ind w:left="460" w:right="200" w:firstLine="438"/>
        <w:spacing w:after="0" w:line="256" w:lineRule="auto"/>
        <w:rPr>
          <w:sz w:val="20"/>
          <w:szCs w:val="20"/>
          <w:color w:val="auto"/>
        </w:rPr>
      </w:pPr>
      <w:r>
        <w:rPr>
          <w:rFonts w:ascii="Arial" w:cs="Arial" w:eastAsia="Arial" w:hAnsi="Arial"/>
          <w:sz w:val="18"/>
          <w:szCs w:val="18"/>
          <w:i w:val="1"/>
          <w:iCs w:val="1"/>
          <w:color w:val="auto"/>
        </w:rPr>
        <w:t xml:space="preserve">Southern </w:t>
      </w:r>
      <w:r>
        <w:rPr>
          <w:rFonts w:ascii="Arial" w:cs="Arial" w:eastAsia="Arial" w:hAnsi="Arial"/>
          <w:sz w:val="18"/>
          <w:szCs w:val="18"/>
          <w:color w:val="auto"/>
        </w:rPr>
        <w:t>— The decrease in income from operations of our Southern Group for the year ended December 31, 2011 as compared with 2010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largely by the volume decline previously discussed, which includes the unfavorable year-over-year impact of 2010 project volumes resulting from oil spill clean-up activities along the Gulf Coast. Additionally, the Group recognized a charge of $11 million in 2011 related to litigation reserves. This charge was initially recognized in “Other” during the fourth quarter of 2010.</w:t>
      </w:r>
    </w:p>
    <w:p>
      <w:pPr>
        <w:spacing w:after="0" w:line="62"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i w:val="1"/>
          <w:iCs w:val="1"/>
          <w:color w:val="auto"/>
        </w:rPr>
        <w:t xml:space="preserve">Western </w:t>
      </w:r>
      <w:r>
        <w:rPr>
          <w:rFonts w:ascii="Arial" w:cs="Arial" w:eastAsia="Arial" w:hAnsi="Arial"/>
          <w:sz w:val="18"/>
          <w:szCs w:val="18"/>
          <w:color w:val="auto"/>
        </w:rPr>
        <w:t>— The Group’s income from operations included additional “Selling, general and administrative” expense of $24 million recognized in 2011</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a litigation loss and $12 million recognized in 2010 in connection with a litigation settlement. The Group’s 2009 income from operations included the recognition of an impairment charge of $27 million as a result of a change in expectations for the future operations of an inactive landfill in California.</w:t>
      </w:r>
    </w:p>
    <w:p>
      <w:pPr>
        <w:spacing w:after="0" w:line="62" w:lineRule="exact"/>
        <w:rPr>
          <w:sz w:val="20"/>
          <w:szCs w:val="20"/>
          <w:color w:val="auto"/>
        </w:rPr>
      </w:pPr>
    </w:p>
    <w:p>
      <w:pPr>
        <w:ind w:left="460" w:right="200" w:firstLine="438"/>
        <w:spacing w:after="0" w:line="256" w:lineRule="auto"/>
        <w:rPr>
          <w:sz w:val="20"/>
          <w:szCs w:val="20"/>
          <w:color w:val="auto"/>
        </w:rPr>
      </w:pPr>
      <w:r>
        <w:rPr>
          <w:rFonts w:ascii="Arial" w:cs="Arial" w:eastAsia="Arial" w:hAnsi="Arial"/>
          <w:sz w:val="18"/>
          <w:szCs w:val="18"/>
          <w:color w:val="auto"/>
        </w:rPr>
        <w:t>Further affecting the comparison of results was the recognition of $7 million of favorable adjustments to landfill amortization expense during 2010 associated with our obligations for landfill final capping, closure and post-closure and net expenses of $5 million recognized for adjustments related to these obligations during 2009. The unfavorable adjustments during 2009 primarily related to a closed landfill in Los Angeles, California for which the Group recognized additional amortization expense.</w:t>
      </w:r>
    </w:p>
    <w:p>
      <w:pPr>
        <w:spacing w:after="0" w:line="62" w:lineRule="exact"/>
        <w:rPr>
          <w:sz w:val="20"/>
          <w:szCs w:val="20"/>
          <w:color w:val="auto"/>
        </w:rPr>
      </w:pPr>
    </w:p>
    <w:p>
      <w:pPr>
        <w:ind w:left="460" w:right="80" w:firstLine="438"/>
        <w:spacing w:after="0" w:line="256" w:lineRule="auto"/>
        <w:rPr>
          <w:sz w:val="20"/>
          <w:szCs w:val="20"/>
          <w:color w:val="auto"/>
        </w:rPr>
      </w:pPr>
      <w:r>
        <w:rPr>
          <w:rFonts w:ascii="Arial" w:cs="Arial" w:eastAsia="Arial" w:hAnsi="Arial"/>
          <w:sz w:val="18"/>
          <w:szCs w:val="18"/>
          <w:i w:val="1"/>
          <w:iCs w:val="1"/>
          <w:color w:val="auto"/>
        </w:rPr>
        <w:t xml:space="preserve">Wheelabrator </w:t>
      </w:r>
      <w:r>
        <w:rPr>
          <w:rFonts w:ascii="Arial" w:cs="Arial" w:eastAsia="Arial" w:hAnsi="Arial"/>
          <w:sz w:val="18"/>
          <w:szCs w:val="18"/>
          <w:color w:val="auto"/>
        </w:rPr>
        <w:t>— The decrease in income from operations of our Wheelabrator Group for the year ended December 31, 2011 as compared with 2010</w:t>
      </w:r>
      <w:r>
        <w:rPr>
          <w:rFonts w:ascii="Arial" w:cs="Arial" w:eastAsia="Arial" w:hAnsi="Arial"/>
          <w:sz w:val="18"/>
          <w:szCs w:val="18"/>
          <w:i w:val="1"/>
          <w:iCs w:val="1"/>
          <w:color w:val="auto"/>
        </w:rPr>
        <w:t xml:space="preserve"> </w:t>
      </w:r>
      <w:r>
        <w:rPr>
          <w:rFonts w:ascii="Arial" w:cs="Arial" w:eastAsia="Arial" w:hAnsi="Arial"/>
          <w:sz w:val="18"/>
          <w:szCs w:val="18"/>
          <w:color w:val="auto"/>
        </w:rPr>
        <w:t>was driven largely by (i) lower revenues due to the expiration of a long-term electric power capacity agreement that expired December 31, 2010 and the expiration of other long-term contracts at our waste-to-energy and independent power facilities; (ii) an increase in year-to-date costs at our facility in Portsmouth, Virginia that we acquired in April 2010 as we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continue to refurbish the facility; and (iii) additional expenses recognized during 2011 for litigation reserves and associated compliance costs. A portion of the expenses for litigation reserves and associated costs were initially recognized in “Other” during the fourth quarter of 2010. The impact of these unfavorable items was partially offset by the efforts to control costs across each of our facilities.</w:t>
      </w:r>
    </w:p>
    <w:p>
      <w:pPr>
        <w:spacing w:after="0" w:line="59" w:lineRule="exact"/>
        <w:rPr>
          <w:sz w:val="20"/>
          <w:szCs w:val="20"/>
          <w:color w:val="auto"/>
        </w:rPr>
      </w:pPr>
    </w:p>
    <w:p>
      <w:pPr>
        <w:ind w:left="460" w:right="40" w:firstLine="438"/>
        <w:spacing w:after="0" w:line="294" w:lineRule="auto"/>
        <w:rPr>
          <w:sz w:val="20"/>
          <w:szCs w:val="20"/>
          <w:color w:val="auto"/>
        </w:rPr>
      </w:pPr>
      <w:r>
        <w:rPr>
          <w:rFonts w:ascii="Arial" w:cs="Arial" w:eastAsia="Arial" w:hAnsi="Arial"/>
          <w:sz w:val="16"/>
          <w:szCs w:val="16"/>
          <w:color w:val="auto"/>
        </w:rPr>
        <w:t>The decrease in the Group’s 2010 income from operations as compared with 2009 was driven by an increase in maintenance-related outages as compared with the prior year, which resulted in decreased electricity generation and increased plant maintenance costs. These increases were attributable to the acceleration of repair and maintenance expenses at our facility in Portsmouth, Virginia that we acquired in April 2010, and expenses at certain of our other facilities. The Group also experienced an increase in litigation settlement costs as compared with 2009. These unfavorable items were partially offset by the benefit of increased revenues from the sale of metals.</w:t>
      </w:r>
    </w:p>
    <w:p>
      <w:pPr>
        <w:spacing w:after="0" w:line="3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Significant items affecting the comparability of the remaining components of our results of operations for the years ended December 31, 2011, 2010 and 2009 are summarized below:</w:t>
      </w:r>
    </w:p>
    <w:p>
      <w:pPr>
        <w:spacing w:after="0" w:line="51"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Our “Other” income from operations include (i) the effects of those elements of our in-plant services, landfill gas-to-energy operations,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third-party subcontract and administration revenues managed by our Sustainability Services, Renewable Energy and Strategic Accounts organizations, including Oakleaf, respectively, that are not included with the operations of our reportable segments; (ii) our recycling brokerage and electronic recycling services; and (iii) the impacts of investments that we are making in expanded service offerings, such as portable self-storage and fluorescent lamp recycling, and in oil and gas producing properties. In addition, our “Other” income from operations reflects the impacts of (i) non-operating entities that provide financial assurance and self-insurance support for the Groups or financing for our Canadian operations; and (ii) certain year-end adjustments recorded in consolidation related to the reportable segments that were not included in the measure of segment profit or loss used to assess their performance for the periods disclosed.</w:t>
      </w:r>
    </w:p>
    <w:p>
      <w:pPr>
        <w:spacing w:after="0" w:line="37" w:lineRule="exact"/>
        <w:rPr>
          <w:sz w:val="20"/>
          <w:szCs w:val="20"/>
          <w:color w:val="auto"/>
        </w:rPr>
      </w:pPr>
    </w:p>
    <w:p>
      <w:pPr>
        <w:ind w:left="460" w:right="40" w:firstLine="438"/>
        <w:spacing w:after="0" w:line="255" w:lineRule="auto"/>
        <w:rPr>
          <w:sz w:val="20"/>
          <w:szCs w:val="20"/>
          <w:color w:val="auto"/>
        </w:rPr>
      </w:pPr>
      <w:r>
        <w:rPr>
          <w:rFonts w:ascii="Arial" w:cs="Arial" w:eastAsia="Arial" w:hAnsi="Arial"/>
          <w:sz w:val="18"/>
          <w:szCs w:val="18"/>
          <w:color w:val="auto"/>
        </w:rPr>
        <w:t>Significant items affecting the comparability of income from operations for the periods presented include (i) the reversal in 2011 of adjustments initially recorded in consolidation in the fourth quarter of 2010 related to our reportable segments, which are now included in the measure of segment income from operations in 2011 and (ii) losses from our growth initiatives. The adjustments recorded in consolidation were primarily related to $15 million of additional expense for litigation reserves and associated costs in our Southern and Wheelabrator Groups. The losses from our growth initiatives are expected to drive year-over-year improvements in future periods.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Significant items affecting the comparability of expenses for the periods presented include:</w:t>
      </w:r>
    </w:p>
    <w:p>
      <w:pPr>
        <w:spacing w:after="0" w:line="90" w:lineRule="exact"/>
        <w:rPr>
          <w:sz w:val="20"/>
          <w:szCs w:val="20"/>
          <w:color w:val="auto"/>
        </w:rPr>
      </w:pPr>
    </w:p>
    <w:p>
      <w:pPr>
        <w:jc w:val="both"/>
        <w:ind w:left="700" w:right="60" w:hanging="246"/>
        <w:spacing w:after="0" w:line="259"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benefit in 2010 of $77 million resulting from a litigation settlement that occurred in April 2010 and $51 million in charges recognized during 2009 for the abandonment of licensed software associated with the revenue management software implementation that was suspended in 2007 and abandoned in 2009;</w:t>
      </w:r>
    </w:p>
    <w:p>
      <w:pPr>
        <w:spacing w:after="0" w:line="59" w:lineRule="exact"/>
        <w:rPr>
          <w:rFonts w:ascii="Arial" w:cs="Arial" w:eastAsia="Arial" w:hAnsi="Arial"/>
          <w:sz w:val="18"/>
          <w:szCs w:val="18"/>
          <w:color w:val="auto"/>
        </w:rPr>
      </w:pPr>
    </w:p>
    <w:p>
      <w:pPr>
        <w:ind w:left="700" w:right="60" w:hanging="246"/>
        <w:spacing w:after="0" w:line="254"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increases in “Selling, general and administrative” expenses for the periods presented as a result of cost increases attributable to (i) consulting fees primarily associated with our new cost savings programs focusing on procurement, operational efficiency and back office efficiency and (ii) additional compensation expense due to annual salary and wage increases, headcount increases to support the Company’s strategic growth plans, and an increase in costs attributable to our equity compensation. Also affecting the comparison during the periods presented is increased compensation expense during 2011 due to transfers of certain field sales organization employees to the Corporate sales organization and a favorable litigation settlement that occurred in 2010;</w:t>
      </w:r>
    </w:p>
    <w:p>
      <w:pPr>
        <w:spacing w:after="0" w:line="63" w:lineRule="exact"/>
        <w:rPr>
          <w:rFonts w:ascii="Arial" w:cs="Arial" w:eastAsia="Arial" w:hAnsi="Arial"/>
          <w:sz w:val="18"/>
          <w:szCs w:val="18"/>
          <w:color w:val="auto"/>
        </w:rPr>
      </w:pPr>
    </w:p>
    <w:p>
      <w:pPr>
        <w:ind w:left="700" w:right="1020" w:hanging="246"/>
        <w:spacing w:after="0" w:line="268"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recognition of a $9 million favorable adjustment during 2011 and net charges of $50 million during 2010 for estimates associated with environmental remediation liabilities at certain of our closed sites;</w:t>
      </w:r>
    </w:p>
    <w:p>
      <w:pPr>
        <w:spacing w:after="0" w:line="50" w:lineRule="exact"/>
        <w:rPr>
          <w:rFonts w:ascii="Arial" w:cs="Arial" w:eastAsia="Arial" w:hAnsi="Arial"/>
          <w:sz w:val="18"/>
          <w:szCs w:val="18"/>
          <w:color w:val="auto"/>
        </w:rPr>
      </w:pPr>
    </w:p>
    <w:p>
      <w:pPr>
        <w:ind w:left="700" w:right="260" w:hanging="246"/>
        <w:spacing w:after="0" w:line="259"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U.S. Treasury rates used to estimate the present value of our environmental remediation obligations and recovery assets. As a result of changes in U.S. Treasury rates, we recognized $17 million of unfavorable adjustments during 2011 and $2 million of unfavorable adjustments during 2010, compared with $35 million of favorable adjustments during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280" w:hanging="246"/>
        <w:spacing w:after="0" w:line="268"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2011 risk management costs, primarily due to increased costs associated with auto and general liability claims and the recognition of a favorable adjustment in 2010 associated with prior period claims; and</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recognition of $9 million in restructuring charges during 2009.</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Renewable Energy Operations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extracted value from the waste streams we manage for years, and we are focusing on increasing our ability to do so, particularly in the field of clean and renewable energy. Most significantly, our current operations produce renewable energy through the waste-to-energy facilities that are managed by our Wheelabrator Group and our landfill gas-to-energy operations. We are actively seeking opportunities to enhance our existing renewable energy service offerings to ensure that we can respond to the shifting demands of consumers and to ensure that we are acting as a leader in environmental stewardship.</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disclosing the following supplemental information related to the operating results of our renewable energy operations for the years ended December 31, 2011 and 2010 (in millions) because we believe that it provides information related to the significance of our current renewable energy operations, the profitability of these operations and the costs we are incurring to develop these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1"/>
              </w:rPr>
              <w:t>Landfill Gas-</w:t>
            </w:r>
          </w:p>
        </w:tc>
        <w:tc>
          <w:tcPr>
            <w:tcW w:w="160" w:type="dxa"/>
            <w:vAlign w:val="bottom"/>
          </w:tcPr>
          <w:p>
            <w:pPr>
              <w:spacing w:after="0"/>
              <w:rPr>
                <w:sz w:val="11"/>
                <w:szCs w:val="11"/>
                <w:color w:val="auto"/>
              </w:rPr>
            </w:pPr>
          </w:p>
        </w:tc>
        <w:tc>
          <w:tcPr>
            <w:tcW w:w="98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Growth</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Landfill Gas-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rPr>
              <w:t>Growth</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7"/>
              </w:rPr>
              <w:t>Wheelabrator</w:t>
            </w:r>
          </w:p>
        </w:tc>
        <w:tc>
          <w:tcPr>
            <w:tcW w:w="280" w:type="dxa"/>
            <w:vAlign w:val="bottom"/>
          </w:tcPr>
          <w:p>
            <w:pPr>
              <w:spacing w:after="0"/>
              <w:rPr>
                <w:sz w:val="14"/>
                <w:szCs w:val="14"/>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to-Energy(a)</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Opportunities(b)</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Total</w:t>
            </w: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Wheelabrator</w:t>
            </w:r>
          </w:p>
        </w:tc>
        <w:tc>
          <w:tcPr>
            <w:tcW w:w="140" w:type="dxa"/>
            <w:vAlign w:val="bottom"/>
          </w:tcPr>
          <w:p>
            <w:pPr>
              <w:spacing w:after="0"/>
              <w:rPr>
                <w:sz w:val="14"/>
                <w:szCs w:val="1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to-Energy(a)</w:t>
            </w:r>
          </w:p>
        </w:tc>
        <w:tc>
          <w:tcPr>
            <w:tcW w:w="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Opportunities(b)</w:t>
            </w:r>
          </w:p>
        </w:tc>
        <w:tc>
          <w:tcPr>
            <w:tcW w:w="8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3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Operating revenues (including intercompany)</w:t>
            </w:r>
          </w:p>
        </w:tc>
        <w:tc>
          <w:tcPr>
            <w:tcW w:w="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877</w:t>
            </w:r>
          </w:p>
        </w:tc>
        <w:tc>
          <w:tcPr>
            <w:tcW w:w="2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98"/>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w:t>
            </w: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1,017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w:t>
            </w:r>
          </w:p>
        </w:tc>
        <w:tc>
          <w:tcPr>
            <w:tcW w:w="2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1,015</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w:t>
            </w: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610</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512</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Selling, general &amp; administrative</w:t>
            </w: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98</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Restructuring and unusual items</w:t>
            </w: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w:t>
            </w: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805</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675</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4"/>
                <w:szCs w:val="14"/>
                <w:color w:val="auto"/>
              </w:rPr>
              <w:t>Income (loss) from operations</w:t>
            </w: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vMerge w:val="continue"/>
          </w:tcPr>
          <w:p>
            <w:pPr>
              <w:spacing w:after="0"/>
              <w:rPr>
                <w:sz w:val="13"/>
                <w:szCs w:val="13"/>
                <w:color w:val="auto"/>
              </w:rPr>
            </w:pPr>
          </w:p>
        </w:tc>
        <w:tc>
          <w:tcPr>
            <w:tcW w:w="3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168</w:t>
            </w:r>
          </w:p>
        </w:tc>
        <w:tc>
          <w:tcPr>
            <w:tcW w:w="600" w:type="dxa"/>
            <w:vAlign w:val="bottom"/>
            <w:gridSpan w:val="2"/>
          </w:tcPr>
          <w:p>
            <w:pPr>
              <w:jc w:val="right"/>
              <w:ind w:right="198"/>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49</w:t>
            </w:r>
          </w:p>
        </w:tc>
        <w:tc>
          <w:tcPr>
            <w:tcW w:w="28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212</w:t>
            </w:r>
          </w:p>
        </w:tc>
        <w:tc>
          <w:tcPr>
            <w:tcW w:w="48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214</w:t>
            </w:r>
          </w:p>
        </w:tc>
        <w:tc>
          <w:tcPr>
            <w:tcW w:w="48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48</w:t>
            </w:r>
          </w:p>
        </w:tc>
        <w:tc>
          <w:tcPr>
            <w:tcW w:w="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(5)</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257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right="60" w:hanging="452"/>
        <w:spacing w:after="0" w:line="256"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landfill gas-to-energy business focuses on generating a renewable energy source from the methane that is produced as waste decomposes. The operating results include the revenues and expenses of landfill gas-to-energy plants that we own and operate, as well as revenues generated from the sale of landfill gas to third-party owner/operators. The operating results of our landfill gas-to-energy business are included within our geographic reportable segments and “Other”.</w:t>
      </w:r>
    </w:p>
    <w:p>
      <w:pPr>
        <w:spacing w:after="0" w:line="35" w:lineRule="exact"/>
        <w:rPr>
          <w:rFonts w:ascii="Arial" w:cs="Arial" w:eastAsia="Arial" w:hAnsi="Arial"/>
          <w:sz w:val="18"/>
          <w:szCs w:val="18"/>
          <w:color w:val="auto"/>
        </w:rPr>
      </w:pPr>
    </w:p>
    <w:p>
      <w:pPr>
        <w:ind w:left="460" w:right="80" w:hanging="452"/>
        <w:spacing w:after="0" w:line="306"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businesses and entities we have acquired or invested in through our organic growth group’s business development efforts. These businesses include a landfill gas-to-LNG facility; landfill gas-to-diesel fuels technologies; organic waste streams-to-fuels technologies; and other engineered fuels technologies. The operating results of our Growth Opportunities are included within “Other” in our assessment of our income from operations by segment.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interest expense was $481 million in 2011, $473 million in 2010 and $426 million in 2009. When comparing 2011 with 2010, our interest expense increased only slightly in spite of a more significant increase in our debt balances over the course of the year of about $850 million. This was primarily attributable to (i) a decrease in our weighted average borrowing rate that has been achieved by refinancing debt with scheduled maturities in 2011 with debt at much lower fixed interest rates; (ii) the impacts that lower market interest rates had on the cost of certain of our tax-exempt debt; and (iii) a $5 million increase in capitalized interest due primarily to higher capital spending in 2011. In 2011, these decreases in interest expense were partially offset by a decrease in the benefits provided by active and terminated interest rate swap agreements due to the maturity of the underlying senior notes.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When comparing 2010 with 2009, the significant increase in our interest expense was primarily due to (i) the issuance of an additional $600 million of senior notes in November 2009 to support acquisitions and investments made throughout 2010, (ii) significantly higher costs related to our revolving credit facility, and (iii) decreased benefits to interest expense provided by active interest rate swaps as a result of decreases in the notional amount of swaps outstanding. These increases in interest expense were offset, in part, by a decline in market interest rates, which reduced the interest costs of our tax-exempt borrowings and our Canadian credit facility.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Beginning in April 2010, our “Equity in net losses of unconsolidated entities” has been primarily related to our noncontrolling interest in a limited liability company established to invest in and manage low-income housing properties, as well as (i) noncontrolling investments made to support our strategic initiatives and (ii) unconsolidated trusts for final capping, closure, post-closure or environmental obligations. In January 2011, we acquired a noncontrolling interest in a limited liability company established to invest in and manage a refined coal facility. The tax impacts realized as a result of our investments in low-income housing properties and the refined coal facility are discussed below in Provision for Income Taxes. Refer to Notes 9 and 20 to the Consolidated Financial Statements for more information related to these investments.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recorded provisions for income taxes of $511 million in 2011, $629 million in 2010 and $413 million in 2009. These tax provisions resulted in an effective income tax rate of approximately 33.6%, 38.5% and 28.1%, for 2011, 2010 and 2009, respectively. The comparability of our reported income taxes for the years ended December 31, 2011, 2010 and 2009 is primarily affected by (i) variations in our income before income taxes; (ii) the utilization of a capital loss carry-back; (iii) the realization of state net operating loss and credit carry-forwards; (iv) changes in effective state and Canadian statutory tax rates; (v) tax audit settlements; and (vi) the impact of federal low-income housing and refined coal tax credits. The impacts of these items are summarized below:</w:t>
      </w:r>
    </w:p>
    <w:p>
      <w:pPr>
        <w:spacing w:after="0" w:line="35" w:lineRule="exact"/>
        <w:rPr>
          <w:sz w:val="20"/>
          <w:szCs w:val="20"/>
          <w:color w:val="auto"/>
        </w:rPr>
      </w:pPr>
    </w:p>
    <w:p>
      <w:pPr>
        <w:ind w:left="700" w:right="240" w:hanging="246"/>
        <w:spacing w:after="0" w:line="332" w:lineRule="auto"/>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w:t>
      </w:r>
      <w:r>
        <w:rPr>
          <w:rFonts w:ascii="Arial" w:cs="Arial" w:eastAsia="Arial" w:hAnsi="Arial"/>
          <w:sz w:val="16"/>
          <w:szCs w:val="16"/>
          <w:i w:val="1"/>
          <w:iCs w:val="1"/>
          <w:color w:val="auto"/>
        </w:rPr>
        <w:t>apital Loss Carry-back</w:t>
      </w:r>
      <w:r>
        <w:rPr>
          <w:rFonts w:ascii="Arial" w:cs="Arial" w:eastAsia="Arial" w:hAnsi="Arial"/>
          <w:sz w:val="16"/>
          <w:szCs w:val="16"/>
          <w:color w:val="auto"/>
        </w:rPr>
        <w:t xml:space="preserve"> — During 2009, we generated a capital loss from the liquidation of a foreign subsidiary. We determined that the capital loss could be utilized to offset capital gains from 2006 and 2007, which resulted in a reduction to our 2009 “Provision for income taxes” of $65 million.</w:t>
      </w:r>
    </w:p>
    <w:p>
      <w:pPr>
        <w:spacing w:after="0" w:line="4" w:lineRule="exact"/>
        <w:rPr>
          <w:rFonts w:ascii="Arial" w:cs="Arial" w:eastAsia="Arial" w:hAnsi="Arial"/>
          <w:sz w:val="16"/>
          <w:szCs w:val="16"/>
          <w:color w:val="auto"/>
        </w:rPr>
      </w:pPr>
    </w:p>
    <w:p>
      <w:pPr>
        <w:ind w:left="700" w:right="400" w:hanging="246"/>
        <w:spacing w:after="0" w:line="332" w:lineRule="auto"/>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State Net Operating Loss and Credit Carry-forwards </w:t>
      </w:r>
      <w:r>
        <w:rPr>
          <w:rFonts w:ascii="Arial" w:cs="Arial" w:eastAsia="Arial" w:hAnsi="Arial"/>
          <w:sz w:val="16"/>
          <w:szCs w:val="16"/>
          <w:color w:val="auto"/>
        </w:rPr>
        <w:t>— During 2011, 2010 and 2009, we utilized state net operating loss and credit carry-forwards</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a reduction to our “Provision for income taxes” for those periods of $4 million, $4 million, and $35 million, respectively.</w:t>
      </w:r>
    </w:p>
    <w:p>
      <w:pPr>
        <w:spacing w:after="0" w:line="4" w:lineRule="exact"/>
        <w:rPr>
          <w:rFonts w:ascii="Arial" w:cs="Arial" w:eastAsia="Arial" w:hAnsi="Arial"/>
          <w:sz w:val="16"/>
          <w:szCs w:val="16"/>
          <w:color w:val="auto"/>
        </w:rPr>
      </w:pPr>
    </w:p>
    <w:p>
      <w:pPr>
        <w:ind w:left="700" w:right="120" w:hanging="246"/>
        <w:spacing w:after="0" w:line="283" w:lineRule="auto"/>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Canadian and State Tax Rate Changes </w:t>
      </w:r>
      <w:r>
        <w:rPr>
          <w:rFonts w:ascii="Arial" w:cs="Arial" w:eastAsia="Arial" w:hAnsi="Arial"/>
          <w:sz w:val="16"/>
          <w:szCs w:val="16"/>
          <w:color w:val="auto"/>
        </w:rPr>
        <w:t>— During 2011, our state deferred income taxes increased by $3 million to reflect the impact of changes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tax rate at which existing temporary differences will be realized. During 2010, our current state tax rate increased from 6.25% to 6.75% resulting in an increase to our provision for income taxes of $5 million. In addition, our state deferred income taxes increased $37 million to reflect the impact of changes in the estimated tax rate at which existing temporary differences will be realized. During 2009, our current state tax rate increased from 6.0% to 6.25% and our deferred state tax rate increased from 5.5% to 5.75%, resulting in an increase to our income taxes of $3 million and</w:t>
      </w:r>
    </w:p>
    <w:p>
      <w:pPr>
        <w:spacing w:after="0" w:line="2" w:lineRule="exact"/>
        <w:rPr>
          <w:rFonts w:ascii="Arial" w:cs="Arial" w:eastAsia="Arial" w:hAnsi="Arial"/>
          <w:sz w:val="16"/>
          <w:szCs w:val="16"/>
          <w:color w:val="auto"/>
        </w:rPr>
      </w:pPr>
    </w:p>
    <w:p>
      <w:pPr>
        <w:ind w:left="700" w:right="160"/>
        <w:spacing w:after="0" w:line="261" w:lineRule="auto"/>
        <w:rPr>
          <w:rFonts w:ascii="Arial" w:cs="Arial" w:eastAsia="Arial" w:hAnsi="Arial"/>
          <w:sz w:val="16"/>
          <w:szCs w:val="16"/>
          <w:color w:val="auto"/>
        </w:rPr>
      </w:pPr>
      <w:r>
        <w:rPr>
          <w:rFonts w:ascii="Arial" w:cs="Arial" w:eastAsia="Arial" w:hAnsi="Arial"/>
          <w:sz w:val="18"/>
          <w:szCs w:val="18"/>
          <w:color w:val="auto"/>
        </w:rPr>
        <w:t>$6 million, respectively. Also affecting 2009 was the reduction of provincial tax rates in Ontario, which resulted in a $13 million tax benefit as a result of the revaluation of the related deferred tax balances.</w:t>
      </w:r>
    </w:p>
    <w:p>
      <w:pPr>
        <w:spacing w:after="0" w:line="56" w:lineRule="exact"/>
        <w:rPr>
          <w:rFonts w:ascii="Arial" w:cs="Arial" w:eastAsia="Arial" w:hAnsi="Arial"/>
          <w:sz w:val="16"/>
          <w:szCs w:val="16"/>
          <w:color w:val="auto"/>
        </w:rPr>
      </w:pPr>
    </w:p>
    <w:p>
      <w:pPr>
        <w:ind w:left="700" w:right="900" w:hanging="246"/>
        <w:spacing w:after="0" w:line="332" w:lineRule="auto"/>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Tax Audit Settlements </w:t>
      </w:r>
      <w:r>
        <w:rPr>
          <w:rFonts w:ascii="Arial" w:cs="Arial" w:eastAsia="Arial" w:hAnsi="Arial"/>
          <w:sz w:val="16"/>
          <w:szCs w:val="16"/>
          <w:color w:val="auto"/>
        </w:rPr>
        <w:t>— The settlement of various tax audits resulted in reductions in income tax expense of $12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2011, $8 million for the year ended December 31, 2010 and $11 million for the year ended December 31, 2009.</w:t>
      </w:r>
    </w:p>
    <w:p>
      <w:pPr>
        <w:spacing w:after="0" w:line="4" w:lineRule="exact"/>
        <w:rPr>
          <w:rFonts w:ascii="Arial" w:cs="Arial" w:eastAsia="Arial" w:hAnsi="Arial"/>
          <w:sz w:val="16"/>
          <w:szCs w:val="16"/>
          <w:color w:val="auto"/>
        </w:rPr>
      </w:pPr>
    </w:p>
    <w:p>
      <w:pPr>
        <w:ind w:left="700" w:right="80" w:hanging="246"/>
        <w:spacing w:after="0" w:line="306" w:lineRule="auto"/>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Federal Low-income Housing Tax Credits </w:t>
      </w:r>
      <w:r>
        <w:rPr>
          <w:rFonts w:ascii="Arial" w:cs="Arial" w:eastAsia="Arial" w:hAnsi="Arial"/>
          <w:sz w:val="16"/>
          <w:szCs w:val="16"/>
          <w:color w:val="auto"/>
        </w:rPr>
        <w:t>— Our federal low-income housing investment and the resulting credits reduced our provision for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taxes by $38 million for the year ended December 31, 2011 and $26 million for the year ended December 31, 2010. Refer to Note 9 to the Consolidated Financial Statements for more information related to our federal low-income housing investment.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46"/>
        <w:spacing w:after="0"/>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Refined Coal Investment Tax Credits </w:t>
      </w:r>
      <w:r>
        <w:rPr>
          <w:rFonts w:ascii="Arial" w:cs="Arial" w:eastAsia="Arial" w:hAnsi="Arial"/>
          <w:sz w:val="16"/>
          <w:szCs w:val="16"/>
          <w:color w:val="auto"/>
        </w:rPr>
        <w:t>— Our refined coal facility investment and the resulting credits reduced our provision for income taxes by</w:t>
      </w:r>
    </w:p>
    <w:p>
      <w:pPr>
        <w:spacing w:after="0" w:line="38" w:lineRule="exact"/>
        <w:rPr>
          <w:rFonts w:ascii="Arial" w:cs="Arial" w:eastAsia="Arial" w:hAnsi="Arial"/>
          <w:sz w:val="16"/>
          <w:szCs w:val="16"/>
          <w:color w:val="auto"/>
        </w:rPr>
      </w:pPr>
    </w:p>
    <w:p>
      <w:pPr>
        <w:ind w:left="700" w:right="40"/>
        <w:spacing w:after="0" w:line="261" w:lineRule="auto"/>
        <w:rPr>
          <w:rFonts w:ascii="Arial" w:cs="Arial" w:eastAsia="Arial" w:hAnsi="Arial"/>
          <w:sz w:val="16"/>
          <w:szCs w:val="16"/>
          <w:color w:val="auto"/>
        </w:rPr>
      </w:pPr>
      <w:r>
        <w:rPr>
          <w:rFonts w:ascii="Arial" w:cs="Arial" w:eastAsia="Arial" w:hAnsi="Arial"/>
          <w:sz w:val="18"/>
          <w:szCs w:val="18"/>
          <w:color w:val="auto"/>
        </w:rPr>
        <w:t>$17 million for the year ended December 31, 2011. Refer to Note 9 to the Consolidated Financial Statements for more information related to our refined coal investment.</w:t>
      </w:r>
    </w:p>
    <w:p>
      <w:pPr>
        <w:spacing w:after="0" w:line="5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acquisition of Oakleaf did not materially impact our provision for income taxes or the effective income tax rate for the period ended December 31, 2011. We did receive, as part of the acquisition, income tax attributes (primarily federal and state net operating losses). While these tax attributes, when realized, will not affect our overall provision for income taxes, they will have a favorable impact on our cash taxes, although we do not anticipate the impact to be material to our overall cash flow from operations.</w:t>
      </w:r>
    </w:p>
    <w:p>
      <w:pPr>
        <w:spacing w:after="0" w:line="6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expect our 2012 recurring effective tax rate will be approximately 35.5% based on expected income levels, projected federal tax credits and other permanent items.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Tax Relief, Unemployment Insurance Reauthorization, and Job Creation Act, signed into law on December 17, 2010, included an extension of the bonus depreciation allowance through the end of 2012 and increased the amount of qualifying capital expenditures that can be depreciated immediately from 50% to 100%. The 100% depreciation deduction applies to qualifying property placed in service from September 8, 2010 through December 31, 2011. The acceleration of deductions on 2011 capital expenditures resulting from the bonus depreciation provision had no impact on our 2011 effective tax rate. However, the ability to accelerate depreciation deductions decreased our 2011 cash taxes by approximately $190 million. Taking the accelerated tax depreciation will result in increased cash taxes in future periods when the deductions for these capital expenditures would have otherwise been taken.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Net income attributable to noncontrolling interests was $48 million in 2011, $49 million in 2010 and $66 million in 2009. These amounts are principally related to third parties’ equity interests in two limited liability companies that own three waste-to-energy facilities operated by our Wheelabrator Group. The comparison of these amounts for the reported periods has been affected by (i) our January 2010 acquisition of a controlling financial interest in a portable self-storage business and (ii) the deconsolidation of certain final capping, closure, post-closure and environmental remediation trusts as a result of our implementation of authoritative accounting guidance, effective January 1, 2010, associated with variable interest entities. Refer to Note 20 to the Consolidated Financial Statements for information related to the consolidation of these variable interest entities.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Landfill and Environmental Remediation Discussion and Analysis</w:t>
      </w:r>
    </w:p>
    <w:p>
      <w:pPr>
        <w:spacing w:after="0" w:line="90" w:lineRule="exact"/>
        <w:rPr>
          <w:sz w:val="20"/>
          <w:szCs w:val="20"/>
          <w:color w:val="auto"/>
        </w:rPr>
      </w:pPr>
    </w:p>
    <w:p>
      <w:pPr>
        <w:ind w:right="360" w:firstLine="456"/>
        <w:spacing w:after="0" w:line="331" w:lineRule="auto"/>
        <w:rPr>
          <w:sz w:val="20"/>
          <w:szCs w:val="20"/>
          <w:color w:val="auto"/>
        </w:rPr>
      </w:pPr>
      <w:r>
        <w:rPr>
          <w:rFonts w:ascii="Arial" w:cs="Arial" w:eastAsia="Arial" w:hAnsi="Arial"/>
          <w:sz w:val="16"/>
          <w:szCs w:val="16"/>
          <w:color w:val="auto"/>
        </w:rPr>
        <w:t>We owned or operated 266 solid waste and five secure hazardous waste landfills at December 31, 2011 and 2010. At December 31, 2011 and 2010, the expected remaining capacity, in cubic yards and tonnage of waste that can be accepted at our owned or operated landfills, is shown below (in millions):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December 31, 2011</w:t>
            </w:r>
          </w:p>
        </w:tc>
        <w:tc>
          <w:tcPr>
            <w:tcW w:w="5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December 31, 2010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0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Remaining</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Remaining</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0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Permitted</w:t>
            </w:r>
          </w:p>
        </w:tc>
        <w:tc>
          <w:tcPr>
            <w:tcW w:w="56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4"/>
              </w:rPr>
              <w:t>Expansion</w:t>
            </w: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Permitted</w:t>
            </w:r>
          </w:p>
        </w:tc>
        <w:tc>
          <w:tcPr>
            <w:tcW w:w="54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4"/>
              </w:rPr>
              <w:t>Expansion</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4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2"/>
              </w:rPr>
              <w:t>Capacity</w:t>
            </w:r>
          </w:p>
        </w:tc>
        <w:tc>
          <w:tcPr>
            <w:tcW w:w="56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Capacity</w:t>
            </w: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Capacity</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5"/>
              </w:rPr>
              <w:t>Capacity</w:t>
            </w:r>
          </w:p>
        </w:tc>
        <w:tc>
          <w:tcPr>
            <w:tcW w:w="5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Capacity</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Capacity</w:t>
            </w: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Remaining cubic yards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5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5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5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Remaining tonnage</w:t>
            </w:r>
          </w:p>
        </w:tc>
        <w:tc>
          <w:tcPr>
            <w:tcW w:w="620" w:type="dxa"/>
            <w:vAlign w:val="bottom"/>
          </w:tcPr>
          <w:p>
            <w:pPr>
              <w:jc w:val="right"/>
              <w:spacing w:after="0"/>
              <w:rPr>
                <w:sz w:val="20"/>
                <w:szCs w:val="20"/>
                <w:color w:val="auto"/>
              </w:rPr>
            </w:pPr>
            <w:r>
              <w:rPr>
                <w:rFonts w:ascii="Arial" w:cs="Arial" w:eastAsia="Arial" w:hAnsi="Arial"/>
                <w:sz w:val="18"/>
                <w:szCs w:val="18"/>
                <w:color w:val="auto"/>
              </w:rPr>
              <w:t>4,485</w:t>
            </w:r>
          </w:p>
        </w:tc>
        <w:tc>
          <w:tcPr>
            <w:tcW w:w="1740" w:type="dxa"/>
            <w:vAlign w:val="bottom"/>
            <w:gridSpan w:val="3"/>
          </w:tcPr>
          <w:p>
            <w:pPr>
              <w:jc w:val="right"/>
              <w:ind w:right="560"/>
              <w:spacing w:after="0"/>
              <w:rPr>
                <w:sz w:val="20"/>
                <w:szCs w:val="20"/>
                <w:color w:val="auto"/>
              </w:rPr>
            </w:pPr>
            <w:r>
              <w:rPr>
                <w:rFonts w:ascii="Arial" w:cs="Arial" w:eastAsia="Arial" w:hAnsi="Arial"/>
                <w:sz w:val="18"/>
                <w:szCs w:val="18"/>
                <w:color w:val="auto"/>
              </w:rPr>
              <w:t>621</w:t>
            </w:r>
          </w:p>
        </w:tc>
        <w:tc>
          <w:tcPr>
            <w:tcW w:w="520" w:type="dxa"/>
            <w:vAlign w:val="bottom"/>
          </w:tcPr>
          <w:p>
            <w:pPr>
              <w:jc w:val="right"/>
              <w:spacing w:after="0"/>
              <w:rPr>
                <w:sz w:val="20"/>
                <w:szCs w:val="20"/>
                <w:color w:val="auto"/>
              </w:rPr>
            </w:pPr>
            <w:r>
              <w:rPr>
                <w:rFonts w:ascii="Arial" w:cs="Arial" w:eastAsia="Arial" w:hAnsi="Arial"/>
                <w:sz w:val="18"/>
                <w:szCs w:val="18"/>
                <w:color w:val="auto"/>
              </w:rPr>
              <w:t>5,106</w:t>
            </w: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4,391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5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19"/>
                <w:szCs w:val="19"/>
                <w:color w:val="auto"/>
              </w:rPr>
            </w:pPr>
          </w:p>
        </w:tc>
      </w:tr>
    </w:tbl>
    <w:p>
      <w:pPr>
        <w:spacing w:after="0" w:line="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Based on remaining permitted airspace as of December 31, 2011 and projected annual disposal volumes, the weighted average remaining landfill life for all of our owned or operated landfills is approximately 42 years. Many of our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and prices, remaining capacity and likelihood of obtaining an expansion permit. We are seeking expansion permits at 33 of our landfills that meet the expansion criteria outlined in the </w:t>
      </w:r>
      <w:r>
        <w:rPr>
          <w:rFonts w:ascii="Arial" w:cs="Arial" w:eastAsia="Arial" w:hAnsi="Arial"/>
          <w:sz w:val="16"/>
          <w:szCs w:val="16"/>
          <w:i w:val="1"/>
          <w:iCs w:val="1"/>
          <w:color w:val="auto"/>
        </w:rPr>
        <w:t>Critical Accounting Estimates and Assumptions</w:t>
      </w:r>
      <w:r>
        <w:rPr>
          <w:rFonts w:ascii="Arial" w:cs="Arial" w:eastAsia="Arial" w:hAnsi="Arial"/>
          <w:sz w:val="16"/>
          <w:szCs w:val="16"/>
          <w:color w:val="auto"/>
        </w:rPr>
        <w:t xml:space="preserve"> section above. Although no assurances can be made that all future expansions will be permitted or permitted as designed, the weighted average remaining landfill life for all owned or operated landfills is approximately 48 years when considering remaining permitted airspace, expansion airspace and projected annual disposal volume.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number of landfills we own or operate as of December 31, 2011, segregated by their estimated operating lives (in years), based on remaining permitted and expansion airspace and projected annual disposal volume,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0 to 5</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1"/>
              </w:rPr>
              <w:t>6 to 10</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0"/>
              </w:rPr>
              <w:t>11 to 20</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4"/>
              </w:rPr>
              <w:t>21 to 40</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41+</w:t>
            </w:r>
          </w:p>
        </w:tc>
        <w:tc>
          <w:tcPr>
            <w:tcW w:w="48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Owned</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Operated through lease(a)</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7</w:t>
            </w: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contracts(b)</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landfills</w:t>
            </w: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3"/>
            <w:vMerge w:val="continue"/>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19</w:t>
            </w: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103</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From an operating perspective, landfills we operate through lease agreements are similar to landfills we own because we own the landfill’s operating permit and will operate the landfill for the entire lease term, which in many cases is the life of the landfill. We are usually responsible for the final capping, closure and post-closure obligations of the landfills we lease.</w:t>
      </w:r>
    </w:p>
    <w:p>
      <w:pPr>
        <w:spacing w:after="0" w:line="32"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operating contracts, the property owner owns the permit and we operate the landfill for a contracted term, which may be the life of the landfill. However, we are generally responsible for final capping, closure and post-closure obligations under the operating contracts.</w:t>
      </w:r>
    </w:p>
    <w:p>
      <w:pPr>
        <w:spacing w:after="0" w:line="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reflects landfill capacity and airspace changes, as measured in tons of waste, for landfills owned or operated by us during the years ended December 31, 2011 and 2010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December 31, 2011</w:t>
            </w:r>
          </w:p>
        </w:tc>
        <w:tc>
          <w:tcPr>
            <w:tcW w:w="5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December 31, 2010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Remaining</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Remaining</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Permitted</w:t>
            </w:r>
          </w:p>
        </w:tc>
        <w:tc>
          <w:tcPr>
            <w:tcW w:w="400" w:type="dxa"/>
            <w:vAlign w:val="bottom"/>
          </w:tcPr>
          <w:p>
            <w:pPr>
              <w:spacing w:after="0"/>
              <w:rPr>
                <w:sz w:val="12"/>
                <w:szCs w:val="12"/>
                <w:color w:val="auto"/>
              </w:rPr>
            </w:pP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1"/>
              </w:rPr>
              <w:t>Expansion</w:t>
            </w:r>
          </w:p>
        </w:tc>
        <w:tc>
          <w:tcPr>
            <w:tcW w:w="11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Total</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Permitted</w:t>
            </w:r>
          </w:p>
        </w:tc>
        <w:tc>
          <w:tcPr>
            <w:tcW w:w="40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4"/>
              </w:rPr>
              <w:t>Expansion</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Capacity</w:t>
            </w:r>
          </w:p>
        </w:tc>
        <w:tc>
          <w:tcPr>
            <w:tcW w:w="40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2"/>
              </w:rPr>
              <w:t>Capacity</w:t>
            </w: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Capacity</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Capacity</w:t>
            </w:r>
          </w:p>
        </w:tc>
        <w:tc>
          <w:tcPr>
            <w:tcW w:w="40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2"/>
              </w:rPr>
              <w:t>Capacity</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Capacity</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5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5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5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Acquisitions, divestitures, newly permitted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000" w:type="dxa"/>
            <w:vAlign w:val="bottom"/>
            <w:gridSpan w:val="2"/>
          </w:tcPr>
          <w:p>
            <w:pPr>
              <w:ind w:left="220"/>
              <w:spacing w:after="0"/>
              <w:rPr>
                <w:sz w:val="20"/>
                <w:szCs w:val="20"/>
                <w:color w:val="auto"/>
              </w:rPr>
            </w:pPr>
            <w:r>
              <w:rPr>
                <w:rFonts w:ascii="Arial" w:cs="Arial" w:eastAsia="Arial" w:hAnsi="Arial"/>
                <w:sz w:val="18"/>
                <w:szCs w:val="18"/>
                <w:color w:val="auto"/>
              </w:rPr>
              <w:t>landfills and closures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expansions pursued(a)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Expansion permits granted(b)</w:t>
            </w: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(84)</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(238)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Airspace consumed</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Changes in engineering estimates and other(c)</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101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5,106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20" w:hanging="452"/>
        <w:spacing w:after="0" w:line="25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w:t>
      </w:r>
    </w:p>
    <w:p>
      <w:pPr>
        <w:spacing w:after="0" w:line="32"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received expansion permits at eight of our landfills during 2011 and 13 of our landfills during 2010, demonstrating our continued success in working with municipalities and regulatory agencies to expand the disposal capacity of our existing landfills.</w:t>
      </w:r>
    </w:p>
    <w:p>
      <w:pPr>
        <w:spacing w:after="0" w:line="23" w:lineRule="exact"/>
        <w:rPr>
          <w:rFonts w:ascii="Arial" w:cs="Arial" w:eastAsia="Arial" w:hAnsi="Arial"/>
          <w:sz w:val="18"/>
          <w:szCs w:val="18"/>
          <w:color w:val="auto"/>
        </w:rPr>
      </w:pPr>
    </w:p>
    <w:p>
      <w:pPr>
        <w:ind w:left="460" w:right="440" w:hanging="452"/>
        <w:spacing w:after="0" w:line="294"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in engineering estimates can result in changes to the estimated available remaining capacity of a landfill or changes in the utilization of such landfill capacity,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improving the utilization of airspace through efforts that include recirculating landfill leachate where allowed by permit; optimizing the placement of daily cover materials; and increasing initial compaction through improved landfill equipment, operations and training.</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tons received at our landfills in 2011 and 2010 are shown below (tons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84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96"/>
              </w:rPr>
              <w:t># of</w:t>
            </w:r>
          </w:p>
        </w:tc>
        <w:tc>
          <w:tcPr>
            <w:tcW w:w="10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Total</w:t>
            </w:r>
          </w:p>
        </w:tc>
        <w:tc>
          <w:tcPr>
            <w:tcW w:w="46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rPr>
              <w:t>Tons</w:t>
            </w:r>
          </w:p>
        </w:tc>
        <w:tc>
          <w:tcPr>
            <w:tcW w:w="460" w:type="dxa"/>
            <w:vAlign w:val="bottom"/>
          </w:tcPr>
          <w:p>
            <w:pPr>
              <w:spacing w:after="0"/>
              <w:rPr>
                <w:sz w:val="11"/>
                <w:szCs w:val="11"/>
                <w:color w:val="auto"/>
              </w:rPr>
            </w:pPr>
          </w:p>
        </w:tc>
        <w:tc>
          <w:tcPr>
            <w:tcW w:w="78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6"/>
              </w:rPr>
              <w:t># of</w:t>
            </w:r>
          </w:p>
        </w:tc>
        <w:tc>
          <w:tcPr>
            <w:tcW w:w="106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rPr>
              <w:t>Total</w:t>
            </w: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Tons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Sites</w:t>
            </w:r>
          </w:p>
        </w:tc>
        <w:tc>
          <w:tcPr>
            <w:tcW w:w="52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4"/>
                <w:szCs w:val="14"/>
                <w:b w:val="1"/>
                <w:bCs w:val="1"/>
                <w:color w:val="auto"/>
              </w:rPr>
              <w:t>Tons</w:t>
            </w:r>
          </w:p>
        </w:tc>
        <w:tc>
          <w:tcPr>
            <w:tcW w:w="5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5"/>
              </w:rPr>
              <w:t>per Day</w:t>
            </w:r>
          </w:p>
        </w:tc>
        <w:tc>
          <w:tcPr>
            <w:tcW w:w="4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Sites</w:t>
            </w:r>
          </w:p>
        </w:tc>
        <w:tc>
          <w:tcPr>
            <w:tcW w:w="4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4"/>
                <w:szCs w:val="14"/>
                <w:b w:val="1"/>
                <w:bCs w:val="1"/>
                <w:color w:val="auto"/>
              </w:rPr>
              <w:t>Tons</w:t>
            </w:r>
          </w:p>
        </w:tc>
        <w:tc>
          <w:tcPr>
            <w:tcW w:w="520" w:type="dxa"/>
            <w:vAlign w:val="bottom"/>
          </w:tcPr>
          <w:p>
            <w:pPr>
              <w:spacing w:after="0"/>
              <w:rPr>
                <w:sz w:val="14"/>
                <w:szCs w:val="14"/>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per Day</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Solid waste landfills</w:t>
            </w: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280" w:type="dxa"/>
            <w:vAlign w:val="bottom"/>
            <w:gridSpan w:val="2"/>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266(a)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91,130</w:t>
            </w:r>
          </w:p>
        </w:tc>
        <w:tc>
          <w:tcPr>
            <w:tcW w:w="5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4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266</w:t>
            </w:r>
          </w:p>
        </w:tc>
        <w:tc>
          <w:tcPr>
            <w:tcW w:w="46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91,863</w:t>
            </w:r>
          </w:p>
        </w:tc>
        <w:tc>
          <w:tcPr>
            <w:tcW w:w="5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Hazardous waste landfills</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599</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667</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271</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91,729</w:t>
            </w:r>
          </w:p>
        </w:tc>
        <w:tc>
          <w:tcPr>
            <w:tcW w:w="5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271</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92,530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ind w:left="460"/>
              <w:spacing w:after="0"/>
              <w:rPr>
                <w:sz w:val="20"/>
                <w:szCs w:val="20"/>
                <w:color w:val="auto"/>
              </w:rPr>
            </w:pPr>
            <w:r>
              <w:rPr>
                <w:rFonts w:ascii="Arial" w:cs="Arial" w:eastAsia="Arial" w:hAnsi="Arial"/>
                <w:sz w:val="18"/>
                <w:szCs w:val="18"/>
                <w:color w:val="auto"/>
              </w:rPr>
              <w:t>Solid waste landfills closed or divested during related year</w:t>
            </w:r>
          </w:p>
        </w:tc>
        <w:tc>
          <w:tcPr>
            <w:tcW w:w="84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1</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5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gridSpan w:val="3"/>
            <w:vMerge w:val="restart"/>
          </w:tcPr>
          <w:p>
            <w:pPr>
              <w:jc w:val="right"/>
              <w:ind w:right="460"/>
              <w:spacing w:after="0"/>
              <w:rPr>
                <w:sz w:val="20"/>
                <w:szCs w:val="20"/>
                <w:color w:val="auto"/>
              </w:rPr>
            </w:pPr>
            <w:r>
              <w:rPr>
                <w:rFonts w:ascii="Arial" w:cs="Arial" w:eastAsia="Arial" w:hAnsi="Arial"/>
                <w:sz w:val="18"/>
                <w:szCs w:val="18"/>
                <w:color w:val="auto"/>
              </w:rPr>
              <w:t>3</w:t>
            </w:r>
          </w:p>
        </w:tc>
        <w:tc>
          <w:tcPr>
            <w:tcW w:w="106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295</w:t>
            </w: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740" w:type="dxa"/>
            <w:vAlign w:val="bottom"/>
            <w:gridSpan w:val="3"/>
            <w:vMerge w:val="continue"/>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gridSpan w:val="3"/>
            <w:vMerge w:val="continue"/>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91,778(b)</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92,825(b)</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2011, we developed one landfill and closed one landfill.</w:t>
      </w:r>
    </w:p>
    <w:p>
      <w:pPr>
        <w:spacing w:after="0" w:line="63" w:lineRule="exact"/>
        <w:rPr>
          <w:rFonts w:ascii="Arial" w:cs="Arial" w:eastAsia="Arial" w:hAnsi="Arial"/>
          <w:sz w:val="18"/>
          <w:szCs w:val="18"/>
          <w:color w:val="auto"/>
        </w:rPr>
      </w:pPr>
    </w:p>
    <w:p>
      <w:pPr>
        <w:ind w:left="460" w:right="40" w:hanging="452"/>
        <w:spacing w:after="0" w:line="30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These amounts include 1.4 million tons at December 31, 2011 and 1.7 million tons at December 31, 2010 that were received at our landfills but were used for beneficial purposes and generally were redirected from the permitted airspace to other areas of the landfill. Waste types that are frequently identified for beneficial use include green waste for composting and clean dirt for on-site construction projects.</w:t>
      </w:r>
    </w:p>
    <w:p>
      <w:pPr>
        <w:spacing w:after="0" w:line="2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When a landfill we own or operate receives certification of closure from the applicable regulatory agency, we generally transfer the management of the site, including any remediation activities, to our closed sites management group. As of December 31, 2011, our closed sites management group managed 207 closed landfills.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Landfill Assets </w:t>
      </w:r>
      <w:r>
        <w:rPr>
          <w:rFonts w:ascii="Arial" w:cs="Arial" w:eastAsia="Arial" w:hAnsi="Arial"/>
          <w:sz w:val="16"/>
          <w:szCs w:val="16"/>
          <w:color w:val="auto"/>
        </w:rPr>
        <w:t>— We capitalize various costs that we incur to prepare a landfill to accept waste. These costs generally include expenditures for land</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3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reflects the total cost basis of our landfill assets and accumulated landfill airspace amortization as of December 31, 2011 and 2010, and summarizes significant changes in these amounts during 2011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6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82"/>
              </w:rPr>
              <w:t>Cost Basis of</w:t>
            </w:r>
          </w:p>
        </w:tc>
        <w:tc>
          <w:tcPr>
            <w:tcW w:w="12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Landfill</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2"/>
              </w:rPr>
              <w:t>Landfill</w:t>
            </w:r>
          </w:p>
        </w:tc>
        <w:tc>
          <w:tcPr>
            <w:tcW w:w="12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Airspace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78"/>
              </w:rPr>
              <w:t>Assets</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Landfill Assets</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2010</w:t>
            </w:r>
          </w:p>
        </w:tc>
        <w:tc>
          <w:tcPr>
            <w:tcW w:w="1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12,777</w:t>
            </w: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Capital additions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92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 incurred and capitalized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Acquisitions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landfill airspace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(378)</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86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retirements and other adjustments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December 31, 2011</w:t>
            </w: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vMerge w:val="continue"/>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920"/>
              <w:spacing w:after="0"/>
              <w:rPr>
                <w:sz w:val="20"/>
                <w:szCs w:val="20"/>
                <w:color w:val="auto"/>
              </w:rPr>
            </w:pPr>
            <w:r>
              <w:rPr>
                <w:rFonts w:ascii="Arial" w:cs="Arial" w:eastAsia="Arial" w:hAnsi="Arial"/>
                <w:sz w:val="18"/>
                <w:szCs w:val="18"/>
                <w:color w:val="auto"/>
              </w:rPr>
              <w:t>12,940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(6,931)</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6,009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720" w:type="dxa"/>
            <w:vAlign w:val="bottom"/>
            <w:vMerge w:val="restart"/>
          </w:tcPr>
          <w:p>
            <w:pPr>
              <w:jc w:val="right"/>
              <w:ind w:right="732"/>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As of December 31, 2011, we estimate that we will spend approximately $400 million in 2012, and approximately $1 billion in 2013 and 2014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Landfill and Environmental Remediation Liabilities </w:t>
      </w:r>
      <w:r>
        <w:rPr>
          <w:rFonts w:ascii="Arial" w:cs="Arial" w:eastAsia="Arial" w:hAnsi="Arial"/>
          <w:sz w:val="16"/>
          <w:szCs w:val="16"/>
          <w:color w:val="auto"/>
        </w:rPr>
        <w:t>— As we accept waste at our landfills, we incur significant asset retirement obligations, which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associated with landfill final capping, closure and post-closure activities. These liabilities are accounted for in accordance with authoritative guidance associated with accounting for asset retirement obligations, and are discussed in Note 3 of our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estimated cost for the likely remedy can be reasonably estimated.</w:t>
      </w:r>
    </w:p>
    <w:p>
      <w:pPr>
        <w:spacing w:after="0" w:line="39"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reflects our landfill liabilities and our environmental remediation liabilities as of December 31, 2011 and 2010, and summarizes significant changes in these amounts during 2011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Landfill</w:t>
            </w:r>
          </w:p>
        </w:tc>
        <w:tc>
          <w:tcPr>
            <w:tcW w:w="44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2010</w:t>
            </w:r>
          </w:p>
        </w:tc>
        <w:tc>
          <w:tcPr>
            <w:tcW w:w="20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$1,266</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3060" w:type="dxa"/>
            <w:vAlign w:val="bottom"/>
            <w:gridSpan w:val="3"/>
          </w:tcPr>
          <w:p>
            <w:pPr>
              <w:jc w:val="right"/>
              <w:ind w:right="520"/>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Obligations settled</w:t>
            </w:r>
          </w:p>
        </w:tc>
        <w:tc>
          <w:tcPr>
            <w:tcW w:w="3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Interest accretion</w:t>
            </w:r>
          </w:p>
        </w:tc>
        <w:tc>
          <w:tcPr>
            <w:tcW w:w="3060" w:type="dxa"/>
            <w:vAlign w:val="bottom"/>
            <w:gridSpan w:val="3"/>
          </w:tcPr>
          <w:p>
            <w:pPr>
              <w:jc w:val="right"/>
              <w:ind w:right="520"/>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Revisions in cost estimates and interest rate assumptions</w:t>
            </w:r>
          </w:p>
        </w:tc>
        <w:tc>
          <w:tcPr>
            <w:tcW w:w="3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20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20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1,292</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Landfill Costs and Expenses </w:t>
      </w:r>
      <w:r>
        <w:rPr>
          <w:rFonts w:ascii="Arial" w:cs="Arial" w:eastAsia="Arial" w:hAnsi="Arial"/>
          <w:sz w:val="18"/>
          <w:szCs w:val="18"/>
          <w:color w:val="auto"/>
        </w:rPr>
        <w:t>— As disclosed in the</w:t>
      </w:r>
      <w:r>
        <w:rPr>
          <w:rFonts w:ascii="Arial" w:cs="Arial" w:eastAsia="Arial" w:hAnsi="Arial"/>
          <w:sz w:val="18"/>
          <w:szCs w:val="18"/>
          <w:i w:val="1"/>
          <w:iCs w:val="1"/>
          <w:color w:val="auto"/>
        </w:rPr>
        <w:t xml:space="preserve"> Operating Expenses </w:t>
      </w:r>
      <w:r>
        <w:rPr>
          <w:rFonts w:ascii="Arial" w:cs="Arial" w:eastAsia="Arial" w:hAnsi="Arial"/>
          <w:sz w:val="18"/>
          <w:szCs w:val="18"/>
          <w:color w:val="auto"/>
        </w:rPr>
        <w:t>section above, our landfill operating costs include interest accretion on asset</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obligations, interest accretion on and discount rate adjustments to environmental remediation liabilities and recovery assets, leachate and methane collection and treatment, landfill remediation costs, and other landfill site costs. The following table summarizes these costs for each of the three years indicated (in millions):</w:t>
      </w:r>
    </w:p>
    <w:p>
      <w:pPr>
        <w:spacing w:after="0" w:line="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87"/>
              </w:rPr>
              <w:t>Years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7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accretion on landfill liabilities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7920" w:type="dxa"/>
            <w:vAlign w:val="bottom"/>
          </w:tcPr>
          <w:p>
            <w:pPr>
              <w:spacing w:after="0"/>
              <w:rPr>
                <w:sz w:val="20"/>
                <w:szCs w:val="20"/>
                <w:color w:val="auto"/>
              </w:rPr>
            </w:pPr>
            <w:r>
              <w:rPr>
                <w:rFonts w:ascii="Arial" w:cs="Arial" w:eastAsia="Arial" w:hAnsi="Arial"/>
                <w:sz w:val="18"/>
                <w:szCs w:val="18"/>
                <w:color w:val="auto"/>
                <w:w w:val="95"/>
              </w:rPr>
              <w:t>Interest accretion on and discount rate adjustments to environmental remediation liabilities and recovery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920" w:type="dxa"/>
            <w:vAlign w:val="bottom"/>
          </w:tcPr>
          <w:p>
            <w:pPr>
              <w:ind w:left="220"/>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(30)</w:t>
            </w:r>
          </w:p>
        </w:tc>
      </w:tr>
      <w:tr>
        <w:trPr>
          <w:trHeight w:val="218"/>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Leachate and methane collection and treatment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Landfill remediation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landfill site costs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22"/>
        </w:trPr>
        <w:tc>
          <w:tcPr>
            <w:tcW w:w="7920" w:type="dxa"/>
            <w:vAlign w:val="bottom"/>
          </w:tcPr>
          <w:p>
            <w:pPr>
              <w:spacing w:after="0"/>
              <w:rPr>
                <w:sz w:val="20"/>
                <w:szCs w:val="20"/>
                <w:color w:val="auto"/>
              </w:rPr>
            </w:pPr>
            <w:r>
              <w:rPr>
                <w:rFonts w:ascii="Arial" w:cs="Arial" w:eastAsia="Arial" w:hAnsi="Arial"/>
                <w:sz w:val="18"/>
                <w:szCs w:val="18"/>
                <w:color w:val="auto"/>
              </w:rPr>
              <w:t>Total landfill operating costs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255</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294</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222</w:t>
            </w:r>
          </w:p>
        </w:tc>
      </w:tr>
      <w:tr>
        <w:trPr>
          <w:trHeight w:val="20"/>
        </w:trPr>
        <w:tc>
          <w:tcPr>
            <w:tcW w:w="7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comparison of these costs for the reported periods has been significantly affected by accounting for changes in the risk-free discount rate that we use to estimate the present value of our environmental remediation liabilities and environmental remediation recovery assets, which is based on the rate for</w:t>
      </w:r>
    </w:p>
    <w:p>
      <w:pPr>
        <w:ind w:right="120"/>
        <w:spacing w:after="0" w:line="253" w:lineRule="auto"/>
        <w:rPr>
          <w:sz w:val="20"/>
          <w:szCs w:val="20"/>
          <w:color w:val="auto"/>
        </w:rPr>
      </w:pPr>
      <w:r>
        <w:rPr>
          <w:rFonts w:ascii="Arial" w:cs="Arial" w:eastAsia="Arial" w:hAnsi="Arial"/>
          <w:sz w:val="18"/>
          <w:szCs w:val="18"/>
          <w:color w:val="auto"/>
        </w:rPr>
        <w:t>U.S. Treasury bonds with a term approximating the weighted-average period until settlement of the underlying obligations. Additionally, in 2010, we increased our cost estimates associated with environmental remediation obligations primarily based on a review and evaluation of existing remediation projects. As these remediation projects progressed, more defined plans were developed, resulting in a net increase in remediation expense to reflect the more likely remedies. In 2011, we had a favorable revision to an environmental remediation liability at a closed site based on the estimated cost of the remediation alternative selected by the EPA.</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landfill airspace, which is included as a component of “Depreciation and amortization” expense, includes the following:</w:t>
      </w:r>
    </w:p>
    <w:p>
      <w:pPr>
        <w:spacing w:after="0" w:line="90" w:lineRule="exact"/>
        <w:rPr>
          <w:sz w:val="20"/>
          <w:szCs w:val="20"/>
          <w:color w:val="auto"/>
        </w:rPr>
      </w:pPr>
    </w:p>
    <w:p>
      <w:pPr>
        <w:ind w:left="700" w:right="800" w:hanging="246"/>
        <w:spacing w:after="0" w:line="332"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amortization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4" w:lineRule="exact"/>
        <w:rPr>
          <w:rFonts w:ascii="Arial" w:cs="Arial" w:eastAsia="Arial" w:hAnsi="Arial"/>
          <w:sz w:val="16"/>
          <w:szCs w:val="16"/>
          <w:color w:val="auto"/>
        </w:rPr>
      </w:pPr>
    </w:p>
    <w:p>
      <w:pPr>
        <w:ind w:left="700" w:right="320" w:hanging="246"/>
        <w:spacing w:after="0" w:line="268"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amortization of asset retirement costs arising from final landfill capping, closure and post-closure obligations, including (i) costs that have been incurred and capitalized and (ii) projected asset retirement costs.</w:t>
      </w:r>
    </w:p>
    <w:p>
      <w:pPr>
        <w:spacing w:after="0" w:line="5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Amortization expense is recorded on a units-of-consumption basis, applying cost as a rate per ton. The rate per ton is calculated by dividing each component of the amortizable basis of a landfill by the number of tons needed to fill the corresponding asset’s airspace. Landfill capital costs and closure and post-closure asset retirement costs are generally incurred to support the operation of the landfill over its entire operating life, and are, therefore, amortized on a per-ton basis using a landfill’s total airspace capacity. Final capping asset retirement costs are related to a specific final capping event and are, therefore, amortized on a per-ton basis using each discrete final capping event’s estimated airspace capacity. Accordingly, each landfill has multiple per-ton amortization rates.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landfill airspace amortization expense on a per-ton basis: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340" w:type="dxa"/>
            <w:vAlign w:val="bottom"/>
            <w:gridSpan w:val="6"/>
          </w:tcPr>
          <w:p>
            <w:pPr>
              <w:ind w:left="3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w w:val="96"/>
              </w:rPr>
              <w:t>2011</w:t>
            </w: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landfill airspace (in millions)</w:t>
            </w:r>
          </w:p>
        </w:tc>
        <w:tc>
          <w:tcPr>
            <w:tcW w:w="2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$ 378</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$ 372</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Tons received, net of redirected waste (in millions)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420" w:type="dxa"/>
            <w:vAlign w:val="bottom"/>
            <w:gridSpan w:val="3"/>
          </w:tcPr>
          <w:p>
            <w:pPr>
              <w:jc w:val="right"/>
              <w:ind w:right="500"/>
              <w:spacing w:after="0"/>
              <w:rPr>
                <w:sz w:val="20"/>
                <w:szCs w:val="20"/>
                <w:color w:val="auto"/>
              </w:rPr>
            </w:pPr>
            <w:r>
              <w:rPr>
                <w:rFonts w:ascii="Arial" w:cs="Arial" w:eastAsia="Arial" w:hAnsi="Arial"/>
                <w:sz w:val="18"/>
                <w:szCs w:val="18"/>
                <w:color w:val="auto"/>
              </w:rPr>
              <w:t>91</w:t>
            </w:r>
          </w:p>
        </w:tc>
        <w:tc>
          <w:tcPr>
            <w:tcW w:w="4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Average landfill airspace amortization expense per ton</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$4.08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$ 3.90</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Different per-ton amortization rates are applied at each of our 271 landfills, and per-ton amortization rates vary significantly from one landfill to another due to (i) inconsistencies that often exist in construction costs and provincial, state and local regulatory requirements for landfill development and landfill final capping, closure and post-closure activities; and (ii) differences in the cost basis of landfills that we develop versus those that we acquire. Accordingly, our landfill airspace amortization expense measured on a per-ton basis can fluctuate due to changes in the mix of volumes we receive across the Company year-over-year. The comparability of our total Company average landfill airspace amortization expense per ton for the years ended December 31, 2011, 2010 and 2009 has also been affected by the recognition of reductions to amortization expense for changes in our estimates related to our final capping, closure and post-closure obligations. Landfill amortization expense was reduced by $11 million in 2011, $13 million in 2010 and $14 million in 2009, for the effects of these changes in estimates. In each year, the majority of the reduced expense resulted from revisions in the estimated timing or cost of final capping events that were generally the result of (i) concerted efforts to improve the operating efficiencies of our landfills and volume declines, both of which have allowed us to delay spending for final capping activities; (ii) effectively managing the cost of final capping material and construction; or (iii) landfill expansions that resulted in reduced or deferred final capping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00" w:firstLine="456"/>
        <w:spacing w:after="0" w:line="303" w:lineRule="auto"/>
        <w:rPr>
          <w:sz w:val="20"/>
          <w:szCs w:val="20"/>
          <w:color w:val="auto"/>
        </w:rPr>
      </w:pPr>
      <w:r>
        <w:rPr>
          <w:rFonts w:ascii="Arial" w:cs="Arial" w:eastAsia="Arial" w:hAnsi="Arial"/>
          <w:sz w:val="15"/>
          <w:szCs w:val="15"/>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w:t>
      </w:r>
    </w:p>
    <w:p>
      <w:pPr>
        <w:spacing w:after="0" w:line="1" w:lineRule="exact"/>
        <w:rPr>
          <w:sz w:val="20"/>
          <w:szCs w:val="20"/>
          <w:color w:val="auto"/>
        </w:rPr>
      </w:pPr>
    </w:p>
    <w:p>
      <w:pPr>
        <w:ind w:right="480" w:firstLine="8"/>
        <w:spacing w:after="0" w:line="281" w:lineRule="auto"/>
        <w:tabs>
          <w:tab w:leader="none" w:pos="258"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additions to and maintenance of our trucking fleet and landfill equipment; (iii) construction, refurbishments and improvements at waste-to-energy and materials recovery facilities; (iv) the container and equipment needs of our operations; (v) final capping, closure and post-closure activities at our landfills;</w:t>
      </w:r>
    </w:p>
    <w:p>
      <w:pPr>
        <w:spacing w:after="0" w:line="1" w:lineRule="exact"/>
        <w:rPr>
          <w:rFonts w:ascii="Arial" w:cs="Arial" w:eastAsia="Arial" w:hAnsi="Arial"/>
          <w:sz w:val="16"/>
          <w:szCs w:val="16"/>
          <w:color w:val="auto"/>
        </w:rPr>
      </w:pPr>
    </w:p>
    <w:p>
      <w:pPr>
        <w:ind w:right="200" w:firstLine="8"/>
        <w:spacing w:after="0" w:line="255" w:lineRule="auto"/>
        <w:tabs>
          <w:tab w:leader="none" w:pos="29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repayment of debt and discharging of other obligations; and (vii) capital expenditures, acquisitions and investments in support of our strategic growth plans. We also are committed to providing our shareholders with a return on their investment through our capital allocation program that provides for dividend payments and share repurchases.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as of December 31, 2011 and 2010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0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2011</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Tax-exempt bond funds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00" w:type="dxa"/>
            <w:vAlign w:val="bottom"/>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152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631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9,125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00" w:type="dxa"/>
            <w:vAlign w:val="bottom"/>
          </w:tcPr>
          <w:p>
            <w:pPr>
              <w:ind w:left="440"/>
              <w:spacing w:after="0"/>
              <w:rPr>
                <w:sz w:val="20"/>
                <w:szCs w:val="20"/>
                <w:color w:val="auto"/>
              </w:rPr>
            </w:pPr>
            <w:r>
              <w:rPr>
                <w:rFonts w:ascii="Arial" w:cs="Arial" w:eastAsia="Arial" w:hAnsi="Arial"/>
                <w:sz w:val="18"/>
                <w:szCs w:val="18"/>
                <w:color w:val="auto"/>
              </w:rPr>
              <w:t>Total debt</w:t>
            </w:r>
          </w:p>
        </w:tc>
        <w:tc>
          <w:tcPr>
            <w:tcW w:w="1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9,756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consist primarily of cash on deposit and money market funds that invest in U.S.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with original maturities of three months or less. Our cash and cash equivalents have decreased as a result of the execution of our strategic growth plans, which has increased our level of capital spending, acquisitions and investments.</w:t>
      </w:r>
    </w:p>
    <w:p>
      <w:pPr>
        <w:spacing w:after="0" w:line="59"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Restricted trust and escrow accounts </w:t>
      </w:r>
      <w:r>
        <w:rPr>
          <w:rFonts w:ascii="Arial" w:cs="Arial" w:eastAsia="Arial" w:hAnsi="Arial"/>
          <w:sz w:val="16"/>
          <w:szCs w:val="16"/>
          <w:color w:val="auto"/>
        </w:rPr>
        <w:t>— Restricted trust and escrow accounts consist primarily of (i) funds deposited for purposes of settling landfill final</w:t>
      </w:r>
      <w:r>
        <w:rPr>
          <w:rFonts w:ascii="Arial" w:cs="Arial" w:eastAsia="Arial" w:hAnsi="Arial"/>
          <w:sz w:val="16"/>
          <w:szCs w:val="16"/>
          <w:i w:val="1"/>
          <w:iCs w:val="1"/>
          <w:color w:val="auto"/>
        </w:rPr>
        <w:t xml:space="preserve"> </w:t>
      </w:r>
      <w:r>
        <w:rPr>
          <w:rFonts w:ascii="Arial" w:cs="Arial" w:eastAsia="Arial" w:hAnsi="Arial"/>
          <w:sz w:val="16"/>
          <w:szCs w:val="16"/>
          <w:color w:val="auto"/>
        </w:rPr>
        <w:t>capping, closure, post-closure and environmental remediation obligations; and (ii) funds received from the issuance of tax-exempt bonds held in trust for the construction of various projects or facilities. These balances are primarily included within long-term “Other assets” in our Consolidated Balance Sheets.</w:t>
      </w:r>
    </w:p>
    <w:p>
      <w:pPr>
        <w:spacing w:after="0" w:line="2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 xml:space="preserve">Debt </w:t>
      </w:r>
      <w:r>
        <w:rPr>
          <w:rFonts w:ascii="Arial" w:cs="Arial" w:eastAsia="Arial" w:hAnsi="Arial"/>
          <w:sz w:val="16"/>
          <w:szCs w:val="16"/>
          <w:color w:val="auto"/>
        </w:rPr>
        <w:t>— We use long-term borrowings in addition to the cash we generate from operations as part of our overall financial strategy to support and grow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We primarily use senior notes and tax-exempt bonds to borrow on a long-term basis, but also use other instruments and facilities when appropriate. The components of our long-term borrowings as of December 31, 2011 are described in Note 7 to the Consolidated Financial Statements.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our outstanding debt balances from December 31, 2010 to December 31, 2011 were primarily due to (i) net debt borrowings of $698 million;</w:t>
      </w:r>
    </w:p>
    <w:p>
      <w:pPr>
        <w:spacing w:after="0" w:line="38" w:lineRule="exact"/>
        <w:rPr>
          <w:sz w:val="20"/>
          <w:szCs w:val="20"/>
          <w:color w:val="auto"/>
        </w:rPr>
      </w:pPr>
    </w:p>
    <w:p>
      <w:pPr>
        <w:ind w:right="300" w:firstLine="8"/>
        <w:spacing w:after="0" w:line="261" w:lineRule="auto"/>
        <w:tabs>
          <w:tab w:leader="none" w:pos="2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$100 million in non-cash proceeds from tax-exempt borrowings; and (ii) the impacts of accounting for other non-cash changes in our debt balances due to hedge accounting for interest rate swaps, foreign currency translation, interest accretion and capital leases.</w:t>
      </w:r>
    </w:p>
    <w:p>
      <w:pPr>
        <w:spacing w:after="0" w:line="57"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As of December 31, 2011, we had (i) $925 million of debt maturing within twelve months, including $150 million of borrowings outstanding under our revolving credit facility, U.S.$137 million of advances outstanding under our Canadian credit facility, $400 million of 6.375% senior notes that mature in November 2012 and $168 million of tax-exempt bonds and (ii) $305 million of fixed-rate tax-exempt borrowings subject to re-pricing within the next twelve months. Under accounting principles generally accepted in the United States, this debt must be classified as current unless we have the intent and ability to refinance it on a long-term basis. We have the intent and ability to refinance $599 million of this debt on a long-term basis and have classified the remaining $631 million as current obligations as of December 31, 2011. In January 2012, we borrowed an additional $50 million under our revolving credit facility, increasing the total loans outstanding under our revolving credit facility to $200 million.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credit facilities in place to support our liquidity and financial assurance needs. The following table summarizes our outstanding letters of credit (in millions) at December 31, categorized by type of facility: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8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facility(a)</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$1,012</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Letter of credit facilities(b)</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502</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Other(c)</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1,765</w:t>
            </w: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1,880</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86"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May 2011, we amended and restated our $2.0 billion revolving credit facility as a result of changes in market conditions, which significantly reduced the cost of the facility. We also extended the term through May 2016. At December 31, 2011, we had $150 million of outstanding borrowings and</w:t>
      </w:r>
    </w:p>
    <w:p>
      <w:pPr>
        <w:ind w:left="460"/>
        <w:spacing w:after="0"/>
        <w:rPr>
          <w:rFonts w:ascii="Arial" w:cs="Arial" w:eastAsia="Arial" w:hAnsi="Arial"/>
          <w:sz w:val="16"/>
          <w:szCs w:val="16"/>
          <w:color w:val="auto"/>
        </w:rPr>
      </w:pPr>
      <w:r>
        <w:rPr>
          <w:rFonts w:ascii="Arial" w:cs="Arial" w:eastAsia="Arial" w:hAnsi="Arial"/>
          <w:sz w:val="18"/>
          <w:szCs w:val="18"/>
          <w:color w:val="auto"/>
        </w:rPr>
        <w:t>$1,012 million of letters of credit issued and supported by the facility, leaving an unused and available credit capacity of $838 million.</w:t>
      </w:r>
    </w:p>
    <w:p>
      <w:pPr>
        <w:spacing w:after="0" w:line="56"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of December 31, 2011, we had an aggregate committed capacity of $505 million under letter of credit facilities with terms that extend from June 2013 to June 2015. As of December 31, 2011, no borrowings were outstanding under these letter of credit facilities and we had $3 million of unused or available credit capacity.</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These letters of credit are outstanding under various arrangements that do not obligate the counterparty to provide a committed capacity.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years ended December 31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2,469</w:t>
            </w:r>
          </w:p>
        </w:tc>
        <w:tc>
          <w:tcPr>
            <w:tcW w:w="6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$ 2,275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(2,185)</w:t>
            </w:r>
          </w:p>
        </w:tc>
        <w:tc>
          <w:tcPr>
            <w:tcW w:w="88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(1,606)</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(1,250)</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(566)</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 The most significant items affecting the comparison of our operating cash flows in 2011 as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2010 are summarized below:</w:t>
      </w:r>
    </w:p>
    <w:p>
      <w:pPr>
        <w:spacing w:after="0" w:line="51" w:lineRule="exact"/>
        <w:rPr>
          <w:sz w:val="20"/>
          <w:szCs w:val="20"/>
          <w:color w:val="auto"/>
        </w:rPr>
      </w:pPr>
    </w:p>
    <w:p>
      <w:pPr>
        <w:ind w:left="700" w:right="160" w:hanging="246"/>
        <w:spacing w:after="0" w:line="298" w:lineRule="auto"/>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Decreased income tax payments </w:t>
      </w:r>
      <w:r>
        <w:rPr>
          <w:rFonts w:ascii="Arial" w:cs="Arial" w:eastAsia="Arial" w:hAnsi="Arial"/>
          <w:sz w:val="16"/>
          <w:szCs w:val="16"/>
          <w:color w:val="auto"/>
        </w:rPr>
        <w:t>— Cash paid for income taxes, net of excess tax benefits, was approximately $242 million lower in 2011 due in large</w:t>
      </w:r>
      <w:r>
        <w:rPr>
          <w:rFonts w:ascii="Arial" w:cs="Arial" w:eastAsia="Arial" w:hAnsi="Arial"/>
          <w:sz w:val="16"/>
          <w:szCs w:val="16"/>
          <w:i w:val="1"/>
          <w:iCs w:val="1"/>
          <w:color w:val="auto"/>
        </w:rPr>
        <w:t xml:space="preserve"> </w:t>
      </w:r>
      <w:r>
        <w:rPr>
          <w:rFonts w:ascii="Arial" w:cs="Arial" w:eastAsia="Arial" w:hAnsi="Arial"/>
          <w:sz w:val="16"/>
          <w:szCs w:val="16"/>
          <w:color w:val="auto"/>
        </w:rPr>
        <w:t>part to the extension of the bonus depreciation legislation. The ability to accelerate depreciation deductions decreased our full year 2011 cash taxes by approximately $175 million. Also contributing to the decrease in cash paid for taxes in 2011, is an increase in federal tax credits provided by our investments in two unconsolidated entities. These investments are discussed in Note 9 and Note 20 of the Consolidated Financial Statements.</w:t>
      </w:r>
    </w:p>
    <w:p>
      <w:pPr>
        <w:spacing w:after="0" w:line="31" w:lineRule="exact"/>
        <w:rPr>
          <w:rFonts w:ascii="Arial" w:cs="Arial" w:eastAsia="Arial" w:hAnsi="Arial"/>
          <w:sz w:val="16"/>
          <w:szCs w:val="16"/>
          <w:color w:val="auto"/>
        </w:rPr>
      </w:pPr>
    </w:p>
    <w:p>
      <w:pPr>
        <w:ind w:left="700" w:right="100" w:hanging="246"/>
        <w:spacing w:after="0" w:line="259"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2010 Non-recurring cash inflows </w:t>
      </w:r>
      <w:r>
        <w:rPr>
          <w:rFonts w:ascii="Arial" w:cs="Arial" w:eastAsia="Arial" w:hAnsi="Arial"/>
          <w:sz w:val="18"/>
          <w:szCs w:val="18"/>
          <w:color w:val="auto"/>
        </w:rPr>
        <w:t>— Two significant cash transactions benefited cash provided by operating activities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2010. In the second quarter of 2010, we received $77 million for a litigation settlement, and in the third quarter of 2010, we received a $65 million federal tax refund related to the liquidation of a foreign subsidiary in 2009.</w:t>
      </w:r>
    </w:p>
    <w:p>
      <w:pPr>
        <w:spacing w:after="0" w:line="59" w:lineRule="exact"/>
        <w:rPr>
          <w:rFonts w:ascii="Arial" w:cs="Arial" w:eastAsia="Arial" w:hAnsi="Arial"/>
          <w:sz w:val="18"/>
          <w:szCs w:val="18"/>
          <w:color w:val="auto"/>
        </w:rPr>
      </w:pPr>
    </w:p>
    <w:p>
      <w:pPr>
        <w:ind w:left="700" w:right="100" w:hanging="246"/>
        <w:spacing w:after="0" w:line="259"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Settlement of Canadian hedge </w:t>
      </w:r>
      <w:r>
        <w:rPr>
          <w:rFonts w:ascii="Arial" w:cs="Arial" w:eastAsia="Arial" w:hAnsi="Arial"/>
          <w:sz w:val="18"/>
          <w:szCs w:val="18"/>
          <w:color w:val="auto"/>
        </w:rPr>
        <w:t>— In December 2010, our previously existing foreign currency hedges matured and we paid cash of $37 million upon</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The cash payment from the settlement was classified as a change in accrued liabilities within “Net cash provided by operating activities” in the Consolidated Statement of Cash Flows.</w:t>
      </w:r>
    </w:p>
    <w:p>
      <w:pPr>
        <w:spacing w:after="0" w:line="59" w:lineRule="exact"/>
        <w:rPr>
          <w:rFonts w:ascii="Arial" w:cs="Arial" w:eastAsia="Arial" w:hAnsi="Arial"/>
          <w:sz w:val="18"/>
          <w:szCs w:val="18"/>
          <w:color w:val="auto"/>
        </w:rPr>
      </w:pPr>
    </w:p>
    <w:p>
      <w:pPr>
        <w:ind w:left="700" w:right="100" w:hanging="246"/>
        <w:spacing w:after="0" w:line="259"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 </w:t>
      </w:r>
      <w:r>
        <w:rPr>
          <w:rFonts w:ascii="Arial" w:cs="Arial" w:eastAsia="Arial" w:hAnsi="Arial"/>
          <w:sz w:val="18"/>
          <w:szCs w:val="18"/>
          <w:color w:val="auto"/>
        </w:rPr>
        <w:t>Our cash flow from operations was favorably impacted in</w:t>
      </w:r>
      <w:r>
        <w:rPr>
          <w:rFonts w:ascii="Arial" w:cs="Arial" w:eastAsia="Arial" w:hAnsi="Arial"/>
          <w:sz w:val="18"/>
          <w:szCs w:val="18"/>
          <w:i w:val="1"/>
          <w:iCs w:val="1"/>
          <w:color w:val="auto"/>
        </w:rPr>
        <w:t xml:space="preserve"> </w:t>
      </w:r>
      <w:r>
        <w:rPr>
          <w:rFonts w:ascii="Arial" w:cs="Arial" w:eastAsia="Arial" w:hAnsi="Arial"/>
          <w:sz w:val="18"/>
          <w:szCs w:val="18"/>
          <w:color w:val="auto"/>
        </w:rPr>
        <w:t>2011 by changes in our working capital accounts. Although our working capital changes may vary from year to year, they are typically driven by changes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40"/>
        <w:spacing w:after="0" w:line="268" w:lineRule="auto"/>
        <w:rPr>
          <w:sz w:val="20"/>
          <w:szCs w:val="20"/>
          <w:color w:val="auto"/>
        </w:rPr>
      </w:pPr>
      <w:r>
        <w:rPr>
          <w:rFonts w:ascii="Arial" w:cs="Arial" w:eastAsia="Arial" w:hAnsi="Arial"/>
          <w:sz w:val="18"/>
          <w:szCs w:val="18"/>
          <w:color w:val="auto"/>
        </w:rPr>
        <w:t>accounts receivable, which are affected by both revenue changes and timing of payments received, and accounts payable changes, which are affected by both cost changes and timing of payments.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most significant items affecting the comparison of our operating cash flows for 2010 and 2009 are summarized below:</w:t>
      </w:r>
    </w:p>
    <w:p>
      <w:pPr>
        <w:spacing w:after="0" w:line="90" w:lineRule="exact"/>
        <w:rPr>
          <w:sz w:val="20"/>
          <w:szCs w:val="20"/>
          <w:color w:val="auto"/>
        </w:rPr>
      </w:pPr>
    </w:p>
    <w:p>
      <w:pPr>
        <w:ind w:left="700" w:right="100" w:hanging="246"/>
        <w:spacing w:after="0" w:line="298" w:lineRule="auto"/>
        <w:tabs>
          <w:tab w:leader="none" w:pos="70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Increase in earnings </w:t>
      </w:r>
      <w:r>
        <w:rPr>
          <w:rFonts w:ascii="Arial" w:cs="Arial" w:eastAsia="Arial" w:hAnsi="Arial"/>
          <w:sz w:val="16"/>
          <w:szCs w:val="16"/>
          <w:color w:val="auto"/>
        </w:rPr>
        <w:t>— Our income from operations increased by $229 million on a year-over-year basis, driven, in part, by a favorable cash benefit of</w:t>
      </w:r>
      <w:r>
        <w:rPr>
          <w:rFonts w:ascii="Arial" w:cs="Arial" w:eastAsia="Arial" w:hAnsi="Arial"/>
          <w:sz w:val="16"/>
          <w:szCs w:val="16"/>
          <w:i w:val="1"/>
          <w:iCs w:val="1"/>
          <w:color w:val="auto"/>
        </w:rPr>
        <w:t xml:space="preserve"> </w:t>
      </w:r>
      <w:r>
        <w:rPr>
          <w:rFonts w:ascii="Arial" w:cs="Arial" w:eastAsia="Arial" w:hAnsi="Arial"/>
          <w:sz w:val="16"/>
          <w:szCs w:val="16"/>
          <w:color w:val="auto"/>
        </w:rPr>
        <w:t>$77 million resulting from a litigation settlement in April 2010. This earnings increase was also impacted by (i) the recognition of a $51 million non-cash charge associated with the abandonment of licensed revenue management software and (ii) the recognition of a $27 million non-cash charge in 2009 as a result of a change in expectations for the future operations of an inactive landfill in California.</w:t>
      </w:r>
    </w:p>
    <w:p>
      <w:pPr>
        <w:spacing w:after="0" w:line="31" w:lineRule="exact"/>
        <w:rPr>
          <w:rFonts w:ascii="Arial" w:cs="Arial" w:eastAsia="Arial" w:hAnsi="Arial"/>
          <w:sz w:val="16"/>
          <w:szCs w:val="16"/>
          <w:color w:val="auto"/>
        </w:rPr>
      </w:pPr>
    </w:p>
    <w:p>
      <w:pPr>
        <w:ind w:left="700" w:right="40"/>
        <w:spacing w:after="0" w:line="255" w:lineRule="auto"/>
        <w:rPr>
          <w:rFonts w:ascii="Arial" w:cs="Arial" w:eastAsia="Arial" w:hAnsi="Arial"/>
          <w:sz w:val="16"/>
          <w:szCs w:val="16"/>
          <w:color w:val="auto"/>
        </w:rPr>
      </w:pPr>
      <w:r>
        <w:rPr>
          <w:rFonts w:ascii="Arial" w:cs="Arial" w:eastAsia="Arial" w:hAnsi="Arial"/>
          <w:sz w:val="18"/>
          <w:szCs w:val="18"/>
          <w:color w:val="auto"/>
        </w:rPr>
        <w:t>The comparison of our 2010 and 2009 income from operations was also affected by a $91 million increase in non-cash charges attributable to (i) equity-based compensation expense; (ii) interest accretion on landfill liabilities; (iii) interest accretion and discount rate adjustments on environmental remediation liabilities and recovery assets; (iv) depreciation and amortization; and (v) the impact of the withdrawal of certain bargaining units from multiemployer pension plans. While these increases in non-cash charges unfavorably affected our earnings comparison, there was no impact on net cash provided by operating activities.</w:t>
      </w:r>
    </w:p>
    <w:p>
      <w:pPr>
        <w:spacing w:after="0" w:line="61" w:lineRule="exact"/>
        <w:rPr>
          <w:rFonts w:ascii="Arial" w:cs="Arial" w:eastAsia="Arial" w:hAnsi="Arial"/>
          <w:sz w:val="16"/>
          <w:szCs w:val="16"/>
          <w:color w:val="auto"/>
        </w:rPr>
      </w:pPr>
    </w:p>
    <w:p>
      <w:pPr>
        <w:ind w:left="700" w:right="60" w:hanging="246"/>
        <w:spacing w:after="0" w:line="255"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 </w:t>
      </w:r>
      <w:r>
        <w:rPr>
          <w:rFonts w:ascii="Arial" w:cs="Arial" w:eastAsia="Arial" w:hAnsi="Arial"/>
          <w:sz w:val="18"/>
          <w:szCs w:val="18"/>
          <w:color w:val="auto"/>
        </w:rPr>
        <w:t>Our cash flow from operations was negatively impacted in</w:t>
      </w:r>
      <w:r>
        <w:rPr>
          <w:rFonts w:ascii="Arial" w:cs="Arial" w:eastAsia="Arial" w:hAnsi="Arial"/>
          <w:sz w:val="18"/>
          <w:szCs w:val="18"/>
          <w:i w:val="1"/>
          <w:iCs w:val="1"/>
          <w:color w:val="auto"/>
        </w:rPr>
        <w:t xml:space="preserve"> </w:t>
      </w:r>
      <w:r>
        <w:rPr>
          <w:rFonts w:ascii="Arial" w:cs="Arial" w:eastAsia="Arial" w:hAnsi="Arial"/>
          <w:sz w:val="18"/>
          <w:szCs w:val="18"/>
          <w:color w:val="auto"/>
        </w:rPr>
        <w:t>2010 and favorably impacted in 2009, by changes in our working capital accounts. Although our working capital changes may vary from year to year, they are typically driven by changes in accounts receivable, which are affected by both revenue changes and timing of payments received, and accounts payable changes, which are affected by both cost changes and timing of payments. Additionally, the following are other significant items that affected our cash flow from operations:</w:t>
      </w:r>
    </w:p>
    <w:p>
      <w:pPr>
        <w:spacing w:after="0" w:line="61" w:lineRule="exact"/>
        <w:rPr>
          <w:rFonts w:ascii="Arial" w:cs="Arial" w:eastAsia="Arial" w:hAnsi="Arial"/>
          <w:sz w:val="18"/>
          <w:szCs w:val="18"/>
          <w:color w:val="auto"/>
        </w:rPr>
      </w:pPr>
    </w:p>
    <w:p>
      <w:pPr>
        <w:ind w:left="920" w:right="340" w:hanging="237"/>
        <w:spacing w:after="0" w:line="259" w:lineRule="auto"/>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Increased income tax payments </w:t>
      </w:r>
      <w:r>
        <w:rPr>
          <w:rFonts w:ascii="Arial" w:cs="Arial" w:eastAsia="Arial" w:hAnsi="Arial"/>
          <w:sz w:val="18"/>
          <w:szCs w:val="18"/>
          <w:color w:val="auto"/>
        </w:rPr>
        <w:t>— Cash paid for income taxes, net of excess tax benefits associated with equity-based transactions, was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approximately $86 million higher on a year-over-year basis. The comparability of our effective tax rates is discussed in the </w:t>
      </w:r>
      <w:r>
        <w:rPr>
          <w:rFonts w:ascii="Arial" w:cs="Arial" w:eastAsia="Arial" w:hAnsi="Arial"/>
          <w:sz w:val="18"/>
          <w:szCs w:val="18"/>
          <w:i w:val="1"/>
          <w:iCs w:val="1"/>
          <w:color w:val="auto"/>
        </w:rPr>
        <w:t>Provision for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section above.</w:t>
      </w:r>
    </w:p>
    <w:p>
      <w:pPr>
        <w:spacing w:after="0" w:line="59" w:lineRule="exact"/>
        <w:rPr>
          <w:rFonts w:ascii="Arial" w:cs="Arial" w:eastAsia="Arial" w:hAnsi="Arial"/>
          <w:sz w:val="18"/>
          <w:szCs w:val="18"/>
          <w:color w:val="auto"/>
        </w:rPr>
      </w:pPr>
    </w:p>
    <w:p>
      <w:pPr>
        <w:ind w:left="920" w:right="40" w:hanging="237"/>
        <w:spacing w:after="0" w:line="255" w:lineRule="auto"/>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Increased interest payments </w:t>
      </w:r>
      <w:r>
        <w:rPr>
          <w:rFonts w:ascii="Arial" w:cs="Arial" w:eastAsia="Arial" w:hAnsi="Arial"/>
          <w:sz w:val="18"/>
          <w:szCs w:val="18"/>
          <w:color w:val="auto"/>
        </w:rPr>
        <w:t>— Cash paid for interest was approximately $61 million higher on a year-over-year basis. This increase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 the issuance of an additional $600 million of senior notes in November 2009 to support acquisitions and investments made throughout 2010; (ii) significantly higher costs related to the execution and maintenance of our revolving credit facility, which was refinanced in June 2010; and (iii) a decrease in benefits to interest expense provided by active interest rate swaps as a result of decreases in the notional amount of swaps outstanding.</w:t>
      </w:r>
    </w:p>
    <w:p>
      <w:pPr>
        <w:spacing w:after="0" w:line="61" w:lineRule="exact"/>
        <w:rPr>
          <w:rFonts w:ascii="Arial" w:cs="Arial" w:eastAsia="Arial" w:hAnsi="Arial"/>
          <w:sz w:val="18"/>
          <w:szCs w:val="18"/>
          <w:color w:val="auto"/>
        </w:rPr>
      </w:pPr>
    </w:p>
    <w:p>
      <w:pPr>
        <w:jc w:val="both"/>
        <w:ind w:left="920" w:right="60" w:hanging="237"/>
        <w:spacing w:after="0" w:line="259" w:lineRule="auto"/>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Settlement of Canadian hedge </w:t>
      </w:r>
      <w:r>
        <w:rPr>
          <w:rFonts w:ascii="Arial" w:cs="Arial" w:eastAsia="Arial" w:hAnsi="Arial"/>
          <w:sz w:val="18"/>
          <w:szCs w:val="18"/>
          <w:color w:val="auto"/>
        </w:rPr>
        <w:t>— In December 2010, our previously existing foreign currency hedges matured and we paid cash of $37 million upon</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The cash payment from the settlement was classified as a change in accrued liabilities within “Net cash provided by operating activities” in the Consolidated Statement of Cash Flows.</w:t>
      </w:r>
    </w:p>
    <w:p>
      <w:pPr>
        <w:spacing w:after="0" w:line="59" w:lineRule="exact"/>
        <w:rPr>
          <w:rFonts w:ascii="Arial" w:cs="Arial" w:eastAsia="Arial" w:hAnsi="Arial"/>
          <w:sz w:val="18"/>
          <w:szCs w:val="18"/>
          <w:color w:val="auto"/>
        </w:rPr>
      </w:pPr>
    </w:p>
    <w:p>
      <w:pPr>
        <w:ind w:left="920" w:right="80" w:hanging="237"/>
        <w:spacing w:after="0" w:line="259" w:lineRule="auto"/>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Liquidation of a foreign subsidiary </w:t>
      </w:r>
      <w:r>
        <w:rPr>
          <w:rFonts w:ascii="Arial" w:cs="Arial" w:eastAsia="Arial" w:hAnsi="Arial"/>
          <w:sz w:val="18"/>
          <w:szCs w:val="18"/>
          <w:color w:val="auto"/>
        </w:rPr>
        <w:t>— We received a $65 million federal tax refund in the third quarter of 2010 related to the liquidation of a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in 2009. The cash proceeds were classified as a change in other current assets within “Net cash provided b</w:t>
      </w:r>
      <w:r>
        <w:rPr>
          <w:rFonts w:ascii="Arial" w:cs="Arial" w:eastAsia="Arial" w:hAnsi="Arial"/>
          <w:sz w:val="18"/>
          <w:szCs w:val="18"/>
          <w:i w:val="1"/>
          <w:iCs w:val="1"/>
          <w:color w:val="auto"/>
        </w:rPr>
        <w:t>y</w:t>
      </w:r>
      <w:r>
        <w:rPr>
          <w:rFonts w:ascii="Arial" w:cs="Arial" w:eastAsia="Arial" w:hAnsi="Arial"/>
          <w:sz w:val="18"/>
          <w:szCs w:val="18"/>
          <w:color w:val="auto"/>
        </w:rPr>
        <w:t xml:space="preserve"> operating activities” in the Consolidated Statement of Cash Flows.</w:t>
      </w:r>
    </w:p>
    <w:p>
      <w:pPr>
        <w:spacing w:after="0" w:line="5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affecting the comparison of our investing cash flows for the periods presented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below:</w:t>
      </w:r>
    </w:p>
    <w:p>
      <w:pPr>
        <w:spacing w:after="0" w:line="51" w:lineRule="exact"/>
        <w:rPr>
          <w:sz w:val="20"/>
          <w:szCs w:val="20"/>
          <w:color w:val="auto"/>
        </w:rPr>
      </w:pPr>
    </w:p>
    <w:p>
      <w:pPr>
        <w:ind w:left="700" w:hanging="246"/>
        <w:spacing w:after="0"/>
        <w:tabs>
          <w:tab w:leader="none" w:pos="70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Capital expenditures — </w:t>
      </w:r>
      <w:r>
        <w:rPr>
          <w:rFonts w:ascii="Arial" w:cs="Arial" w:eastAsia="Arial" w:hAnsi="Arial"/>
          <w:sz w:val="16"/>
          <w:szCs w:val="16"/>
          <w:color w:val="auto"/>
        </w:rPr>
        <w:t>We used $1,324 million during 2011 for capital expenditures, compared with $1,104 million in 2010 and $1,179 million in</w:t>
      </w:r>
    </w:p>
    <w:p>
      <w:pPr>
        <w:spacing w:after="0" w:line="38" w:lineRule="exact"/>
        <w:rPr>
          <w:rFonts w:ascii="Arial" w:cs="Arial" w:eastAsia="Arial" w:hAnsi="Arial"/>
          <w:sz w:val="16"/>
          <w:szCs w:val="16"/>
          <w:color w:val="auto"/>
        </w:rPr>
      </w:pPr>
    </w:p>
    <w:p>
      <w:pPr>
        <w:ind w:left="700"/>
        <w:spacing w:after="0" w:line="255" w:lineRule="auto"/>
        <w:rPr>
          <w:rFonts w:ascii="Arial" w:cs="Arial" w:eastAsia="Arial" w:hAnsi="Arial"/>
          <w:sz w:val="16"/>
          <w:szCs w:val="16"/>
          <w:color w:val="auto"/>
        </w:rPr>
      </w:pPr>
      <w:r>
        <w:rPr>
          <w:rFonts w:ascii="Arial" w:cs="Arial" w:eastAsia="Arial" w:hAnsi="Arial"/>
          <w:sz w:val="18"/>
          <w:szCs w:val="18"/>
          <w:color w:val="auto"/>
        </w:rPr>
        <w:t>2009. The increase in capital expenditures in 2011 is a result of our increased spending on natural gas vehicles and fueling infrastructure, information technology infrastructure and growth initiatives, as well as our taking advantage of the bonus depreciation legislation. The year-over-year comparison of 2011 with 2010 was also affected by timing differences associated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line="259" w:lineRule="auto"/>
        <w:rPr>
          <w:sz w:val="20"/>
          <w:szCs w:val="20"/>
          <w:color w:val="auto"/>
        </w:rPr>
      </w:pPr>
      <w:r>
        <w:rPr>
          <w:rFonts w:ascii="Arial" w:cs="Arial" w:eastAsia="Arial" w:hAnsi="Arial"/>
          <w:sz w:val="18"/>
          <w:szCs w:val="18"/>
          <w:color w:val="auto"/>
        </w:rPr>
        <w:t>with cash payments for the previous years’ fourth quarter capital spending. Approximately $206 million of our fourth quarter 2010 spending was paid in cash in the first quarter of 2011 compared with approximately $145 million of our fourth quarter 2009 spending that was paid in the first quarter of 2010.</w:t>
      </w:r>
    </w:p>
    <w:p>
      <w:pPr>
        <w:spacing w:after="0" w:line="59" w:lineRule="exact"/>
        <w:rPr>
          <w:sz w:val="20"/>
          <w:szCs w:val="20"/>
          <w:color w:val="auto"/>
        </w:rPr>
      </w:pPr>
    </w:p>
    <w:p>
      <w:pPr>
        <w:ind w:left="700" w:hanging="246"/>
        <w:spacing w:after="0" w:line="294" w:lineRule="auto"/>
        <w:tabs>
          <w:tab w:leader="none" w:pos="70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 Our spending on acquisitions increased from $281 million during 2009 to $407 million in 2010 and to $867 million in 2011.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of 2011, we paid $432 million, net of cash received of $4 million and inclusive of certain adjustments, to acquire Oakleaf, which provides outsourced waste and recycling services through a nationwide network of third-party haulers. During the second quarter of 2010, we paid approximately $150 million to acquire a waste-to-energy facility in Portsmouth, Virginia. We continue to focus on accretive acquisitions and growth opportunities that will contribute to improved future results of operations and enhance and expand our existing service offerings.</w:t>
      </w:r>
    </w:p>
    <w:p>
      <w:pPr>
        <w:spacing w:after="0" w:line="34" w:lineRule="exact"/>
        <w:rPr>
          <w:rFonts w:ascii="Arial" w:cs="Arial" w:eastAsia="Arial" w:hAnsi="Arial"/>
          <w:sz w:val="16"/>
          <w:szCs w:val="16"/>
          <w:color w:val="auto"/>
        </w:rPr>
      </w:pPr>
    </w:p>
    <w:p>
      <w:pPr>
        <w:ind w:left="700" w:right="60" w:hanging="246"/>
        <w:spacing w:after="0" w:line="256"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unconsolidated entities </w:t>
      </w:r>
      <w:r>
        <w:rPr>
          <w:rFonts w:ascii="Arial" w:cs="Arial" w:eastAsia="Arial" w:hAnsi="Arial"/>
          <w:sz w:val="18"/>
          <w:szCs w:val="18"/>
          <w:color w:val="auto"/>
        </w:rPr>
        <w:t>— We made $155 million of cash investments in unconsolidated entities during 2011. These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a $48 million payment made to acquire a noncontrolling interest in a limited liability company, which was established to invest in and manage a refined coal facility in North Dakota, and $107 million of investments primarily related to furthering our goal of growing into new markets by investing in greener technologies.</w:t>
      </w:r>
    </w:p>
    <w:p>
      <w:pPr>
        <w:spacing w:after="0" w:line="62" w:lineRule="exact"/>
        <w:rPr>
          <w:rFonts w:ascii="Arial" w:cs="Arial" w:eastAsia="Arial" w:hAnsi="Arial"/>
          <w:sz w:val="18"/>
          <w:szCs w:val="18"/>
          <w:color w:val="auto"/>
        </w:rPr>
      </w:pPr>
    </w:p>
    <w:p>
      <w:pPr>
        <w:ind w:left="700" w:right="260"/>
        <w:spacing w:after="0" w:line="256" w:lineRule="auto"/>
        <w:rPr>
          <w:rFonts w:ascii="Arial" w:cs="Arial" w:eastAsia="Arial" w:hAnsi="Arial"/>
          <w:sz w:val="18"/>
          <w:szCs w:val="18"/>
          <w:color w:val="auto"/>
        </w:rPr>
      </w:pPr>
      <w:r>
        <w:rPr>
          <w:rFonts w:ascii="Arial" w:cs="Arial" w:eastAsia="Arial" w:hAnsi="Arial"/>
          <w:sz w:val="18"/>
          <w:szCs w:val="18"/>
          <w:color w:val="auto"/>
        </w:rPr>
        <w:t>We made $173 million of cash investments in unconsolidated entities during 2010. These cash investments were primarily related to a $142 million payment made to acquire a 40% equity investment in Shanghai Environment Group, a subsidiary of Shanghai Chengtou Holding Co., Ltd. As a joint venture partner in SEG, we participate in the operation and management of waste-to-energy and other waste services in the Chinese market. SEG’s focus also includes building new waste-to-energy facilities in China.</w:t>
      </w:r>
    </w:p>
    <w:p>
      <w:pPr>
        <w:spacing w:after="0" w:line="62" w:lineRule="exact"/>
        <w:rPr>
          <w:rFonts w:ascii="Arial" w:cs="Arial" w:eastAsia="Arial" w:hAnsi="Arial"/>
          <w:sz w:val="18"/>
          <w:szCs w:val="18"/>
          <w:color w:val="auto"/>
        </w:rPr>
      </w:pPr>
    </w:p>
    <w:p>
      <w:pPr>
        <w:ind w:left="700" w:right="160" w:hanging="246"/>
        <w:spacing w:after="0" w:line="286" w:lineRule="auto"/>
        <w:tabs>
          <w:tab w:leader="none" w:pos="70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Net receipts from restricted funds — </w:t>
      </w:r>
      <w:r>
        <w:rPr>
          <w:rFonts w:ascii="Arial" w:cs="Arial" w:eastAsia="Arial" w:hAnsi="Arial"/>
          <w:sz w:val="16"/>
          <w:szCs w:val="16"/>
          <w:color w:val="auto"/>
        </w:rPr>
        <w:t>Net cash received from our restricted trust and escrow accounts, which are largely generated from the issuance of</w:t>
      </w:r>
      <w:r>
        <w:rPr>
          <w:rFonts w:ascii="Arial" w:cs="Arial" w:eastAsia="Arial" w:hAnsi="Arial"/>
          <w:sz w:val="16"/>
          <w:szCs w:val="16"/>
          <w:i w:val="1"/>
          <w:iCs w:val="1"/>
          <w:color w:val="auto"/>
        </w:rPr>
        <w:t xml:space="preserve"> </w:t>
      </w:r>
      <w:r>
        <w:rPr>
          <w:rFonts w:ascii="Arial" w:cs="Arial" w:eastAsia="Arial" w:hAnsi="Arial"/>
          <w:sz w:val="16"/>
          <w:szCs w:val="16"/>
          <w:color w:val="auto"/>
        </w:rPr>
        <w:t>tax-exempt bonds for our capital needs, contributed $107 million to our investing activities in 2011 compared with $48 million in 2010 and</w:t>
      </w:r>
    </w:p>
    <w:p>
      <w:pPr>
        <w:ind w:left="700" w:right="80"/>
        <w:spacing w:after="0" w:line="261" w:lineRule="auto"/>
        <w:rPr>
          <w:rFonts w:ascii="Arial" w:cs="Arial" w:eastAsia="Arial" w:hAnsi="Arial"/>
          <w:sz w:val="16"/>
          <w:szCs w:val="16"/>
          <w:color w:val="auto"/>
        </w:rPr>
      </w:pPr>
      <w:r>
        <w:rPr>
          <w:rFonts w:ascii="Arial" w:cs="Arial" w:eastAsia="Arial" w:hAnsi="Arial"/>
          <w:sz w:val="18"/>
          <w:szCs w:val="18"/>
          <w:color w:val="auto"/>
        </w:rPr>
        <w:t>$196 million in 2009. The significant decrease in cash received from our restricted trust and escrow accounts during 2010 was due to a decrease in tax-exempt borrowings.</w:t>
      </w:r>
    </w:p>
    <w:p>
      <w:pPr>
        <w:spacing w:after="0" w:line="5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 The most significant items affecting the comparison of our financing cash flows for the periods presented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below:</w:t>
      </w:r>
    </w:p>
    <w:p>
      <w:pPr>
        <w:spacing w:after="0" w:line="51" w:lineRule="exact"/>
        <w:rPr>
          <w:sz w:val="20"/>
          <w:szCs w:val="20"/>
          <w:color w:val="auto"/>
        </w:rPr>
      </w:pPr>
    </w:p>
    <w:p>
      <w:pPr>
        <w:ind w:left="700" w:right="200" w:hanging="246"/>
        <w:spacing w:after="0" w:line="268"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Share repurchases and dividend payments — </w:t>
      </w:r>
      <w:r>
        <w:rPr>
          <w:rFonts w:ascii="Arial" w:cs="Arial" w:eastAsia="Arial" w:hAnsi="Arial"/>
          <w:sz w:val="18"/>
          <w:szCs w:val="18"/>
          <w:color w:val="auto"/>
        </w:rPr>
        <w:t>Our 2011, 2010 and 2009 share repurchases and dividend payments have been made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allocation programs approved by our Board of Directors.</w:t>
      </w:r>
    </w:p>
    <w:p>
      <w:pPr>
        <w:spacing w:after="0" w:line="50"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6"/>
          <w:szCs w:val="16"/>
          <w:color w:val="auto"/>
        </w:rPr>
        <w:t>We paid $575 million for share repurchases in 2011, compared with $501 million in 2010 and $226 million in 2009. We repurchased approximately</w:t>
      </w:r>
    </w:p>
    <w:p>
      <w:pPr>
        <w:spacing w:after="0" w:line="38" w:lineRule="exact"/>
        <w:rPr>
          <w:rFonts w:ascii="Arial" w:cs="Arial" w:eastAsia="Arial" w:hAnsi="Arial"/>
          <w:sz w:val="18"/>
          <w:szCs w:val="18"/>
          <w:color w:val="auto"/>
        </w:rPr>
      </w:pPr>
    </w:p>
    <w:p>
      <w:pPr>
        <w:ind w:left="700"/>
        <w:spacing w:after="0" w:line="255" w:lineRule="auto"/>
        <w:rPr>
          <w:rFonts w:ascii="Arial" w:cs="Arial" w:eastAsia="Arial" w:hAnsi="Arial"/>
          <w:sz w:val="18"/>
          <w:szCs w:val="18"/>
          <w:color w:val="auto"/>
        </w:rPr>
      </w:pPr>
      <w:r>
        <w:rPr>
          <w:rFonts w:ascii="Arial" w:cs="Arial" w:eastAsia="Arial" w:hAnsi="Arial"/>
          <w:sz w:val="18"/>
          <w:szCs w:val="18"/>
          <w:color w:val="auto"/>
        </w:rPr>
        <w:t>17 million, 15 million and 7 million shares of our common stock in 2011, 2010 and 2009, respectively. We did not repurchase shares during the first half of 2009 given the state of the economy and the financial markets. In the second half of 2009, we resumed repurchases of our common stock following improvements in the economy and capital markets.</w:t>
      </w:r>
    </w:p>
    <w:p>
      <w:pPr>
        <w:spacing w:after="0" w:line="63" w:lineRule="exact"/>
        <w:rPr>
          <w:rFonts w:ascii="Arial" w:cs="Arial" w:eastAsia="Arial" w:hAnsi="Arial"/>
          <w:sz w:val="18"/>
          <w:szCs w:val="18"/>
          <w:color w:val="auto"/>
        </w:rPr>
      </w:pPr>
    </w:p>
    <w:p>
      <w:pPr>
        <w:ind w:left="700" w:right="20"/>
        <w:spacing w:after="0" w:line="306" w:lineRule="auto"/>
        <w:rPr>
          <w:rFonts w:ascii="Arial" w:cs="Arial" w:eastAsia="Arial" w:hAnsi="Arial"/>
          <w:sz w:val="18"/>
          <w:szCs w:val="18"/>
          <w:color w:val="auto"/>
        </w:rPr>
      </w:pPr>
      <w:r>
        <w:rPr>
          <w:rFonts w:ascii="Arial" w:cs="Arial" w:eastAsia="Arial" w:hAnsi="Arial"/>
          <w:sz w:val="16"/>
          <w:szCs w:val="16"/>
          <w:color w:val="auto"/>
        </w:rPr>
        <w:t>We paid an aggregate of $637 million in cash dividends during 2011, compared with $604 million in 2010 and $569 million in 2009. The increase in dividend payments is due to our quarterly per share dividend increasing from $0.29 in 2009, to $0.315 in 2010 and to $0.34 in 2011, and has been offset in part by a reduction in our common stock outstanding as a result of our share repurchase programs.</w:t>
      </w:r>
    </w:p>
    <w:p>
      <w:pPr>
        <w:spacing w:after="0" w:line="25" w:lineRule="exact"/>
        <w:rPr>
          <w:rFonts w:ascii="Arial" w:cs="Arial" w:eastAsia="Arial" w:hAnsi="Arial"/>
          <w:sz w:val="18"/>
          <w:szCs w:val="18"/>
          <w:color w:val="auto"/>
        </w:rPr>
      </w:pPr>
    </w:p>
    <w:p>
      <w:pPr>
        <w:ind w:left="700"/>
        <w:spacing w:after="0" w:line="294" w:lineRule="auto"/>
        <w:rPr>
          <w:rFonts w:ascii="Arial" w:cs="Arial" w:eastAsia="Arial" w:hAnsi="Arial"/>
          <w:sz w:val="18"/>
          <w:szCs w:val="18"/>
          <w:color w:val="auto"/>
        </w:rPr>
      </w:pPr>
      <w:r>
        <w:rPr>
          <w:rFonts w:ascii="Arial" w:cs="Arial" w:eastAsia="Arial" w:hAnsi="Arial"/>
          <w:sz w:val="16"/>
          <w:szCs w:val="16"/>
          <w:color w:val="auto"/>
        </w:rPr>
        <w:t>In December 2011, we announced that our Board of Directors expects to increase the per share quarterly dividend from $0.34 to $0.355 for dividends declared in 2012. However, all future dividend declarations are at the discretion of the Board of Directors, and depend on various factors, including our net earnings, financial condition, cash required for future business plans and other factors the Board of Directors may deem relevant. In December 2011, the Board of Directors approved up to $500 million in share repurchases for 2012. However, future share repurchases will be made at the discretion of management, and will depend on factors similar to those considered by the Board of Directors in making dividend declarations.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120" w:hanging="246"/>
        <w:spacing w:after="0" w:line="332" w:lineRule="auto"/>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Proceeds from the exercise of common stock options — </w:t>
      </w:r>
      <w:r>
        <w:rPr>
          <w:rFonts w:ascii="Arial" w:cs="Arial" w:eastAsia="Arial" w:hAnsi="Arial"/>
          <w:sz w:val="16"/>
          <w:szCs w:val="16"/>
          <w:color w:val="auto"/>
        </w:rPr>
        <w:t>The exercise of common stock options and the related excess tax benefits generated a total of</w:t>
      </w:r>
      <w:r>
        <w:rPr>
          <w:rFonts w:ascii="Arial" w:cs="Arial" w:eastAsia="Arial" w:hAnsi="Arial"/>
          <w:sz w:val="16"/>
          <w:szCs w:val="16"/>
          <w:i w:val="1"/>
          <w:iCs w:val="1"/>
          <w:color w:val="auto"/>
        </w:rPr>
        <w:t xml:space="preserve"> </w:t>
      </w:r>
      <w:r>
        <w:rPr>
          <w:rFonts w:ascii="Arial" w:cs="Arial" w:eastAsia="Arial" w:hAnsi="Arial"/>
          <w:sz w:val="16"/>
          <w:szCs w:val="16"/>
          <w:color w:val="auto"/>
        </w:rPr>
        <w:t>$45 million of financing cash inflows during 2011 compared with $54 million during 2010 and $20 million during 2009.</w:t>
      </w:r>
    </w:p>
    <w:p>
      <w:pPr>
        <w:spacing w:after="0" w:line="4" w:lineRule="exact"/>
        <w:rPr>
          <w:rFonts w:ascii="Arial" w:cs="Arial" w:eastAsia="Arial" w:hAnsi="Arial"/>
          <w:sz w:val="16"/>
          <w:szCs w:val="16"/>
          <w:color w:val="auto"/>
        </w:rPr>
      </w:pPr>
    </w:p>
    <w:p>
      <w:pPr>
        <w:ind w:left="700" w:right="20" w:hanging="246"/>
        <w:spacing w:after="0" w:line="331" w:lineRule="auto"/>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Net debt repayments — </w:t>
      </w:r>
      <w:r>
        <w:rPr>
          <w:rFonts w:ascii="Arial" w:cs="Arial" w:eastAsia="Arial" w:hAnsi="Arial"/>
          <w:sz w:val="16"/>
          <w:szCs w:val="16"/>
          <w:color w:val="auto"/>
        </w:rPr>
        <w:t>Net debt borrowings were $698 million in 2011, net debt repayments were $204 million in 2010 and net debt borrowings were</w:t>
      </w:r>
      <w:r>
        <w:rPr>
          <w:rFonts w:ascii="Arial" w:cs="Arial" w:eastAsia="Arial" w:hAnsi="Arial"/>
          <w:sz w:val="16"/>
          <w:szCs w:val="16"/>
          <w:i w:val="1"/>
          <w:iCs w:val="1"/>
          <w:color w:val="auto"/>
        </w:rPr>
        <w:t xml:space="preserve"> </w:t>
      </w:r>
      <w:r>
        <w:rPr>
          <w:rFonts w:ascii="Arial" w:cs="Arial" w:eastAsia="Arial" w:hAnsi="Arial"/>
          <w:sz w:val="16"/>
          <w:szCs w:val="16"/>
          <w:color w:val="auto"/>
        </w:rPr>
        <w:t>$414 million in 2009. The following summarizes our most significant cash borrowings and debt repayments made during each year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7"/>
              </w:rPr>
              <w:t>Years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2010</w:t>
            </w:r>
          </w:p>
        </w:tc>
        <w:tc>
          <w:tcPr>
            <w:tcW w:w="5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credit facility</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Senior notes</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592</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1,385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Capital leases and other</w:t>
            </w: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1,201</w:t>
            </w: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908</w:t>
            </w:r>
          </w:p>
        </w:tc>
        <w:tc>
          <w:tcPr>
            <w:tcW w:w="56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1,749</w:t>
            </w:r>
          </w:p>
        </w:tc>
        <w:tc>
          <w:tcPr>
            <w:tcW w:w="0" w:type="dxa"/>
            <w:vAlign w:val="bottom"/>
          </w:tcPr>
          <w:p>
            <w:pPr>
              <w:spacing w:after="0"/>
              <w:rPr>
                <w:sz w:val="1"/>
                <w:szCs w:val="1"/>
                <w:color w:val="auto"/>
              </w:rPr>
            </w:pPr>
          </w:p>
        </w:tc>
      </w:tr>
      <w:tr>
        <w:trPr>
          <w:trHeight w:val="116"/>
        </w:trPr>
        <w:tc>
          <w:tcPr>
            <w:tcW w:w="46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credit facility</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Senior notes</w:t>
            </w: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exempt bonds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Tax exempt project bonds</w:t>
            </w: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Capital leases and other debt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(1,112)</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(1,335)</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borrowings (repayments)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Due to the short-term maturities of the borrowings under the revolving credit facility, we have reported these cash flows on a net basis in the Consolidated Statement of Cash Flows in accordance with accounting principles generally accepted in the U.S.</w:t>
      </w:r>
    </w:p>
    <w:p>
      <w:pPr>
        <w:spacing w:after="0" w:line="51" w:lineRule="exact"/>
        <w:rPr>
          <w:sz w:val="20"/>
          <w:szCs w:val="20"/>
          <w:color w:val="auto"/>
        </w:rPr>
      </w:pPr>
    </w:p>
    <w:p>
      <w:pPr>
        <w:ind w:left="700" w:right="120"/>
        <w:spacing w:after="0" w:line="291" w:lineRule="auto"/>
        <w:rPr>
          <w:sz w:val="20"/>
          <w:szCs w:val="20"/>
          <w:color w:val="auto"/>
        </w:rPr>
      </w:pPr>
      <w:r>
        <w:rPr>
          <w:rFonts w:ascii="Arial" w:cs="Arial" w:eastAsia="Arial" w:hAnsi="Arial"/>
          <w:sz w:val="16"/>
          <w:szCs w:val="16"/>
          <w:color w:val="auto"/>
        </w:rPr>
        <w:t>This summary excludes the impacts of non-cash borrowings and debt repayments. For the years ended December 31, 2011 and 2009, these non-cash financing activities were primarily associated with our tax-exempt bond financings. Proceeds from tax-exempt bond issuances, net of principal repayments made directly from trust funds, were $100 million and $105 million, respectively. During the year ended December 31, 2010, we did not have any tax-exempt bond financings; however, we did have a $215 million non-cash increase in our debt obligations as a result of the issuance of a note payable in return for a noncontrolling interest in a limited liability company established to invest in and manage low-income housing properties. This investment is discussed in detail in Note 9 to the Consolidated Financial Statements.</w:t>
      </w:r>
    </w:p>
    <w:p>
      <w:pPr>
        <w:spacing w:after="0" w:line="39" w:lineRule="exact"/>
        <w:rPr>
          <w:sz w:val="20"/>
          <w:szCs w:val="20"/>
          <w:color w:val="auto"/>
        </w:rPr>
      </w:pPr>
    </w:p>
    <w:p>
      <w:pPr>
        <w:ind w:left="700" w:hanging="246"/>
        <w:spacing w:after="0" w:line="294" w:lineRule="auto"/>
        <w:tabs>
          <w:tab w:leader="none" w:pos="70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Other — </w:t>
      </w:r>
      <w:r>
        <w:rPr>
          <w:rFonts w:ascii="Arial" w:cs="Arial" w:eastAsia="Arial" w:hAnsi="Arial"/>
          <w:sz w:val="16"/>
          <w:szCs w:val="16"/>
          <w:color w:val="auto"/>
        </w:rPr>
        <w:t>Net cash used in other financing activities was $46 million in 2011 and $50 million in 2009 while net cash provided from other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was $18 million in 2010. These activities are primarily attributable to changes in our accrued liabilities for checks written in excess of cash balances due to the timing of cash deposits or payments. During 2011, the cash used for these activities included $7 million of financing costs paid in May to amend and restate our $2.0 billion revolving credit facility. The cash provided by changes in our accrued liabilities for checks written in excess of cash balances in 2010 was offset, in part, by $13 million of financing costs paid in June to initially execute our $2.0 billion revolving credit facility.</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80"/>
          </w:cols>
          <w:pgMar w:left="240" w:top="459" w:right="3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as of December 31, 2011 and the anticipated effect of these obligations on our liquidity in future years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2012</w:t>
            </w:r>
          </w:p>
        </w:tc>
        <w:tc>
          <w:tcPr>
            <w:tcW w:w="3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2013</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2015</w:t>
            </w:r>
          </w:p>
        </w:tc>
        <w:tc>
          <w:tcPr>
            <w:tcW w:w="3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2016</w:t>
            </w:r>
          </w:p>
        </w:tc>
        <w:tc>
          <w:tcPr>
            <w:tcW w:w="3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Thereafter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3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Recorded Obligations:</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Expected environmental liabilities(a)</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Final capping, closure and post-closure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5"/>
              </w:rPr>
              <w:t>$ 114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Environmental remediation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Debt payments(b),(c),(d)</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460</w:t>
            </w:r>
          </w:p>
        </w:tc>
        <w:tc>
          <w:tcPr>
            <w:tcW w:w="3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696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Unrecorded Obligations:(e)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Non-cancelable operating lease obligations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unconditional purchase obligations(f)</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220"/>
              <w:spacing w:after="0"/>
              <w:rPr>
                <w:sz w:val="20"/>
                <w:szCs w:val="20"/>
                <w:color w:val="auto"/>
              </w:rPr>
            </w:pPr>
            <w:r>
              <w:rPr>
                <w:rFonts w:ascii="Arial" w:cs="Arial" w:eastAsia="Arial" w:hAnsi="Arial"/>
                <w:sz w:val="18"/>
                <w:szCs w:val="18"/>
                <w:color w:val="auto"/>
              </w:rPr>
              <w:t>Anticipated liquidity impact as of December 31, 2011</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1,318</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554</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688</w:t>
            </w:r>
          </w:p>
        </w:tc>
        <w:tc>
          <w:tcPr>
            <w:tcW w:w="300" w:type="dxa"/>
            <w:vAlign w:val="bottom"/>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685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877</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9,530</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256"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Environmental liabilities include final capping, closure, post-closure and environmental remediation costs. The amounts included here reflect environmental liabilities recorded in our Consolidated Balance Sheet as of December 31, 2011 without the impact of discounting and inflation. Our recorded environmental liabilities for final capping, closure and post-closure will increase as we continue to place additional tons within the permitted airspace at our landfills.</w:t>
      </w:r>
    </w:p>
    <w:p>
      <w:pPr>
        <w:spacing w:after="0" w:line="35"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amounts reported here represent the scheduled principal payments related to our long-term debt, excluding related interest. Refer to Note 7 to the Consolidated Financial Statements for information regarding interest rates.</w:t>
      </w:r>
    </w:p>
    <w:p>
      <w:pPr>
        <w:spacing w:after="0" w:line="23"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debt obligations as of December 31, 2011 include $305 million of tax-exempt bonds subject to re-pricing within the next twelve months, which is prior to their scheduled maturities. If the re-offerings of the bonds are unsuccessful, then the bonds can be put to us, requiring immediate repayment. We have classified the anticipated cash flows for these contractual obligations based on the scheduled maturity of the borrowing for purposes of this disclosure. For additional information regarding the classification of these borrowings in our Consolidated Balance Sheet as of December 31, 2011, refer to Note 7 to the Consolidated Financial Statements.</w:t>
      </w:r>
    </w:p>
    <w:p>
      <w:pPr>
        <w:spacing w:after="0" w:line="34" w:lineRule="exact"/>
        <w:rPr>
          <w:rFonts w:ascii="Arial" w:cs="Arial" w:eastAsia="Arial" w:hAnsi="Arial"/>
          <w:sz w:val="18"/>
          <w:szCs w:val="18"/>
          <w:color w:val="auto"/>
        </w:rPr>
      </w:pPr>
    </w:p>
    <w:p>
      <w:pPr>
        <w:ind w:left="460" w:right="500" w:hanging="452"/>
        <w:spacing w:after="0" w:line="317"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recorded debt obligations include non-cash adjustments associated with discounts, premiums and fair value adjustments for interest rate hedging activities. These amounts have been excluded here because they will not result in an impact to our liquidity in future periods.</w:t>
      </w:r>
    </w:p>
    <w:p>
      <w:pPr>
        <w:jc w:val="both"/>
        <w:ind w:left="460" w:right="40" w:hanging="452"/>
        <w:spacing w:after="0" w:line="259"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unrecorded obligations represent operating lease obligations and purchase commitments from which we expect to realize an economic benefit in future periods. We have also made certain guarantees, as discussed in Note 11 to the Consolidated Financial Statements, that we do not expect to materially affect our current or future financial position, results of operations or liquidity.</w:t>
      </w:r>
    </w:p>
    <w:p>
      <w:pPr>
        <w:spacing w:after="0" w:line="32"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unconditional purchase obligations are for various contractual obligations that we generally incur in the ordinary course of our business. Certain of our obligations are quantity driven. For contracts that require us to purchase minimum quantities of goods or services, we have estimated our future minimum obligations based on the current market values of the underlying products or services. Accordingly, the amounts reported in the table are not necessarily indicative of our actual cash flow obligations. See Note 11 to the Consolidated Financial Statements for discussion of the nature and terms of our unconditional purchase obligations.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Uncertain Tax Positions</w:t>
      </w:r>
    </w:p>
    <w:p>
      <w:pPr>
        <w:spacing w:after="0" w:line="9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As discussed in Note 9 of our Consolidated Financial Statements, we have liabilities associated with unrecognized tax benefits and related interest. These liabilities are primarily included as a component of long-term “Other liabilities” in our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11 to the Consolidated Financial Statements. These arrangements have not materially affected our financial position, results of operations or liquidity during the year ended December 31, 2011 nor are they expected to have a material impact on our future financial position, results of operations or liquidity.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While inflationary increases in costs, including the cost of diesel fuel, have affected our operating margins in recent years, we believe that inflation generally has not had, and in the near future is not expected to have, any material adverse effect on our results of operations. However, as of December 31, 2011, over 17%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jc w:val="both"/>
        <w:ind w:right="220" w:firstLine="456"/>
        <w:spacing w:after="0" w:line="323" w:lineRule="auto"/>
        <w:rPr>
          <w:sz w:val="20"/>
          <w:szCs w:val="20"/>
          <w:color w:val="auto"/>
        </w:rPr>
      </w:pPr>
      <w:r>
        <w:rPr>
          <w:rFonts w:ascii="Arial" w:cs="Arial" w:eastAsia="Arial" w:hAnsi="Arial"/>
          <w:sz w:val="15"/>
          <w:szCs w:val="15"/>
          <w:i w:val="1"/>
          <w:iCs w:val="1"/>
          <w:color w:val="auto"/>
        </w:rPr>
        <w:t xml:space="preserve">Fair Value Measurements </w:t>
      </w:r>
      <w:r>
        <w:rPr>
          <w:rFonts w:ascii="Arial" w:cs="Arial" w:eastAsia="Arial" w:hAnsi="Arial"/>
          <w:sz w:val="15"/>
          <w:szCs w:val="15"/>
          <w:color w:val="auto"/>
        </w:rPr>
        <w:t>— In May 2011, the FASB amended authoritative guidance associated with fair value measurements. This amended guidance</w:t>
      </w:r>
      <w:r>
        <w:rPr>
          <w:rFonts w:ascii="Arial" w:cs="Arial" w:eastAsia="Arial" w:hAnsi="Arial"/>
          <w:sz w:val="15"/>
          <w:szCs w:val="15"/>
          <w:i w:val="1"/>
          <w:iCs w:val="1"/>
          <w:color w:val="auto"/>
        </w:rPr>
        <w:t xml:space="preserve"> </w:t>
      </w:r>
      <w:r>
        <w:rPr>
          <w:rFonts w:ascii="Arial" w:cs="Arial" w:eastAsia="Arial" w:hAnsi="Arial"/>
          <w:sz w:val="15"/>
          <w:szCs w:val="15"/>
          <w:color w:val="auto"/>
        </w:rPr>
        <w:t>defines certain requirements for measuring fair value and for disclosing information about fair value measurements in accordance with U.S. generally accepted accounting principles. The amendments to authoritative guidance associated with fair value measurements were effective for the Company on January 1, 2012 and are to be applied prospectively. We do not expect that the adoption of this guidance will have a material impact on our consolidated financial statements.</w:t>
      </w:r>
    </w:p>
    <w:p>
      <w:pPr>
        <w:spacing w:after="0" w:line="13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the normal course of business, we are exposed to market risks, including changes in interest rates, Canadian currency rates and certain commodity prices. From time to time, we use derivatives to manage some portion of these risks. Our derivatives are agreements with independent counterparties that provide for payments based on a notional amount. As of December 31, 2011, all of our derivative transactions were related to actual or anticipated economic exposures. We are exposed to credit risk in the event of non-performance by our derivative counterparties. However, we monitor our derivative positions by regularly evaluating our positions and the creditworthiness of the counterparties.</w:t>
      </w:r>
    </w:p>
    <w:p>
      <w:pPr>
        <w:spacing w:after="0" w:line="3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Interest Rate Exposure </w:t>
      </w:r>
      <w:r>
        <w:rPr>
          <w:rFonts w:ascii="Arial" w:cs="Arial" w:eastAsia="Arial" w:hAnsi="Arial"/>
          <w:sz w:val="18"/>
          <w:szCs w:val="18"/>
          <w:color w:val="auto"/>
        </w:rPr>
        <w:t>— Our exposure to market risk for changes in interest rates relates primarily to our financing activities, although our interest costs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can also be significantly affected by our on-going financial assurance needs, which are discussed in the </w:t>
      </w:r>
      <w:r>
        <w:rPr>
          <w:rFonts w:ascii="Arial" w:cs="Arial" w:eastAsia="Arial" w:hAnsi="Arial"/>
          <w:sz w:val="18"/>
          <w:szCs w:val="18"/>
          <w:i w:val="1"/>
          <w:iCs w:val="1"/>
          <w:color w:val="auto"/>
        </w:rPr>
        <w:t>Financial Assurance and Insurance Obligations</w:t>
      </w:r>
      <w:r>
        <w:rPr>
          <w:rFonts w:ascii="Arial" w:cs="Arial" w:eastAsia="Arial" w:hAnsi="Arial"/>
          <w:sz w:val="18"/>
          <w:szCs w:val="18"/>
          <w:color w:val="auto"/>
        </w:rPr>
        <w:t xml:space="preserve"> section of Item 1.</w:t>
      </w:r>
    </w:p>
    <w:p>
      <w:pPr>
        <w:spacing w:after="0" w:line="5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December 31, 2011, we had $9.7 billion of long-term debt when excluding the impacts of accounting for fair value adjustments attributable to interest rate derivatives, discounts and premiums. The effective interest rates of approximately $2.2 billion of our outstanding debt obligations are subject to change during 2012. The most significant components of our variable-rate debt obligations are (i) $1 billion of “receive fixed, pay variable” interest rate swaps associated with outstanding fixed-rate senior notes; (ii) $611 million of tax-exempt bonds that are subject to re-pricing on either a daily or weekly basis through a remarketing process; (iii) $305 million of tax-exempt bonds with term interest rate periods that are subject to re-pricing within twelve months; (iv) $150 million of borrowings outstanding under our $2.0 billion revolving credit facility;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8"/>
        <w:spacing w:after="0" w:line="306" w:lineRule="auto"/>
        <w:tabs>
          <w:tab w:leader="none" w:pos="2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U.S.$137 million of outstanding advances under our Canadian Credit Facility. We currently estimate that a 100 basis point increase in the interest rates of our outstanding variable-rate debt obligations would increase our 2012 interest expense by approximately $18 million. As of December 31, 2010, the effective interest rates of approximately $1.8 billion of our outstanding debt obligations were subject to change within twelve months.</w:t>
      </w:r>
    </w:p>
    <w:p>
      <w:pPr>
        <w:spacing w:after="0" w:line="2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remaining outstanding debt obligations have fixed interest rates through either the scheduled maturity of the debt or, for certain of our “fixed-rate” tax exempt bonds, through the end of a term interest rate period that exceeds twelve months. In addition, at December 31, 2011, we had forward-starting interest rate swaps with a notional amount of $375 million. The fair value of our fixed-rate debt obligations and various interest rate derivative instruments can increase or decrease significantly if market interest rates change.</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performed sensitivity analyses to determine how market rate changes might affect the fair value of our market risk-sensitive derivatives and related positions. These analyses are inherently limited because they reflect a singular, hypothetical set of assumptions. Actual market movements may vary significantly from our assumptions. An instantaneous, one percentage point increase in interest rates across all maturities and applicable yield curves attributable to these instruments would have decreased the fair value of our combined debt and interest rate derivative positions by approximately $805 million at December 31, 2011.</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also exposed to interest rate market risk because we have significant cash and cash equivalent balances as well as assets held in restricted trust funds and escrow accounts. These assets are generally invested in high quality, liquid instruments including money market funds that invest in U.S. government obligations with original maturities of three months or less. Because of the short terms to maturity of these investments, we believe that our exposure to changes in fair value due to interest rate fluctuations is insignificant.</w:t>
      </w:r>
    </w:p>
    <w:p>
      <w:pPr>
        <w:spacing w:after="0" w:line="6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Commodity Price Exposure </w:t>
      </w:r>
      <w:r>
        <w:rPr>
          <w:rFonts w:ascii="Arial" w:cs="Arial" w:eastAsia="Arial" w:hAnsi="Arial"/>
          <w:sz w:val="18"/>
          <w:szCs w:val="18"/>
          <w:color w:val="auto"/>
        </w:rPr>
        <w:t>— In the normal course of our business, we are subject to operating agreements that expose us to market risks arising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the prices for commodities such as diesel fuel; recyclable materials, including old corrugated cardboard, old newsprint and plastics; and electricity, which generally correlates with natural gas prices in many of the markets in which we operate. With the exception of electricity commodity derivatives, which are discussed below, we generally have not entered into derivatives to hedge the risks associated with changes in the market prices of these commodities during the three years ended December 31, 2011. Alternatively, we attempt to manage these risks through operational strategies that focus on capturing our costs in the prices we charge our customers for the services provided. Accordingly, as the market prices for these commodities increase or decrease, our revenues also increase or decrease.</w:t>
      </w:r>
    </w:p>
    <w:p>
      <w:pPr>
        <w:spacing w:after="0" w:line="6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During 2011, approximately 54% of the electricity revenue at our waste-to-energy facilities was subject to current market rates, and we currently expect that nearly 56% of our electricity revenues at our waste-to-energy facilities will be at market rates by the end of 2012. Our exposure to variability associated with changes in market prices for electricity has increased over the last few years as long-term power purchase agreements have expired. The energy markets have changed significantly since the expiring contracts were executed and we have found that the current market structure does not support medium- and long-term electricity contracts. As we renegotiate our power-purchase agreements, we expect that a more substantial portion of our energy sales at our waste-to-energy facilities will be based on variable market rates. Accordingly, in 2010 we implemented a more actively managed energy program, which includes a hedging strategy intended to decrease the exposure of our revenues to volatility due to market prices for electricity. Refer to Note 8 of the Consolidated Financial Statements for additional information regarding our electricity commodity derivatives.</w:t>
      </w:r>
    </w:p>
    <w:p>
      <w:pPr>
        <w:spacing w:after="0" w:line="3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Currency Rate Exposure </w:t>
      </w:r>
      <w:r>
        <w:rPr>
          <w:rFonts w:ascii="Arial" w:cs="Arial" w:eastAsia="Arial" w:hAnsi="Arial"/>
          <w:sz w:val="16"/>
          <w:szCs w:val="16"/>
          <w:color w:val="auto"/>
        </w:rPr>
        <w:t>— We have operations in Canada and investments in China and the United Kingdom. From time to time, we use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derivatives to mitigate the impact of currency translation on cash flows of intercompany Canadian-currency denominated debt transactions. Our foreign currency derivatives have not materially affected our financial position or results of operations for the periods presented. In addition, while changes in foreign currency exchange rates could significantly affect the fair value of our foreign currency derivatives, we believe these changes in fair value would not have a material impact to the Company. Refer to Note 8 of the Consolidated Financial Statements for additional information regarding our foreign currency derivatives. The foreign currency exposure associated with our investments in China and the United Kingdom has not been material.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20" w:type="dxa"/>
            <w:vAlign w:val="bottom"/>
            <w:gridSpan w:val="8"/>
          </w:tcPr>
          <w:p>
            <w:pPr>
              <w:ind w:left="20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40" w:type="dxa"/>
            <w:vAlign w:val="bottom"/>
            <w:gridSpan w:val="4"/>
          </w:tcPr>
          <w:p>
            <w:pPr>
              <w:jc w:val="center"/>
              <w:ind w:right="4420"/>
              <w:spacing w:after="0"/>
              <w:rPr>
                <w:sz w:val="20"/>
                <w:szCs w:val="20"/>
                <w:color w:val="auto"/>
              </w:rPr>
            </w:pPr>
            <w:r>
              <w:rPr>
                <w:rFonts w:ascii="Arial" w:cs="Arial" w:eastAsia="Arial" w:hAnsi="Arial"/>
                <w:sz w:val="18"/>
                <w:szCs w:val="18"/>
                <w:b w:val="1"/>
                <w:bCs w:val="1"/>
                <w:color w:val="auto"/>
              </w:rPr>
              <w:t>INDEX TO</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960" w:type="dxa"/>
            <w:vAlign w:val="bottom"/>
            <w:gridSpan w:val="7"/>
          </w:tcPr>
          <w:p>
            <w:pPr>
              <w:jc w:val="center"/>
              <w:ind w:right="2700"/>
              <w:spacing w:after="0"/>
              <w:rPr>
                <w:sz w:val="20"/>
                <w:szCs w:val="20"/>
                <w:color w:val="auto"/>
              </w:rPr>
            </w:pPr>
            <w:r>
              <w:rPr>
                <w:rFonts w:ascii="Arial" w:cs="Arial" w:eastAsia="Arial" w:hAnsi="Arial"/>
                <w:sz w:val="18"/>
                <w:szCs w:val="18"/>
                <w:b w:val="1"/>
                <w:bCs w:val="1"/>
                <w:color w:val="auto"/>
                <w:w w:val="98"/>
              </w:rPr>
              <w:t>CONSOLIDATED 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0" w:type="dxa"/>
            <w:vAlign w:val="bottom"/>
            <w:gridSpan w:val="5"/>
            <w:vMerge w:val="restart"/>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Management’s Report on Internal Control Over Financial Reporting</w:t>
              </w:r>
            </w:hyperlink>
          </w:p>
        </w:tc>
        <w:tc>
          <w:tcPr>
            <w:tcW w:w="6240" w:type="dxa"/>
            <w:vAlign w:val="bottom"/>
            <w:gridSpan w:val="4"/>
            <w:vMerge w:val="restart"/>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4800" w:type="dxa"/>
            <w:vAlign w:val="bottom"/>
            <w:tcBorders>
              <w:bottom w:val="single" w:sz="8" w:color="0000EE"/>
            </w:tcBorders>
            <w:gridSpan w:val="5"/>
            <w:vMerge w:val="continue"/>
          </w:tcPr>
          <w:p>
            <w:pPr>
              <w:spacing w:after="0"/>
              <w:rPr>
                <w:sz w:val="13"/>
                <w:szCs w:val="13"/>
                <w:color w:val="auto"/>
              </w:rPr>
            </w:pPr>
          </w:p>
        </w:tc>
        <w:tc>
          <w:tcPr>
            <w:tcW w:w="6240" w:type="dxa"/>
            <w:vAlign w:val="bottom"/>
            <w:gridSpan w:val="4"/>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Reports of Independent Registered Public Accounting Firm</w:t>
              </w:r>
            </w:hyperlink>
          </w:p>
        </w:tc>
        <w:tc>
          <w:tcPr>
            <w:tcW w:w="6840" w:type="dxa"/>
            <w:vAlign w:val="bottom"/>
            <w:gridSpan w:val="6"/>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70">
              <w:r>
                <w:rPr>
                  <w:rFonts w:ascii="Arial" w:cs="Arial" w:eastAsia="Arial" w:hAnsi="Arial"/>
                  <w:sz w:val="18"/>
                  <w:szCs w:val="18"/>
                  <w:color w:val="0000EE"/>
                  <w:w w:val="86"/>
                </w:rPr>
                <w:t>Consolidated Balance Sheets as of December 31, 2011 and 2010</w:t>
              </w:r>
            </w:hyperlink>
          </w:p>
        </w:tc>
        <w:tc>
          <w:tcPr>
            <w:tcW w:w="65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71">
              <w:r>
                <w:rPr>
                  <w:rFonts w:ascii="Arial" w:cs="Arial" w:eastAsia="Arial" w:hAnsi="Arial"/>
                  <w:sz w:val="18"/>
                  <w:szCs w:val="18"/>
                  <w:color w:val="0000EE"/>
                  <w:w w:val="86"/>
                </w:rPr>
                <w:t>Consolidated Statements of Operations for the Years Ended December 31, 2011, 2010 and 2009</w:t>
              </w:r>
            </w:hyperlink>
          </w:p>
        </w:tc>
        <w:tc>
          <w:tcPr>
            <w:tcW w:w="43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Consolidated Statements of Cash Flows for the Years Ended December 31, 2011, 2010 and 2009</w:t>
              </w:r>
            </w:hyperlink>
          </w:p>
        </w:tc>
        <w:tc>
          <w:tcPr>
            <w:tcW w:w="42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1040" w:type="dxa"/>
            <w:vAlign w:val="bottom"/>
            <w:gridSpan w:val="9"/>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Changes in Equity for the Years Ended December 31, 2011, 2010 and 2009</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72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Notes to Consolidated Financial Statements</w:t>
              </w:r>
            </w:hyperlink>
          </w:p>
        </w:tc>
        <w:tc>
          <w:tcPr>
            <w:tcW w:w="37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83"/>
        </w:trPr>
        <w:tc>
          <w:tcPr>
            <w:tcW w:w="720" w:type="dxa"/>
            <w:vAlign w:val="bottom"/>
            <w:tcBorders>
              <w:top w:val="single" w:sz="8" w:color="0000EE"/>
            </w:tcBorders>
          </w:tcPr>
          <w:p>
            <w:pPr>
              <w:spacing w:after="0"/>
              <w:rPr>
                <w:sz w:val="24"/>
                <w:szCs w:val="24"/>
                <w:color w:val="auto"/>
              </w:rPr>
            </w:pPr>
          </w:p>
        </w:tc>
        <w:tc>
          <w:tcPr>
            <w:tcW w:w="2360" w:type="dxa"/>
            <w:vAlign w:val="bottom"/>
            <w:tcBorders>
              <w:top w:val="single" w:sz="8" w:color="0000EE"/>
            </w:tcBorders>
          </w:tcPr>
          <w:p>
            <w:pPr>
              <w:spacing w:after="0"/>
              <w:rPr>
                <w:sz w:val="24"/>
                <w:szCs w:val="24"/>
                <w:color w:val="auto"/>
              </w:rPr>
            </w:pPr>
          </w:p>
        </w:tc>
        <w:tc>
          <w:tcPr>
            <w:tcW w:w="3660" w:type="dxa"/>
            <w:vAlign w:val="bottom"/>
            <w:gridSpan w:val="4"/>
          </w:tcPr>
          <w:p>
            <w:pPr>
              <w:jc w:val="center"/>
              <w:ind w:left="1512"/>
              <w:spacing w:after="0"/>
              <w:rPr>
                <w:sz w:val="20"/>
                <w:szCs w:val="20"/>
                <w:color w:val="auto"/>
              </w:rPr>
            </w:pPr>
            <w:r>
              <w:rPr>
                <w:rFonts w:ascii="Arial" w:cs="Arial" w:eastAsia="Arial" w:hAnsi="Arial"/>
                <w:sz w:val="18"/>
                <w:szCs w:val="18"/>
                <w:color w:val="auto"/>
                <w:w w:val="89"/>
              </w:rPr>
              <w:t>66</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 FINANCIAL REPORTING</w:t>
      </w:r>
    </w:p>
    <w:p>
      <w:pPr>
        <w:spacing w:after="0" w:line="8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Management of the Company, including the principal executive and financial officers, is responsible for establishing and maintaining adequate internal control over financial reporting, as defined in Rules 13a-15(f) and 15d-15(f) of the Securities Exchange Act of 1934, as amended.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32"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the issuer;</w:t>
      </w:r>
    </w:p>
    <w:p>
      <w:pPr>
        <w:spacing w:after="0" w:line="124" w:lineRule="exact"/>
        <w:rPr>
          <w:rFonts w:ascii="Arial" w:cs="Arial" w:eastAsia="Arial" w:hAnsi="Arial"/>
          <w:sz w:val="15"/>
          <w:szCs w:val="15"/>
          <w:color w:val="auto"/>
        </w:rPr>
      </w:pPr>
    </w:p>
    <w:p>
      <w:pPr>
        <w:ind w:left="900" w:right="20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issuer are being made only in accordance with authorizations of management and directors of the issuer; and</w:t>
      </w:r>
    </w:p>
    <w:p>
      <w:pPr>
        <w:spacing w:after="0" w:line="59"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issuer's assets that could have a material effect on the financial statements.</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Management of the Company assessed the effectiveness of our internal control over financial reporting as of December 31, 2011 based on the Internal Control — Integrated Framework issued by the Committee of Sponsoring Organizations of the Treadway Commission. Management has excluded from its assessment the internal controls of Oakleaf Global Holdings, which was acquired in July 2011 and, excluding goodwill, accounted for approximately 1% of our consolidated total assets at December 31, 2011 and 2% of our consolidated total operating revenues for the year ended December 31, 2011. Based on its assessment, management has concluded that our internal control over financial reporting was effective as of December 31, 2011.</w:t>
      </w:r>
    </w:p>
    <w:p>
      <w:pPr>
        <w:spacing w:after="0" w:line="3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the independent registered public accounting firm that audited our consolidated financial statements, as stated in their report which is included herein.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Waste Management, Inc.</w:t>
      </w:r>
    </w:p>
    <w:p>
      <w:pPr>
        <w:spacing w:after="0" w:line="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audited Waste Management, Inc.’s internal control over financial reporting as of December 31, 2011, based on criteria established in Internal Control-Integrated Framework issued by the Committee of Sponsoring Organizations of the Treadway Commission (the COSO criteria). Waste Management,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indicated in the accompanying Management’s Report on Internal Control Over Financial Reporting, management’s assessment of and conclusion on the effectiveness of internal control over financial reporting did not include the internal controls of Oakleaf Global Holdings, which is included in the 2011 consolidated financial statements of Waste Management, Inc. and, excluding goodwill, constituted 1% of consolidated total assets as of December 31, 2011 and 2% of consolidated total operating revenues for the year then ended. Our audit of internal control over financial reporting of Waste Management, Inc. also did not include an evaluation of the internal control over financial reporting of Oakleaf Global Holdings.</w:t>
      </w:r>
    </w:p>
    <w:p>
      <w:pPr>
        <w:spacing w:after="0" w:line="3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our opinion, Waste Management, Inc. maintained, in all material respects, effective internal control over financial reporting as of December 31, 2011, based on the COSO criteria.</w:t>
      </w:r>
    </w:p>
    <w:p>
      <w:pPr>
        <w:spacing w:after="0" w:line="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Waste Management, Inc. as of December 31, 2011 and 2010, and the related consolidated statements of operations, cash flows, and changes in equity for each of the three years in the period ended December 31, 2011, and our report dated February 16, 2012 expressed an unqualified opinion thereon.</w:t>
      </w:r>
    </w:p>
    <w:p>
      <w:pPr>
        <w:spacing w:after="0" w:line="18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Waste Management, Inc.</w:t>
      </w:r>
    </w:p>
    <w:p>
      <w:pPr>
        <w:spacing w:after="0" w:line="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Waste Management, Inc. (the “Company”) as of December 31, 2011 and 2010, and the related consolidated statements of operations, cash flows, and changes in equity for each of the three years in the period ended December 31, 2011. These financial statements are the responsibility of the Company’s management. Our responsibility is to express an opinion on these financial statements based on our audits.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Waste Management, Inc. at December 31, 2011 and 2010, and the consolidated results of its operations and its cash flows for each of the three years in the period ended December 31, 2011, in conformity with U.S. generally accepted accounting principles.</w:t>
      </w:r>
    </w:p>
    <w:p>
      <w:pPr>
        <w:spacing w:after="0" w:line="5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discussed in Note 2 to the consolidated financial statements, effective January 1, 2010, the Company adopted certain provisions of ASC Topic 810, “Consolidation” related to the consolidation of variable interest entities.</w:t>
      </w:r>
    </w:p>
    <w:p>
      <w:pPr>
        <w:spacing w:after="0" w:line="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Waste Management, Inc.’s internal control over financial reporting as of December 31, 2011, based on criteria established in Internal Control-Integrated Framework issued by the Committee of Sponsoring Organizations of the Treadway Commission and our report dated February 16, 2012 expressed an unqualified opinion thereon.</w:t>
      </w:r>
    </w:p>
    <w:p>
      <w:pPr>
        <w:spacing w:after="0" w:line="10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80" w:type="dxa"/>
            <w:vAlign w:val="bottom"/>
            <w:shd w:val="clear" w:color="auto" w:fill="CCEEFF"/>
          </w:tcPr>
          <w:p>
            <w:pPr>
              <w:ind w:left="532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Accounts receivable, net of allowance for doubtful accounts of $29 and $26, respectively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Parts and supplies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and amortization of $15,308 and $14,690, respectively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12,242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22,569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vMerge w:val="restart"/>
          </w:tcPr>
          <w:p>
            <w:pPr>
              <w:ind w:left="4520"/>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9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838</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Deferred revenues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3,068</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1,884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16,179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14,885</w:t>
            </w:r>
          </w:p>
        </w:tc>
        <w:tc>
          <w:tcPr>
            <w:tcW w:w="0" w:type="dxa"/>
            <w:vAlign w:val="bottom"/>
          </w:tcPr>
          <w:p>
            <w:pPr>
              <w:spacing w:after="0"/>
              <w:rPr>
                <w:sz w:val="1"/>
                <w:szCs w:val="1"/>
                <w:color w:val="auto"/>
              </w:rPr>
            </w:pPr>
          </w:p>
        </w:tc>
      </w:tr>
      <w:tr>
        <w:trPr>
          <w:trHeight w:val="221"/>
        </w:trPr>
        <w:tc>
          <w:tcPr>
            <w:tcW w:w="96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169,749,709 and 155,235,711 shares, respectively</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(5,390)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(4,904)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640"/>
              <w:spacing w:after="0"/>
              <w:rPr>
                <w:sz w:val="20"/>
                <w:szCs w:val="20"/>
                <w:color w:val="auto"/>
              </w:rPr>
            </w:pPr>
            <w:r>
              <w:rPr>
                <w:rFonts w:ascii="Arial" w:cs="Arial" w:eastAsia="Arial" w:hAnsi="Arial"/>
                <w:sz w:val="18"/>
                <w:szCs w:val="18"/>
                <w:color w:val="auto"/>
              </w:rPr>
              <w:t>Total Waste Management, Inc. stockholders’ equity</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6,070</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Total equity</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22,569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87"/>
              </w:rPr>
              <w:t>Years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11,852</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11,371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Tangible product revenues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Total operating revenues</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13,378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12,515</w:t>
            </w: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Operating costs (exclusive of depreciation and amortization shown below):</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6,854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Cost of tangible products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costs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7,824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1,461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11,350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10,399</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780" w:type="dxa"/>
            <w:vAlign w:val="bottom"/>
            <w:gridSpan w:val="2"/>
          </w:tcPr>
          <w:p>
            <w:pPr>
              <w:jc w:val="right"/>
              <w:ind w:right="17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(508)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1"/>
        </w:trPr>
        <w:tc>
          <w:tcPr>
            <w:tcW w:w="84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961</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953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2011</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2010</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1,009</w:t>
            </w: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1,002</w:t>
            </w:r>
          </w:p>
        </w:tc>
        <w:tc>
          <w:tcPr>
            <w:tcW w:w="24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$ 1,060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consolidated net income to net cash provided by operating activities: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1,229</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1,194</w:t>
            </w:r>
          </w:p>
        </w:tc>
        <w:tc>
          <w:tcPr>
            <w:tcW w:w="24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 (benefit) provision</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2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200"/>
              <w:spacing w:after="0" w:line="149" w:lineRule="exact"/>
              <w:rPr>
                <w:sz w:val="20"/>
                <w:szCs w:val="20"/>
                <w:color w:val="auto"/>
              </w:rPr>
            </w:pPr>
            <w:r>
              <w:rPr>
                <w:rFonts w:ascii="Arial" w:cs="Arial" w:eastAsia="Arial" w:hAnsi="Arial"/>
                <w:sz w:val="14"/>
                <w:szCs w:val="14"/>
                <w:color w:val="auto"/>
              </w:rPr>
              <w:t>Interest accretion on landfill liabilities</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24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accretion on and discount rate adjustments to environmental remediation liabilities and recovery assets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200"/>
              <w:spacing w:after="0" w:line="149" w:lineRule="exact"/>
              <w:rPr>
                <w:sz w:val="20"/>
                <w:szCs w:val="20"/>
                <w:color w:val="auto"/>
              </w:rPr>
            </w:pPr>
            <w:r>
              <w:rPr>
                <w:rFonts w:ascii="Arial" w:cs="Arial" w:eastAsia="Arial" w:hAnsi="Arial"/>
                <w:sz w:val="14"/>
                <w:szCs w:val="14"/>
                <w:color w:val="auto"/>
              </w:rPr>
              <w:t>Provision for bad debts</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24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Equity-based compensation expense</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200"/>
              <w:spacing w:after="0" w:line="149" w:lineRule="exact"/>
              <w:rPr>
                <w:sz w:val="20"/>
                <w:szCs w:val="20"/>
                <w:color w:val="auto"/>
              </w:rPr>
            </w:pPr>
            <w:r>
              <w:rPr>
                <w:rFonts w:ascii="Arial" w:cs="Arial" w:eastAsia="Arial" w:hAnsi="Arial"/>
                <w:sz w:val="14"/>
                <w:szCs w:val="14"/>
                <w:color w:val="auto"/>
              </w:rPr>
              <w:t>Net gain from disposal of assets</w:t>
            </w:r>
          </w:p>
        </w:tc>
        <w:tc>
          <w:tcPr>
            <w:tcW w:w="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200"/>
              <w:spacing w:after="0" w:line="149" w:lineRule="exact"/>
              <w:rPr>
                <w:sz w:val="20"/>
                <w:szCs w:val="20"/>
                <w:color w:val="auto"/>
              </w:rPr>
            </w:pPr>
            <w:r>
              <w:rPr>
                <w:rFonts w:ascii="Arial" w:cs="Arial" w:eastAsia="Arial" w:hAnsi="Arial"/>
                <w:sz w:val="14"/>
                <w:szCs w:val="14"/>
                <w:color w:val="auto"/>
              </w:rPr>
              <w:t>Effect of (income) expense from divestitures, asset impairments and unusual items</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net losses of unconsolidated entities, net of dividends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200"/>
              <w:spacing w:after="0" w:line="149" w:lineRule="exact"/>
              <w:rPr>
                <w:sz w:val="20"/>
                <w:szCs w:val="20"/>
                <w:color w:val="auto"/>
              </w:rPr>
            </w:pPr>
            <w:r>
              <w:rPr>
                <w:rFonts w:ascii="Arial" w:cs="Arial" w:eastAsia="Arial" w:hAnsi="Arial"/>
                <w:sz w:val="14"/>
                <w:szCs w:val="14"/>
                <w:color w:val="auto"/>
              </w:rPr>
              <w:t>Change in operating assets and liabilities, net of effects of acquisitions and divestitures: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(159)</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24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revenues and other liabilities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3"/>
        </w:trPr>
        <w:tc>
          <w:tcPr>
            <w:tcW w:w="92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2,469</w:t>
            </w:r>
          </w:p>
        </w:tc>
        <w:tc>
          <w:tcPr>
            <w:tcW w:w="4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2,275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20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(867)</w:t>
            </w: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(407)</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1"/>
              </w:rPr>
              <w:t>(1,324)</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1"/>
              </w:rPr>
              <w:t>(1,104)</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divestitures of businesses (net of cash divested) and other sales of assets</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4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receipts from restricted trust and escrow accounts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2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unconsolidated entities</w:t>
            </w:r>
          </w:p>
        </w:tc>
        <w:tc>
          <w:tcPr>
            <w:tcW w:w="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(155)</w:t>
            </w: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(173)</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81"/>
              </w:rPr>
              <w:t>(2,185)</w:t>
            </w:r>
          </w:p>
        </w:tc>
        <w:tc>
          <w:tcPr>
            <w:tcW w:w="80" w:type="dxa"/>
            <w:vAlign w:val="bottom"/>
          </w:tcPr>
          <w:p>
            <w:pPr>
              <w:spacing w:after="0"/>
              <w:rPr>
                <w:sz w:val="14"/>
                <w:szCs w:val="14"/>
                <w:color w:val="auto"/>
              </w:rPr>
            </w:pPr>
          </w:p>
        </w:tc>
        <w:tc>
          <w:tcPr>
            <w:tcW w:w="5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1"/>
              </w:rPr>
              <w:t>(1,606)</w:t>
            </w:r>
          </w:p>
        </w:tc>
        <w:tc>
          <w:tcPr>
            <w:tcW w:w="6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200"/>
              <w:spacing w:after="0" w:line="149" w:lineRule="exact"/>
              <w:rPr>
                <w:sz w:val="20"/>
                <w:szCs w:val="20"/>
                <w:color w:val="auto"/>
              </w:rPr>
            </w:pPr>
            <w:r>
              <w:rPr>
                <w:rFonts w:ascii="Arial" w:cs="Arial" w:eastAsia="Arial" w:hAnsi="Arial"/>
                <w:sz w:val="14"/>
                <w:szCs w:val="14"/>
                <w:color w:val="auto"/>
              </w:rPr>
              <w:t>New borrowings</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1,201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908</w:t>
            </w:r>
          </w:p>
        </w:tc>
        <w:tc>
          <w:tcPr>
            <w:tcW w:w="24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Debt repayments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1"/>
              </w:rPr>
              <w:t>(1,112)</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200"/>
              <w:spacing w:after="0" w:line="149" w:lineRule="exact"/>
              <w:rPr>
                <w:sz w:val="20"/>
                <w:szCs w:val="20"/>
                <w:color w:val="auto"/>
              </w:rPr>
            </w:pPr>
            <w:r>
              <w:rPr>
                <w:rFonts w:ascii="Arial" w:cs="Arial" w:eastAsia="Arial" w:hAnsi="Arial"/>
                <w:sz w:val="14"/>
                <w:szCs w:val="14"/>
                <w:color w:val="auto"/>
              </w:rPr>
              <w:t>Common stock repurchases</w:t>
            </w:r>
          </w:p>
        </w:tc>
        <w:tc>
          <w:tcPr>
            <w:tcW w:w="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(575)</w:t>
            </w: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(501)</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(637)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(604)</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200"/>
              <w:spacing w:after="0" w:line="149" w:lineRule="exact"/>
              <w:rPr>
                <w:sz w:val="20"/>
                <w:szCs w:val="20"/>
                <w:color w:val="auto"/>
              </w:rPr>
            </w:pPr>
            <w:r>
              <w:rPr>
                <w:rFonts w:ascii="Arial" w:cs="Arial" w:eastAsia="Arial" w:hAnsi="Arial"/>
                <w:sz w:val="14"/>
                <w:szCs w:val="14"/>
                <w:color w:val="auto"/>
              </w:rPr>
              <w:t>Exercise of common stock options</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24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200"/>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(59)</w:t>
            </w: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(566)</w:t>
            </w:r>
          </w:p>
        </w:tc>
        <w:tc>
          <w:tcPr>
            <w:tcW w:w="80" w:type="dxa"/>
            <w:vAlign w:val="bottom"/>
          </w:tcPr>
          <w:p>
            <w:pPr>
              <w:spacing w:after="0"/>
              <w:rPr>
                <w:sz w:val="14"/>
                <w:szCs w:val="14"/>
                <w:color w:val="auto"/>
              </w:rPr>
            </w:pPr>
          </w:p>
        </w:tc>
        <w:tc>
          <w:tcPr>
            <w:tcW w:w="5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1"/>
              </w:rPr>
              <w:t>(1,273)</w:t>
            </w:r>
          </w:p>
        </w:tc>
        <w:tc>
          <w:tcPr>
            <w:tcW w:w="6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40" w:type="dxa"/>
            <w:vAlign w:val="bottom"/>
            <w:gridSpan w:val="2"/>
          </w:tcPr>
          <w:p>
            <w:pPr>
              <w:spacing w:after="0" w:line="155" w:lineRule="exact"/>
              <w:rPr>
                <w:sz w:val="20"/>
                <w:szCs w:val="20"/>
                <w:color w:val="auto"/>
              </w:rPr>
            </w:pPr>
            <w:r>
              <w:rPr>
                <w:rFonts w:ascii="Arial" w:cs="Arial" w:eastAsia="Arial" w:hAnsi="Arial"/>
                <w:sz w:val="14"/>
                <w:szCs w:val="14"/>
                <w:color w:val="auto"/>
              </w:rPr>
              <w:t>Increase (decrease) in cash and cash equivalents</w:t>
            </w:r>
          </w:p>
        </w:tc>
        <w:tc>
          <w:tcPr>
            <w:tcW w:w="80" w:type="dxa"/>
            <w:vAlign w:val="bottom"/>
          </w:tcPr>
          <w:p>
            <w:pPr>
              <w:spacing w:after="0"/>
              <w:rPr>
                <w:sz w:val="13"/>
                <w:szCs w:val="13"/>
                <w:color w:val="auto"/>
              </w:rPr>
            </w:pPr>
          </w:p>
        </w:tc>
        <w:tc>
          <w:tcPr>
            <w:tcW w:w="7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(281)</w:t>
            </w:r>
          </w:p>
        </w:tc>
        <w:tc>
          <w:tcPr>
            <w:tcW w:w="80" w:type="dxa"/>
            <w:vAlign w:val="bottom"/>
          </w:tcPr>
          <w:p>
            <w:pPr>
              <w:spacing w:after="0"/>
              <w:rPr>
                <w:sz w:val="13"/>
                <w:szCs w:val="13"/>
                <w:color w:val="auto"/>
              </w:rPr>
            </w:pPr>
          </w:p>
        </w:tc>
        <w:tc>
          <w:tcPr>
            <w:tcW w:w="5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(601)</w:t>
            </w:r>
          </w:p>
        </w:tc>
        <w:tc>
          <w:tcPr>
            <w:tcW w:w="68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539</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1,140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4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year</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258</w:t>
            </w:r>
          </w:p>
        </w:tc>
        <w:tc>
          <w:tcPr>
            <w:tcW w:w="4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539</w:t>
            </w:r>
          </w:p>
        </w:tc>
        <w:tc>
          <w:tcPr>
            <w:tcW w:w="240" w:type="dxa"/>
            <w:vAlign w:val="bottom"/>
          </w:tcPr>
          <w:p>
            <w:pPr>
              <w:spacing w:after="0"/>
              <w:rPr>
                <w:sz w:val="13"/>
                <w:szCs w:val="13"/>
                <w:color w:val="auto"/>
              </w:rPr>
            </w:pPr>
          </w:p>
        </w:tc>
        <w:tc>
          <w:tcPr>
            <w:tcW w:w="68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$ 1,140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12"/>
          </w:tcPr>
          <w:p>
            <w:pPr>
              <w:jc w:val="right"/>
              <w:ind w:right="80"/>
              <w:spacing w:after="0"/>
              <w:rPr>
                <w:sz w:val="20"/>
                <w:szCs w:val="20"/>
                <w:color w:val="auto"/>
              </w:rPr>
            </w:pPr>
            <w:r>
              <w:rPr>
                <w:rFonts w:ascii="Arial" w:cs="Arial" w:eastAsia="Arial" w:hAnsi="Arial"/>
                <w:sz w:val="14"/>
                <w:szCs w:val="14"/>
                <w:b w:val="1"/>
                <w:bCs w:val="1"/>
                <w:color w:val="auto"/>
                <w:w w:val="89"/>
              </w:rPr>
              <w:t>Waste Management, Inc. Stockholders’ Equity</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85"/>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142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42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12"/>
                <w:szCs w:val="12"/>
                <w:color w:val="auto"/>
              </w:rPr>
            </w:pPr>
          </w:p>
        </w:tc>
        <w:tc>
          <w:tcPr>
            <w:tcW w:w="6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4"/>
              </w:rPr>
              <w:t>Retained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Income</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Income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5"/>
              </w:rPr>
              <w:t>Amounts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4"/>
                <w:szCs w:val="14"/>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3"/>
              </w:rPr>
              <w:t>Earnings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0"/>
              </w:rPr>
              <w:t>(Loss)</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Shares</w:t>
            </w: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2008</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$6,185</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630,282</w:t>
            </w:r>
          </w:p>
        </w:tc>
        <w:tc>
          <w:tcPr>
            <w:tcW w:w="2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4,558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5,631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(139,547)</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(4,381)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7"/>
              </w:rPr>
              <w:t>Unrealized losses resulting from changes in fair</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value of derivative instruments, net of taxes of</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$13</w:t>
            </w: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(21)</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(21)</w:t>
            </w: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tcPr>
          <w:p>
            <w:pPr>
              <w:ind w:left="200"/>
              <w:spacing w:after="0" w:line="138" w:lineRule="exact"/>
              <w:rPr>
                <w:sz w:val="20"/>
                <w:szCs w:val="20"/>
                <w:color w:val="auto"/>
              </w:rPr>
            </w:pPr>
            <w:r>
              <w:rPr>
                <w:rFonts w:ascii="Arial" w:cs="Arial" w:eastAsia="Arial" w:hAnsi="Arial"/>
                <w:sz w:val="14"/>
                <w:szCs w:val="14"/>
                <w:color w:val="auto"/>
              </w:rPr>
              <w:t>Realized losses on derivative instruments</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ind w:left="420"/>
              <w:spacing w:after="0" w:line="159" w:lineRule="exact"/>
              <w:rPr>
                <w:sz w:val="20"/>
                <w:szCs w:val="20"/>
                <w:color w:val="auto"/>
              </w:rPr>
            </w:pPr>
            <w:r>
              <w:rPr>
                <w:rFonts w:ascii="Arial" w:cs="Arial" w:eastAsia="Arial" w:hAnsi="Arial"/>
                <w:sz w:val="14"/>
                <w:szCs w:val="14"/>
                <w:color w:val="auto"/>
                <w:w w:val="95"/>
              </w:rPr>
              <w:t>reclassified into earnings, net of taxes of $21</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32</w:t>
            </w: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4"/>
              </w:rPr>
              <w:t>Unrealized gains on available-for-sale securities,</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net of taxes of $2</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w:t>
            </w: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200"/>
              <w:spacing w:after="0" w:line="149" w:lineRule="exact"/>
              <w:rPr>
                <w:sz w:val="20"/>
                <w:szCs w:val="20"/>
                <w:color w:val="auto"/>
              </w:rPr>
            </w:pPr>
            <w:r>
              <w:rPr>
                <w:rFonts w:ascii="Arial" w:cs="Arial" w:eastAsia="Arial" w:hAnsi="Arial"/>
                <w:sz w:val="14"/>
                <w:szCs w:val="14"/>
                <w:color w:val="auto"/>
              </w:rPr>
              <w:t>Foreign currency translation adjustments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1"/>
              </w:rPr>
              <w:t>Change in funded status of post-retirement benefit</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obligations, net of taxes of $4</w:t>
            </w:r>
          </w:p>
        </w:tc>
        <w:tc>
          <w:tcPr>
            <w:tcW w:w="3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6</w:t>
            </w: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line="155" w:lineRule="exact"/>
              <w:rPr>
                <w:sz w:val="20"/>
                <w:szCs w:val="20"/>
                <w:color w:val="auto"/>
              </w:rPr>
            </w:pPr>
            <w:r>
              <w:rPr>
                <w:rFonts w:ascii="Arial" w:cs="Arial" w:eastAsia="Arial" w:hAnsi="Arial"/>
                <w:sz w:val="14"/>
                <w:szCs w:val="14"/>
                <w:color w:val="auto"/>
              </w:rPr>
              <w:t>Other comprehensive income (loss)</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1,186</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1,186</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4"/>
                <w:szCs w:val="14"/>
                <w:color w:val="auto"/>
              </w:rPr>
              <w:t>Cash dividends declared</w:t>
            </w: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(569)</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20" w:lineRule="exact"/>
              <w:rPr>
                <w:sz w:val="1"/>
                <w:szCs w:val="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43"/>
        </w:trPr>
        <w:tc>
          <w:tcPr>
            <w:tcW w:w="3100" w:type="dxa"/>
            <w:vAlign w:val="bottom"/>
            <w:gridSpan w:val="2"/>
            <w:vMerge w:val="continue"/>
          </w:tcPr>
          <w:p>
            <w:pPr>
              <w:spacing w:after="0"/>
              <w:rPr>
                <w:sz w:val="12"/>
                <w:szCs w:val="12"/>
                <w:color w:val="auto"/>
              </w:rPr>
            </w:pPr>
          </w:p>
        </w:tc>
        <w:tc>
          <w:tcPr>
            <w:tcW w:w="6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(569)</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Equity-based compensation transactions, including</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dividend equivalents, net of taxes</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2,610</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(226)</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(7,237)</w:t>
            </w: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2009</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$6,591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630,282</w:t>
            </w:r>
          </w:p>
        </w:tc>
        <w:tc>
          <w:tcPr>
            <w:tcW w:w="5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4,543</w:t>
            </w:r>
          </w:p>
        </w:tc>
        <w:tc>
          <w:tcPr>
            <w:tcW w:w="2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6,053</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208</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(144,162)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(4,525)</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7"/>
              </w:rPr>
              <w:t>Unrealized losses resulting from changes in fair</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value of derivative instruments, net of taxes of</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$28</w:t>
            </w: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(43)</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(43)</w:t>
            </w: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tcPr>
          <w:p>
            <w:pPr>
              <w:ind w:left="200"/>
              <w:spacing w:after="0" w:line="138" w:lineRule="exact"/>
              <w:rPr>
                <w:sz w:val="20"/>
                <w:szCs w:val="20"/>
                <w:color w:val="auto"/>
              </w:rPr>
            </w:pPr>
            <w:r>
              <w:rPr>
                <w:rFonts w:ascii="Arial" w:cs="Arial" w:eastAsia="Arial" w:hAnsi="Arial"/>
                <w:sz w:val="14"/>
                <w:szCs w:val="14"/>
                <w:color w:val="auto"/>
              </w:rPr>
              <w:t>Realized losses on derivative instruments</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ind w:left="420"/>
              <w:spacing w:after="0" w:line="159" w:lineRule="exact"/>
              <w:rPr>
                <w:sz w:val="20"/>
                <w:szCs w:val="20"/>
                <w:color w:val="auto"/>
              </w:rPr>
            </w:pPr>
            <w:r>
              <w:rPr>
                <w:rFonts w:ascii="Arial" w:cs="Arial" w:eastAsia="Arial" w:hAnsi="Arial"/>
                <w:sz w:val="14"/>
                <w:szCs w:val="14"/>
                <w:color w:val="auto"/>
                <w:w w:val="95"/>
              </w:rPr>
              <w:t>reclassified into earnings, net of taxes of $12</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18</w:t>
            </w: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4"/>
              </w:rPr>
              <w:t>Unrealized gains on available-for-sale securities,</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net of taxes of $2</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w:t>
            </w: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200"/>
              <w:spacing w:after="0" w:line="149" w:lineRule="exact"/>
              <w:rPr>
                <w:sz w:val="20"/>
                <w:szCs w:val="20"/>
                <w:color w:val="auto"/>
              </w:rPr>
            </w:pPr>
            <w:r>
              <w:rPr>
                <w:rFonts w:ascii="Arial" w:cs="Arial" w:eastAsia="Arial" w:hAnsi="Arial"/>
                <w:sz w:val="14"/>
                <w:szCs w:val="14"/>
                <w:color w:val="auto"/>
              </w:rPr>
              <w:t>Foreign currency translation adjustments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1"/>
              </w:rPr>
              <w:t>Change in funded status of post-retirement benefit</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obligations, net of taxes of $3</w:t>
            </w: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(5)</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(5)</w:t>
            </w: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line="155" w:lineRule="exact"/>
              <w:rPr>
                <w:sz w:val="20"/>
                <w:szCs w:val="20"/>
                <w:color w:val="auto"/>
              </w:rPr>
            </w:pPr>
            <w:r>
              <w:rPr>
                <w:rFonts w:ascii="Arial" w:cs="Arial" w:eastAsia="Arial" w:hAnsi="Arial"/>
                <w:sz w:val="14"/>
                <w:szCs w:val="14"/>
                <w:color w:val="auto"/>
              </w:rPr>
              <w:t>Other comprehensive income (loss)</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1,024</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4"/>
                <w:szCs w:val="14"/>
                <w:color w:val="auto"/>
              </w:rPr>
              <w:t>Cash dividends declared</w:t>
            </w: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20" w:lineRule="exact"/>
              <w:rPr>
                <w:sz w:val="1"/>
                <w:szCs w:val="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43"/>
        </w:trPr>
        <w:tc>
          <w:tcPr>
            <w:tcW w:w="3100" w:type="dxa"/>
            <w:vAlign w:val="bottom"/>
            <w:gridSpan w:val="2"/>
            <w:vMerge w:val="continue"/>
          </w:tcPr>
          <w:p>
            <w:pPr>
              <w:spacing w:after="0"/>
              <w:rPr>
                <w:sz w:val="12"/>
                <w:szCs w:val="12"/>
                <w:color w:val="auto"/>
              </w:rPr>
            </w:pPr>
          </w:p>
        </w:tc>
        <w:tc>
          <w:tcPr>
            <w:tcW w:w="6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(604)</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Equity-based compensation transactions, including</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dividend equivalents, net of taxes</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104</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3,832</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(501)</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(14,920)</w:t>
            </w: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Noncontrolling interests in acquired businesses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Deconsolidation of variable interest entities</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$6,591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630,282</w:t>
            </w:r>
          </w:p>
        </w:tc>
        <w:tc>
          <w:tcPr>
            <w:tcW w:w="5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4,528</w:t>
            </w:r>
          </w:p>
        </w:tc>
        <w:tc>
          <w:tcPr>
            <w:tcW w:w="2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6,400</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230</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(155,236)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(4,904)</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CONSOLIDATED STATEMENTS OF CHANGES IN EQUITY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11"/>
          </w:tcPr>
          <w:p>
            <w:pPr>
              <w:jc w:val="right"/>
              <w:ind w:right="80"/>
              <w:spacing w:after="0"/>
              <w:rPr>
                <w:sz w:val="20"/>
                <w:szCs w:val="20"/>
                <w:color w:val="auto"/>
              </w:rPr>
            </w:pPr>
            <w:r>
              <w:rPr>
                <w:rFonts w:ascii="Arial" w:cs="Arial" w:eastAsia="Arial" w:hAnsi="Arial"/>
                <w:sz w:val="14"/>
                <w:szCs w:val="14"/>
                <w:b w:val="1"/>
                <w:bCs w:val="1"/>
                <w:color w:val="auto"/>
                <w:w w:val="89"/>
              </w:rPr>
              <w:t>Waste Management, Inc. Stockholders’ Equity</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85"/>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142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66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2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Income</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Income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5"/>
              </w:rPr>
              <w:t>Amounts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0"/>
              </w:rPr>
              <w:t>(Loss)</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Shares</w:t>
            </w: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2010</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$6,591</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630,282</w:t>
            </w:r>
          </w:p>
        </w:tc>
        <w:tc>
          <w:tcPr>
            <w:tcW w:w="2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4,528</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6,400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230</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(155,236)</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(4,904)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7"/>
              </w:rPr>
              <w:t>Unrealized losses resulting from changes in fair</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value of derivative instruments, net of taxes of</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$20</w:t>
            </w: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(30)</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(30)</w:t>
            </w: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tcPr>
          <w:p>
            <w:pPr>
              <w:ind w:left="200"/>
              <w:spacing w:after="0" w:line="138" w:lineRule="exact"/>
              <w:rPr>
                <w:sz w:val="20"/>
                <w:szCs w:val="20"/>
                <w:color w:val="auto"/>
              </w:rPr>
            </w:pPr>
            <w:r>
              <w:rPr>
                <w:rFonts w:ascii="Arial" w:cs="Arial" w:eastAsia="Arial" w:hAnsi="Arial"/>
                <w:sz w:val="14"/>
                <w:szCs w:val="14"/>
                <w:color w:val="auto"/>
              </w:rPr>
              <w:t>Realized losses on derivative instruments</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ind w:left="420"/>
              <w:spacing w:after="0" w:line="159" w:lineRule="exact"/>
              <w:rPr>
                <w:sz w:val="20"/>
                <w:szCs w:val="20"/>
                <w:color w:val="auto"/>
              </w:rPr>
            </w:pPr>
            <w:r>
              <w:rPr>
                <w:rFonts w:ascii="Arial" w:cs="Arial" w:eastAsia="Arial" w:hAnsi="Arial"/>
                <w:sz w:val="14"/>
                <w:szCs w:val="14"/>
                <w:color w:val="auto"/>
                <w:w w:val="98"/>
              </w:rPr>
              <w:t>reclassified into earnings, net of taxes of $1</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w:t>
            </w: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3"/>
              </w:rPr>
              <w:t>Unrealized losses on available-for-sale securities,</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net of taxes of $2</w:t>
            </w: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(3)</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(3)</w:t>
            </w: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200"/>
              <w:spacing w:after="0" w:line="149" w:lineRule="exact"/>
              <w:rPr>
                <w:sz w:val="20"/>
                <w:szCs w:val="20"/>
                <w:color w:val="auto"/>
              </w:rPr>
            </w:pPr>
            <w:r>
              <w:rPr>
                <w:rFonts w:ascii="Arial" w:cs="Arial" w:eastAsia="Arial" w:hAnsi="Arial"/>
                <w:sz w:val="14"/>
                <w:szCs w:val="14"/>
                <w:color w:val="auto"/>
              </w:rPr>
              <w:t>Foreign currency translation adjustments</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1"/>
              </w:rPr>
              <w:t>Change in funded status of post-retirement benefit</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obligations, net of taxes of $5</w:t>
            </w: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(8)</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(8)</w:t>
            </w: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4"/>
                <w:szCs w:val="14"/>
                <w:color w:val="auto"/>
              </w:rPr>
              <w:t>Other comprehensive income (loss)</w:t>
            </w: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00" w:type="dxa"/>
            <w:vAlign w:val="bottom"/>
            <w:gridSpan w:val="2"/>
            <w:vMerge w:val="continue"/>
          </w:tcPr>
          <w:p>
            <w:pPr>
              <w:spacing w:after="0"/>
              <w:rPr>
                <w:sz w:val="14"/>
                <w:szCs w:val="14"/>
                <w:color w:val="auto"/>
              </w:rPr>
            </w:pPr>
          </w:p>
        </w:tc>
        <w:tc>
          <w:tcPr>
            <w:tcW w:w="6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(58)</w:t>
            </w:r>
          </w:p>
        </w:tc>
        <w:tc>
          <w:tcPr>
            <w:tcW w:w="140" w:type="dxa"/>
            <w:vAlign w:val="bottom"/>
          </w:tcPr>
          <w:p>
            <w:pPr>
              <w:spacing w:after="0"/>
              <w:rPr>
                <w:sz w:val="14"/>
                <w:szCs w:val="14"/>
                <w:color w:val="auto"/>
              </w:rPr>
            </w:pPr>
          </w:p>
        </w:tc>
        <w:tc>
          <w:tcPr>
            <w:tcW w:w="9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(58)</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951</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951</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4"/>
                <w:szCs w:val="14"/>
                <w:color w:val="auto"/>
              </w:rPr>
              <w:t>Cash dividends declared</w:t>
            </w: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20" w:lineRule="exact"/>
              <w:rPr>
                <w:sz w:val="1"/>
                <w:szCs w:val="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43"/>
        </w:trPr>
        <w:tc>
          <w:tcPr>
            <w:tcW w:w="3100" w:type="dxa"/>
            <w:vAlign w:val="bottom"/>
            <w:gridSpan w:val="2"/>
            <w:vMerge w:val="continue"/>
          </w:tcPr>
          <w:p>
            <w:pPr>
              <w:spacing w:after="0"/>
              <w:rPr>
                <w:sz w:val="12"/>
                <w:szCs w:val="12"/>
                <w:color w:val="auto"/>
              </w:rPr>
            </w:pPr>
          </w:p>
        </w:tc>
        <w:tc>
          <w:tcPr>
            <w:tcW w:w="6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(637)</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Equity-based compensation transactions, including</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dividend equivalents, net of taxes</w:t>
            </w:r>
          </w:p>
        </w:tc>
        <w:tc>
          <w:tcPr>
            <w:tcW w:w="6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2,813</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(575)</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(17,338)</w:t>
            </w: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2011</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6,390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630,282</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4,561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6,721</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172</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(169,750)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(5,390)</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2011, 2010 and 2009</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as described in Note 20.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3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5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currently manage and evaluate our principal operations through five Groups. Our four geographic operating Groups, which are comprised of our Eastern, Midwest, Southern and Western Groups, provide collection, transfer, disposal (in both solid waste and hazardous waste landfills) and recycling services. Our fifth Group is the Wheelabrator Group, which provides waste-to-energy services and manages waste-to-energy facilities and independent power production plants. We also provide additional services that are not managed through our five Groups, including the operations of Oakleaf Global Holdings and its primary operations (“Oakleaf”) acquired on July 28, 2011, which are presented in this report as “Other.” Additional information related to our segments and to our acquisition of Oakleaf can be found in Note 21 and in Note 19, respectively.</w:t>
      </w:r>
    </w:p>
    <w:p>
      <w:pPr>
        <w:spacing w:after="0" w:line="11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Accounting Changes and Reclassifications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Goodwill Impairment Testing </w:t>
      </w:r>
      <w:r>
        <w:rPr>
          <w:rFonts w:ascii="Arial" w:cs="Arial" w:eastAsia="Arial" w:hAnsi="Arial"/>
          <w:sz w:val="16"/>
          <w:szCs w:val="16"/>
          <w:color w:val="auto"/>
        </w:rPr>
        <w:t>— In September 2011, the Financial Accounting Standards Board (“FASB”) amended authoritative guidance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impairment testing. The amended guidance provides companies the option to first assess qualitative factors to determine whether the existence of events or circumstances leads to a determination that it is more likely than not that the fair value of a reporting unit is less than its carrying amount before performing the two-step impairment test. If, after assessing the totality of events or circumstances, an entity determines it is not more likely than not that the fair value of a reporting unit is less than its carrying amount, then performing the two-step impairment test is unnecessary. The amendments are effective for goodwill impairment tests performed for fiscal years beginning after December 15, 2011; however, early adoption was permitted. The Company’s early adoption of this guidance in 2011 did not have an impact on our consolidated financial statements. Additional information on impairment testing can be found in Note 3.</w:t>
      </w:r>
    </w:p>
    <w:p>
      <w:pPr>
        <w:spacing w:after="0" w:line="3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Multiple-Deliverable Revenue Arrangements </w:t>
      </w:r>
      <w:r>
        <w:rPr>
          <w:rFonts w:ascii="Arial" w:cs="Arial" w:eastAsia="Arial" w:hAnsi="Arial"/>
          <w:sz w:val="16"/>
          <w:szCs w:val="16"/>
          <w:color w:val="auto"/>
        </w:rPr>
        <w:t>— In October 2009, the FASB amended authoritative guidance associated with multiple-deliverable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This amended guidance addresses the determination of when individual deliverables within an arrangement are required to be treated as separate units of accounting and modifies the manner in which consideration is allocated across the separately identifiable deliverables. The amendments to authoritative guidance associated with multiple-deliverable revenue arrangements became effective for the Company on January 1, 2011. The new accounting standard has been applied prospectively to arrangements entered into or materially modified after the date of adoption. The adoption of this guidance has not had a material impact on our consolidated financial statements.</w:t>
      </w:r>
    </w:p>
    <w:p>
      <w:pPr>
        <w:spacing w:after="0" w:line="3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Consolidation of Variable Interest Entities </w:t>
      </w:r>
      <w:r>
        <w:rPr>
          <w:rFonts w:ascii="Arial" w:cs="Arial" w:eastAsia="Arial" w:hAnsi="Arial"/>
          <w:sz w:val="18"/>
          <w:szCs w:val="18"/>
          <w:color w:val="auto"/>
        </w:rPr>
        <w:t>— In June 2009, the FASB issued revised authoritative guidance associated with the consolidation of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entities. The new guidance primarily uses a qualitative approach for determining whether an enterprise is the primary beneficiary of a variable interest entity and, is therefore, required to consolidate the entity. This new guidance generally defines the primary beneficiary as the entity that has (i) the power to direct the activities of the variable interest entity that can most significantly impact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entity’s performance and (ii) the obligation to absorb losses and the right to receive benefits from the variable interest entity that could be significant from the perspective of the entity. The new guidance also requires that we continually reassess whether we are the primary beneficiary of a variable interest entity rather than conducting a reassessment only upon the occurrence of specific events.</w:t>
      </w:r>
    </w:p>
    <w:p>
      <w:pPr>
        <w:spacing w:after="0" w:line="5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a result of our implementation of this guidance, effective January 1, 2010, we deconsolidated certain final capping, closure, post-closure and environmental remediation trusts because we share power over significant activities of these trusts with others. Our financial interests in these entities are discussed in Note 20. The deconsolidation of these trusts has not materially affected our financial position, results of operations or cash flows during the periods presented.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reclassifications have been made to our prior period consolidated financial information in order to conform to the current year presentation.</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accompanying Consolidated Financial Statements include the accounts of WM, its wholly-owned and majority-owned subsidiaries and certain variable interest entities for which we have determined that we are the primary beneficiary. All material intercompany balances and transactions have been eliminated. Investments in entities in which we do not have a controlling financial interest are accounted for under either the equity method or cost method of accounting, as appropriate.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Cash and cash equivalents consist primarily of cash on deposit and money market funds that invest in U.S. government obligations with original maturities of three months or less.</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Financial instruments that potentially subject us to concentrations of credit risk consist primarily of cash and cash equivalents, investments held within our trust funds and escrow accounts, accounts receivable and derivative instruments.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exposure associated with trade receivables by discontinuing service, to the extent allowable, to non-paying customers. However, our overall credit risk associated with trade receivables is limited due to the large number of geographically diverse customers we service. At December 31, 2011 and 2010, no single customer represented greater than 5% of total accounts receivable.</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 and Other Receivables</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economic conditions. If events or changes in circumstances indicate that specific receivable balances may be impaired, further consideration is given to the collectibility of those balances and the allowance is adjusted accordingly. Past-due receivable balances are written off when our internal collection efforts have been unsuccessful. Also, we recognize interest income on long-term interest-bearing notes receivable as the interest accrues under the terms of the notes.</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Parts and Supplies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Parts and supplies consist primarily of spare parts, fuel, tires, lubricants and processed recycling materials. Our parts and supplies are stated at the lower of cost, using the average cost method, or market.</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Cost Basis of Landfill Assets </w:t>
      </w:r>
      <w:r>
        <w:rPr>
          <w:rFonts w:ascii="Arial" w:cs="Arial" w:eastAsia="Arial" w:hAnsi="Arial"/>
          <w:sz w:val="16"/>
          <w:szCs w:val="16"/>
          <w:color w:val="auto"/>
        </w:rPr>
        <w:t>— We capitalize various costs that we incur to make a landfill ready to accept waste. These costs generally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Final Capping, Closure and Post-Closure Costs </w:t>
      </w:r>
      <w:r>
        <w:rPr>
          <w:rFonts w:ascii="Arial" w:cs="Arial" w:eastAsia="Arial" w:hAnsi="Arial"/>
          <w:sz w:val="18"/>
          <w:szCs w:val="18"/>
          <w:color w:val="auto"/>
        </w:rPr>
        <w:t>— Following is a description of our asset retirement activities and our related accounting:</w:t>
      </w:r>
    </w:p>
    <w:p>
      <w:pPr>
        <w:spacing w:after="0" w:line="90" w:lineRule="exact"/>
        <w:rPr>
          <w:sz w:val="20"/>
          <w:szCs w:val="20"/>
          <w:color w:val="auto"/>
        </w:rPr>
      </w:pPr>
    </w:p>
    <w:p>
      <w:pPr>
        <w:ind w:left="700" w:right="20" w:hanging="246"/>
        <w:spacing w:after="0" w:line="255"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Final Capping </w:t>
      </w:r>
      <w:r>
        <w:rPr>
          <w:rFonts w:ascii="Arial" w:cs="Arial" w:eastAsia="Arial" w:hAnsi="Arial"/>
          <w:sz w:val="18"/>
          <w:szCs w:val="18"/>
          <w:color w:val="auto"/>
        </w:rPr>
        <w:t>— Involves the installation of flexible membrane liners and geosynthetic clay liners, drainage and compacted soil layers and topsoil over</w:t>
      </w:r>
      <w:r>
        <w:rPr>
          <w:rFonts w:ascii="Arial" w:cs="Arial" w:eastAsia="Arial" w:hAnsi="Arial"/>
          <w:sz w:val="18"/>
          <w:szCs w:val="18"/>
          <w:i w:val="1"/>
          <w:iCs w:val="1"/>
          <w:color w:val="auto"/>
        </w:rPr>
        <w:t xml:space="preserve"> </w:t>
      </w:r>
      <w:r>
        <w:rPr>
          <w:rFonts w:ascii="Arial" w:cs="Arial" w:eastAsia="Arial" w:hAnsi="Arial"/>
          <w:sz w:val="18"/>
          <w:szCs w:val="18"/>
          <w:color w:val="auto"/>
        </w:rPr>
        <w:t>areas of a landfill where total airspace capacity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and capacity associated with each final capping event.</w:t>
      </w:r>
    </w:p>
    <w:p>
      <w:pPr>
        <w:spacing w:after="0" w:line="61" w:lineRule="exact"/>
        <w:rPr>
          <w:rFonts w:ascii="Arial" w:cs="Arial" w:eastAsia="Arial" w:hAnsi="Arial"/>
          <w:sz w:val="18"/>
          <w:szCs w:val="18"/>
          <w:color w:val="auto"/>
        </w:rPr>
      </w:pPr>
    </w:p>
    <w:p>
      <w:pPr>
        <w:ind w:left="700" w:right="20" w:hanging="246"/>
        <w:spacing w:after="0" w:line="255"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Closure </w:t>
      </w:r>
      <w:r>
        <w:rPr>
          <w:rFonts w:ascii="Arial" w:cs="Arial" w:eastAsia="Arial" w:hAnsi="Arial"/>
          <w:sz w:val="18"/>
          <w:szCs w:val="18"/>
          <w:color w:val="auto"/>
        </w:rPr>
        <w:t>— Includes the construction of the final portion of methane gas collection systems (when required), demobilization and routine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These are costs incurred after the site ceases to accept waste, but before the landfill is certified as closed by the applicable state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61" w:lineRule="exact"/>
        <w:rPr>
          <w:rFonts w:ascii="Arial" w:cs="Arial" w:eastAsia="Arial" w:hAnsi="Arial"/>
          <w:sz w:val="18"/>
          <w:szCs w:val="18"/>
          <w:color w:val="auto"/>
        </w:rPr>
      </w:pPr>
    </w:p>
    <w:p>
      <w:pPr>
        <w:ind w:left="700" w:right="40" w:hanging="246"/>
        <w:spacing w:after="0" w:line="259"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Post-Closure </w:t>
      </w:r>
      <w:r>
        <w:rPr>
          <w:rFonts w:ascii="Arial" w:cs="Arial" w:eastAsia="Arial" w:hAnsi="Arial"/>
          <w:sz w:val="18"/>
          <w:szCs w:val="18"/>
          <w:color w:val="auto"/>
        </w:rPr>
        <w:t>— Involves the maintenance and monitoring of a landfill site that has been certified closed by the applicable regulatory agency.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we are required to maintain and monitor landfill sites for a 30-year period. These maintenance and monitoring costs are recorded as an asset retirement obligation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680" w:right="40"/>
        <w:spacing w:after="0" w:line="332" w:lineRule="auto"/>
        <w:rPr>
          <w:sz w:val="20"/>
          <w:szCs w:val="20"/>
          <w:color w:val="auto"/>
        </w:rPr>
      </w:pPr>
      <w:r>
        <w:rPr>
          <w:rFonts w:ascii="Arial" w:cs="Arial" w:eastAsia="Arial" w:hAnsi="Arial"/>
          <w:sz w:val="16"/>
          <w:szCs w:val="16"/>
          <w:color w:val="auto"/>
        </w:rPr>
        <w:t>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4"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and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performed.</w:t>
      </w:r>
    </w:p>
    <w:p>
      <w:pPr>
        <w:spacing w:after="0" w:line="3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Once we have determined the final capping, closure and post-closure costs, we inflate those costs to the expected time of payment and discount those expected future costs back to present value. During the years ended December 31, 2011, 2010 and 2009, we inflated these costs in current dollars until the expected time of payment using an inflation rate of 2.5%. We discount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weighted-average rate of the recorded obligation. As a result, the credit-adjusted, risk-free discount rate used to calculate the present value of an obligation is specific to each individual asset retirement obligation. The weighted-average rate applicable to our asset retirement obligations at December 31, 2011 is between 5.5% and 8.0%, the range of the credit-adjusted, risk-free discount rates effective since we adopted the FASB’s authoritative guidance related to asset retirement obligations in 2003. We expect to apply a credit-adjusted, risk-free discount rate of 4.5% to liabilities incurred in the first quarter of 2012.</w:t>
      </w:r>
    </w:p>
    <w:p>
      <w:pPr>
        <w:spacing w:after="0" w:line="3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3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capacity of the related discrete final capping event or the remaining permitted and expansion airspace (as defined below) of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remaining permitted and expansion airspace of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During the years ended December 31, 2011, 2010 and 2009, adjustments associated with changes in our expectations for the timing and cost of future final capping, closure and post-closure of fully utilized airspace resulted in $11 million, $13 million and $14 million in net credits to landfill airspace amortization expense, respectively, with the majority of these credits resulting from revised estimates associated with final capping changes. In managing our landfills, our engineers look for ways to reduce or defer our construction costs, including final capping costs. The benefit recognized in these years was generally the result of</w:t>
      </w:r>
    </w:p>
    <w:p>
      <w:pPr>
        <w:spacing w:after="0" w:line="3" w:lineRule="exact"/>
        <w:rPr>
          <w:sz w:val="20"/>
          <w:szCs w:val="20"/>
          <w:color w:val="auto"/>
        </w:rPr>
      </w:pPr>
    </w:p>
    <w:p>
      <w:pPr>
        <w:ind w:right="80" w:firstLine="8"/>
        <w:spacing w:after="0" w:line="255" w:lineRule="auto"/>
        <w:tabs>
          <w:tab w:leader="none" w:pos="2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concerted efforts to improve the operating efficiencies of our landfills and volume declines, both of which have allowed us to delay spending for final capping activities; (ii) effectively managing the cost of final capping material and construction; or (iii) landfill expansions that resulted in reduced or deferred final capping costs.</w:t>
      </w:r>
    </w:p>
    <w:p>
      <w:pPr>
        <w:spacing w:after="0" w:line="6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Interest accretion on final capping, closure and post-closure liabilities is recorded using the effective interest method and is recorded as final capping, closure and post-closure expense, which is included in “Operating” costs and expenses within our Consolidated Statements of Operations.</w:t>
      </w:r>
    </w:p>
    <w:p>
      <w:pPr>
        <w:spacing w:after="0" w:line="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Amortization of Landfill Assets </w:t>
      </w:r>
      <w:r>
        <w:rPr>
          <w:rFonts w:ascii="Arial" w:cs="Arial" w:eastAsia="Arial" w:hAnsi="Arial"/>
          <w:sz w:val="16"/>
          <w:szCs w:val="16"/>
          <w:color w:val="auto"/>
        </w:rPr>
        <w:t>— The amortizable basis of a landfill includes (i) amounts previously expended and capitalized; (ii) capitalized landfill final</w:t>
      </w:r>
      <w:r>
        <w:rPr>
          <w:rFonts w:ascii="Arial" w:cs="Arial" w:eastAsia="Arial" w:hAnsi="Arial"/>
          <w:sz w:val="16"/>
          <w:szCs w:val="16"/>
          <w:i w:val="1"/>
          <w:iCs w:val="1"/>
          <w:color w:val="auto"/>
        </w:rPr>
        <w:t xml:space="preserve"> </w:t>
      </w:r>
      <w:r>
        <w:rPr>
          <w:rFonts w:ascii="Arial" w:cs="Arial" w:eastAsia="Arial" w:hAnsi="Arial"/>
          <w:sz w:val="16"/>
          <w:szCs w:val="16"/>
          <w:color w:val="auto"/>
        </w:rPr>
        <w:t>capping, closure and post-closure costs; (iii) projections of future purchase and development costs required to develop the landfill site to its remaining permitted and expansion capacity; and (iv) projected asset retirement costs related to landfill final capping, closure and post-closure activities.</w:t>
      </w:r>
    </w:p>
    <w:p>
      <w:pPr>
        <w:spacing w:after="0" w:line="2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Amortization is recorded on a units-of-consumption basis, applying expense as a rate per ton. The rate per ton is calculated by dividing each component of the amortizable basis of a landfill by the number of tons needed to fill the corresponding asset’s airspace. For landfills that we do not own, but operate through operating or lease arrangements, the rate per ton is calculated based on expected capacity to be utilized over the lesser of the contractual term of the underlying agreement or the life of the landfill.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90" w:lineRule="exact"/>
        <w:rPr>
          <w:sz w:val="20"/>
          <w:szCs w:val="20"/>
          <w:color w:val="auto"/>
        </w:rPr>
      </w:pPr>
    </w:p>
    <w:p>
      <w:pPr>
        <w:ind w:left="700" w:right="20" w:hanging="246"/>
        <w:spacing w:after="0" w:line="259"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 Our engineers, in consultation with third-party engineering consultants and surveyors, are responsible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permitted airspace at our landfills. The remaining permitted airspace is determined by an annual survey, which is used to compare the existing landfill topography to the expected final landfill topography.</w:t>
      </w:r>
    </w:p>
    <w:p>
      <w:pPr>
        <w:spacing w:after="0" w:line="59" w:lineRule="exact"/>
        <w:rPr>
          <w:rFonts w:ascii="Arial" w:cs="Arial" w:eastAsia="Arial" w:hAnsi="Arial"/>
          <w:sz w:val="18"/>
          <w:szCs w:val="18"/>
          <w:color w:val="auto"/>
        </w:rPr>
      </w:pPr>
    </w:p>
    <w:p>
      <w:pPr>
        <w:ind w:left="700" w:right="20" w:hanging="246"/>
        <w:spacing w:after="0" w:line="256"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Expansion Airspace </w:t>
      </w:r>
      <w:r>
        <w:rPr>
          <w:rFonts w:ascii="Arial" w:cs="Arial" w:eastAsia="Arial" w:hAnsi="Arial"/>
          <w:sz w:val="18"/>
          <w:szCs w:val="18"/>
          <w:color w:val="auto"/>
        </w:rPr>
        <w:t>— We also include currently unpermitted expansion airspace in our estimate of remaining permitted and expansion airspace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circumstances. First, to include airspace associated with an expansion effort, we must generally expect the initial expansion permit application to be submitted within one year, and the final expansion permit to be received within five years. Second, we must believe the success of obtaining the expansion permit is likely, considering the following criteria:</w:t>
      </w:r>
    </w:p>
    <w:p>
      <w:pPr>
        <w:spacing w:after="0" w:line="62" w:lineRule="exact"/>
        <w:rPr>
          <w:rFonts w:ascii="Arial" w:cs="Arial" w:eastAsia="Arial" w:hAnsi="Arial"/>
          <w:sz w:val="18"/>
          <w:szCs w:val="18"/>
          <w:color w:val="auto"/>
        </w:rPr>
      </w:pPr>
    </w:p>
    <w:p>
      <w:pPr>
        <w:ind w:left="920" w:hanging="237"/>
        <w:spacing w:after="0"/>
        <w:tabs>
          <w:tab w:leader="none" w:pos="9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Personnel are actively working on the expansion of an existing landfill, including efforts to obtain land use and local, state or provincial approvals;</w:t>
      </w:r>
    </w:p>
    <w:p>
      <w:pPr>
        <w:spacing w:after="0" w:line="113" w:lineRule="exact"/>
        <w:rPr>
          <w:rFonts w:ascii="Arial" w:cs="Arial" w:eastAsia="Arial" w:hAnsi="Arial"/>
          <w:sz w:val="16"/>
          <w:szCs w:val="16"/>
          <w:color w:val="auto"/>
        </w:rPr>
      </w:pPr>
    </w:p>
    <w:p>
      <w:pPr>
        <w:ind w:left="920" w:right="20" w:hanging="237"/>
        <w:spacing w:after="0" w:line="268" w:lineRule="auto"/>
        <w:tabs>
          <w:tab w:leader="none" w:pos="9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It is likely that the approvals will be received within the normal application and processing time periods for approvals in the jurisdiction in which the landfill is located;</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90" w:lineRule="exact"/>
        <w:rPr>
          <w:rFonts w:ascii="Arial" w:cs="Arial" w:eastAsia="Arial" w:hAnsi="Arial"/>
          <w:sz w:val="18"/>
          <w:szCs w:val="18"/>
          <w:color w:val="auto"/>
        </w:rPr>
      </w:pPr>
    </w:p>
    <w:p>
      <w:pPr>
        <w:ind w:left="920" w:right="140" w:hanging="237"/>
        <w:spacing w:after="0" w:line="268" w:lineRule="auto"/>
        <w:tabs>
          <w:tab w:leader="none" w:pos="9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impair the success of such expansion;</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Financial analysis has been completed, and the results demonstrate that the expansion has a positive financial and operational impact; and</w:t>
      </w:r>
    </w:p>
    <w:p>
      <w:pPr>
        <w:spacing w:after="0" w:line="113" w:lineRule="exact"/>
        <w:rPr>
          <w:rFonts w:ascii="Arial" w:cs="Arial" w:eastAsia="Arial" w:hAnsi="Arial"/>
          <w:sz w:val="16"/>
          <w:szCs w:val="16"/>
          <w:color w:val="auto"/>
        </w:rPr>
      </w:pPr>
    </w:p>
    <w:p>
      <w:pPr>
        <w:ind w:left="920" w:hanging="237"/>
        <w:spacing w:after="0"/>
        <w:tabs>
          <w:tab w:leader="none" w:pos="9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Airspace and related costs, including additional closure and post-closure costs, have been estimated based on conceptual design.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principal financial officer and a review by the Audit Committee of our Board of Directors on a quarterly basis. Of the 33 landfill sites with expansions at December 31, 2011, 11 landfills required the principal financial officer to approve the inclusion of the unpermitted airspace. Seven of these landfills required approval by our principal financial officer because of community or political opposition that could impede the expansion process. The remaining four landfills required approval primarily due to local zoning restrictions or because the permit application processes do not meet the one- or five-year requirements.</w:t>
      </w:r>
    </w:p>
    <w:p>
      <w:pPr>
        <w:spacing w:after="0" w:line="2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5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Once the remaining permitted and expansion airspace is determined in cubic yards, an airspace utilization factor, 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3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subject to an array of laws and regulations relating to the protection of the environment. Under current laws and regulations, we may have liabilities for environmental damage caused by operations, or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damage caused by conditions that existed before we acquired a site. These liabilities include potentially responsible party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35" w:lineRule="exact"/>
        <w:rPr>
          <w:sz w:val="20"/>
          <w:szCs w:val="20"/>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number, financial resources and relative degree of responsibility of other PRPs who may be liable for remediation of a specific site; and</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investigation of the extent of environmental impact and identification of likely site-remediation alternatives. In these cases, we use the amount within a range that constitutes our best estimate. If no amount within the range appears to be a better estimate than any other, we use the amount that is the low end of such range. If we used the high ends of such ranges, our aggregate potential liability would be approximately $150 million higher than the $273 million recorded in the Consolidated Financial Statements as of December 31, 2011.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Where we believe that both the amount of a particular environmental remediation liability and the timing of the payments are reliably determinable, we inflate the cost in current dollars (by 2.5% at December 31, 2011 and 2010) until the expected time of payment and discount the cost to present value using a risk-free discount rate, which is based on the rate for United States Treasury bonds with a term approximating the weighted average period until settlement of the underlying obligation. We determine the risk-free discount rate and the inflation rate on an annual basis unless interim changes would significantly impact our results of operations. For remedial liabilities that have been discounted, we include interest accretion, based on the effective interest method, in “Operating” costs and expenses in our Consolidated Statements of Operations. The following table summarizes the impacts of revisions in the risk-free discount rate applied to our environmental remediation liabilities and recovery assets during the reported periods (in millions) and the risk-free discount rate applied as of each reporting date:</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5"/>
              </w:rPr>
              <w:t>Years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58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7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Charge (reduction) to Operating expenses(a)</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(35)</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7580" w:type="dxa"/>
            <w:vAlign w:val="bottom"/>
          </w:tcPr>
          <w:p>
            <w:pPr>
              <w:spacing w:after="0"/>
              <w:rPr>
                <w:sz w:val="20"/>
                <w:szCs w:val="20"/>
                <w:color w:val="auto"/>
              </w:rPr>
            </w:pPr>
            <w:r>
              <w:rPr>
                <w:rFonts w:ascii="Arial" w:cs="Arial" w:eastAsia="Arial" w:hAnsi="Arial"/>
                <w:sz w:val="18"/>
                <w:szCs w:val="18"/>
                <w:color w:val="auto"/>
              </w:rPr>
              <w:t>Risk-free discount rate applied to environmental remediation liabilities and recovery assets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660" w:type="dxa"/>
            <w:vAlign w:val="bottom"/>
            <w:gridSpan w:val="3"/>
          </w:tcPr>
          <w:p>
            <w:pPr>
              <w:jc w:val="right"/>
              <w:ind w:right="520"/>
              <w:spacing w:after="0"/>
              <w:rPr>
                <w:sz w:val="20"/>
                <w:szCs w:val="20"/>
                <w:color w:val="auto"/>
              </w:rPr>
            </w:pPr>
            <w:r>
              <w:rPr>
                <w:rFonts w:ascii="Arial" w:cs="Arial" w:eastAsia="Arial" w:hAnsi="Arial"/>
                <w:sz w:val="18"/>
                <w:szCs w:val="18"/>
                <w:color w:val="auto"/>
              </w:rPr>
              <w:t>3.50%</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2009, $9 million of the reduction in “Operating” expenses was attributable to noncontrolling interests.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portion of our recorded environmental remediation liabilities that has never been subject to inflation or discounting, as the amounts and timing of payments are not readily determinable, was $48 million at December 31, 2011 and $81 million at December 31, 2010. Had we not inflated and discounted any portion of our environmental remediation liability, the amount recorded would have decreased by $8 million at December 31, 2011 and increased by $15 million at December 31, 2010.</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 (exclusive of landfills, discussed above)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useful lives for significant property and equipment categories are as follows (in years):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Useful Lives</w:t>
            </w:r>
          </w:p>
        </w:tc>
      </w:tr>
      <w:tr>
        <w:trPr>
          <w:trHeight w:val="210"/>
        </w:trPr>
        <w:tc>
          <w:tcPr>
            <w:tcW w:w="9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Vehicles — excluding rail haul cars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to 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Vehicles — rail haul cars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 to 20</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 including containers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to 30</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Buildings and improvements — excluding waste-to-energy facilities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 to 40</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Waste-to-energy facilities and related equipment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up to 50</w:t>
            </w:r>
          </w:p>
        </w:tc>
      </w:tr>
      <w:tr>
        <w:trPr>
          <w:trHeight w:val="222"/>
        </w:trPr>
        <w:tc>
          <w:tcPr>
            <w:tcW w:w="970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 to 10</w:t>
            </w:r>
          </w:p>
        </w:tc>
      </w:tr>
    </w:tbl>
    <w:p>
      <w:pPr>
        <w:spacing w:after="0" w:line="6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include capitalized costs associated with developing or obtaining internal-use software within furniture, fixtures and office equipment. These costs include direct external costs of materials and services used in developing or obtaining the software and internal costs for employees directly associated with the software development project. As of December 31, 2011, capitalized costs for software placed in service, net of accumulated depreciation, were $112 million. In addition, our furniture, fixtures and office equipment includes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$27 million as of December 31, 2011 and $51 million as of December 31, 2010 for costs incurred for software under development.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lease property and equipment in the ordinary course of our business. Our most significant lease obligations are for property and equipment specific to our industry, including real property operated as a landfill, transfer station or waste-to-energy facility. Our leases have varying terms. Some may include renewal or purchase options, escalation clauses, restrictions, penalties or other obligations that we consider in determining minimum lease payments. The leases are classified as either operating leases or capital leases, as appropriate.</w:t>
      </w:r>
    </w:p>
    <w:p>
      <w:pPr>
        <w:spacing w:after="0" w:line="62"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i w:val="1"/>
          <w:iCs w:val="1"/>
          <w:color w:val="auto"/>
        </w:rPr>
        <w:t xml:space="preserve">Operating Leases (excluding landfills discussed below) </w:t>
      </w:r>
      <w:r>
        <w:rPr>
          <w:rFonts w:ascii="Arial" w:cs="Arial" w:eastAsia="Arial" w:hAnsi="Arial"/>
          <w:sz w:val="15"/>
          <w:szCs w:val="15"/>
          <w:color w:val="auto"/>
        </w:rPr>
        <w:t>— The majority of our leases are operating leases. This classification generally can be attributed to</w:t>
      </w:r>
      <w:r>
        <w:rPr>
          <w:rFonts w:ascii="Arial" w:cs="Arial" w:eastAsia="Arial" w:hAnsi="Arial"/>
          <w:sz w:val="15"/>
          <w:szCs w:val="15"/>
          <w:i w:val="1"/>
          <w:iCs w:val="1"/>
          <w:color w:val="auto"/>
        </w:rPr>
        <w:t xml:space="preserve"> </w:t>
      </w:r>
      <w:r>
        <w:rPr>
          <w:rFonts w:ascii="Arial" w:cs="Arial" w:eastAsia="Arial" w:hAnsi="Arial"/>
          <w:sz w:val="15"/>
          <w:szCs w:val="15"/>
          <w:color w:val="auto"/>
        </w:rPr>
        <w:t>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 Our rent expense during each of the last three years and our future minimum operating lease payments for each of the next five years for which we are contractually obligated as of December 31, 2011 are disclosed in Note 11.</w:t>
      </w:r>
    </w:p>
    <w:p>
      <w:pPr>
        <w:spacing w:after="0" w:line="1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t>
      </w:r>
      <w:r>
        <w:rPr>
          <w:rFonts w:ascii="Arial" w:cs="Arial" w:eastAsia="Arial" w:hAnsi="Arial"/>
          <w:sz w:val="18"/>
          <w:szCs w:val="18"/>
          <w:i w:val="1"/>
          <w:iCs w:val="1"/>
          <w:color w:val="auto"/>
        </w:rPr>
        <w:t xml:space="preserve">excluding landfills discussed below) </w:t>
      </w:r>
      <w:r>
        <w:rPr>
          <w:rFonts w:ascii="Arial" w:cs="Arial" w:eastAsia="Arial" w:hAnsi="Arial"/>
          <w:sz w:val="18"/>
          <w:szCs w:val="18"/>
          <w:color w:val="auto"/>
        </w:rPr>
        <w:t>— Assets under capital leases are capitalized using interest rates determined at the inception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lease and are amortized over either the useful life of the asset or the lease term, as appropriate, on a straight-line basis. The present value of the related lease payments is recorded as a debt obligation. Our future minimum annual capital lease payments are included in our total future debt obligations as disclosed in Note 7.</w:t>
      </w:r>
    </w:p>
    <w:p>
      <w:pPr>
        <w:spacing w:after="0" w:line="6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Landfill Leases </w:t>
      </w:r>
      <w:r>
        <w:rPr>
          <w:rFonts w:ascii="Arial" w:cs="Arial" w:eastAsia="Arial" w:hAnsi="Arial"/>
          <w:sz w:val="16"/>
          <w:szCs w:val="16"/>
          <w:color w:val="auto"/>
        </w:rPr>
        <w:t>— From an operating perspective, landfills that we lease are similar to landfills we own because generally we own the landfill’s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permit and will operate the landfill for the entire lease term, which in many cases is the life of the landfill. As a result, our landfill leases are generally capital leases. The most significant portion of our rental obligations for landfill leases is contingent upon operating factors such as disposal volumes and often there are no contractual minimum rental obligations. Contingent rental obligations are expensed as incurred. For landfill capital leases that provide for minimum contractual rental obligations, we record the present value of the minimum obligation as part of the landfill asset, which is amortized on a units-of-consumption basis over the shorter of the lease term or the life of the landfill.</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generally recognize assets acquired and liabilities assumed in business combinations, including contingent assets and liabilities, based on fair value estimates as of the date of acquisition.</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Contingent Consideration — </w:t>
      </w:r>
      <w:r>
        <w:rPr>
          <w:rFonts w:ascii="Arial" w:cs="Arial" w:eastAsia="Arial" w:hAnsi="Arial"/>
          <w:sz w:val="18"/>
          <w:szCs w:val="18"/>
          <w:color w:val="auto"/>
        </w:rPr>
        <w:t>In certain acquisitions, we agree to pay additional amounts to sellers contingent upon achievement by the acquired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negotiated goals, such as targeted revenue levels, targeted disposal volumes or the issuance of permits for expanded landfill airspace. For acquisitions completed beginning in 2009, we have recognized liabilities for these contingent obligations based on their estimated fair value at the date of acquisition with any differences between the acquisition-date fair value and the ultimate settlement of the obligations being recognized as an adjustment to income from operations. For acquisitions completed before 2009, these obligations were recognized as incurred and accounted for as an adjustment to the initial purchase price of the acquired assets.</w:t>
      </w:r>
    </w:p>
    <w:p>
      <w:pPr>
        <w:spacing w:after="0" w:line="6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 xml:space="preserve">Acquired Assets and Assumed Liabilities — </w:t>
      </w:r>
      <w:r>
        <w:rPr>
          <w:rFonts w:ascii="Arial" w:cs="Arial" w:eastAsia="Arial" w:hAnsi="Arial"/>
          <w:sz w:val="16"/>
          <w:szCs w:val="16"/>
          <w:color w:val="auto"/>
        </w:rPr>
        <w:t>Assets and liabilities arising from contingencies such as pre-acquisition environmental matters and litigation</w:t>
      </w:r>
      <w:r>
        <w:rPr>
          <w:rFonts w:ascii="Arial" w:cs="Arial" w:eastAsia="Arial" w:hAnsi="Arial"/>
          <w:sz w:val="16"/>
          <w:szCs w:val="16"/>
          <w:i w:val="1"/>
          <w:iCs w:val="1"/>
          <w:color w:val="auto"/>
        </w:rPr>
        <w:t xml:space="preserve"> </w:t>
      </w:r>
      <w:r>
        <w:rPr>
          <w:rFonts w:ascii="Arial" w:cs="Arial" w:eastAsia="Arial" w:hAnsi="Arial"/>
          <w:sz w:val="16"/>
          <w:szCs w:val="16"/>
          <w:color w:val="auto"/>
        </w:rPr>
        <w:t>are recognized at their acquisition-date fair value when their respective fair values can be determined. If the fair values of such contingencies cannot be determined, they are recognized at the acquisition date if the contingencies are probable and an amount can be reasonably estimated.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Acquisition-date fair value estimates are revised as necessary and accounted for as an adjustment to income from operations if, and when, additional information regarding these contingencies becomes available to further define and quantify assets acquired and liabilities assumed. Beginning in 2009, all acquisition-related transaction costs have been expensed as incurred. For acquisitions completed before 2009, direct costs incurred for a business combination were accounted for as part of the cost of the acquired business.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Goodwill is the excess of our purchase cost over the fair value of the net assets of acquired businesses. We do not amortize goodwill, but as discussed in the “Asset Impairments” section below, we assess our goodwill for impairment at least annually.</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Other intangible assets consist primarily of customer contracts, customer lists, covenants not-to-compete, licenses, permits (other than landfill permits, as all landfill-related intangible assets are combined with landfill tangible assets and amortized using our landfill amortization policy), and other contracts. Other intangible assets are recorded at cost and are generally amortized using either a 150% declining balance approach or a straight-line basis as we determine appropriate. Customer contracts and customer lists are typically amortized over ten years. Covenants not-to-compete are amortized over the term of the non-compete covenant, which is generally two to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monitor the carrying value of our long-lived assets for potential impairment and test the recoverability of such assets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generally determined by considering (i) internally developed discounted projected cash flow analysis of the asset or asset group; (ii) actual third-party valuations; and/or (iii) information available regarding the current market for similar assets. If the fair value of an asset or asset group is determined to be less than the carrying amount of the asset or asset group, an impairment in the amount of the difference is recorded in the period that the impairment indicator occurs and is included in the “(Income) expense from divestitures, asset impairments and unusual items” line item in our Consolidated Statement of Operations. Estimating future cash flows requires significant judgment and projections may vary from the cash flows eventually realized, which could impact our ability to accurately assess whether an asset has been impaired.</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additional considerations for impairments of landfills, goodwill and other indefinite-lived intangible assets, as described below.</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Landfills </w:t>
      </w:r>
      <w:r>
        <w:rPr>
          <w:rFonts w:ascii="Arial" w:cs="Arial" w:eastAsia="Arial" w:hAnsi="Arial"/>
          <w:sz w:val="16"/>
          <w:szCs w:val="16"/>
          <w:color w:val="auto"/>
        </w:rPr>
        <w:t>— The assessment of impairment indicators and the recoverability of our capitalized costs associated with landfills and related expansion projects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 At December 31, 2011, three of our landfill sites in two jurisdictions in the Company’s Midwest Group, for which we believe receipt of expansion permits is probable, had ceased accepting waste. The net recorded capitalized landfill asset cost for these three sites was $469 million at December 31, 2011. We performed tests of recoverability for these landfills and the undiscounted cash flows resulting from our probability-weighted estimation approach significantly exceeded the carrying values of each of these three sites.</w:t>
      </w:r>
    </w:p>
    <w:p>
      <w:pPr>
        <w:spacing w:after="0" w:line="3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Goodwill and Other Indefinite-Lived Intangible Assets </w:t>
      </w:r>
      <w:r>
        <w:rPr>
          <w:rFonts w:ascii="Arial" w:cs="Arial" w:eastAsia="Arial" w:hAnsi="Arial"/>
          <w:sz w:val="18"/>
          <w:szCs w:val="18"/>
          <w:color w:val="auto"/>
        </w:rPr>
        <w:t>— At least annually, and more frequently if warranted, we assess our goodwill and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for impairment.</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assess whether a goodwill impairment exists using both qualitative and quantitative assessments. Our qualitative assessment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a goodwill impairment exists at the reporting unit. The first step in our quantitative assessment identifies potential impairments by comparing the estimated fair value of each reporting unit to its carrying value, including goodwill. If the carrying value exceeds estimated fair value, there is an indication of potential impairment and the second step is performed to measure the amount of impairment. Fair value is typically estimated using an income approach or a combination of the income approach and market approach when applicable. The income approach is based on the long-term projected future cash flows of our reporting units. We discount the estimated cash flows to present value using a weighted-average cost of capital that considers factors such as market assumptions, the timing of the cash flows and the risks inherent in those cash flows. We believe that this approach is appropriate because it provides a fair value estimate based upon our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cash flows. We then apply that multiple to our reporting units’ cash flows to estimate their fair values. We believe that this approach is appropriate because it provides a fair value estimate using valuation inputs from entities with operations and economic characteristics comparable to our reporting units.</w:t>
      </w:r>
    </w:p>
    <w:p>
      <w:pPr>
        <w:spacing w:after="0" w:line="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Fair value computed by these two methods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these two methods provide a reasonable approach to estimating the fair value of our reporting units.</w:t>
      </w:r>
    </w:p>
    <w:p>
      <w:pPr>
        <w:spacing w:after="0" w:line="2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assess whether other indefinite-lived intangible asset impairments exist by comparing the fair value of the asset with its carrying value. Fair value is typically estimated using an income approach for the respective asset, as described above. If the carrying value exceeds estimated fair value, an impairment would be recognized in the amount of the excess.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6 for additional information related to goodwill impairment considerations made during the reported periods.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Trust and Escrow Accounts</w:t>
      </w:r>
    </w:p>
    <w:p>
      <w:pPr>
        <w:spacing w:after="0" w:line="9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As of December 31, 2011, our restricted trust and escrow accounts consist principally of (i) funds deposited for purposes of settling landfill final capping, closure, post-closure and environmental remediation obligations; and (ii) funds received from the issuance of tax-exempt bonds held in trust for the construction of various projects or facilities. As of December 31, 2011 and 2010, we had $152 million and $146 million, respectively, of restricted trust and escrow accounts, which are primarily included in long-term “Other assets” in our Consolidated Balance Sheets.</w:t>
      </w:r>
    </w:p>
    <w:p>
      <w:pPr>
        <w:spacing w:after="0" w:line="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Final Capping, Closure, Post-Closure and Environmental Remediation Funds </w:t>
      </w:r>
      <w:r>
        <w:rPr>
          <w:rFonts w:ascii="Arial" w:cs="Arial" w:eastAsia="Arial" w:hAnsi="Arial"/>
          <w:sz w:val="16"/>
          <w:szCs w:val="16"/>
          <w:color w:val="auto"/>
        </w:rPr>
        <w:t>— At several of our landfills, we provide financial assurance by depositing</w:t>
      </w:r>
      <w:r>
        <w:rPr>
          <w:rFonts w:ascii="Arial" w:cs="Arial" w:eastAsia="Arial" w:hAnsi="Arial"/>
          <w:sz w:val="16"/>
          <w:szCs w:val="16"/>
          <w:i w:val="1"/>
          <w:iCs w:val="1"/>
          <w:color w:val="auto"/>
        </w:rPr>
        <w:t xml:space="preserve"> </w:t>
      </w:r>
      <w:r>
        <w:rPr>
          <w:rFonts w:ascii="Arial" w:cs="Arial" w:eastAsia="Arial" w:hAnsi="Arial"/>
          <w:sz w:val="16"/>
          <w:szCs w:val="16"/>
          <w:color w:val="auto"/>
        </w:rPr>
        <w:t>cash into restricted trust funds or escrow accounts for purposes of settling final capping, closure, post-closure and environmental remediation obligations. Balances maintained in these trust funds and escrow accounts will fluctuate based on (i) changes in statutory requirements; (ii) future deposits made to comply with contractual arrangements; (iii) the ongoing use of funds for qualifying final capping, closure, post-closure and environmental remediation activities; (iv) acquisitions or divestitures of landfills; and (v) changes in the fair value of the financial instruments held in the trust fund or escrow accounts.</w:t>
      </w:r>
    </w:p>
    <w:p>
      <w:pPr>
        <w:spacing w:after="0" w:line="3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i w:val="1"/>
          <w:iCs w:val="1"/>
          <w:color w:val="auto"/>
        </w:rPr>
        <w:t xml:space="preserve">Tax-Exempt Bond Funds </w:t>
      </w:r>
      <w:r>
        <w:rPr>
          <w:rFonts w:ascii="Arial" w:cs="Arial" w:eastAsia="Arial" w:hAnsi="Arial"/>
          <w:sz w:val="15"/>
          <w:szCs w:val="15"/>
          <w:color w:val="auto"/>
        </w:rPr>
        <w:t>— We obtain funds from the issuance of industrial revenue bonds for the construction of disposal facilities and for equipment</w:t>
      </w:r>
      <w:r>
        <w:rPr>
          <w:rFonts w:ascii="Arial" w:cs="Arial" w:eastAsia="Arial" w:hAnsi="Arial"/>
          <w:sz w:val="15"/>
          <w:szCs w:val="15"/>
          <w:i w:val="1"/>
          <w:iCs w:val="1"/>
          <w:color w:val="auto"/>
        </w:rPr>
        <w:t xml:space="preserve"> </w:t>
      </w:r>
      <w:r>
        <w:rPr>
          <w:rFonts w:ascii="Arial" w:cs="Arial" w:eastAsia="Arial" w:hAnsi="Arial"/>
          <w:sz w:val="15"/>
          <w:szCs w:val="15"/>
          <w:color w:val="auto"/>
        </w:rPr>
        <w:t>necessary to provide waste management services. Proceeds from these arrangements are directly deposited into trust accounts, and we do not have the ability to use the funds in regular operating activities. Accordingly, these borrowings are treated as non-cash financing activities and are excluded from our Consolidated Statements of Cash Flows. As our construction and equipment expenditures are documented and approved by the applicable bond trustee, the funds are released and we receive a cash reimbursement. These cash reimbursements are reported in the Consolidated Statements of Cash Flows as an investing activity when the cash is released from the trust funds. Generally, the funds are fully expended within a few years of the debt issuance. When the debt matures, we repay our obligation with cash on hand and the debt repayments are included as a financing activity in the Consolidated Statements of Cash Flows.</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Investments in unconsolidated entities over which the Company has significant influence are accounted for under the equity method of accounting. Investments in affiliates in which the Company does not have the ability to exert significant influence over the investees’ operating and financing activities are accounted for under the cost method of accounting. The majority of our investments are accounted for under the equity method.</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operations in Canada and investments in China and the United Kingdom. The functional currency of our Canadian subsidiaries is Canadian dollars. The assets and liabilities of our foreign operations are translated to U.S. dollars using the exchange rate at the balance sheet date. Revenues and expenses are translated to U.S. dollars using the average exchange rate during the period. The resulting translation difference is reflected as a component of comprehensive income. The foreign currency exposure associated with our investments has not been material.</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primarily use derivative financial instruments to manage our risk associated with fluctuations in interest rates, foreign currency exchange rates and market prices for electricity. We use interest rate swaps to maintain a strategic portion of our long-term debt obligations at variable, market-driven interest rates. In 2009, we entered into interest rate derivatives in anticipation of senior note issuances planned for 2010 through 2014 to effectively lock in a fixed interest rate for those anticipated issuances. Foreign currency exchange rate derivatives are used to hedge our exposure to changes in exchange rates for anticipated cash transactions between Waste Management Holdings, Inc., a wholly-owned subsidiary (“WM Holdings”), and its Canadian subsidiaries. We use electricity</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commodity derivatives to mitigate the variability in our revenues and cash flows caused by fluctuations in the market prices for electricity.</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obtain current valuations of our interest rate, foreign currency and electricity commodity hedging instruments from third-party pricing models. The estimated fair values of derivatives used to hedge risks fluctuate over time and should be viewed in relation to the underlying hedged transaction and the overall management of our exposure to fluctuations in the underlying risks. The fair value of derivatives is included in other current assets, other long-term assets, accrued liabilities or other long-term liabilities, as appropriate. Any ineffectiveness present in either fair value or cash flow hedges is recognized immediately in earnings without offset. There was no significant ineffectiveness in 2011, 2010 or 2009.</w:t>
      </w:r>
    </w:p>
    <w:p>
      <w:pPr>
        <w:spacing w:after="0" w:line="35" w:lineRule="exact"/>
        <w:rPr>
          <w:sz w:val="20"/>
          <w:szCs w:val="20"/>
          <w:color w:val="auto"/>
        </w:rPr>
      </w:pPr>
    </w:p>
    <w:p>
      <w:pPr>
        <w:ind w:left="700" w:hanging="246"/>
        <w:spacing w:after="0" w:line="289" w:lineRule="auto"/>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Interest Rate Derivatives </w:t>
      </w:r>
      <w:r>
        <w:rPr>
          <w:rFonts w:ascii="Arial" w:cs="Arial" w:eastAsia="Arial" w:hAnsi="Arial"/>
          <w:sz w:val="16"/>
          <w:szCs w:val="16"/>
          <w:color w:val="auto"/>
        </w:rPr>
        <w:t>— Our “receive fixed, pay variable” interest rate swaps associated with outstanding fixed-rate senior notes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designated as fair value hedges for accounting purposes. Accordingly, derivative assets are accounted for as an increase in the carrying value of our underlying debt obligations and derivative liabilities are accounted for as a decrease in the carrying value of our underlying debt instruments. These fair value adjustments are deferred and recognized as an adjustment to interest expense over the remaining term of the hedged instruments. Treasury locks and forward-starting swaps executed in 2009 were designated as cash flow hedges for accounting purposes. Unrealized changes in the fair value of these derivative instruments are recorded in “Accumulated other comprehensive income” within the equity section of our Consolidated Balance Sheets. The associated balance in other comprehensive income is reclassified to earnings as the hedged cash flows occur. The impacts of our use of interest rate derivatives on the carrying value of our debt, accumulated other comprehensive income and interest expense are discussed in Note 8.</w:t>
      </w:r>
    </w:p>
    <w:p>
      <w:pPr>
        <w:spacing w:after="0" w:line="37" w:lineRule="exact"/>
        <w:rPr>
          <w:rFonts w:ascii="Arial" w:cs="Arial" w:eastAsia="Arial" w:hAnsi="Arial"/>
          <w:sz w:val="16"/>
          <w:szCs w:val="16"/>
          <w:color w:val="auto"/>
        </w:rPr>
      </w:pPr>
    </w:p>
    <w:p>
      <w:pPr>
        <w:ind w:left="700" w:right="100" w:hanging="246"/>
        <w:spacing w:after="0" w:line="254"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Derivatives </w:t>
      </w:r>
      <w:r>
        <w:rPr>
          <w:rFonts w:ascii="Arial" w:cs="Arial" w:eastAsia="Arial" w:hAnsi="Arial"/>
          <w:sz w:val="18"/>
          <w:szCs w:val="18"/>
          <w:color w:val="auto"/>
        </w:rPr>
        <w:t>— Our foreign currency derivatives have been designated as cash flow hedges for accounting purposes, which results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unrealized changes in the fair value of the derivative instruments being recorded in “Accumulated other comprehensive income” within the equity section of our Consolidated Balance Sheets. The associated balance in other comprehensive income is reclassified to earnings as the hedged cash flows affect earnings. In each of the periods presented, these derivatives have effectively mitigated the impacts of the hedged transactions, resulting in immaterial impacts to our results of operations for the periods presented. The financial statement impacts of our foreign currency derivatives are discussed in Note 8.</w:t>
      </w:r>
    </w:p>
    <w:p>
      <w:pPr>
        <w:spacing w:after="0" w:line="63" w:lineRule="exact"/>
        <w:rPr>
          <w:rFonts w:ascii="Arial" w:cs="Arial" w:eastAsia="Arial" w:hAnsi="Arial"/>
          <w:sz w:val="18"/>
          <w:szCs w:val="18"/>
          <w:color w:val="auto"/>
        </w:rPr>
      </w:pPr>
    </w:p>
    <w:p>
      <w:pPr>
        <w:ind w:left="700" w:right="40" w:hanging="246"/>
        <w:spacing w:after="0" w:line="298" w:lineRule="auto"/>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Electricity Commodity Derivatives </w:t>
      </w:r>
      <w:r>
        <w:rPr>
          <w:rFonts w:ascii="Arial" w:cs="Arial" w:eastAsia="Arial" w:hAnsi="Arial"/>
          <w:sz w:val="16"/>
          <w:szCs w:val="16"/>
          <w:color w:val="auto"/>
        </w:rPr>
        <w:t>— Our “receive fixed, pay variable” electricity commodity swaps have been designated as cash flow hedges for</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purposes. The effective portion of the electricity commodity swap gains or losses is initially reported as a component of “Accumulated other comprehensive income” within the equity section of our Consolidated Balance Sheets and subsequently reclassified into earnings when the forecasted transactions affect earnings. The financial statement impacts of our electricity commodity derivatives are discussed in Note 8.</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Insured and Self-Insured Claims</w:t>
      </w:r>
    </w:p>
    <w:p>
      <w:pPr>
        <w:spacing w:after="0" w:line="90" w:lineRule="exact"/>
        <w:rPr>
          <w:sz w:val="20"/>
          <w:szCs w:val="20"/>
          <w:color w:val="auto"/>
        </w:rPr>
      </w:pPr>
    </w:p>
    <w:p>
      <w:pPr>
        <w:ind w:right="520" w:firstLine="456"/>
        <w:spacing w:after="0" w:line="291" w:lineRule="auto"/>
        <w:rPr>
          <w:sz w:val="20"/>
          <w:szCs w:val="20"/>
          <w:color w:val="auto"/>
        </w:rPr>
      </w:pPr>
      <w:r>
        <w:rPr>
          <w:rFonts w:ascii="Arial" w:cs="Arial" w:eastAsia="Arial" w:hAnsi="Arial"/>
          <w:sz w:val="16"/>
          <w:szCs w:val="16"/>
          <w:color w:val="auto"/>
        </w:rPr>
        <w:t>We have retained a significant portion of the risks related to our health and welfare, automobile, general liability and workers’ compensation claims programs. The exposure for unpaid claims and associated expenses, including incurred but not reported losses, generally is estimated with the assistance of external actuaries and by factoring in pending claims and historical trends and data. The gross estimated liability associated with settling unpaid claims is included in “Accrued liabilities” in our Consolidated Balance Sheets if expected to be settled within one year, or otherwise is included in long-term “Other liabilities.” Estimated insurance recoveries related to recorded liabilities are reflected as current “Other receivables” or long-term “Other assets” in our Consolidated Balance Sheets when we believe that the receipt of such amounts is probable.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revenues are generated from the fees we charge for waste collection, transfer, disposal and recycling services; from the sale of electricity, steam, and landfill gas, which are byproducts of our waste-to-energy and landfill operations; and from the sale of recyclable commodities, oil and gas and organic lawn and garden products. The fees charged for our services are generally defined in our service agreements and vary based on contract-specific terms such as frequency of service, weight, volume and the general market factors influencing a region’s rates. The fees we charge for our services generally include fuel surcharges, which are intended to pass through to customers increased direct and indirect costs incurred because of changes in market prices for fuel. We generally recognize revenue as services are performed or products are delivered. For example, revenue typically is recognized as waste is collected, tons are received at our landfills or transfer stations, recycling commodities are delivered or as kilowatts are delivered to a customer by a waste-to-energy facility or independent power production plant.</w:t>
      </w:r>
    </w:p>
    <w:p>
      <w:pPr>
        <w:spacing w:after="0" w:line="3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Tangible product revenues primarily include the sale of recyclable commodities at our material recovery facilities and through our recycling brokerage services and, to a lesser extent, sales of oil and gas and organic lawn and garden products.</w:t>
      </w:r>
    </w:p>
    <w:p>
      <w:pPr>
        <w:spacing w:after="0" w:line="5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bill for certain services prior to performance. Such services include, among others, certain residential contracts that are billed on a quarterly basis and equipment rentals. These advance billings are included in deferred revenues and recognized as revenue in the period service is provided.</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capitalize interest on certain projects under development, including internal-use software and landfill expansion projects, and on certain assets under construction, including operating landfills, landfill gas-to-energy projects and waste-to-energy facilities. During 2011, 2010 and 2009, total interest costs were $503 million, $490 million and $443 million, respectively, of which $22 million was capitalized in 2011 and $17 million was capitalized in both 2010 and 2009. In 2011 and 2010, interest was capitalized primarily for landfill construction costs and landfill gas-to-energy construction projects. The interest capitalized in 2009 was primarily for landfill construction costs.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is subject to income tax in the United States, Canada and Puerto Rico. Current tax obligations associated with our provision for income taxes are reflected in the accompanying Consolidated Balance Sheets as a component of “Accrued liabilities,” and the deferred tax obligations are reflected in “Deferred income taxes.”</w:t>
      </w:r>
    </w:p>
    <w:p>
      <w:pPr>
        <w:spacing w:after="0" w:line="59" w:lineRule="exact"/>
        <w:rPr>
          <w:sz w:val="20"/>
          <w:szCs w:val="20"/>
          <w:color w:val="auto"/>
        </w:rPr>
      </w:pPr>
    </w:p>
    <w:p>
      <w:pPr>
        <w:jc w:val="both"/>
        <w:ind w:right="80" w:firstLine="456"/>
        <w:spacing w:after="0" w:line="314" w:lineRule="auto"/>
        <w:rPr>
          <w:sz w:val="20"/>
          <w:szCs w:val="20"/>
          <w:color w:val="auto"/>
        </w:rPr>
      </w:pPr>
      <w:r>
        <w:rPr>
          <w:rFonts w:ascii="Arial" w:cs="Arial" w:eastAsia="Arial" w:hAnsi="Arial"/>
          <w:sz w:val="15"/>
          <w:szCs w:val="15"/>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Significant judgment is required in assessing the timing and amounts of deductible and taxable items. We establish reserves for uncertain tax positions when, despite our belief that our tax return positions are fully supportable, we believe that certain positions may be challenged and potentially disallowed. When facts and circumstances change, we adjust these reserves through our provision for income taxes.</w:t>
      </w:r>
    </w:p>
    <w:p>
      <w:pPr>
        <w:spacing w:after="0" w:line="2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To the extent interest and penalties may be assessed by taxing authorities on any underpayment of income tax, such amounts have been accrued and are classified as a component of income tax expense in our Consolidated Statements of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90"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We estimate the amount of potential exposure we may have with respect to claims, assessments and litigation in accordance with accounting principles generally accepted in the United States. We are party to pending or threatened legal 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80" w:type="dxa"/>
            <w:vAlign w:val="bottom"/>
            <w:vMerge w:val="restart"/>
          </w:tcPr>
          <w:p>
            <w:pPr>
              <w:spacing w:after="0"/>
              <w:rPr>
                <w:sz w:val="20"/>
                <w:szCs w:val="20"/>
                <w:color w:val="auto"/>
              </w:rPr>
            </w:pPr>
            <w:r>
              <w:rPr>
                <w:rFonts w:ascii="Arial" w:cs="Arial" w:eastAsia="Arial" w:hAnsi="Arial"/>
                <w:sz w:val="14"/>
                <w:szCs w:val="14"/>
                <w:b w:val="1"/>
                <w:bCs w:val="1"/>
                <w:color w:val="auto"/>
              </w:rPr>
              <w:t>Cash paid during the year (in millions):</w:t>
            </w:r>
          </w:p>
        </w:tc>
        <w:tc>
          <w:tcPr>
            <w:tcW w:w="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960" w:type="dxa"/>
            <w:vAlign w:val="bottom"/>
            <w:gridSpan w:val="2"/>
          </w:tcPr>
          <w:p>
            <w:pPr>
              <w:jc w:val="center"/>
              <w:ind w:left="546"/>
              <w:spacing w:after="0" w:line="142" w:lineRule="exact"/>
              <w:rPr>
                <w:sz w:val="20"/>
                <w:szCs w:val="20"/>
                <w:color w:val="auto"/>
              </w:rPr>
            </w:pPr>
            <w:r>
              <w:rPr>
                <w:rFonts w:ascii="Arial" w:cs="Arial" w:eastAsia="Arial" w:hAnsi="Arial"/>
                <w:sz w:val="14"/>
                <w:szCs w:val="14"/>
                <w:b w:val="1"/>
                <w:bCs w:val="1"/>
                <w:color w:val="auto"/>
                <w:w w:val="83"/>
              </w:rPr>
              <w:t>2010</w:t>
            </w:r>
          </w:p>
        </w:tc>
        <w:tc>
          <w:tcPr>
            <w:tcW w:w="6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7"/>
              </w:rPr>
              <w:t>Interest, net of capitalized interest and periodic settlements from interest rate swap agreements</w:t>
            </w:r>
          </w:p>
        </w:tc>
        <w:tc>
          <w:tcPr>
            <w:tcW w:w="7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$470</w:t>
            </w:r>
          </w:p>
        </w:tc>
        <w:tc>
          <w:tcPr>
            <w:tcW w:w="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$477</w:t>
            </w:r>
          </w:p>
        </w:tc>
        <w:tc>
          <w:tcPr>
            <w:tcW w:w="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80" w:type="dxa"/>
            <w:vAlign w:val="bottom"/>
          </w:tcPr>
          <w:p>
            <w:pPr>
              <w:spacing w:after="0"/>
              <w:rPr>
                <w:sz w:val="20"/>
                <w:szCs w:val="20"/>
                <w:color w:val="auto"/>
              </w:rPr>
            </w:pPr>
            <w:r>
              <w:rPr>
                <w:rFonts w:ascii="Arial" w:cs="Arial" w:eastAsia="Arial" w:hAnsi="Arial"/>
                <w:sz w:val="18"/>
                <w:szCs w:val="18"/>
                <w:color w:val="auto"/>
              </w:rPr>
              <w:t>Income taxes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1560" w:type="dxa"/>
            <w:vAlign w:val="bottom"/>
            <w:gridSpan w:val="3"/>
          </w:tcPr>
          <w:p>
            <w:pPr>
              <w:jc w:val="right"/>
              <w:ind w:right="600"/>
              <w:spacing w:after="0"/>
              <w:rPr>
                <w:sz w:val="20"/>
                <w:szCs w:val="20"/>
                <w:color w:val="auto"/>
              </w:rPr>
            </w:pPr>
            <w:r>
              <w:rPr>
                <w:rFonts w:ascii="Arial" w:cs="Arial" w:eastAsia="Arial" w:hAnsi="Arial"/>
                <w:sz w:val="18"/>
                <w:szCs w:val="18"/>
                <w:color w:val="auto"/>
              </w:rPr>
              <w:t>547</w:t>
            </w:r>
          </w:p>
        </w:tc>
        <w:tc>
          <w:tcPr>
            <w:tcW w:w="36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the years ended December 31, 2011 and 2009, non-cash activities included proceeds from tax-exempt borrowings, net of principal payments made directly from trust funds, of $100 million and $105 million, respectively. During the year ended December 31, 2010, we did not have any tax-exempt borrowings; however, we did have a $215 million non-cash increase in our debt obligations as a result of the issuance of a note payable in return for a noncontrolling interest in a limited liability company established to invest in and manage low-income housing properties. This investment is discussed in detail in Note 9. Non-cash investing and financing activities are excluded from the Consolidated Statements of Cash Flows.</w:t>
      </w:r>
    </w:p>
    <w:p>
      <w:pPr>
        <w:spacing w:after="0" w:line="1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Landfill and Environmental Remediation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Environmental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Environmental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Landfill</w:t>
            </w:r>
          </w:p>
        </w:tc>
        <w:tc>
          <w:tcPr>
            <w:tcW w:w="520" w:type="dxa"/>
            <w:vAlign w:val="bottom"/>
          </w:tcPr>
          <w:p>
            <w:pPr>
              <w:spacing w:after="0"/>
              <w:rPr>
                <w:sz w:val="14"/>
                <w:szCs w:val="14"/>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Remediation</w:t>
            </w:r>
          </w:p>
        </w:tc>
        <w:tc>
          <w:tcPr>
            <w:tcW w:w="100" w:type="dxa"/>
            <w:vAlign w:val="bottom"/>
          </w:tcPr>
          <w:p>
            <w:pPr>
              <w:spacing w:after="0"/>
              <w:rPr>
                <w:sz w:val="14"/>
                <w:szCs w:val="14"/>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Landfill</w:t>
            </w:r>
          </w:p>
        </w:tc>
        <w:tc>
          <w:tcPr>
            <w:tcW w:w="520" w:type="dxa"/>
            <w:vAlign w:val="bottom"/>
          </w:tcPr>
          <w:p>
            <w:pPr>
              <w:spacing w:after="0"/>
              <w:rPr>
                <w:sz w:val="14"/>
                <w:szCs w:val="14"/>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Remediation</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1,169</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1,404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1,292</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1,565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1,266</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vMerge w:val="restart"/>
          </w:tcPr>
          <w:p>
            <w:pPr>
              <w:jc w:val="right"/>
              <w:ind w:right="139"/>
              <w:spacing w:after="0"/>
              <w:rPr>
                <w:sz w:val="20"/>
                <w:szCs w:val="20"/>
                <w:color w:val="auto"/>
              </w:rPr>
            </w:pPr>
            <w:r>
              <w:rPr>
                <w:rFonts w:ascii="Arial" w:cs="Arial" w:eastAsia="Arial" w:hAnsi="Arial"/>
                <w:sz w:val="18"/>
                <w:szCs w:val="18"/>
                <w:color w:val="auto"/>
              </w:rPr>
              <w:t>89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years ended December 31, 2010 and 2011 are reflected in the table below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Landfill</w:t>
            </w:r>
          </w:p>
        </w:tc>
        <w:tc>
          <w:tcPr>
            <w:tcW w:w="4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2009</w:t>
            </w:r>
          </w:p>
        </w:tc>
        <w:tc>
          <w:tcPr>
            <w:tcW w:w="2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$1,267</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Obligations incurred and capitalized</w:t>
            </w:r>
          </w:p>
        </w:tc>
        <w:tc>
          <w:tcPr>
            <w:tcW w:w="3200" w:type="dxa"/>
            <w:vAlign w:val="bottom"/>
            <w:gridSpan w:val="3"/>
          </w:tcPr>
          <w:p>
            <w:pPr>
              <w:jc w:val="right"/>
              <w:ind w:right="520"/>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3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(86)</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Interest accretion</w:t>
            </w:r>
          </w:p>
        </w:tc>
        <w:tc>
          <w:tcPr>
            <w:tcW w:w="3200" w:type="dxa"/>
            <w:vAlign w:val="bottom"/>
            <w:gridSpan w:val="3"/>
          </w:tcPr>
          <w:p>
            <w:pPr>
              <w:jc w:val="right"/>
              <w:ind w:right="520"/>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Revisions in cost estimates and interest rate assumptions(a)(b)</w:t>
            </w:r>
          </w:p>
        </w:tc>
        <w:tc>
          <w:tcPr>
            <w:tcW w:w="3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(49)</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21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2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$1,266</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Obligations incurred and capitalized</w:t>
            </w:r>
          </w:p>
        </w:tc>
        <w:tc>
          <w:tcPr>
            <w:tcW w:w="3200" w:type="dxa"/>
            <w:vAlign w:val="bottom"/>
            <w:gridSpan w:val="3"/>
          </w:tcPr>
          <w:p>
            <w:pPr>
              <w:jc w:val="right"/>
              <w:ind w:right="520"/>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3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Interest accretion</w:t>
            </w:r>
          </w:p>
        </w:tc>
        <w:tc>
          <w:tcPr>
            <w:tcW w:w="3200" w:type="dxa"/>
            <w:vAlign w:val="bottom"/>
            <w:gridSpan w:val="3"/>
          </w:tcPr>
          <w:p>
            <w:pPr>
              <w:jc w:val="right"/>
              <w:ind w:right="520"/>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Revisions in cost estimates and interest rate assumptions(a)(b)</w:t>
            </w:r>
          </w:p>
        </w:tc>
        <w:tc>
          <w:tcPr>
            <w:tcW w:w="3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21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2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1,292</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reported for our landfill liabilities include reductions of approximately $50 million and $30 million for 2010 and 2011, respectively, related to our year-end annual review of final landfill capping, closure and post-closure obligations.</w:t>
      </w:r>
    </w:p>
    <w:p>
      <w:pPr>
        <w:spacing w:after="0" w:line="23" w:lineRule="exact"/>
        <w:rPr>
          <w:rFonts w:ascii="Arial" w:cs="Arial" w:eastAsia="Arial" w:hAnsi="Arial"/>
          <w:sz w:val="18"/>
          <w:szCs w:val="18"/>
          <w:color w:val="auto"/>
        </w:rPr>
      </w:pPr>
    </w:p>
    <w:p>
      <w:pPr>
        <w:ind w:left="460" w:hanging="452"/>
        <w:spacing w:after="0" w:line="292"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amount reported in 2010 for our environmental remediation liabilities includes increased cost estimates associated with environmental remediation obligations, primarily based on a review and evaluation of existing remediation projects. As these remediation projects progressed, more defined plans were developed, resulting in a net increase in the required obligation to reflect the more likely remedies. Additionally, during 2010, the risk-free discount rate used to measure our liabilities decreased from 3.75% at December 31, 2009 to 3.5% at December 31, 2010, resulting in an increase of $5 million to our environmental remediation liabilities and a corresponding increase to “Operating” expenses.</w:t>
      </w:r>
    </w:p>
    <w:p>
      <w:pPr>
        <w:spacing w:after="0" w:line="1" w:lineRule="exact"/>
        <w:rPr>
          <w:rFonts w:ascii="Arial" w:cs="Arial" w:eastAsia="Arial" w:hAnsi="Arial"/>
          <w:sz w:val="16"/>
          <w:szCs w:val="16"/>
          <w:color w:val="auto"/>
        </w:rPr>
      </w:pPr>
    </w:p>
    <w:p>
      <w:pPr>
        <w:ind w:left="460" w:right="60"/>
        <w:spacing w:after="0" w:line="298" w:lineRule="auto"/>
        <w:rPr>
          <w:rFonts w:ascii="Arial" w:cs="Arial" w:eastAsia="Arial" w:hAnsi="Arial"/>
          <w:sz w:val="16"/>
          <w:szCs w:val="16"/>
          <w:color w:val="auto"/>
        </w:rPr>
      </w:pPr>
      <w:r>
        <w:rPr>
          <w:rFonts w:ascii="Arial" w:cs="Arial" w:eastAsia="Arial" w:hAnsi="Arial"/>
          <w:sz w:val="16"/>
          <w:szCs w:val="16"/>
          <w:color w:val="auto"/>
        </w:rPr>
        <w:t>The amount reported in 2011 for our environmental remediation liabilities primarily relates to the impact of a decrease in the risk-free discount rate used to measure our liabilities from 3.5% at December 31, 2010 to 2.0% at December 31, 2011, resulting in an increase of $25 million to our environmental remediation liabilities and a corresponding increase to “Operating” expenses. This charge was partially offset by a $9 million favorable revision to an environmental remediation liability at a closed site based on the estimated cost of the remediation alternative selected by the EPA.</w:t>
      </w:r>
    </w:p>
    <w:p>
      <w:pPr>
        <w:spacing w:after="0" w:line="32"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Our recorded liabilities as of December 31, 2011 include the impacts of inflating certain of these costs based on our expectations for the timing of cash settlement and of discounting certain of these costs to present value. Anticipated payments of currently identified environmental remediation liabilities as measured in current dollars are $38 million in 2012; $26 million in 2013; $27 million in 2014; $24 million in 2015; $12 million in 2016; and $138 million thereafter.</w:t>
      </w:r>
    </w:p>
    <w:p>
      <w:pPr>
        <w:spacing w:after="0" w:line="6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and we are the sole beneficiary of the restricted balances. However, certain of the funds have been established for the benefit of both the Company and the host community in which we operate.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fair value of trust funds and escrow accounts for which we are the sole beneficiary was $123 million at December 31, 2011 and $124 million as of December 31, 2010. These amounts are included in long-term “Other assets” in our Consolidated Balance Sheet. Our portion of the trusts that have been established for the benefit of both the Company and the host community in which we operate had an aggregate carrying value of $107 million at December 31, 2011 and $103 million at December 31, 2010. These amounts are included in “Other receivables” and as long-term “Other assets” in our Consolidated Balance Sheet.</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at December 31 consisted of the following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2011</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14"/>
                <w:szCs w:val="14"/>
                <w:color w:val="auto"/>
              </w:rPr>
            </w:pPr>
          </w:p>
        </w:tc>
      </w:tr>
      <w:tr>
        <w:trPr>
          <w:trHeight w:val="210"/>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Landfills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12,940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12,777</w:t>
            </w:r>
          </w:p>
        </w:tc>
        <w:tc>
          <w:tcPr>
            <w:tcW w:w="1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2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3,731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3,454</w:t>
            </w:r>
          </w:p>
        </w:tc>
        <w:tc>
          <w:tcPr>
            <w:tcW w:w="1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Containers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2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3,273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8"/>
                <w:szCs w:val="18"/>
                <w:color w:val="auto"/>
              </w:rPr>
            </w:pPr>
          </w:p>
        </w:tc>
      </w:tr>
      <w:tr>
        <w:trPr>
          <w:trHeight w:val="221"/>
        </w:trPr>
        <w:tc>
          <w:tcPr>
            <w:tcW w:w="7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27,550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26,558</w:t>
            </w:r>
          </w:p>
        </w:tc>
        <w:tc>
          <w:tcPr>
            <w:tcW w:w="120" w:type="dxa"/>
            <w:vAlign w:val="bottom"/>
          </w:tcPr>
          <w:p>
            <w:pPr>
              <w:spacing w:after="0"/>
              <w:rPr>
                <w:sz w:val="19"/>
                <w:szCs w:val="19"/>
                <w:color w:val="auto"/>
              </w:rPr>
            </w:pPr>
          </w:p>
        </w:tc>
      </w:tr>
      <w:tr>
        <w:trPr>
          <w:trHeight w:val="218"/>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on tangible property and equipment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(8,377)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(7,898)</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Less accumulated landfill airspace amortization</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(6,931)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(6,792)</w:t>
            </w:r>
          </w:p>
        </w:tc>
      </w:tr>
      <w:tr>
        <w:trPr>
          <w:trHeight w:val="27"/>
        </w:trPr>
        <w:tc>
          <w:tcPr>
            <w:tcW w:w="7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12,242</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11,868</w:t>
            </w:r>
          </w:p>
        </w:tc>
        <w:tc>
          <w:tcPr>
            <w:tcW w:w="120" w:type="dxa"/>
            <w:vAlign w:val="bottom"/>
            <w:shd w:val="clear" w:color="auto" w:fill="CCEEFF"/>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Depreciation and amortization expense, including amortization expense for assets recorded as capital leases, was comprised of the following for the years ended December 31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2011</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2010</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1,178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1,153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Goodwill and Other Intangible Assets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Goodwill was $6,215 million as of December 31, 2011 compared with $5,726 million as of December 31, 2010. The $489 million increase in goodwill during 2011 was primarily related to consideration paid for acquisitions in excess of identifiable net assets acquired of $497 million, which includes $327 million related to our July 2011 acquisition of Oakleaf as discussed in Note 19, partially offset by foreign currency translation and other adjustments.</w:t>
      </w:r>
    </w:p>
    <w:p>
      <w:pPr>
        <w:spacing w:after="0" w:line="2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incurred no impairment of goodwill as a result of our annual, fourth quarter goodwill impairment tests in 2011, 2010 or 2009. Additionally, we did not encounter any events or changes in circumstances that indicated that an impairment was more likely than not during interim periods in 2011, 2010 or 2009. However, there can be no assurance that goodwill will not be impaired at any time in the future.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other intangible assets as of December 31, 2011 and 2010 were comprised of the following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Customer</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4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Contracts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and</w:t>
            </w: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Covenants</w:t>
            </w:r>
          </w:p>
        </w:tc>
        <w:tc>
          <w:tcPr>
            <w:tcW w:w="40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Licenses,</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42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Customer</w:t>
            </w:r>
          </w:p>
        </w:tc>
        <w:tc>
          <w:tcPr>
            <w:tcW w:w="100" w:type="dxa"/>
            <w:vAlign w:val="bottom"/>
          </w:tcPr>
          <w:p>
            <w:pPr>
              <w:spacing w:after="0"/>
              <w:rPr>
                <w:sz w:val="12"/>
                <w:szCs w:val="12"/>
                <w:color w:val="auto"/>
              </w:rPr>
            </w:pPr>
          </w:p>
        </w:tc>
        <w:tc>
          <w:tcPr>
            <w:tcW w:w="10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Not-to-</w:t>
            </w:r>
          </w:p>
        </w:tc>
        <w:tc>
          <w:tcPr>
            <w:tcW w:w="400" w:type="dxa"/>
            <w:vAlign w:val="bottom"/>
          </w:tcPr>
          <w:p>
            <w:pPr>
              <w:spacing w:after="0"/>
              <w:rPr>
                <w:sz w:val="12"/>
                <w:szCs w:val="12"/>
                <w:color w:val="auto"/>
              </w:rPr>
            </w:pP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Permits</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1"/>
              </w:rPr>
              <w:t>Lists</w:t>
            </w: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Compete</w:t>
            </w:r>
          </w:p>
        </w:tc>
        <w:tc>
          <w:tcPr>
            <w:tcW w:w="4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4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2011:</w:t>
            </w: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392</w:t>
            </w:r>
          </w:p>
        </w:tc>
        <w:tc>
          <w:tcPr>
            <w:tcW w:w="8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center"/>
              <w:ind w:left="275"/>
              <w:spacing w:after="0"/>
              <w:rPr>
                <w:sz w:val="20"/>
                <w:szCs w:val="20"/>
                <w:color w:val="auto"/>
              </w:rPr>
            </w:pPr>
            <w:r>
              <w:rPr>
                <w:rFonts w:ascii="Arial" w:cs="Arial" w:eastAsia="Arial" w:hAnsi="Arial"/>
                <w:sz w:val="18"/>
                <w:szCs w:val="18"/>
                <w:color w:val="auto"/>
                <w:w w:val="79"/>
              </w:rPr>
              <w:t>91</w:t>
            </w:r>
          </w:p>
        </w:tc>
        <w:tc>
          <w:tcPr>
            <w:tcW w:w="48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161</w:t>
            </w:r>
          </w:p>
        </w:tc>
        <w:tc>
          <w:tcPr>
            <w:tcW w:w="46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$ 644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(41)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0"/>
        </w:trPr>
        <w:tc>
          <w:tcPr>
            <w:tcW w:w="6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273</w:t>
            </w:r>
          </w:p>
        </w:tc>
        <w:tc>
          <w:tcPr>
            <w:tcW w:w="8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center"/>
              <w:ind w:left="275"/>
              <w:spacing w:after="0"/>
              <w:rPr>
                <w:sz w:val="20"/>
                <w:szCs w:val="20"/>
                <w:color w:val="auto"/>
              </w:rPr>
            </w:pPr>
            <w:r>
              <w:rPr>
                <w:rFonts w:ascii="Arial" w:cs="Arial" w:eastAsia="Arial" w:hAnsi="Arial"/>
                <w:sz w:val="18"/>
                <w:szCs w:val="18"/>
                <w:color w:val="auto"/>
                <w:w w:val="79"/>
              </w:rPr>
              <w:t>50</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c>
          <w:tcPr>
            <w:tcW w:w="46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$ 457</w:t>
            </w: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228</w:t>
            </w:r>
          </w:p>
        </w:tc>
        <w:tc>
          <w:tcPr>
            <w:tcW w:w="8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center"/>
              <w:ind w:left="275"/>
              <w:spacing w:after="0"/>
              <w:rPr>
                <w:sz w:val="20"/>
                <w:szCs w:val="20"/>
                <w:color w:val="auto"/>
              </w:rPr>
            </w:pPr>
            <w:r>
              <w:rPr>
                <w:rFonts w:ascii="Arial" w:cs="Arial" w:eastAsia="Arial" w:hAnsi="Arial"/>
                <w:sz w:val="18"/>
                <w:szCs w:val="18"/>
                <w:color w:val="auto"/>
                <w:w w:val="79"/>
              </w:rPr>
              <w:t>64</w:t>
            </w:r>
          </w:p>
        </w:tc>
        <w:tc>
          <w:tcPr>
            <w:tcW w:w="48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$ 439</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(31)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r>
      <w:tr>
        <w:trPr>
          <w:trHeight w:val="20"/>
        </w:trPr>
        <w:tc>
          <w:tcPr>
            <w:tcW w:w="6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c>
          <w:tcPr>
            <w:tcW w:w="8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center"/>
              <w:ind w:left="275"/>
              <w:spacing w:after="0"/>
              <w:rPr>
                <w:sz w:val="20"/>
                <w:szCs w:val="20"/>
                <w:color w:val="auto"/>
              </w:rPr>
            </w:pPr>
            <w:r>
              <w:rPr>
                <w:rFonts w:ascii="Arial" w:cs="Arial" w:eastAsia="Arial" w:hAnsi="Arial"/>
                <w:sz w:val="18"/>
                <w:szCs w:val="18"/>
                <w:color w:val="auto"/>
                <w:w w:val="79"/>
              </w:rPr>
              <w:t>33</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121</w:t>
            </w:r>
          </w:p>
        </w:tc>
        <w:tc>
          <w:tcPr>
            <w:tcW w:w="46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$ 295</w:t>
            </w: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Amortization expense for other intangible assets was $51 million for 2011, $41 million for 2010, and $29 million for 2009. At December 31, 2011, we had $62 million of intangible assets that are not subject to amortization, which are primarily operating permits that do not have stated expirations or that have routine, administrative renewal processes. Additional information related to intangible assets acquired through 2011 business combinations is included in Note 19. As of December 31, 2011, expected annual amortization expense related to intangible assets is $66 million in 2012; $58 million in 2013; $48 million in 2014; $42 million in 2015; and $37 million in 2016.</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Debt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December 31, 2011: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(interest rate of 1.5% at December 31, 2011)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Letter of credit facilities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w w:val="93"/>
              </w:rPr>
              <w:t>Canadian credit facility (weighted average effective interest rate of 1.8% at December 31, 2011 and 2.2% at December 31, 2010)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600" w:type="dxa"/>
            <w:vAlign w:val="bottom"/>
          </w:tcPr>
          <w:p>
            <w:pPr>
              <w:spacing w:after="0"/>
              <w:rPr>
                <w:sz w:val="20"/>
                <w:szCs w:val="20"/>
                <w:color w:val="auto"/>
              </w:rPr>
            </w:pPr>
            <w:r>
              <w:rPr>
                <w:rFonts w:ascii="Arial" w:cs="Arial" w:eastAsia="Arial" w:hAnsi="Arial"/>
                <w:sz w:val="18"/>
                <w:szCs w:val="18"/>
                <w:color w:val="auto"/>
                <w:w w:val="91"/>
              </w:rPr>
              <w:t>Senior notes and debentures, maturing through 2039, interest rates ranging from 2.60% to 7.75% (weighted average interest rate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tcPr>
          <w:p>
            <w:pPr>
              <w:ind w:left="220"/>
              <w:spacing w:after="0"/>
              <w:rPr>
                <w:sz w:val="20"/>
                <w:szCs w:val="20"/>
                <w:color w:val="auto"/>
              </w:rPr>
            </w:pPr>
            <w:r>
              <w:rPr>
                <w:rFonts w:ascii="Arial" w:cs="Arial" w:eastAsia="Arial" w:hAnsi="Arial"/>
                <w:sz w:val="18"/>
                <w:szCs w:val="18"/>
                <w:color w:val="auto"/>
              </w:rPr>
              <w:t>6.0% at December 31, 2011 and 6.5% at December 31, 2010)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6,228</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w w:val="89"/>
              </w:rPr>
              <w:t>Tax-exempt bonds maturing through 2041, fixed and variable interest rates ranging from 0.1% to 7.4% (weighted average interest rate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3.1% at December 31, 2011 and 2010)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2,771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2,696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600" w:type="dxa"/>
            <w:vAlign w:val="bottom"/>
          </w:tcPr>
          <w:p>
            <w:pPr>
              <w:spacing w:after="0"/>
              <w:rPr>
                <w:sz w:val="20"/>
                <w:szCs w:val="20"/>
                <w:color w:val="auto"/>
              </w:rPr>
            </w:pPr>
            <w:r>
              <w:rPr>
                <w:rFonts w:ascii="Arial" w:cs="Arial" w:eastAsia="Arial" w:hAnsi="Arial"/>
                <w:sz w:val="18"/>
                <w:szCs w:val="18"/>
                <w:color w:val="auto"/>
                <w:w w:val="92"/>
              </w:rPr>
              <w:t>Tax-exempt project bonds, maturing through 2029, fixed and variable interest rates ranging from 0.1% to 3.4% (weighted 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tcPr>
          <w:p>
            <w:pPr>
              <w:ind w:left="220"/>
              <w:spacing w:after="0"/>
              <w:rPr>
                <w:sz w:val="20"/>
                <w:szCs w:val="20"/>
                <w:color w:val="auto"/>
              </w:rPr>
            </w:pPr>
            <w:r>
              <w:rPr>
                <w:rFonts w:ascii="Arial" w:cs="Arial" w:eastAsia="Arial" w:hAnsi="Arial"/>
                <w:sz w:val="18"/>
                <w:szCs w:val="18"/>
                <w:color w:val="auto"/>
              </w:rPr>
              <w:t>interest rate of 1.3% at December 31, 2011 and 2.5% at December 31, 2010)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9,756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9,125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ind w:left="562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As of December 31, 2011, we had (i) $925 million of debt maturing within twelve months, including $150 million of borrowings outstanding under the revolving credit facility, U.S.$137 million of advances outstanding under our Canadian credit facility, $400 million of 6.375% senior notes that mature in November 2012 and $168 million of tax-exempt bonds and (ii) $305 million of fixed-rate tax-exempt borrowings subject to re-pricing within the next twelve months. Under accounting principles generally accepted in the United States, this debt must be classified as current unless we have the intent and ability to refinance it on a long-term basis. We have the intent and ability to refinance $599 million of this debt on a long-term basis and have classified the remaining $631 million as current obligations as of December 31, 2011.</w:t>
      </w:r>
    </w:p>
    <w:p>
      <w:pPr>
        <w:spacing w:after="0" w:line="39"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As of December 31, 2011, we also have $565 million of variable-rate tax-exempt bonds and $46 million of variable-rate tax-exempt project bonds. The interest rates on these bonds are reset on either a daily or weekly basis through a remarketing process. If the remarketing agent is unable to remarket the bonds, the remarketing agent can put the bonds to us. These bonds are supported by letters of credit guaranteeing repayment of the bonds in this event. We classified these borrowings as long-term in our Consolidated Balance Sheet at December 31, 2011 because the borrowings are supported by letters of credit issued under our five-year, $2.0 billion revolving credit facility, which is long-term.</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Access to and Utilization of Credit Facilities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Revolving Credit Facility </w:t>
      </w:r>
      <w:r>
        <w:rPr>
          <w:rFonts w:ascii="Arial" w:cs="Arial" w:eastAsia="Arial" w:hAnsi="Arial"/>
          <w:sz w:val="16"/>
          <w:szCs w:val="16"/>
          <w:color w:val="auto"/>
        </w:rPr>
        <w:t>— In May 2011, we amended and restated our $2.0 billion revolving credit facility as a result of changes in market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which significantly reduced the cost of the facility. We also extended the term through May 2016. This facility provides us with credit capacity to be used for either cash borrowings or to support letters of credit. At December 31, 2011, we had $150 million of outstanding borrowings and $1,012 million of letters of credit issued and supported by the facility. The unused and available credit capacity of the facility was $838 million as of December 31, 2011.</w:t>
      </w:r>
    </w:p>
    <w:p>
      <w:pPr>
        <w:spacing w:after="0" w:line="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Letter of Credit Facilities </w:t>
      </w:r>
      <w:r>
        <w:rPr>
          <w:rFonts w:ascii="Arial" w:cs="Arial" w:eastAsia="Arial" w:hAnsi="Arial"/>
          <w:sz w:val="16"/>
          <w:szCs w:val="16"/>
          <w:color w:val="auto"/>
        </w:rPr>
        <w:t>— As of December 31, 2011, we had an aggregate committed capacity of $505 million under letter of credit facilities with terms</w:t>
      </w:r>
      <w:r>
        <w:rPr>
          <w:rFonts w:ascii="Arial" w:cs="Arial" w:eastAsia="Arial" w:hAnsi="Arial"/>
          <w:sz w:val="16"/>
          <w:szCs w:val="16"/>
          <w:i w:val="1"/>
          <w:iCs w:val="1"/>
          <w:color w:val="auto"/>
        </w:rPr>
        <w:t xml:space="preserve"> </w:t>
      </w:r>
      <w:r>
        <w:rPr>
          <w:rFonts w:ascii="Arial" w:cs="Arial" w:eastAsia="Arial" w:hAnsi="Arial"/>
          <w:sz w:val="16"/>
          <w:szCs w:val="16"/>
          <w:color w:val="auto"/>
        </w:rPr>
        <w:t>ending from June 2013 to June 2015. These facilities are currently being used to back letters of credit issued to support our bonding and financial assurance needs. Our letters of credit generally have terms providing for automatic renewal after one year. In the event of an unreimbursed draw on a letter of credit, the amount of the draw paid by the letter of credit provider generally converts into a term loan for the remaining term of the respective facility. Through December 31, 2011, we had not experienced any unreimbursed draws on letters of credit under these facilities. As of December 31, 2011, no borrowings were outstanding under these letter of credit facilities and we had $3 million of unused and available credit capacity.</w:t>
      </w:r>
    </w:p>
    <w:p>
      <w:pPr>
        <w:spacing w:after="0" w:line="3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Canadian Credit Facility </w:t>
      </w:r>
      <w:r>
        <w:rPr>
          <w:rFonts w:ascii="Arial" w:cs="Arial" w:eastAsia="Arial" w:hAnsi="Arial"/>
          <w:sz w:val="16"/>
          <w:szCs w:val="16"/>
          <w:color w:val="auto"/>
        </w:rPr>
        <w:t>— In November 2005, Waste Management of Canada Corporation, one of our wholly-owned subsidiaries, entered into a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agreement to facilitate WM’s repatriation of accumulated earnings and capital from its Canadian subsidiaries. The agreement provided for an initial credit capacity of C$340 million and matures in November 2012. At December 31, 2011, we had U.S.$137 million of borrowings outstanding under this credit facility.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changes in our debt balances from December 31, 2010 to December 31, 2011 are related to the following:</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 During the third quarter of 2011, we borrowed $100 million under our revolving credit facility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Oakleaf, which is discussed further in Note 19. These borrowings were repaid with proceeds from our August 2011 issuance of senior notes. The $150 million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borrowings outstanding as of December 31, 2011 were incurred for general corporate purposes, including additions to working capital, capital expenditures and the funding of acquisitions and investments. We borrowed another $50 million under our revolving credit agreement in January, bringing the total outstanding as of the date of this filing to $200 million. We currently expect to repay these borrowings during 2012 with cash flow generated by our operations. Due to the short-term maturities of these borrowings, we have reported these cash flows on a net basis in the Consolidated Statement of Cash Flows in accordance with accounting principles generally accepted in the U.S.</w:t>
      </w:r>
    </w:p>
    <w:p>
      <w:pPr>
        <w:spacing w:after="0" w:line="62" w:lineRule="exact"/>
        <w:rPr>
          <w:sz w:val="20"/>
          <w:szCs w:val="20"/>
          <w:color w:val="auto"/>
        </w:rPr>
      </w:pPr>
    </w:p>
    <w:p>
      <w:pPr>
        <w:ind w:left="460" w:right="600"/>
        <w:spacing w:after="0" w:line="338" w:lineRule="auto"/>
        <w:rPr>
          <w:sz w:val="20"/>
          <w:szCs w:val="20"/>
          <w:color w:val="auto"/>
        </w:rPr>
      </w:pPr>
      <w:r>
        <w:rPr>
          <w:rFonts w:ascii="Arial" w:cs="Arial" w:eastAsia="Arial" w:hAnsi="Arial"/>
          <w:sz w:val="16"/>
          <w:szCs w:val="16"/>
          <w:i w:val="1"/>
          <w:iCs w:val="1"/>
          <w:color w:val="auto"/>
        </w:rPr>
        <w:t xml:space="preserve">Canadian Credit Facility </w:t>
      </w:r>
      <w:r>
        <w:rPr>
          <w:rFonts w:ascii="Arial" w:cs="Arial" w:eastAsia="Arial" w:hAnsi="Arial"/>
          <w:sz w:val="16"/>
          <w:szCs w:val="16"/>
          <w:color w:val="auto"/>
        </w:rPr>
        <w:t>— A total of U.S.$77 million of net advances under the facility matured during 2011 and were repaid with available cash.</w:t>
      </w:r>
      <w:r>
        <w:rPr>
          <w:rFonts w:ascii="Arial" w:cs="Arial" w:eastAsia="Arial" w:hAnsi="Arial"/>
          <w:sz w:val="16"/>
          <w:szCs w:val="16"/>
          <w:i w:val="1"/>
          <w:iCs w:val="1"/>
          <w:color w:val="auto"/>
        </w:rPr>
        <w:t xml:space="preserve"> Senior Notes </w:t>
      </w:r>
      <w:r>
        <w:rPr>
          <w:rFonts w:ascii="Arial" w:cs="Arial" w:eastAsia="Arial" w:hAnsi="Arial"/>
          <w:sz w:val="16"/>
          <w:szCs w:val="16"/>
          <w:color w:val="auto"/>
        </w:rPr>
        <w:t>— In February 2011, we issued $400 million of 4.60% senior notes due March 2021. The net proceeds from the debt issuance were</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$396 million. We used a portion of the proceeds to repay $147 million of 7.65% senior notes that matured in March 2011. In August 2011, we issued $500 million of 2.60% senior notes due September 2016. The net proceeds from the debt issuance were $497 million. A portion of the proceeds was used to repay the $100 million borrowing under our $2.0 billion revolving credit facility, which is discussed above, and the remainder was incurred for general corporate purposes, including additions to working capital, capital expenditures and the funding of acquisitions and investments.</w:t>
      </w:r>
    </w:p>
    <w:p>
      <w:pPr>
        <w:spacing w:after="0" w:line="3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remaining change in the carrying value of our senior notes from December 31, 2010 to December 31, 2011 is principally due to accounting for our fixed-to-floating interest rate swap agreements, which are accounted for as fair value hedges resulting in all fair value adjustments being reflected as a component of the carrying value of the underlying debt. Refer to Note 8 for additional information regarding our interest rate derivatives.</w:t>
      </w:r>
    </w:p>
    <w:p>
      <w:pPr>
        <w:spacing w:after="0" w:line="2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Tax-Exempt Bonds </w:t>
      </w:r>
      <w:r>
        <w:rPr>
          <w:rFonts w:ascii="Arial" w:cs="Arial" w:eastAsia="Arial" w:hAnsi="Arial"/>
          <w:sz w:val="18"/>
          <w:szCs w:val="18"/>
          <w:color w:val="auto"/>
        </w:rPr>
        <w:t>— During the year ended December 31, 2011, we issued $100 million of tax-exempt bonds, which are used as a means of accessing</w:t>
      </w:r>
      <w:r>
        <w:rPr>
          <w:rFonts w:ascii="Arial" w:cs="Arial" w:eastAsia="Arial" w:hAnsi="Arial"/>
          <w:sz w:val="18"/>
          <w:szCs w:val="18"/>
          <w:i w:val="1"/>
          <w:iCs w:val="1"/>
          <w:color w:val="auto"/>
        </w:rPr>
        <w:t xml:space="preserve"> </w:t>
      </w:r>
      <w:r>
        <w:rPr>
          <w:rFonts w:ascii="Arial" w:cs="Arial" w:eastAsia="Arial" w:hAnsi="Arial"/>
          <w:sz w:val="18"/>
          <w:szCs w:val="18"/>
          <w:color w:val="auto"/>
        </w:rPr>
        <w:t>low-cost financing for capital expenditures. The proceeds from these debt issuances may only be used for the specific purpose for which the money was raised, which is generally to finance expenditures for landfill construction and development. We repaid $25 million of our tax-exempt bonds with available cash during the year ended December 31, 2011. Additional information related to the presentation of these borrowings in the Consolidated Statement of Cash Flows is discussed in Note 3.</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Tax-Exempt Project Bonds </w:t>
      </w:r>
      <w:r>
        <w:rPr>
          <w:rFonts w:ascii="Arial" w:cs="Arial" w:eastAsia="Arial" w:hAnsi="Arial"/>
          <w:sz w:val="16"/>
          <w:szCs w:val="16"/>
          <w:color w:val="auto"/>
        </w:rPr>
        <w:t>— In the past, our Wheelabrator Group used tax-exempt project bonds to finance the development of waste-to-energy facilities.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2011, we repaid $30 million of our tax-exempt project bonds with available cash.</w:t>
      </w:r>
    </w:p>
    <w:p>
      <w:pPr>
        <w:spacing w:after="0" w:line="8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 xml:space="preserve">Capital Leases and Other </w:t>
      </w:r>
      <w:r>
        <w:rPr>
          <w:rFonts w:ascii="Arial" w:cs="Arial" w:eastAsia="Arial" w:hAnsi="Arial"/>
          <w:sz w:val="18"/>
          <w:szCs w:val="18"/>
          <w:color w:val="auto"/>
        </w:rPr>
        <w:t>— The decrease in our capital leases and other debt obligations is primarily due to the repayment of $87 million of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upon their scheduled maturities, net of new leases and borrowings of $48 million.</w:t>
      </w:r>
    </w:p>
    <w:p>
      <w:pPr>
        <w:spacing w:after="0" w:line="51"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i w:val="1"/>
          <w:iCs w:val="1"/>
          <w:color w:val="auto"/>
        </w:rPr>
        <w:t xml:space="preserve">Scheduled Debt Payments </w:t>
      </w:r>
      <w:r>
        <w:rPr>
          <w:rFonts w:ascii="Arial" w:cs="Arial" w:eastAsia="Arial" w:hAnsi="Arial"/>
          <w:sz w:val="18"/>
          <w:szCs w:val="18"/>
          <w:color w:val="auto"/>
        </w:rPr>
        <w:t>— Scheduled principal payments of our debt and capital leases for the next five years are as follows: $918 million in 2012;</w:t>
      </w:r>
      <w:r>
        <w:rPr>
          <w:rFonts w:ascii="Arial" w:cs="Arial" w:eastAsia="Arial" w:hAnsi="Arial"/>
          <w:sz w:val="18"/>
          <w:szCs w:val="18"/>
          <w:i w:val="1"/>
          <w:iCs w:val="1"/>
          <w:color w:val="auto"/>
        </w:rPr>
        <w:t xml:space="preserve"> </w:t>
      </w:r>
      <w:r>
        <w:rPr>
          <w:rFonts w:ascii="Arial" w:cs="Arial" w:eastAsia="Arial" w:hAnsi="Arial"/>
          <w:sz w:val="18"/>
          <w:szCs w:val="18"/>
          <w:color w:val="auto"/>
        </w:rPr>
        <w:t>$210 million in 2013; $460 million in 2014; $455 million in 2015; and $696 million in 2016. Our recorded debt and capital lease obligations include non-cash adjustments associated with discounts, premiums and fair value adjustments for interest rate hedging activities, which have been excluded from these amounts because they will not result in cash payments.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Secured Debt</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debt balances are generally unsecured, except for capital leases and the note payable associated with our investment in federal low-income housing tax credits. During 2011, we repaid $30 million of tax-exempt project bonds that had been secured by certain of our Wheelabrator Group’s assets.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Covenants</w:t>
      </w:r>
    </w:p>
    <w:p>
      <w:pPr>
        <w:spacing w:after="0" w:line="90"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Our revolving credit facility and certain other financing agreements contain financial covenants. The most restrictive of these financial covenants are contained in our revolving credit facility. The following table summarizes the requirements of these financial covenants, as defined by the revolving credit facility: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coverage ratio</w:t>
            </w:r>
          </w:p>
        </w:tc>
        <w:tc>
          <w:tcPr>
            <w:tcW w:w="5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&gt; 2.75 to 1</w:t>
            </w: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Total debt to EBITDA</w:t>
            </w:r>
          </w:p>
        </w:tc>
        <w:tc>
          <w:tcPr>
            <w:tcW w:w="5360" w:type="dxa"/>
            <w:vAlign w:val="bottom"/>
          </w:tcPr>
          <w:p>
            <w:pPr>
              <w:jc w:val="right"/>
              <w:ind w:right="32"/>
              <w:spacing w:after="0"/>
              <w:rPr>
                <w:sz w:val="20"/>
                <w:szCs w:val="20"/>
                <w:color w:val="auto"/>
              </w:rPr>
            </w:pPr>
            <w:r>
              <w:rPr>
                <w:rFonts w:ascii="Arial" w:cs="Arial" w:eastAsia="Arial" w:hAnsi="Arial"/>
                <w:sz w:val="18"/>
                <w:szCs w:val="18"/>
                <w:color w:val="auto"/>
              </w:rPr>
              <w:t>&lt; 3.5 to 1</w:t>
            </w:r>
          </w:p>
        </w:tc>
      </w:tr>
    </w:tbl>
    <w:p>
      <w:pPr>
        <w:spacing w:after="0" w:line="6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revolving credit facility and senior notes also contain certain restrictions intended to monitor our level of indebtedness, types of investments and net worth. We monitor our compliance with these restrictions, but do not believe that they significantly impact our ability to enter into investing or financing arrangements typical for our business. As of December 31, 2011 and December 31, 2010, we were in compliance with the covenants and restrictions under all of our debt agreements.</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Derivative Instruments and Hedging Activities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values of derivative instruments recorded in our Consolidated Balance Sheet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Designated as Hedging Instruments</w:t>
            </w:r>
          </w:p>
        </w:tc>
        <w:tc>
          <w:tcPr>
            <w:tcW w:w="3680" w:type="dxa"/>
            <w:vAlign w:val="bottom"/>
          </w:tcPr>
          <w:p>
            <w:pPr>
              <w:spacing w:after="0"/>
              <w:rPr>
                <w:sz w:val="14"/>
                <w:szCs w:val="14"/>
                <w:color w:val="auto"/>
              </w:rPr>
            </w:pPr>
          </w:p>
        </w:tc>
        <w:tc>
          <w:tcPr>
            <w:tcW w:w="214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420" w:type="dxa"/>
            <w:vAlign w:val="bottom"/>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Borders>
              <w:bottom w:val="single" w:sz="8" w:color="auto"/>
            </w:tcBorders>
            <w:vMerge w:val="continue"/>
          </w:tcPr>
          <w:p>
            <w:pPr>
              <w:spacing w:after="0"/>
              <w:rPr>
                <w:sz w:val="12"/>
                <w:szCs w:val="12"/>
                <w:color w:val="auto"/>
              </w:rPr>
            </w:pPr>
          </w:p>
        </w:tc>
        <w:tc>
          <w:tcPr>
            <w:tcW w:w="3680" w:type="dxa"/>
            <w:vAlign w:val="bottom"/>
          </w:tcPr>
          <w:p>
            <w:pPr>
              <w:spacing w:after="0"/>
              <w:rPr>
                <w:sz w:val="12"/>
                <w:szCs w:val="12"/>
                <w:color w:val="auto"/>
              </w:rPr>
            </w:pPr>
          </w:p>
        </w:tc>
        <w:tc>
          <w:tcPr>
            <w:tcW w:w="2140" w:type="dxa"/>
            <w:vAlign w:val="bottom"/>
            <w:tcBorders>
              <w:bottom w:val="single" w:sz="8" w:color="auto"/>
            </w:tcBorders>
            <w:vMerge w:val="continue"/>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2011</w:t>
            </w:r>
          </w:p>
        </w:tc>
        <w:tc>
          <w:tcPr>
            <w:tcW w:w="8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rate contracts</w:t>
            </w:r>
          </w:p>
        </w:tc>
        <w:tc>
          <w:tcPr>
            <w:tcW w:w="368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other assets</w:t>
            </w:r>
          </w:p>
        </w:tc>
        <w:tc>
          <w:tcPr>
            <w:tcW w:w="1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w:t>
            </w: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Electricity commodity contracts</w:t>
            </w:r>
          </w:p>
        </w:tc>
        <w:tc>
          <w:tcPr>
            <w:tcW w:w="368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Current other assets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36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Long-term other assets</w:t>
            </w:r>
          </w:p>
        </w:tc>
        <w:tc>
          <w:tcPr>
            <w:tcW w:w="14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20"/>
              <w:spacing w:after="0"/>
              <w:rPr>
                <w:sz w:val="20"/>
                <w:szCs w:val="20"/>
                <w:color w:val="auto"/>
              </w:rPr>
            </w:pPr>
            <w:r>
              <w:rPr>
                <w:rFonts w:ascii="Arial" w:cs="Arial" w:eastAsia="Arial" w:hAnsi="Arial"/>
                <w:sz w:val="18"/>
                <w:szCs w:val="18"/>
                <w:color w:val="auto"/>
              </w:rPr>
              <w:t>Total derivative assets</w:t>
            </w:r>
          </w:p>
        </w:tc>
        <w:tc>
          <w:tcPr>
            <w:tcW w:w="36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$ 78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36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Current accrued liabilities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Electricity commodity contracts</w:t>
            </w:r>
          </w:p>
        </w:tc>
        <w:tc>
          <w:tcPr>
            <w:tcW w:w="368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Current accrued liabilities</w:t>
            </w:r>
          </w:p>
        </w:tc>
        <w:tc>
          <w:tcPr>
            <w:tcW w:w="14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36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4"/>
              </w:rPr>
              <w:t>Long-term accrued liabilities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368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4"/>
              </w:rPr>
              <w:t>Long-term accrued liabilities</w:t>
            </w:r>
          </w:p>
        </w:tc>
        <w:tc>
          <w:tcPr>
            <w:tcW w:w="142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derivative liabilities</w:t>
            </w:r>
          </w:p>
        </w:tc>
        <w:tc>
          <w:tcPr>
            <w:tcW w:w="36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have not offset fair value amounts recognized for our derivative instruments. For information related to the methods used to measure our derivative assets and liabilities at fair value, refer to Note 18.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Derivatives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use interest rate swaps to maintain a portion of our debt obligations at variable market interest rates. As of December 31, 2011, we had approximately $6.1 billion in fixed-rate senior notes outstanding. The interest payments on $1 billion, or 16%, of these senior notes have been swapped to variable interest rates to protect the debt against changes in fair value due to changes in benchmark interest rates. As of December 31, 2010, we had approximately $5.4 billion in fixed-rate senior notes outstanding, of which $500 million, or 9%, had been swapped to variable interest rates. The significant terms of our interest rate swap agreements as of December 31, 2011 and 2010 are summarized in the table below (in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20" w:type="dxa"/>
            <w:vAlign w:val="bottom"/>
          </w:tcPr>
          <w:p>
            <w:pPr>
              <w:ind w:left="1160"/>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Notional Amount</w:t>
            </w:r>
          </w:p>
        </w:tc>
        <w:tc>
          <w:tcPr>
            <w:tcW w:w="2300" w:type="dxa"/>
            <w:vAlign w:val="bottom"/>
            <w:gridSpan w:val="2"/>
          </w:tcPr>
          <w:p>
            <w:pPr>
              <w:ind w:left="780"/>
              <w:spacing w:after="0"/>
              <w:rPr>
                <w:sz w:val="20"/>
                <w:szCs w:val="20"/>
                <w:color w:val="auto"/>
              </w:rPr>
            </w:pPr>
            <w:r>
              <w:rPr>
                <w:rFonts w:ascii="Arial" w:cs="Arial" w:eastAsia="Arial" w:hAnsi="Arial"/>
                <w:sz w:val="14"/>
                <w:szCs w:val="14"/>
                <w:b w:val="1"/>
                <w:bCs w:val="1"/>
                <w:color w:val="auto"/>
              </w:rPr>
              <w:t>Receive</w:t>
            </w:r>
          </w:p>
        </w:tc>
        <w:tc>
          <w:tcPr>
            <w:tcW w:w="2400" w:type="dxa"/>
            <w:vAlign w:val="bottom"/>
            <w:gridSpan w:val="2"/>
          </w:tcPr>
          <w:p>
            <w:pPr>
              <w:ind w:left="940"/>
              <w:spacing w:after="0"/>
              <w:rPr>
                <w:sz w:val="20"/>
                <w:szCs w:val="20"/>
                <w:color w:val="auto"/>
              </w:rPr>
            </w:pPr>
            <w:r>
              <w:rPr>
                <w:rFonts w:ascii="Arial" w:cs="Arial" w:eastAsia="Arial" w:hAnsi="Arial"/>
                <w:sz w:val="14"/>
                <w:szCs w:val="14"/>
                <w:b w:val="1"/>
                <w:bCs w:val="1"/>
                <w:color w:val="auto"/>
              </w:rPr>
              <w:t>Pay</w:t>
            </w:r>
          </w:p>
        </w:tc>
        <w:tc>
          <w:tcPr>
            <w:tcW w:w="2420" w:type="dxa"/>
            <w:vAlign w:val="bottom"/>
          </w:tcPr>
          <w:p>
            <w:pPr>
              <w:ind w:left="800"/>
              <w:spacing w:after="0"/>
              <w:rPr>
                <w:sz w:val="20"/>
                <w:szCs w:val="20"/>
                <w:color w:val="auto"/>
              </w:rPr>
            </w:pPr>
            <w:r>
              <w:rPr>
                <w:rFonts w:ascii="Arial" w:cs="Arial" w:eastAsia="Arial" w:hAnsi="Arial"/>
                <w:sz w:val="14"/>
                <w:szCs w:val="14"/>
                <w:b w:val="1"/>
                <w:bCs w:val="1"/>
                <w:color w:val="auto"/>
              </w:rPr>
              <w:t>Maturity Date</w:t>
            </w:r>
          </w:p>
        </w:tc>
      </w:tr>
      <w:tr>
        <w:trPr>
          <w:trHeight w:val="210"/>
        </w:trPr>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Fixed 5.00%-7.125%</w:t>
            </w:r>
          </w:p>
        </w:tc>
        <w:tc>
          <w:tcPr>
            <w:tcW w:w="3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Floating 0.38%-6.11%</w:t>
            </w:r>
          </w:p>
        </w:tc>
        <w:tc>
          <w:tcPr>
            <w:tcW w:w="3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Through March 15, 2018</w:t>
            </w: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December 31, 2010</w:t>
            </w:r>
          </w:p>
        </w:tc>
        <w:tc>
          <w:tcPr>
            <w:tcW w:w="64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38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Fixed 5.00%-7.65%</w:t>
            </w:r>
          </w:p>
        </w:tc>
        <w:tc>
          <w:tcPr>
            <w:tcW w:w="2400" w:type="dxa"/>
            <w:vAlign w:val="bottom"/>
            <w:gridSpan w:val="2"/>
          </w:tcPr>
          <w:p>
            <w:pPr>
              <w:spacing w:after="0"/>
              <w:rPr>
                <w:sz w:val="20"/>
                <w:szCs w:val="20"/>
                <w:color w:val="auto"/>
              </w:rPr>
            </w:pPr>
            <w:r>
              <w:rPr>
                <w:rFonts w:ascii="Arial" w:cs="Arial" w:eastAsia="Arial" w:hAnsi="Arial"/>
                <w:sz w:val="18"/>
                <w:szCs w:val="18"/>
                <w:color w:val="auto"/>
              </w:rPr>
              <w:t>Floating 0.10%-4.69%</w:t>
            </w:r>
          </w:p>
        </w:tc>
        <w:tc>
          <w:tcPr>
            <w:tcW w:w="2420" w:type="dxa"/>
            <w:vAlign w:val="bottom"/>
          </w:tcPr>
          <w:p>
            <w:pPr>
              <w:spacing w:after="0"/>
              <w:rPr>
                <w:sz w:val="20"/>
                <w:szCs w:val="20"/>
                <w:color w:val="auto"/>
              </w:rPr>
            </w:pPr>
            <w:r>
              <w:rPr>
                <w:rFonts w:ascii="Arial" w:cs="Arial" w:eastAsia="Arial" w:hAnsi="Arial"/>
                <w:sz w:val="18"/>
                <w:szCs w:val="18"/>
                <w:color w:val="auto"/>
              </w:rPr>
              <w:t>Through March 15, 2018</w:t>
            </w:r>
          </w:p>
        </w:tc>
      </w:tr>
    </w:tbl>
    <w:p>
      <w:pPr>
        <w:spacing w:after="0" w:line="6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increase in the notional amount of our interest rate swaps from December 31, 2010 to December 31, 2011 was due to the execution of $600 million of interest rate swaps in March 2011 partially offset by the scheduled maturity of $100 million of interest rate swaps in March 2011.</w:t>
      </w:r>
    </w:p>
    <w:p>
      <w:pPr>
        <w:spacing w:after="0" w:line="4"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have designated our interest rate swaps as fair value hedges of our fixed-rate senior notes. Fair value hedge accounting for interest rate swap contracts has increased the carrying value of our debt instruments by $102 million as of December 31, 2011 and $79 million as of December 31, 2010. The following table summarizes the fair value adjustments from interest rate swap agreements at December 31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w w:val="93"/>
              </w:rPr>
              <w:t>Increase in Carrying Value of Debt Due to Hedge Accounting for Interest Rate Swaps</w:t>
            </w:r>
          </w:p>
        </w:tc>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5260" w:type="dxa"/>
            <w:vAlign w:val="bottom"/>
            <w:tcBorders>
              <w:bottom w:val="single" w:sz="8" w:color="auto"/>
            </w:tcBorders>
            <w:vMerge w:val="continue"/>
          </w:tcPr>
          <w:p>
            <w:pPr>
              <w:spacing w:after="0"/>
              <w:rPr>
                <w:sz w:val="12"/>
                <w:szCs w:val="12"/>
                <w:color w:val="auto"/>
              </w:rPr>
            </w:pPr>
          </w:p>
        </w:tc>
        <w:tc>
          <w:tcPr>
            <w:tcW w:w="4800" w:type="dxa"/>
            <w:vAlign w:val="bottom"/>
            <w:gridSpan w:val="2"/>
          </w:tcPr>
          <w:p>
            <w:pPr>
              <w:spacing w:after="0"/>
              <w:rPr>
                <w:sz w:val="12"/>
                <w:szCs w:val="12"/>
                <w:color w:val="auto"/>
              </w:rPr>
            </w:pPr>
          </w:p>
        </w:tc>
        <w:tc>
          <w:tcPr>
            <w:tcW w:w="3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2011</w:t>
            </w: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2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Senior notes:</w:t>
            </w:r>
          </w:p>
        </w:tc>
        <w:tc>
          <w:tcPr>
            <w:tcW w:w="47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Active swap agreements</w:t>
            </w:r>
          </w:p>
        </w:tc>
        <w:tc>
          <w:tcPr>
            <w:tcW w:w="4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Terminated swap agreements</w:t>
            </w:r>
          </w:p>
        </w:tc>
        <w:tc>
          <w:tcPr>
            <w:tcW w:w="4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tcPr>
          <w:p>
            <w:pPr>
              <w:spacing w:after="0"/>
              <w:rPr>
                <w:sz w:val="19"/>
                <w:szCs w:val="19"/>
                <w:color w:val="auto"/>
              </w:rPr>
            </w:pPr>
          </w:p>
        </w:tc>
        <w:tc>
          <w:tcPr>
            <w:tcW w:w="4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102</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Gains or losses on the derivatives as well as the offsetting losses or gains on the hedged items attributable to our interest rate swaps are recognized in current earnings. We include gains and losses on our interest rate swaps as adjustments to interest expense, which is the same financial statement line item where offsetting gains and losses on the related hedged items are recorded. The following table summarizes the fair value adjustments from interest rate swaps and the underlying hedged items on our results of operations (in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5"/>
              </w:rPr>
              <w:t>Gain (Loss) on</w:t>
            </w:r>
          </w:p>
        </w:tc>
        <w:tc>
          <w:tcPr>
            <w:tcW w:w="0" w:type="dxa"/>
            <w:vAlign w:val="bottom"/>
          </w:tcPr>
          <w:p>
            <w:pPr>
              <w:spacing w:after="0"/>
              <w:rPr>
                <w:sz w:val="1"/>
                <w:szCs w:val="1"/>
                <w:color w:val="auto"/>
              </w:rPr>
            </w:pPr>
          </w:p>
        </w:tc>
      </w:tr>
      <w:tr>
        <w:trPr>
          <w:trHeight w:val="149"/>
        </w:trPr>
        <w:tc>
          <w:tcPr>
            <w:tcW w:w="18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2"/>
              </w:rPr>
              <w:t>Years Ended December 31,</w:t>
            </w:r>
          </w:p>
        </w:tc>
        <w:tc>
          <w:tcPr>
            <w:tcW w:w="2220" w:type="dxa"/>
            <w:vAlign w:val="bottom"/>
          </w:tcPr>
          <w:p>
            <w:pPr>
              <w:spacing w:after="0"/>
              <w:rPr>
                <w:sz w:val="12"/>
                <w:szCs w:val="12"/>
                <w:color w:val="auto"/>
              </w:rPr>
            </w:pPr>
          </w:p>
        </w:tc>
        <w:tc>
          <w:tcPr>
            <w:tcW w:w="3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Statement of Operations Classification</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Fixed-Rate</w:t>
            </w:r>
          </w:p>
        </w:tc>
        <w:tc>
          <w:tcPr>
            <w:tcW w:w="0" w:type="dxa"/>
            <w:vAlign w:val="bottom"/>
          </w:tcPr>
          <w:p>
            <w:pPr>
              <w:spacing w:after="0"/>
              <w:rPr>
                <w:sz w:val="1"/>
                <w:szCs w:val="1"/>
                <w:color w:val="auto"/>
              </w:rPr>
            </w:pPr>
          </w:p>
        </w:tc>
      </w:tr>
      <w:tr>
        <w:trPr>
          <w:trHeight w:val="168"/>
        </w:trPr>
        <w:tc>
          <w:tcPr>
            <w:tcW w:w="1840" w:type="dxa"/>
            <w:vAlign w:val="bottom"/>
            <w:tcBorders>
              <w:bottom w:val="single" w:sz="8" w:color="auto"/>
            </w:tcBorders>
            <w:vMerge w:val="continue"/>
          </w:tcPr>
          <w:p>
            <w:pPr>
              <w:spacing w:after="0"/>
              <w:rPr>
                <w:sz w:val="14"/>
                <w:szCs w:val="14"/>
                <w:color w:val="auto"/>
              </w:rPr>
            </w:pPr>
          </w:p>
        </w:tc>
        <w:tc>
          <w:tcPr>
            <w:tcW w:w="222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Gain (Loss) on Swap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Debt</w:t>
            </w:r>
          </w:p>
        </w:tc>
        <w:tc>
          <w:tcPr>
            <w:tcW w:w="0" w:type="dxa"/>
            <w:vAlign w:val="bottom"/>
          </w:tcPr>
          <w:p>
            <w:pPr>
              <w:spacing w:after="0"/>
              <w:rPr>
                <w:sz w:val="1"/>
                <w:szCs w:val="1"/>
                <w:color w:val="auto"/>
              </w:rPr>
            </w:pPr>
          </w:p>
        </w:tc>
      </w:tr>
      <w:tr>
        <w:trPr>
          <w:trHeight w:val="203"/>
        </w:trPr>
        <w:tc>
          <w:tcPr>
            <w:tcW w:w="184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2011</w:t>
            </w:r>
          </w:p>
        </w:tc>
        <w:tc>
          <w:tcPr>
            <w:tcW w:w="222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Interest expense</w:t>
            </w:r>
          </w:p>
        </w:tc>
        <w:tc>
          <w:tcPr>
            <w:tcW w:w="8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w:t>
            </w:r>
          </w:p>
        </w:tc>
        <w:tc>
          <w:tcPr>
            <w:tcW w:w="6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right"/>
              <w:spacing w:after="0"/>
              <w:rPr>
                <w:sz w:val="20"/>
                <w:szCs w:val="20"/>
                <w:color w:val="auto"/>
              </w:rPr>
            </w:pPr>
            <w:r>
              <w:rPr>
                <w:rFonts w:ascii="Arial" w:cs="Arial" w:eastAsia="Arial" w:hAnsi="Arial"/>
                <w:sz w:val="18"/>
                <w:szCs w:val="18"/>
                <w:color w:val="auto"/>
              </w:rPr>
              <w:t>2010</w:t>
            </w:r>
          </w:p>
        </w:tc>
        <w:tc>
          <w:tcPr>
            <w:tcW w:w="22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85"/>
              </w:rPr>
              <w:t>Interest expense</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8"/>
                <w:szCs w:val="18"/>
                <w:color w:val="auto"/>
              </w:rPr>
            </w:pP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22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Interest expense</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63"/>
        </w:trPr>
        <w:tc>
          <w:tcPr>
            <w:tcW w:w="1840" w:type="dxa"/>
            <w:vAlign w:val="bottom"/>
          </w:tcPr>
          <w:p>
            <w:pPr>
              <w:spacing w:after="0"/>
              <w:rPr>
                <w:sz w:val="24"/>
                <w:szCs w:val="24"/>
                <w:color w:val="auto"/>
              </w:rPr>
            </w:pPr>
          </w:p>
        </w:tc>
        <w:tc>
          <w:tcPr>
            <w:tcW w:w="5360" w:type="dxa"/>
            <w:vAlign w:val="bottom"/>
            <w:gridSpan w:val="2"/>
          </w:tcPr>
          <w:p>
            <w:pPr>
              <w:jc w:val="right"/>
              <w:ind w:right="1317"/>
              <w:spacing w:after="0"/>
              <w:rPr>
                <w:sz w:val="20"/>
                <w:szCs w:val="20"/>
                <w:color w:val="auto"/>
              </w:rPr>
            </w:pPr>
            <w:r>
              <w:rPr>
                <w:rFonts w:ascii="Arial" w:cs="Arial" w:eastAsia="Arial" w:hAnsi="Arial"/>
                <w:sz w:val="18"/>
                <w:szCs w:val="18"/>
                <w:color w:val="auto"/>
              </w:rPr>
              <w:t>96</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also recognize the impacts of (i) net periodic settlements of current interest on our active interest rate swaps and (ii) the amortization of previously terminated interest rate swap agreements as adjustments to interest expense. The following table summarizes the impact of periodic settlements of active swap agreements and the impact of terminated swap agreements on our results of operations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Decrease to Interest Expense Due to Hedge Accounting for Interest Rate Swaps</w:t>
            </w:r>
          </w:p>
        </w:tc>
        <w:tc>
          <w:tcPr>
            <w:tcW w:w="40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87"/>
              </w:rPr>
              <w:t>Years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Borders>
              <w:bottom w:val="single" w:sz="8" w:color="auto"/>
            </w:tcBorders>
            <w:gridSpan w:val="2"/>
            <w:vMerge w:val="continue"/>
          </w:tcPr>
          <w:p>
            <w:pPr>
              <w:spacing w:after="0"/>
              <w:rPr>
                <w:sz w:val="12"/>
                <w:szCs w:val="12"/>
                <w:color w:val="auto"/>
              </w:rPr>
            </w:pPr>
          </w:p>
        </w:tc>
        <w:tc>
          <w:tcPr>
            <w:tcW w:w="4000" w:type="dxa"/>
            <w:vAlign w:val="bottom"/>
          </w:tcPr>
          <w:p>
            <w:pPr>
              <w:spacing w:after="0"/>
              <w:rPr>
                <w:sz w:val="12"/>
                <w:szCs w:val="12"/>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2011</w:t>
            </w:r>
          </w:p>
        </w:tc>
        <w:tc>
          <w:tcPr>
            <w:tcW w:w="10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4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Periodic settlements of active swap agreements(a)</w:t>
            </w:r>
          </w:p>
        </w:tc>
        <w:tc>
          <w:tcPr>
            <w:tcW w:w="40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$ 23</w:t>
            </w:r>
          </w:p>
        </w:tc>
        <w:tc>
          <w:tcPr>
            <w:tcW w:w="7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$ 29</w:t>
            </w:r>
          </w:p>
        </w:tc>
        <w:tc>
          <w:tcPr>
            <w:tcW w:w="6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Terminated swap agreements</w:t>
            </w:r>
          </w:p>
        </w:tc>
        <w:tc>
          <w:tcPr>
            <w:tcW w:w="40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2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w:t>
            </w:r>
          </w:p>
        </w:tc>
        <w:tc>
          <w:tcPr>
            <w:tcW w:w="6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306"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These amounts represent the net of our periodic variable-rate interest obligations and the swap counterparties’ fixed-rate interest obligations. Our variable-rate obligations are based on a spread from the three-month LIBOR. The significant decline in the benefit from active swaps when comparing 2010 with 2009 is due to a decrease in the notional amount of swaps outstanding, offset, in part, by a decline in three-month LIBOR rates.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2009, we entered into forward-starting interest rate swaps with a total notional value of $525 million to hedge the risk of changes in semi-annual interest payments due to fluctuations in the forward ten-year LIBOR swap rate for anticipated fixed-rate debt issuances in 2011, 2012 and 2014. We designated these forward-starting interest rate swaps as cash flow hedges.</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first quarter of 2011, $150 million of these forward-starting interest rate swaps were terminated contemporaneously with the actual issuance of senior notes in February 2011, and we paid cash of $9 million to settle the liability related to these swap agreements. The ineffectiveness recognized upon termination of the hedges was immaterial and the related deferred loss continues to be recorded as a component of “Accumulated other comprehensive income.” The deferred loss is being amortized as an increase to interest expense over the ten-year life of the senior notes issued in February 2011 using the effective interest method. The incremental interest expense associated with these forward-starting interest rate swaps was immaterial during the year ended December 31, 2011 and is expected to be immaterial over the next twelve months.</w:t>
      </w:r>
    </w:p>
    <w:p>
      <w:pPr>
        <w:spacing w:after="0" w:line="3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forward-starting interest rate swaps outstanding as of December 31, 2011 relate to anticipated debt issuances in November 2012 and March 2014. As of December 31, 2011, the fair value of these active interest rate derivatives was comprised of $42 million of current liabilities and $32 million of long-term liabilities compared with $13 million of long-term liabilities as of December 31, 2010.</w:t>
      </w:r>
    </w:p>
    <w:p>
      <w:pPr>
        <w:spacing w:after="0" w:line="5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recognized pre-tax and after-tax losses of $59 million and $37 million, respectively, to other comprehensive income for changes in the fair value of our forward-starting interest rate swaps during the year ended December 31, 2011 and $33 million and $20 million, respectively, during the year ended December 31, 2010. We recognized pre-tax and after-tax gains of $9 million and $5 million, respectively, to other comprehensive income for changes in the fair value of our forward-starting interest rate swaps during the year ended December 31, 2009. There was no significant ineffectiveness associated with these hedges during the years ended December 31, 2011, 2010 or 2009.</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Rate Locks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third quarter of 2009, we entered into Treasury rate locks with a total notional amount of $200 million to hedge the risk of changes in semi-annual interest payments for a portion of the senior notes that the Company planned to issue in June 2010. The Treasury rate locks were terminated in the second quarter of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contemporaneously with the actual issuance of senior notes, and we paid cash of $7 million upon settlement. In 2009, we recognized pre-tax and after-tax gains of $4 million and $2 million, respectively, to other comprehensive income for changes in the fair value of these Treasury rate locks. In 2010, we recognized pre-tax and after-tax losses of $11 million and $7 million, respectively, to other comprehensive income for changes in the fair value of these Treasury rate locks. There was no significant ineffectiveness associated with these hedges during 2009 or 2010.</w:t>
      </w:r>
    </w:p>
    <w:p>
      <w:pPr>
        <w:spacing w:after="0" w:line="32"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At December 31, 2011 and 2010, our “Accumulated other comprehensive income” included $12 million and $16 million, respectively, of deferred losses, net of taxes, associated with the Treasury rate locks mentioned above and with Treasury rate locks that had been executed in previous years in anticipation of senior note issuances. These deferred losses are reclassified as an increase to interest expense over the life of the related senior note issuances, which extend through 2032. Pre-tax amounts of $7 million, $8 million and $9 million were reclassified out of accumulated other comprehensive income and into interest expense in 2011, 2010 and 2009, respectively. As of December 31, 2011, $7 million (on a pre-tax basis) is scheduled to be reclassified as an increase to interest expense over the next twelve months.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Credit-Risk-Related Contingent Features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Certain of our interest rate derivative instruments contain provisions related to the Company’s credit rating. If the Company’s credit rating were to fall to specified levels below investment grade, the counterparties have the ability to terminate the derivative agreements, resulting in settlement of all affected transactions. As of December 31, 2011, we had not experienced any credit events that would trigger these provisions, nor did we have any derivative instruments with credit-risk-related contingent features that were in a net liability position.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Exchange Derivatives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use foreign currency exchange rate derivatives to hedge our exposure to fluctuations in exchange rates for anticipated intercompany cash transactions between WM Holdings, and its Canadian subsidiaries.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the hedged cash flows included C$370 million of principal and C$22 million of interest scheduled to be paid in December 2010.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intercompany note and related forward contracts matured in December 2010 and we paid cash of U.S. $37 million to settle the forward contracts.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2010, we executed a new C$370 million intercompany debt arrangement and entered into new forward contracts for the related principal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interest cash flows. The total notional value of the forward contracts was C$401 million at December 31, 2010. Interest of C$10 million was paid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30, 2011 and the related forward contract matured, resulting in a remaining notional value of C$391 million at December 31, 2011. Scheduled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as of December 31, 2011 are as follows: C$11 million on November 30, 2012 and C$10 million on October 31, 2013. The principal is scheduled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repaid on October 31, 2013. We designated these forward contracts as cash flow hedges.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Gains or losses on the underlying hedged items attributable to foreign currency exchange risk are recognized in current earnings. The gains or losses on our foreign currency forward contracts that are reclassified out of accumulated other comprehensive income are recognized as adjustments to other income and expense, which is the same financial statement line item where offsetting gains or losses on the related hedged items are recorded. The following table summarizes the pre-tax impacts of our foreign currency cash flow derivatives on our comprehensive income and results of operations (in millions):</w:t>
      </w:r>
    </w:p>
    <w:p>
      <w:pPr>
        <w:sectPr>
          <w:pgSz w:w="11900" w:h="16838" w:orient="portrait"/>
          <w:cols w:equalWidth="0" w:num="1">
            <w:col w:w="11420"/>
          </w:cols>
          <w:pgMar w:left="240" w:top="459" w:right="239" w:bottom="1440" w:gutter="0" w:footer="0" w:header="0"/>
        </w:sectPr>
      </w:pP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3"/>
              </w:rPr>
              <w:t>Derivative Gain or</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Year Ended</w:t>
            </w:r>
          </w:p>
        </w:tc>
        <w:tc>
          <w:tcPr>
            <w:tcW w:w="234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8"/>
              </w:rPr>
              <w:t>(Loss) Recognized</w:t>
            </w:r>
          </w:p>
        </w:tc>
        <w:tc>
          <w:tcPr>
            <w:tcW w:w="0" w:type="dxa"/>
            <w:vAlign w:val="bottom"/>
          </w:tcPr>
          <w:p>
            <w:pPr>
              <w:spacing w:after="0"/>
              <w:rPr>
                <w:sz w:val="1"/>
                <w:szCs w:val="1"/>
                <w:color w:val="auto"/>
              </w:rPr>
            </w:pPr>
          </w:p>
        </w:tc>
      </w:tr>
      <w:tr>
        <w:trPr>
          <w:trHeight w:val="134"/>
        </w:trPr>
        <w:tc>
          <w:tcPr>
            <w:tcW w:w="840" w:type="dxa"/>
            <w:vAlign w:val="bottom"/>
            <w:vMerge w:val="continue"/>
          </w:tcPr>
          <w:p>
            <w:pPr>
              <w:spacing w:after="0"/>
              <w:rPr>
                <w:sz w:val="11"/>
                <w:szCs w:val="11"/>
                <w:color w:val="auto"/>
              </w:rPr>
            </w:pPr>
          </w:p>
        </w:tc>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rPr>
              <w:t>in OCI</w:t>
            </w: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December 31,</w:t>
            </w:r>
          </w:p>
        </w:tc>
        <w:tc>
          <w:tcPr>
            <w:tcW w:w="2340" w:type="dxa"/>
            <w:vAlign w:val="bottom"/>
          </w:tcPr>
          <w:p>
            <w:pPr>
              <w:spacing w:after="0"/>
              <w:rPr>
                <w:sz w:val="12"/>
                <w:szCs w:val="12"/>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2"/>
              </w:rPr>
              <w:t>(Effective Portion)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8"/>
                <w:szCs w:val="18"/>
                <w:color w:val="auto"/>
              </w:rPr>
              <w:t>2011</w:t>
            </w:r>
          </w:p>
        </w:tc>
        <w:tc>
          <w:tcPr>
            <w:tcW w:w="25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4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2010</w:t>
            </w:r>
          </w:p>
        </w:tc>
        <w:tc>
          <w:tcPr>
            <w:tcW w:w="2560" w:type="dxa"/>
            <w:vAlign w:val="bottom"/>
            <w:gridSpan w:val="2"/>
          </w:tcPr>
          <w:p>
            <w:pPr>
              <w:ind w:left="2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2009</w:t>
            </w:r>
          </w:p>
        </w:tc>
        <w:tc>
          <w:tcPr>
            <w:tcW w:w="2560" w:type="dxa"/>
            <w:vAlign w:val="bottom"/>
            <w:gridSpan w:val="2"/>
          </w:tcPr>
          <w:p>
            <w:pPr>
              <w:ind w:left="2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ind w:right="611"/>
        <w:spacing w:after="0"/>
        <w:rPr>
          <w:sz w:val="20"/>
          <w:szCs w:val="20"/>
          <w:color w:val="auto"/>
        </w:rPr>
      </w:pPr>
      <w:r>
        <w:rPr>
          <w:rFonts w:ascii="Arial" w:cs="Arial" w:eastAsia="Arial" w:hAnsi="Arial"/>
          <w:sz w:val="12"/>
          <w:szCs w:val="12"/>
          <w:b w:val="1"/>
          <w:bCs w:val="1"/>
          <w:color w:val="auto"/>
        </w:rPr>
        <w:t>Statement of</w:t>
      </w:r>
    </w:p>
    <w:p>
      <w:pPr>
        <w:spacing w:after="0" w:line="12" w:lineRule="exact"/>
        <w:rPr>
          <w:sz w:val="20"/>
          <w:szCs w:val="20"/>
          <w:color w:val="auto"/>
        </w:rPr>
      </w:pPr>
    </w:p>
    <w:p>
      <w:pPr>
        <w:jc w:val="center"/>
        <w:ind w:right="611"/>
        <w:spacing w:after="0"/>
        <w:rPr>
          <w:sz w:val="20"/>
          <w:szCs w:val="20"/>
          <w:color w:val="auto"/>
        </w:rPr>
      </w:pPr>
      <w:r>
        <w:rPr>
          <w:rFonts w:ascii="Arial" w:cs="Arial" w:eastAsia="Arial" w:hAnsi="Arial"/>
          <w:sz w:val="14"/>
          <w:szCs w:val="14"/>
          <w:b w:val="1"/>
          <w:bCs w:val="1"/>
          <w:color w:val="auto"/>
        </w:rPr>
        <w:t>Operations</w:t>
      </w:r>
    </w:p>
    <w:p>
      <w:pPr>
        <w:jc w:val="center"/>
        <w:ind w:right="611"/>
        <w:spacing w:after="0"/>
        <w:rPr>
          <w:sz w:val="20"/>
          <w:szCs w:val="20"/>
          <w:color w:val="auto"/>
        </w:rPr>
      </w:pPr>
      <w:r>
        <w:rPr>
          <w:rFonts w:ascii="Arial" w:cs="Arial" w:eastAsia="Arial" w:hAnsi="Arial"/>
          <w:sz w:val="11"/>
          <w:szCs w:val="11"/>
          <w:b w:val="1"/>
          <w:bCs w:val="1"/>
          <w:u w:val="single" w:color="auto"/>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30480</wp:posOffset>
            </wp:positionV>
            <wp:extent cx="72466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-129540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91"/>
        <w:spacing w:after="0"/>
        <w:rPr>
          <w:sz w:val="20"/>
          <w:szCs w:val="20"/>
          <w:color w:val="auto"/>
        </w:rPr>
      </w:pPr>
      <w:r>
        <w:rPr>
          <w:rFonts w:ascii="Arial" w:cs="Arial" w:eastAsia="Arial" w:hAnsi="Arial"/>
          <w:sz w:val="12"/>
          <w:szCs w:val="12"/>
          <w:b w:val="1"/>
          <w:bCs w:val="1"/>
          <w:color w:val="auto"/>
        </w:rPr>
        <w:t>Derivative Gain or</w:t>
      </w:r>
    </w:p>
    <w:p>
      <w:pPr>
        <w:spacing w:after="0" w:line="25" w:lineRule="exact"/>
        <w:rPr>
          <w:sz w:val="20"/>
          <w:szCs w:val="20"/>
          <w:color w:val="auto"/>
        </w:rPr>
      </w:pPr>
    </w:p>
    <w:p>
      <w:pPr>
        <w:jc w:val="center"/>
        <w:ind w:right="91"/>
        <w:spacing w:after="0"/>
        <w:rPr>
          <w:sz w:val="20"/>
          <w:szCs w:val="20"/>
          <w:color w:val="auto"/>
        </w:rPr>
      </w:pPr>
      <w:r>
        <w:rPr>
          <w:rFonts w:ascii="Arial" w:cs="Arial" w:eastAsia="Arial" w:hAnsi="Arial"/>
          <w:sz w:val="11"/>
          <w:szCs w:val="11"/>
          <w:b w:val="1"/>
          <w:bCs w:val="1"/>
          <w:color w:val="auto"/>
        </w:rPr>
        <w:t>(Loss) Reclassified</w:t>
      </w:r>
    </w:p>
    <w:p>
      <w:pPr>
        <w:spacing w:after="0" w:line="10" w:lineRule="exact"/>
        <w:rPr>
          <w:sz w:val="20"/>
          <w:szCs w:val="20"/>
          <w:color w:val="auto"/>
        </w:rPr>
      </w:pPr>
    </w:p>
    <w:p>
      <w:pPr>
        <w:jc w:val="center"/>
        <w:ind w:right="91"/>
        <w:spacing w:after="0"/>
        <w:rPr>
          <w:sz w:val="20"/>
          <w:szCs w:val="20"/>
          <w:color w:val="auto"/>
        </w:rPr>
      </w:pPr>
      <w:r>
        <w:rPr>
          <w:rFonts w:ascii="Arial" w:cs="Arial" w:eastAsia="Arial" w:hAnsi="Arial"/>
          <w:sz w:val="14"/>
          <w:szCs w:val="14"/>
          <w:b w:val="1"/>
          <w:bCs w:val="1"/>
          <w:color w:val="auto"/>
        </w:rPr>
        <w:t>from AOCI into</w:t>
      </w:r>
    </w:p>
    <w:p>
      <w:pPr>
        <w:jc w:val="center"/>
        <w:ind w:right="91"/>
        <w:spacing w:after="0" w:line="221" w:lineRule="auto"/>
        <w:rPr>
          <w:sz w:val="20"/>
          <w:szCs w:val="20"/>
          <w:color w:val="auto"/>
        </w:rPr>
      </w:pPr>
      <w:r>
        <w:rPr>
          <w:rFonts w:ascii="Arial" w:cs="Arial" w:eastAsia="Arial" w:hAnsi="Arial"/>
          <w:sz w:val="14"/>
          <w:szCs w:val="14"/>
          <w:b w:val="1"/>
          <w:bCs w:val="1"/>
          <w:color w:val="auto"/>
        </w:rPr>
        <w:t>Income</w:t>
      </w:r>
    </w:p>
    <w:p>
      <w:pPr>
        <w:jc w:val="center"/>
        <w:ind w:right="91"/>
        <w:spacing w:after="0"/>
        <w:rPr>
          <w:sz w:val="20"/>
          <w:szCs w:val="20"/>
          <w:color w:val="auto"/>
        </w:rPr>
      </w:pPr>
      <w:r>
        <w:rPr>
          <w:rFonts w:ascii="Arial" w:cs="Arial" w:eastAsia="Arial" w:hAnsi="Arial"/>
          <w:sz w:val="12"/>
          <w:szCs w:val="12"/>
          <w:b w:val="1"/>
          <w:bCs w:val="1"/>
          <w:u w:val="single" w:color="auto"/>
          <w:color w:val="auto"/>
        </w:rPr>
        <w:t>(Effective Portion)</w:t>
      </w:r>
    </w:p>
    <w:p>
      <w:pPr>
        <w:spacing w:after="0" w:line="22" w:lineRule="exact"/>
        <w:rPr>
          <w:sz w:val="20"/>
          <w:szCs w:val="20"/>
          <w:color w:val="auto"/>
        </w:rPr>
      </w:pPr>
    </w:p>
    <w:p>
      <w:pPr>
        <w:ind w:left="989" w:hanging="989"/>
        <w:spacing w:after="0"/>
        <w:tabs>
          <w:tab w:leader="none" w:pos="989" w:val="left"/>
        </w:tabs>
        <w:numPr>
          <w:ilvl w:val="0"/>
          <w:numId w:val="70"/>
        </w:numPr>
        <w:rPr>
          <w:rFonts w:ascii="Arial" w:cs="Arial" w:eastAsia="Arial" w:hAnsi="Arial"/>
          <w:sz w:val="18"/>
          <w:szCs w:val="18"/>
          <w:color w:val="auto"/>
        </w:rPr>
      </w:pPr>
      <w:r>
        <w:rPr>
          <w:rFonts w:ascii="Arial" w:cs="Arial" w:eastAsia="Arial" w:hAnsi="Arial"/>
          <w:sz w:val="18"/>
          <w:szCs w:val="18"/>
          <w:color w:val="auto"/>
        </w:rPr>
        <w:t>4</w:t>
      </w:r>
    </w:p>
    <w:p>
      <w:pPr>
        <w:spacing w:after="0" w:line="8" w:lineRule="exact"/>
        <w:rPr>
          <w:sz w:val="20"/>
          <w:szCs w:val="20"/>
          <w:color w:val="auto"/>
        </w:rPr>
      </w:pPr>
    </w:p>
    <w:p>
      <w:pPr>
        <w:ind w:left="849" w:hanging="849"/>
        <w:spacing w:after="0"/>
        <w:tabs>
          <w:tab w:leader="none" w:pos="8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(18)</w:t>
      </w:r>
    </w:p>
    <w:p>
      <w:pPr>
        <w:spacing w:after="0" w:line="32" w:lineRule="exact"/>
        <w:rPr>
          <w:rFonts w:ascii="Arial" w:cs="Arial" w:eastAsia="Arial" w:hAnsi="Arial"/>
          <w:sz w:val="16"/>
          <w:szCs w:val="16"/>
          <w:color w:val="auto"/>
        </w:rPr>
      </w:pPr>
    </w:p>
    <w:p>
      <w:pPr>
        <w:ind w:left="849" w:hanging="849"/>
        <w:spacing w:after="0"/>
        <w:tabs>
          <w:tab w:leader="none" w:pos="8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(47)</w:t>
      </w:r>
    </w:p>
    <w:p>
      <w:pPr>
        <w:spacing w:after="0" w:line="107" w:lineRule="exact"/>
        <w:rPr>
          <w:sz w:val="20"/>
          <w:szCs w:val="20"/>
          <w:color w:val="auto"/>
        </w:rPr>
      </w:pPr>
    </w:p>
    <w:p>
      <w:pPr>
        <w:sectPr>
          <w:pgSz w:w="11900" w:h="16838" w:orient="portrait"/>
          <w:cols w:equalWidth="0" w:num="3">
            <w:col w:w="4960" w:space="720"/>
            <w:col w:w="3831" w:space="720"/>
            <w:col w:w="1189"/>
          </w:cols>
          <w:pgMar w:left="240" w:top="459" w:right="239" w:bottom="1440" w:gutter="0" w:footer="0" w:header="0"/>
          <w:type w:val="continuous"/>
        </w:sectPr>
      </w:pPr>
    </w:p>
    <w:p>
      <w:pPr>
        <w:ind w:firstLine="456"/>
        <w:spacing w:after="0" w:line="253" w:lineRule="auto"/>
        <w:rPr>
          <w:sz w:val="20"/>
          <w:szCs w:val="20"/>
          <w:color w:val="auto"/>
        </w:rPr>
      </w:pPr>
      <w:r>
        <w:rPr>
          <w:rFonts w:ascii="Arial" w:cs="Arial" w:eastAsia="Arial" w:hAnsi="Arial"/>
          <w:sz w:val="18"/>
          <w:szCs w:val="18"/>
          <w:color w:val="auto"/>
        </w:rPr>
        <w:t>Amounts reported in other comprehensive income and accumulated other comprehensive income are reported net of tax. Adjustments to other comprehensive income for changes in the fair value of our foreign currency cash flow hedges resulted in the recognition of after-tax gains of $1 million during the year ended December 31, 2011; after-tax losses of $14 million during the year ended December 31, 2010; and after-tax losses of $28 million during the year ended December 31, 2009. After-tax adjustments for the reclassification of gains from accumulated other comprehensive income into income were $2 million during the year ended December 31, 2011. After-tax adjustments for the reclassification of losses from accumulated other comprehensive income into income were $11 million and $28 million during the years ended December 2010 and 2009, respectively. Ineffectiveness has been included in other income and expense during each of the reported periods. There was no significant ineffectiveness associated with these hedges during the years ended December 31, 2011, 2010 or 2009.</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Electricity Commodity Derivatives</w:t>
      </w:r>
    </w:p>
    <w:p>
      <w:pPr>
        <w:spacing w:after="0" w:line="90" w:lineRule="exact"/>
        <w:rPr>
          <w:sz w:val="20"/>
          <w:szCs w:val="20"/>
          <w:color w:val="auto"/>
        </w:rPr>
      </w:pPr>
    </w:p>
    <w:p>
      <w:pPr>
        <w:ind w:right="460" w:firstLine="456"/>
        <w:spacing w:after="0" w:line="294" w:lineRule="auto"/>
        <w:rPr>
          <w:sz w:val="20"/>
          <w:szCs w:val="20"/>
          <w:color w:val="auto"/>
        </w:rPr>
      </w:pPr>
      <w:r>
        <w:rPr>
          <w:rFonts w:ascii="Arial" w:cs="Arial" w:eastAsia="Arial" w:hAnsi="Arial"/>
          <w:sz w:val="16"/>
          <w:szCs w:val="16"/>
          <w:color w:val="auto"/>
        </w:rPr>
        <w:t>As a result of the expiration of certain long-term electricity contracts at our waste-to-energy facilities, we use short-term “receive fixed, pay variable” electricity commodity swaps to mitigate the variability in our revenues and cash flows caused by fluctuations in the market prices for electricity. We hedged 672,360 megawatt hours, or approximately 26%, of our Wheelabrator Group’s full year 2010 merchant electricity sales and 1.55 million megawatt hours, or approximately 50%, of the Group’s full year 2011 merchant electricity sales. The swaps executed through December 31, 2011 are expected to hedge about 628,800 megawatt hours, or approximately 19%, of the Group’s full year 2012 merchant electricity sales.</w:t>
      </w:r>
    </w:p>
    <w:p>
      <w:pPr>
        <w:spacing w:after="0" w:line="3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recognized pre-tax and after-tax gains of $8 million and $5 million, respectively, to other comprehensive income for changes in the fair value of our electricity commodity derivatives during the year ended December 31, 2011. We recognized pre-tax and after-tax adjustments of $2 million and $1 million, respectively, for the reclassification of gains from accumulated other comprehensive income into income during the year ended December 31, 2011. All financial statement impacts associated with these derivatives were immaterial for the year ended December 31, 2010. There was no significant ineffectiveness associated with these cash flow hedges during 2011 or 2010.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“Provision for income taxes” consisted of the following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4"/>
              </w:rPr>
              <w:t>Years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5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$407</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23"/>
        </w:trPr>
        <w:tc>
          <w:tcPr>
            <w:tcW w:w="20" w:type="dxa"/>
            <w:vAlign w:val="bottom"/>
          </w:tcPr>
          <w:p>
            <w:pPr>
              <w:spacing w:after="0"/>
              <w:rPr>
                <w:sz w:val="19"/>
                <w:szCs w:val="19"/>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5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State</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5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198</w:t>
            </w:r>
          </w:p>
        </w:tc>
        <w:tc>
          <w:tcPr>
            <w:tcW w:w="5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154</w:t>
            </w:r>
          </w:p>
        </w:tc>
        <w:tc>
          <w:tcPr>
            <w:tcW w:w="58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5"/>
              </w:rPr>
              <w:t>$</w:t>
            </w:r>
            <w:r>
              <w:rPr>
                <w:rFonts w:ascii="Arial" w:cs="Arial" w:eastAsia="Arial" w:hAnsi="Arial"/>
                <w:sz w:val="18"/>
                <w:szCs w:val="18"/>
                <w:color w:val="auto"/>
                <w:w w:val="75"/>
              </w:rPr>
              <w:t xml:space="preserve"> 511</w:t>
            </w:r>
          </w:p>
        </w:tc>
        <w:tc>
          <w:tcPr>
            <w:tcW w:w="58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629</w:t>
            </w:r>
          </w:p>
        </w:tc>
        <w:tc>
          <w:tcPr>
            <w:tcW w:w="58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U.S. federal statutory income tax rate is reconciled to the effective rate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6"/>
              </w:rPr>
              <w:t>Years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at U.S. federal statutory rate</w:t>
            </w:r>
          </w:p>
        </w:tc>
        <w:tc>
          <w:tcPr>
            <w:tcW w:w="3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4"/>
              </w:rPr>
              <w:t>35.00%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35.00%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5"/>
              </w:rPr>
              <w:t>State and local income taxes, net of federal income tax benefit</w:t>
            </w:r>
          </w:p>
        </w:tc>
        <w:tc>
          <w:tcPr>
            <w:tcW w:w="4040" w:type="dxa"/>
            <w:vAlign w:val="bottom"/>
            <w:gridSpan w:val="3"/>
          </w:tcPr>
          <w:p>
            <w:pPr>
              <w:jc w:val="right"/>
              <w:ind w:right="512"/>
              <w:spacing w:after="0"/>
              <w:rPr>
                <w:sz w:val="20"/>
                <w:szCs w:val="20"/>
                <w:color w:val="auto"/>
              </w:rPr>
            </w:pPr>
            <w:r>
              <w:rPr>
                <w:rFonts w:ascii="Arial" w:cs="Arial" w:eastAsia="Arial" w:hAnsi="Arial"/>
                <w:sz w:val="18"/>
                <w:szCs w:val="18"/>
                <w:color w:val="auto"/>
              </w:rPr>
              <w:t>3.46</w:t>
            </w:r>
          </w:p>
        </w:tc>
        <w:tc>
          <w:tcPr>
            <w:tcW w:w="460" w:type="dxa"/>
            <w:vAlign w:val="bottom"/>
          </w:tcPr>
          <w:p>
            <w:pPr>
              <w:jc w:val="right"/>
              <w:spacing w:after="0"/>
              <w:rPr>
                <w:sz w:val="20"/>
                <w:szCs w:val="20"/>
                <w:color w:val="auto"/>
              </w:rPr>
            </w:pPr>
            <w:r>
              <w:rPr>
                <w:rFonts w:ascii="Arial" w:cs="Arial" w:eastAsia="Arial" w:hAnsi="Arial"/>
                <w:sz w:val="18"/>
                <w:szCs w:val="18"/>
                <w:color w:val="auto"/>
              </w:rPr>
              <w:t>4.50</w:t>
            </w:r>
          </w:p>
        </w:tc>
        <w:tc>
          <w:tcPr>
            <w:tcW w:w="5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federal tax credits</w:t>
            </w:r>
          </w:p>
        </w:tc>
        <w:tc>
          <w:tcPr>
            <w:tcW w:w="404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(3.29)</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(1.67)</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4040" w:type="dxa"/>
            <w:vAlign w:val="bottom"/>
            <w:gridSpan w:val="3"/>
          </w:tcPr>
          <w:p>
            <w:pPr>
              <w:jc w:val="right"/>
              <w:ind w:right="452"/>
              <w:spacing w:after="0"/>
              <w:rPr>
                <w:sz w:val="20"/>
                <w:szCs w:val="20"/>
                <w:color w:val="auto"/>
              </w:rPr>
            </w:pPr>
            <w:r>
              <w:rPr>
                <w:rFonts w:ascii="Arial" w:cs="Arial" w:eastAsia="Arial" w:hAnsi="Arial"/>
                <w:sz w:val="18"/>
                <w:szCs w:val="18"/>
                <w:color w:val="auto"/>
              </w:rPr>
              <w:t>(1.11)</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(1.05)</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8"/>
              </w:rPr>
              <w:t>Taxing authority audit settlements and other tax adjustments</w:t>
            </w:r>
          </w:p>
        </w:tc>
        <w:tc>
          <w:tcPr>
            <w:tcW w:w="404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(0.47)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Nondeductible costs relating to acquired intangibles</w:t>
            </w:r>
          </w:p>
        </w:tc>
        <w:tc>
          <w:tcPr>
            <w:tcW w:w="4040" w:type="dxa"/>
            <w:vAlign w:val="bottom"/>
            <w:gridSpan w:val="3"/>
          </w:tcPr>
          <w:p>
            <w:pPr>
              <w:jc w:val="right"/>
              <w:ind w:right="512"/>
              <w:spacing w:after="0"/>
              <w:rPr>
                <w:sz w:val="20"/>
                <w:szCs w:val="20"/>
                <w:color w:val="auto"/>
              </w:rPr>
            </w:pPr>
            <w:r>
              <w:rPr>
                <w:rFonts w:ascii="Arial" w:cs="Arial" w:eastAsia="Arial" w:hAnsi="Arial"/>
                <w:sz w:val="18"/>
                <w:szCs w:val="18"/>
                <w:color w:val="auto"/>
              </w:rPr>
              <w:t>0.08</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0.11</w:t>
            </w:r>
          </w:p>
        </w:tc>
        <w:tc>
          <w:tcPr>
            <w:tcW w:w="460" w:type="dxa"/>
            <w:vAlign w:val="bottom"/>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Tax rate differential on foreign income</w:t>
            </w:r>
          </w:p>
        </w:tc>
        <w:tc>
          <w:tcPr>
            <w:tcW w:w="404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(0.70)</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(0.39)</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Cumulative effect of change in tax rates</w:t>
            </w:r>
          </w:p>
        </w:tc>
        <w:tc>
          <w:tcPr>
            <w:tcW w:w="4040" w:type="dxa"/>
            <w:vAlign w:val="bottom"/>
            <w:gridSpan w:val="3"/>
          </w:tcPr>
          <w:p>
            <w:pPr>
              <w:jc w:val="right"/>
              <w:ind w:right="512"/>
              <w:spacing w:after="0"/>
              <w:rPr>
                <w:sz w:val="20"/>
                <w:szCs w:val="20"/>
                <w:color w:val="auto"/>
              </w:rPr>
            </w:pPr>
            <w:r>
              <w:rPr>
                <w:rFonts w:ascii="Arial" w:cs="Arial" w:eastAsia="Arial" w:hAnsi="Arial"/>
                <w:sz w:val="18"/>
                <w:szCs w:val="18"/>
                <w:color w:val="auto"/>
              </w:rPr>
              <w:t>0.12</w:t>
            </w:r>
          </w:p>
        </w:tc>
        <w:tc>
          <w:tcPr>
            <w:tcW w:w="460" w:type="dxa"/>
            <w:vAlign w:val="bottom"/>
          </w:tcPr>
          <w:p>
            <w:pPr>
              <w:jc w:val="right"/>
              <w:spacing w:after="0"/>
              <w:rPr>
                <w:sz w:val="20"/>
                <w:szCs w:val="20"/>
                <w:color w:val="auto"/>
              </w:rPr>
            </w:pPr>
            <w:r>
              <w:rPr>
                <w:rFonts w:ascii="Arial" w:cs="Arial" w:eastAsia="Arial" w:hAnsi="Arial"/>
                <w:sz w:val="18"/>
                <w:szCs w:val="18"/>
                <w:color w:val="auto"/>
              </w:rPr>
              <w:t>1.74</w:t>
            </w:r>
          </w:p>
        </w:tc>
        <w:tc>
          <w:tcPr>
            <w:tcW w:w="5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Utilization of capital loss</w:t>
            </w:r>
          </w:p>
        </w:tc>
        <w:tc>
          <w:tcPr>
            <w:tcW w:w="3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w:t>
            </w:r>
          </w:p>
        </w:tc>
        <w:tc>
          <w:tcPr>
            <w:tcW w:w="3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0.52</w:t>
            </w:r>
          </w:p>
        </w:tc>
        <w:tc>
          <w:tcPr>
            <w:tcW w:w="58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(0.25)</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4"/>
              </w:rPr>
              <w:t>33.61%</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38.53%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000" w:type="dxa"/>
            <w:vAlign w:val="bottom"/>
            <w:vMerge w:val="restart"/>
          </w:tcPr>
          <w:p>
            <w:pPr>
              <w:jc w:val="right"/>
              <w:ind w:right="2292"/>
              <w:spacing w:after="0"/>
              <w:rPr>
                <w:sz w:val="20"/>
                <w:szCs w:val="20"/>
                <w:color w:val="auto"/>
              </w:rPr>
            </w:pPr>
            <w:r>
              <w:rPr>
                <w:rFonts w:ascii="Arial" w:cs="Arial" w:eastAsia="Arial" w:hAnsi="Arial"/>
                <w:sz w:val="18"/>
                <w:szCs w:val="18"/>
                <w:color w:val="auto"/>
              </w:rPr>
              <w:t>100</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comparability of our income taxes for the reported periods has been primarily affected by variations in our income before income taxes, tax audit settlements, changes in effective state and Canadian statutory tax rates, realization of state net operating loss and credit carry-forwards, utilization of a capital loss carry-back and miscellaneous federal tax credits. For financial reporting purposes, income before income taxes showing domestic and foreign sources was as follows (in millions) for the years ended December 31, 2011, 2010 and 2009:</w:t>
      </w:r>
    </w:p>
    <w:p>
      <w:pPr>
        <w:spacing w:after="0" w:line="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620" w:type="dxa"/>
            <w:vAlign w:val="bottom"/>
            <w:gridSpan w:val="6"/>
          </w:tcPr>
          <w:p>
            <w:pPr>
              <w:ind w:left="4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50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2011</w:t>
            </w:r>
          </w:p>
        </w:tc>
        <w:tc>
          <w:tcPr>
            <w:tcW w:w="10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$1,394</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$1,517</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Foreign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1,520</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1,473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Tax Audit Settlements </w:t>
      </w:r>
      <w:r>
        <w:rPr>
          <w:rFonts w:ascii="Arial" w:cs="Arial" w:eastAsia="Arial" w:hAnsi="Arial"/>
          <w:sz w:val="18"/>
          <w:szCs w:val="18"/>
          <w:color w:val="auto"/>
        </w:rPr>
        <w:t>— The Company and its subsidiaries file income tax returns in the United States, Canada and Puerto Rico, as well as various state</w:t>
      </w:r>
      <w:r>
        <w:rPr>
          <w:rFonts w:ascii="Arial" w:cs="Arial" w:eastAsia="Arial" w:hAnsi="Arial"/>
          <w:sz w:val="18"/>
          <w:szCs w:val="18"/>
          <w:i w:val="1"/>
          <w:iCs w:val="1"/>
          <w:color w:val="auto"/>
        </w:rPr>
        <w:t xml:space="preserve"> </w:t>
      </w:r>
      <w:r>
        <w:rPr>
          <w:rFonts w:ascii="Arial" w:cs="Arial" w:eastAsia="Arial" w:hAnsi="Arial"/>
          <w:sz w:val="18"/>
          <w:szCs w:val="18"/>
          <w:color w:val="auto"/>
        </w:rPr>
        <w:t>and local jurisdictions. We are currently under audit by the IRS and from time to time we are audited by other taxing authorities. Our audits are in various stages of completion.</w:t>
      </w:r>
    </w:p>
    <w:p>
      <w:pPr>
        <w:spacing w:after="0" w:line="59"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During 2011 we settled various state tax audits. The settlement of these tax audits resulted in a reduction to our “Provision for income taxes” of $12 million, or $0.03 per diluted share, for the year ended December 31, 2011.</w:t>
      </w:r>
    </w:p>
    <w:p>
      <w:pPr>
        <w:spacing w:after="0" w:line="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2010, we settled the IRS audit for the 2009 tax year as well as various state tax audits. In addition, we finalized audits in Canada through 2005. The settlement of these tax audits resulted in a reduction to our “Provision for income taxes” of $8 million, or $0.02 per diluted share, for the year ended December 31, 2010.</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2009, we settled the IRS audit for the 2008 tax year as well as various state tax audits. The settlement of these audits resulted in a reduction to our “Provision for income taxes” of $11 million, or $0.02 per diluted share, for the year ended December 31, 2009.</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currently in the examination phase of IRS audits for the tax years 2010, 2011 and 2012 and expect these audits to be completed within the next three, 12 and 24 months, respectively. We participate in the IRS’s Compliance Assurance Program, which means we work with the IRS throughout the year in order to resolve any material issues prior to the filing of our year-end tax return. We are also currently undergoing audits by various state and local jurisdictions that date back to 2000. We have finalized audits in Canada through the 2005 tax year and are not currently under audit for any subsequent tax years in Canada. On July 28, 2011, we acquired Oakleaf, which is subject to IRS examinations for years dating back to 2008 and state income tax examinations for years dating back to 2002. Pursuant to the terms of our acquisition of Oakleaf, we are entitled to certain indemnifications for Oakleaf’s pre-acquisition tax liabilities.</w:t>
      </w:r>
    </w:p>
    <w:p>
      <w:pPr>
        <w:spacing w:after="0" w:line="3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Effective State Tax Rate Change </w:t>
      </w:r>
      <w:r>
        <w:rPr>
          <w:rFonts w:ascii="Arial" w:cs="Arial" w:eastAsia="Arial" w:hAnsi="Arial"/>
          <w:sz w:val="16"/>
          <w:szCs w:val="16"/>
          <w:color w:val="auto"/>
        </w:rPr>
        <w:t>— During 2011, our state deferred income taxes increased by $3 million to reflect the impact of changes in the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tax rate at which existing temporary differences will be realized. During 2010, our current state tax rate increased from 6.25% to 6.75% resulting in an increase to our provision for income taxes of $5 million. In addition, our state deferred income taxes increased $37 million to reflect the impact of changes in the estimated tax rate at which existing temporary differences will be realized. During 2009, our current state tax rate increased from 6.0% to 6.25% and our deferred state tax rate increased from 5.5% to 5.75%, resulting in an increase to our income taxes of $3 million and $6 million, respectively. The increases in these rates are primarily due to changes in state law. The comparison of our effective state tax rate during the reported periods has also been affected by return-to-accrual adjustments, which reduced our “Provision for income taxes” in 2011 and 2009 and increased our “Provision for income taxes” in 2010.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Canada Statutory Tax Rate Change </w:t>
      </w:r>
      <w:r>
        <w:rPr>
          <w:rFonts w:ascii="Arial" w:cs="Arial" w:eastAsia="Arial" w:hAnsi="Arial"/>
          <w:sz w:val="18"/>
          <w:szCs w:val="18"/>
          <w:color w:val="auto"/>
        </w:rPr>
        <w:t>— During 2009, the provincial tax rates in Ontario were reduced, which resulted in a $13 million tax benefit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revaluation of the related deferred tax balances.</w:t>
      </w:r>
    </w:p>
    <w:p>
      <w:pPr>
        <w:spacing w:after="0" w:line="5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i w:val="1"/>
          <w:iCs w:val="1"/>
          <w:color w:val="auto"/>
        </w:rPr>
        <w:t xml:space="preserve">State Net Operating Loss and Credit Carry-Forwards </w:t>
      </w:r>
      <w:r>
        <w:rPr>
          <w:rFonts w:ascii="Arial" w:cs="Arial" w:eastAsia="Arial" w:hAnsi="Arial"/>
          <w:sz w:val="16"/>
          <w:szCs w:val="16"/>
          <w:color w:val="auto"/>
        </w:rPr>
        <w:t>— During 2011, 2010, and 2009, we utilized state net operating loss and credit carry-forwards</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a reduction to our “Provision for income taxes” for those periods of $4 million, $4 million and $35 million, respectively.</w:t>
      </w:r>
    </w:p>
    <w:p>
      <w:pPr>
        <w:spacing w:after="0" w:line="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Capital Loss Carry-Back </w:t>
      </w:r>
      <w:r>
        <w:rPr>
          <w:rFonts w:ascii="Arial" w:cs="Arial" w:eastAsia="Arial" w:hAnsi="Arial"/>
          <w:sz w:val="16"/>
          <w:szCs w:val="16"/>
          <w:color w:val="auto"/>
        </w:rPr>
        <w:t>— During 2009, we generated a capital loss from the liquidation of a foreign subsidiary. We determined that the capital loss could</w:t>
      </w:r>
      <w:r>
        <w:rPr>
          <w:rFonts w:ascii="Arial" w:cs="Arial" w:eastAsia="Arial" w:hAnsi="Arial"/>
          <w:sz w:val="16"/>
          <w:szCs w:val="16"/>
          <w:i w:val="1"/>
          <w:iCs w:val="1"/>
          <w:color w:val="auto"/>
        </w:rPr>
        <w:t xml:space="preserve"> </w:t>
      </w:r>
      <w:r>
        <w:rPr>
          <w:rFonts w:ascii="Arial" w:cs="Arial" w:eastAsia="Arial" w:hAnsi="Arial"/>
          <w:sz w:val="16"/>
          <w:szCs w:val="16"/>
          <w:color w:val="auto"/>
        </w:rPr>
        <w:t>be utilized to offset capital gains from 2006 and 2007, which resulted in a reduction to our 2009 “Provision for income taxes” of $65 million.</w:t>
      </w:r>
    </w:p>
    <w:p>
      <w:pPr>
        <w:spacing w:after="0" w:line="4"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January 2011, we acquired a noncontrolling interest in a limited liability company, which was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a refined coal facility in North Dakota. The facility’s refinement processes qualify for federal tax credits that are expected to be realized through 2019 in accordance with Section 45 of the Internal Revenue Code. Our initial consideration for this investment consisted of a cash payment of $48 million.</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account for our investment in this entity using the equity method of accounting, recognizing our share of the entity’s results and other reductions in “Equity in net losses of unconsolidated entities,” within our Condensed Consolidated Statement of Operations. During the year ended December 31, 2011, we recognized $6 million of net losses resulting from our share of the entity’s operating losses. Our tax provision for the year ended December 31, 2011 was reduced by $17 million primarily as a result of tax credits realized from this investment. See Note 20 for additional information related to this investment.</w:t>
      </w:r>
    </w:p>
    <w:p>
      <w:pPr>
        <w:spacing w:after="0" w:line="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Investment in Federal Low-income Housing Tax Credits </w:t>
      </w:r>
      <w:r>
        <w:rPr>
          <w:rFonts w:ascii="Arial" w:cs="Arial" w:eastAsia="Arial" w:hAnsi="Arial"/>
          <w:sz w:val="18"/>
          <w:szCs w:val="18"/>
          <w:color w:val="auto"/>
        </w:rPr>
        <w:t>— In April 2010, we acquired a noncontrolling interest in a limited liability company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 in and manage low-income housing properties. The entity’s low-income housing investments qualify for federal tax credits that are expected to be realized through 2020 in accordance with Section 42 of the Internal Revenue Code.</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account for our investment in this entity using the equity method of accounting. We recognize our share of the entity’s results and reductions in value of our investment in “Equity in net losses of unconsolidated entities,” within our Consolidated Statement of Operations. The value of our investment decreases as the tax credits are generated and utilized. During the years ended December 31, 2011 and 2010, we recognized $23 million and $19 million of losses relating to our equity investment in this entity, $8 million and $5 million of interest expense, and a reduction in our tax provision of $38 million (including $26 million of tax credits) and $26 million (including $16 million of tax credits), respectively. See Note 20 for additional information related to this investment.</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Unremitted Earnings in Foreign Subsidiaries </w:t>
      </w:r>
      <w:r>
        <w:rPr>
          <w:rFonts w:ascii="Arial" w:cs="Arial" w:eastAsia="Arial" w:hAnsi="Arial"/>
          <w:sz w:val="16"/>
          <w:szCs w:val="16"/>
          <w:color w:val="auto"/>
        </w:rPr>
        <w:t>— At December 31, 2011, remaining unremitted earnings in foreign operations were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$750 million, which are considered permanently invested and, therefore, no provision for U.S. income taxes has been accrued for these unremitted earnings.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Determination of the unrecognized deferred U.S. income tax liability is not practicable due to uncertainties related to the timing and source of any potential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such funds, along with other important factors such as the amount of associated foreign tax credits.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net deferred tax assets (liabilities) at December 31 are as follows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2011</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operating loss, capital loss and tax credit carry-forwards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Miscellaneous and other reserves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(1,282)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and other intangibles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440"/>
              <w:spacing w:after="0"/>
              <w:rPr>
                <w:sz w:val="20"/>
                <w:szCs w:val="20"/>
                <w:color w:val="auto"/>
              </w:rPr>
            </w:pPr>
            <w:r>
              <w:rPr>
                <w:rFonts w:ascii="Arial" w:cs="Arial" w:eastAsia="Arial" w:hAnsi="Arial"/>
                <w:sz w:val="18"/>
                <w:szCs w:val="18"/>
                <w:color w:val="auto"/>
              </w:rPr>
              <w:t>Net deferred tax liabilities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(1,805)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(1,622)</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valuation allowance increased by $24 million in 2011 due to our acquisition of Oakleaf, changes in our capital loss carry-forward and changes in our state NOL and credit carry-forwards.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2011, we had $120 million of federal net operating loss, or NOL, carry-forwards and $1.4 billion of state NOL carry-forwards. The federal and state NOL carry-forwards have expiration dates through the year 2031. We also have a $104 million capital loss carry-forward that expires in 2014. In addition, we have $39 million of state tax credit carry-forwards at December 31, 2011.</w:t>
      </w:r>
    </w:p>
    <w:p>
      <w:pPr>
        <w:spacing w:after="0" w:line="5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Liabilities for Uncertain Tax Positions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 reconciliation of the beginning and ending amount of gross unrecognized tax benefits, including accrued interest for 2011, 2010 and 2009 is as follows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$ 53</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$ 75</w:t>
            </w:r>
          </w:p>
        </w:tc>
        <w:tc>
          <w:tcPr>
            <w:tcW w:w="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Additions based on tax positions related to the current year</w:t>
            </w: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based on tax positions of prior years</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Additions due to acquisitions</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Reductions for tax positions of prior years</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Lapse of statute of limitations</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$ 53</w:t>
            </w:r>
          </w:p>
        </w:tc>
        <w:tc>
          <w:tcPr>
            <w:tcW w:w="60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These liabilities are primarily included as a component of long-term “Other liabilities” in our Consolidated Balance Sheets because the Company generally does not anticipate that settlement of the liabilities will require payment of cash within the next twelve months. As of December 31, 2011, $32 million of net unrecognized tax benefits, if recognized in future periods, would impact our effective tax rate.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recognize interest expense related to unrecognized tax benefits in tax expense. During the years ended December 31, 2011, 2010 and 2009 we recognized approximately $2 million, $3 million and $4 million, respectively, of such interest expense as a component of our “Provision for income taxes.” We had approximately $7 million and $8 million of accrued interest in our Consolidated Balance Sheets as of December 31, 2011 and 2010, respectively. We do not have any accrued liabilities or expense for penalties related to unrecognized tax benefits for the years ended December 31, 2011, 2010 and 2009.</w:t>
      </w:r>
    </w:p>
    <w:p>
      <w:pPr>
        <w:spacing w:after="0" w:line="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anticipate that approximately $7 million of liabilities for unrecognized tax benefits, including accrued interest, and $2 million of related deferred tax assets may be reversed within the next 12 months. The anticipated reversals are related to state tax items, none of which are material, and are expected to result from audit settlements or the expiration of the applicable statute of limitations period.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Legislation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Tax Relief, Unemployment Insurance Reauthorization, and Job Creation Act, signed into law on December 17, 2010, included an extension of the bonus depreciation allowance through the end of 2012 and increased the amount of qualifying capital expenditures that can be depreciated immediately from 50% to 100%. The 100% depreciation deduction applies to qualifying property placed in service from September 8, 2010 through December 31, 2011. The acceleration of deductions on 2011 capital expenditures resulting from the bonus depreciation provision had no impact on our 2011 effective tax rate. However, the ability to accelerate depreciation deductions decreased our 2011 cash taxes by approximately $190 million. Taking the accelerated tax depreciation will result in increased cash taxes in future periods when the deductions for these capital expenditures would have otherwise been taken.</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Employee Benefit Plans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Defined Contribution Plans — </w:t>
      </w:r>
      <w:r>
        <w:rPr>
          <w:rFonts w:ascii="Arial" w:cs="Arial" w:eastAsia="Arial" w:hAnsi="Arial"/>
          <w:sz w:val="16"/>
          <w:szCs w:val="16"/>
          <w:color w:val="auto"/>
        </w:rPr>
        <w:t>Our Waste Management retirement savings plans are 401(k) plans that cover employees, except those working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 bargaining agreements that do not allow for coverage under such plans. Employees are generally eligible to participate in the plans following a 90-day waiting period after hire and may contribute as much as 25% of their annual compensation, subject to annual contribution limitations established by the IRS. Under our largest retirement savings plan, we match, in cash, 100% of employee contributions on the first 3% of their eligible compensation and match 50% of employee contributions on the next 3% of their eligible compensation, resulting in a maximum match of 4.5%. Both employee and Company contributions vest immediately. Charges to “Operating” and “Selling, general and administrative” expenses for our defined contribution plans were $61 million in 2011, $55 million in 2010 and $50 million in 2009.</w:t>
      </w:r>
    </w:p>
    <w:p>
      <w:pPr>
        <w:spacing w:after="0" w:line="3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Defined Benefit Plans (other than multiemployer defined benefit plans discussed below) — </w:t>
      </w:r>
      <w:r>
        <w:rPr>
          <w:rFonts w:ascii="Arial" w:cs="Arial" w:eastAsia="Arial" w:hAnsi="Arial"/>
          <w:sz w:val="18"/>
          <w:szCs w:val="18"/>
          <w:color w:val="auto"/>
        </w:rPr>
        <w:t>Certain of the Company’s subsidiaries sponsor pension plans</w:t>
      </w:r>
      <w:r>
        <w:rPr>
          <w:rFonts w:ascii="Arial" w:cs="Arial" w:eastAsia="Arial" w:hAnsi="Arial"/>
          <w:sz w:val="18"/>
          <w:szCs w:val="18"/>
          <w:i w:val="1"/>
          <w:iCs w:val="1"/>
          <w:color w:val="auto"/>
        </w:rPr>
        <w:t xml:space="preserve"> </w:t>
      </w:r>
      <w:r>
        <w:rPr>
          <w:rFonts w:ascii="Arial" w:cs="Arial" w:eastAsia="Arial" w:hAnsi="Arial"/>
          <w:sz w:val="18"/>
          <w:szCs w:val="18"/>
          <w:color w:val="auto"/>
        </w:rPr>
        <w:t>that cover employees not otherwise covered by the Waste Management retirement savings plans. These employees are members of collective bargaining units. In addition, Wheelabrator Technologies Inc., a wholly-owned subsidiary, sponsors a pension plan for its former executives and former Board members. As of December 31, 2011, the combined benefit obligation of these pension plans was $92 million, and the plans had $62 million of plan assets, resulting in an unfunded benefit obligation for these plans of $30 million.</w:t>
      </w:r>
    </w:p>
    <w:p>
      <w:pPr>
        <w:spacing w:after="0" w:line="6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addition, WM Holdings and certain of its subsidiaries provided post-retirement health care and other benefits to eligible employees. In conjunction with our acquisition of WM Holdings in July 1998, we limited participation in these plans to participating retired employees as of December 31, 1998. The unfunded benefit obligation for these plans was $43 million at December 31, 2011.</w:t>
      </w:r>
    </w:p>
    <w:p>
      <w:pPr>
        <w:spacing w:after="0" w:line="59"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Our accrued benefit liabilities for our defined benefit pension and other post-retirement plans are $73 million as of December 31, 2011 and are included as components of “Accrued liabilities” and long-term “Other liabilities” in our Consolidated Balance Sheet.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Multiemployer Defined Benefit Plans — </w:t>
      </w:r>
      <w:r>
        <w:rPr>
          <w:rFonts w:ascii="Arial" w:cs="Arial" w:eastAsia="Arial" w:hAnsi="Arial"/>
          <w:sz w:val="18"/>
          <w:szCs w:val="18"/>
          <w:color w:val="auto"/>
        </w:rPr>
        <w:t>We are a participating employer in a number of trustee-managed multiemployer, defined benefit pension plans for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who participate in collective bargaining agreements. The risks of participating in these multiemployer plans are different from single-employer plans in that (i) assets contributed to the multiemployer plan by one employer may be used to provide benefits to employees of other participating employers; (ii) if a participating employer stops contributing to the plan, the unfunded obligations of the plan may be required to be assumed by the remaining participating employers and (iii) if we choose to stop participating in any of our multiemployer plans, we may be required to pay those plans a withdrawal amount based on the underfunded status of the plan. The following table outlines our participation in multiemployer plans considered to be individually significant (dollar amounts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Pension Protection Act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Expiration Date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EIN/Pension</w:t>
            </w:r>
          </w:p>
        </w:tc>
        <w:tc>
          <w:tcPr>
            <w:tcW w:w="14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Reported Status(a)</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Contributions(d)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Collective</w:t>
            </w:r>
          </w:p>
        </w:tc>
        <w:tc>
          <w:tcPr>
            <w:tcW w:w="0" w:type="dxa"/>
            <w:vAlign w:val="bottom"/>
          </w:tcPr>
          <w:p>
            <w:pPr>
              <w:spacing w:after="0"/>
              <w:rPr>
                <w:sz w:val="1"/>
                <w:szCs w:val="1"/>
                <w:color w:val="auto"/>
              </w:rPr>
            </w:pPr>
          </w:p>
        </w:tc>
      </w:tr>
      <w:tr>
        <w:trPr>
          <w:trHeight w:val="67"/>
        </w:trPr>
        <w:tc>
          <w:tcPr>
            <w:tcW w:w="5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Plan</w:t>
            </w:r>
          </w:p>
        </w:tc>
        <w:tc>
          <w:tcPr>
            <w:tcW w:w="14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FIP/RP</w:t>
            </w:r>
          </w:p>
        </w:tc>
        <w:tc>
          <w:tcPr>
            <w:tcW w:w="120" w:type="dxa"/>
            <w:vAlign w:val="bottom"/>
          </w:tcPr>
          <w:p>
            <w:pPr>
              <w:spacing w:after="0"/>
              <w:rPr>
                <w:sz w:val="5"/>
                <w:szCs w:val="5"/>
                <w:color w:val="auto"/>
              </w:rPr>
            </w:pPr>
          </w:p>
        </w:tc>
        <w:tc>
          <w:tcPr>
            <w:tcW w:w="1320" w:type="dxa"/>
            <w:vAlign w:val="bottom"/>
            <w:gridSpan w:val="6"/>
            <w:vMerge w:val="continue"/>
          </w:tcPr>
          <w:p>
            <w:pPr>
              <w:spacing w:after="0"/>
              <w:rPr>
                <w:sz w:val="5"/>
                <w:szCs w:val="5"/>
                <w:color w:val="auto"/>
              </w:rPr>
            </w:pPr>
          </w:p>
        </w:tc>
        <w:tc>
          <w:tcPr>
            <w:tcW w:w="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Bargaining</w:t>
            </w:r>
          </w:p>
        </w:tc>
        <w:tc>
          <w:tcPr>
            <w:tcW w:w="0" w:type="dxa"/>
            <w:vAlign w:val="bottom"/>
          </w:tcPr>
          <w:p>
            <w:pPr>
              <w:spacing w:after="0"/>
              <w:rPr>
                <w:sz w:val="1"/>
                <w:szCs w:val="1"/>
                <w:color w:val="auto"/>
              </w:rPr>
            </w:pPr>
          </w:p>
        </w:tc>
      </w:tr>
      <w:tr>
        <w:trPr>
          <w:trHeight w:val="62"/>
        </w:trPr>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Pension Fund</w:t>
            </w: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Status(b)(c)</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2010</w:t>
            </w: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Agreement</w:t>
            </w:r>
          </w:p>
        </w:tc>
        <w:tc>
          <w:tcPr>
            <w:tcW w:w="0" w:type="dxa"/>
            <w:vAlign w:val="bottom"/>
          </w:tcPr>
          <w:p>
            <w:pPr>
              <w:spacing w:after="0"/>
              <w:rPr>
                <w:sz w:val="1"/>
                <w:szCs w:val="1"/>
                <w:color w:val="auto"/>
              </w:rPr>
            </w:pPr>
          </w:p>
        </w:tc>
      </w:tr>
      <w:tr>
        <w:trPr>
          <w:trHeight w:val="131"/>
        </w:trPr>
        <w:tc>
          <w:tcPr>
            <w:tcW w:w="54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Automotive Industries Pension Plan</w:t>
            </w:r>
          </w:p>
        </w:tc>
        <w:tc>
          <w:tcPr>
            <w:tcW w:w="1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w w:val="92"/>
              </w:rPr>
              <w:t>EIN: 94-1133245;</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3"/>
              </w:rPr>
              <w:t>Critical</w:t>
            </w: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3"/>
              </w:rPr>
              <w:t>Critical</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Implemented</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  1</w:t>
            </w: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  1</w:t>
            </w:r>
          </w:p>
        </w:tc>
        <w:tc>
          <w:tcPr>
            <w:tcW w:w="1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  1</w:t>
            </w:r>
          </w:p>
        </w:tc>
        <w:tc>
          <w:tcPr>
            <w:tcW w:w="1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4"/>
              </w:rPr>
              <w:t>Various dates</w:t>
            </w:r>
          </w:p>
        </w:tc>
        <w:tc>
          <w:tcPr>
            <w:tcW w:w="0" w:type="dxa"/>
            <w:vAlign w:val="bottom"/>
          </w:tcPr>
          <w:p>
            <w:pPr>
              <w:spacing w:after="0"/>
              <w:rPr>
                <w:sz w:val="1"/>
                <w:szCs w:val="1"/>
                <w:color w:val="auto"/>
              </w:rPr>
            </w:pPr>
          </w:p>
        </w:tc>
      </w:tr>
      <w:tr>
        <w:trPr>
          <w:trHeight w:val="149"/>
        </w:trPr>
        <w:tc>
          <w:tcPr>
            <w:tcW w:w="54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Plan Number: 001</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through</w:t>
            </w:r>
          </w:p>
        </w:tc>
        <w:tc>
          <w:tcPr>
            <w:tcW w:w="0" w:type="dxa"/>
            <w:vAlign w:val="bottom"/>
          </w:tcPr>
          <w:p>
            <w:pPr>
              <w:spacing w:after="0"/>
              <w:rPr>
                <w:sz w:val="1"/>
                <w:szCs w:val="1"/>
                <w:color w:val="auto"/>
              </w:rPr>
            </w:pPr>
          </w:p>
        </w:tc>
      </w:tr>
      <w:tr>
        <w:trPr>
          <w:trHeight w:val="159"/>
        </w:trPr>
        <w:tc>
          <w:tcPr>
            <w:tcW w:w="5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8/31/2014</w:t>
            </w:r>
          </w:p>
        </w:tc>
        <w:tc>
          <w:tcPr>
            <w:tcW w:w="0" w:type="dxa"/>
            <w:vAlign w:val="bottom"/>
          </w:tcPr>
          <w:p>
            <w:pPr>
              <w:spacing w:after="0"/>
              <w:rPr>
                <w:sz w:val="1"/>
                <w:szCs w:val="1"/>
                <w:color w:val="auto"/>
              </w:rPr>
            </w:pPr>
          </w:p>
        </w:tc>
      </w:tr>
      <w:tr>
        <w:trPr>
          <w:trHeight w:val="138"/>
        </w:trPr>
        <w:tc>
          <w:tcPr>
            <w:tcW w:w="5480" w:type="dxa"/>
            <w:vAlign w:val="bottom"/>
          </w:tcPr>
          <w:p>
            <w:pPr>
              <w:spacing w:after="0" w:line="138" w:lineRule="exact"/>
              <w:rPr>
                <w:sz w:val="20"/>
                <w:szCs w:val="20"/>
                <w:color w:val="auto"/>
              </w:rPr>
            </w:pPr>
            <w:r>
              <w:rPr>
                <w:rFonts w:ascii="Arial" w:cs="Arial" w:eastAsia="Arial" w:hAnsi="Arial"/>
                <w:sz w:val="14"/>
                <w:szCs w:val="14"/>
                <w:color w:val="auto"/>
              </w:rPr>
              <w:t>Central States, Southeast and Southwest Areas Pension Plan</w:t>
            </w:r>
          </w:p>
        </w:tc>
        <w:tc>
          <w:tcPr>
            <w:tcW w:w="12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EIN: 36-6044243;</w:t>
            </w:r>
          </w:p>
        </w:tc>
        <w:tc>
          <w:tcPr>
            <w:tcW w:w="7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3"/>
              </w:rPr>
              <w:t>Critical</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93"/>
              </w:rPr>
              <w:t>Critical</w:t>
            </w:r>
          </w:p>
        </w:tc>
        <w:tc>
          <w:tcPr>
            <w:tcW w:w="10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Arial" w:cs="Arial" w:eastAsia="Arial" w:hAnsi="Arial"/>
                <w:sz w:val="14"/>
                <w:szCs w:val="14"/>
                <w:color w:val="auto"/>
                <w:w w:val="88"/>
              </w:rPr>
              <w:t>Implemented</w:t>
            </w:r>
          </w:p>
        </w:tc>
        <w:tc>
          <w:tcPr>
            <w:tcW w:w="120" w:type="dxa"/>
            <w:vAlign w:val="bottom"/>
          </w:tcPr>
          <w:p>
            <w:pPr>
              <w:spacing w:after="0"/>
              <w:rPr>
                <w:sz w:val="11"/>
                <w:szCs w:val="11"/>
                <w:color w:val="auto"/>
              </w:rPr>
            </w:pPr>
          </w:p>
        </w:tc>
        <w:tc>
          <w:tcPr>
            <w:tcW w:w="44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w:t>
            </w:r>
          </w:p>
        </w:tc>
        <w:tc>
          <w:tcPr>
            <w:tcW w:w="940" w:type="dxa"/>
            <w:vAlign w:val="bottom"/>
          </w:tcPr>
          <w:p>
            <w:pPr>
              <w:jc w:val="center"/>
              <w:spacing w:after="0" w:line="138" w:lineRule="exact"/>
              <w:rPr>
                <w:sz w:val="20"/>
                <w:szCs w:val="20"/>
                <w:color w:val="auto"/>
              </w:rPr>
            </w:pPr>
            <w:r>
              <w:rPr>
                <w:rFonts w:ascii="Arial" w:cs="Arial" w:eastAsia="Arial" w:hAnsi="Arial"/>
                <w:sz w:val="14"/>
                <w:szCs w:val="14"/>
                <w:color w:val="auto"/>
                <w:w w:val="81"/>
              </w:rPr>
              <w:t>(e)</w:t>
            </w:r>
          </w:p>
        </w:tc>
        <w:tc>
          <w:tcPr>
            <w:tcW w:w="0" w:type="dxa"/>
            <w:vAlign w:val="bottom"/>
          </w:tcPr>
          <w:p>
            <w:pPr>
              <w:spacing w:after="0"/>
              <w:rPr>
                <w:sz w:val="1"/>
                <w:szCs w:val="1"/>
                <w:color w:val="auto"/>
              </w:rPr>
            </w:pPr>
          </w:p>
        </w:tc>
      </w:tr>
      <w:tr>
        <w:trPr>
          <w:trHeight w:val="159"/>
        </w:trPr>
        <w:tc>
          <w:tcPr>
            <w:tcW w:w="5480" w:type="dxa"/>
            <w:vAlign w:val="bottom"/>
          </w:tcPr>
          <w:p>
            <w:pPr>
              <w:spacing w:after="0"/>
              <w:rPr>
                <w:sz w:val="13"/>
                <w:szCs w:val="13"/>
                <w:color w:val="auto"/>
              </w:rPr>
            </w:pPr>
          </w:p>
        </w:tc>
        <w:tc>
          <w:tcPr>
            <w:tcW w:w="126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Plan Number: 001</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Distributors Association Warehousemens Pension Trust</w:t>
            </w:r>
          </w:p>
        </w:tc>
        <w:tc>
          <w:tcPr>
            <w:tcW w:w="12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EIN: 94-0294755</w:t>
            </w:r>
          </w:p>
        </w:tc>
        <w:tc>
          <w:tcPr>
            <w:tcW w:w="7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3"/>
              </w:rPr>
              <w:t>Critical</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3"/>
              </w:rPr>
              <w:t>Critical</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Implemented</w:t>
            </w:r>
          </w:p>
        </w:tc>
        <w:tc>
          <w:tcPr>
            <w:tcW w:w="56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w:t>
            </w:r>
          </w:p>
        </w:tc>
        <w:tc>
          <w:tcPr>
            <w:tcW w:w="6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w:t>
            </w:r>
          </w:p>
        </w:tc>
        <w:tc>
          <w:tcPr>
            <w:tcW w:w="9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5/31/2010;</w:t>
            </w:r>
          </w:p>
        </w:tc>
        <w:tc>
          <w:tcPr>
            <w:tcW w:w="0" w:type="dxa"/>
            <w:vAlign w:val="bottom"/>
          </w:tcPr>
          <w:p>
            <w:pPr>
              <w:spacing w:after="0"/>
              <w:rPr>
                <w:sz w:val="1"/>
                <w:szCs w:val="1"/>
                <w:color w:val="auto"/>
              </w:rPr>
            </w:pPr>
          </w:p>
        </w:tc>
      </w:tr>
      <w:tr>
        <w:trPr>
          <w:trHeight w:val="149"/>
        </w:trPr>
        <w:tc>
          <w:tcPr>
            <w:tcW w:w="54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Plan Number: 002</w:t>
            </w:r>
          </w:p>
        </w:tc>
        <w:tc>
          <w:tcPr>
            <w:tcW w:w="7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as of</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as of</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negotiations</w:t>
            </w:r>
          </w:p>
        </w:tc>
        <w:tc>
          <w:tcPr>
            <w:tcW w:w="0" w:type="dxa"/>
            <w:vAlign w:val="bottom"/>
          </w:tcPr>
          <w:p>
            <w:pPr>
              <w:spacing w:after="0"/>
              <w:rPr>
                <w:sz w:val="1"/>
                <w:szCs w:val="1"/>
                <w:color w:val="auto"/>
              </w:rPr>
            </w:pPr>
          </w:p>
        </w:tc>
      </w:tr>
      <w:tr>
        <w:trPr>
          <w:trHeight w:val="173"/>
        </w:trPr>
        <w:tc>
          <w:tcPr>
            <w:tcW w:w="5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5/31/2010</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5/31/2009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ongoing</w:t>
            </w:r>
          </w:p>
        </w:tc>
        <w:tc>
          <w:tcPr>
            <w:tcW w:w="0" w:type="dxa"/>
            <w:vAlign w:val="bottom"/>
          </w:tcPr>
          <w:p>
            <w:pPr>
              <w:spacing w:after="0"/>
              <w:rPr>
                <w:sz w:val="1"/>
                <w:szCs w:val="1"/>
                <w:color w:val="auto"/>
              </w:rPr>
            </w:pPr>
          </w:p>
        </w:tc>
      </w:tr>
      <w:tr>
        <w:trPr>
          <w:trHeight w:val="138"/>
        </w:trPr>
        <w:tc>
          <w:tcPr>
            <w:tcW w:w="5480" w:type="dxa"/>
            <w:vAlign w:val="bottom"/>
          </w:tcPr>
          <w:p>
            <w:pPr>
              <w:spacing w:after="0" w:line="138" w:lineRule="exact"/>
              <w:rPr>
                <w:sz w:val="20"/>
                <w:szCs w:val="20"/>
                <w:color w:val="auto"/>
              </w:rPr>
            </w:pPr>
            <w:r>
              <w:rPr>
                <w:rFonts w:ascii="Arial" w:cs="Arial" w:eastAsia="Arial" w:hAnsi="Arial"/>
                <w:sz w:val="14"/>
                <w:szCs w:val="14"/>
                <w:color w:val="auto"/>
              </w:rPr>
              <w:t>Local 731 Private Scavengers and Garage Attendants Pension Trust Fund</w:t>
            </w:r>
          </w:p>
        </w:tc>
        <w:tc>
          <w:tcPr>
            <w:tcW w:w="12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EIN: 36-6513567;</w:t>
            </w:r>
          </w:p>
        </w:tc>
        <w:tc>
          <w:tcPr>
            <w:tcW w:w="7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3"/>
              </w:rPr>
              <w:t>Endangered</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83"/>
              </w:rPr>
              <w:t>Endangered</w:t>
            </w:r>
          </w:p>
        </w:tc>
        <w:tc>
          <w:tcPr>
            <w:tcW w:w="10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Arial" w:cs="Arial" w:eastAsia="Arial" w:hAnsi="Arial"/>
                <w:sz w:val="14"/>
                <w:szCs w:val="14"/>
                <w:color w:val="auto"/>
                <w:w w:val="88"/>
              </w:rPr>
              <w:t>Implemented</w:t>
            </w:r>
          </w:p>
        </w:tc>
        <w:tc>
          <w:tcPr>
            <w:tcW w:w="56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4</w:t>
            </w:r>
          </w:p>
        </w:tc>
        <w:tc>
          <w:tcPr>
            <w:tcW w:w="260" w:type="dxa"/>
            <w:vAlign w:val="bottom"/>
          </w:tcPr>
          <w:p>
            <w:pPr>
              <w:jc w:val="right"/>
              <w:spacing w:after="0" w:line="138" w:lineRule="exact"/>
              <w:rPr>
                <w:sz w:val="20"/>
                <w:szCs w:val="20"/>
                <w:color w:val="auto"/>
              </w:rPr>
            </w:pPr>
            <w:r>
              <w:rPr>
                <w:rFonts w:ascii="Arial" w:cs="Arial" w:eastAsia="Arial" w:hAnsi="Arial"/>
                <w:sz w:val="14"/>
                <w:szCs w:val="14"/>
                <w:color w:val="auto"/>
              </w:rPr>
              <w:t>4</w:t>
            </w:r>
          </w:p>
        </w:tc>
        <w:tc>
          <w:tcPr>
            <w:tcW w:w="6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3</w:t>
            </w:r>
          </w:p>
        </w:tc>
        <w:tc>
          <w:tcPr>
            <w:tcW w:w="940" w:type="dxa"/>
            <w:vAlign w:val="bottom"/>
          </w:tcPr>
          <w:p>
            <w:pPr>
              <w:jc w:val="center"/>
              <w:spacing w:after="0" w:line="138" w:lineRule="exact"/>
              <w:rPr>
                <w:sz w:val="20"/>
                <w:szCs w:val="20"/>
                <w:color w:val="auto"/>
              </w:rPr>
            </w:pPr>
            <w:r>
              <w:rPr>
                <w:rFonts w:ascii="Arial" w:cs="Arial" w:eastAsia="Arial" w:hAnsi="Arial"/>
                <w:sz w:val="14"/>
                <w:szCs w:val="14"/>
                <w:color w:val="auto"/>
                <w:w w:val="86"/>
              </w:rPr>
              <w:t>9/30/2013</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Plan Number: 001</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as of</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5"/>
              </w:rPr>
              <w:t>as of</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0" w:type="dxa"/>
            <w:vAlign w:val="bottom"/>
          </w:tcPr>
          <w:p>
            <w:pPr>
              <w:spacing w:after="0"/>
              <w:rPr>
                <w:sz w:val="1"/>
                <w:szCs w:val="1"/>
                <w:color w:val="auto"/>
              </w:rPr>
            </w:pPr>
          </w:p>
        </w:tc>
      </w:tr>
      <w:tr>
        <w:trPr>
          <w:trHeight w:val="17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9/30/2010</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6"/>
              </w:rPr>
              <w:t>9/30/2009</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6"/>
              </w:rPr>
              <w:t>9/30/2014</w:t>
            </w:r>
          </w:p>
        </w:tc>
        <w:tc>
          <w:tcPr>
            <w:tcW w:w="0" w:type="dxa"/>
            <w:vAlign w:val="bottom"/>
          </w:tcPr>
          <w:p>
            <w:pPr>
              <w:spacing w:after="0"/>
              <w:rPr>
                <w:sz w:val="1"/>
                <w:szCs w:val="1"/>
                <w:color w:val="auto"/>
              </w:rPr>
            </w:pPr>
          </w:p>
        </w:tc>
      </w:tr>
      <w:tr>
        <w:trPr>
          <w:trHeight w:val="138"/>
        </w:trPr>
        <w:tc>
          <w:tcPr>
            <w:tcW w:w="54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New England Teamsters and Trucking Industry Pension Fund</w:t>
            </w:r>
          </w:p>
        </w:tc>
        <w:tc>
          <w:tcPr>
            <w:tcW w:w="1260" w:type="dxa"/>
            <w:vAlign w:val="bottom"/>
            <w:gridSpan w:val="3"/>
            <w:shd w:val="clear" w:color="auto" w:fill="CCEEFF"/>
          </w:tcPr>
          <w:p>
            <w:pPr>
              <w:ind w:left="100"/>
              <w:spacing w:after="0" w:line="139" w:lineRule="exact"/>
              <w:rPr>
                <w:sz w:val="20"/>
                <w:szCs w:val="20"/>
                <w:color w:val="auto"/>
              </w:rPr>
            </w:pPr>
            <w:r>
              <w:rPr>
                <w:rFonts w:ascii="Arial" w:cs="Arial" w:eastAsia="Arial" w:hAnsi="Arial"/>
                <w:sz w:val="14"/>
                <w:szCs w:val="14"/>
                <w:color w:val="auto"/>
              </w:rPr>
              <w:t>EIN: 04-6372430;</w:t>
            </w:r>
          </w:p>
        </w:tc>
        <w:tc>
          <w:tcPr>
            <w:tcW w:w="74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93"/>
              </w:rPr>
              <w:t>Critical</w:t>
            </w:r>
          </w:p>
        </w:tc>
        <w:tc>
          <w:tcPr>
            <w:tcW w:w="6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Critical</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Implemented</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6"/>
              </w:rPr>
              <w:t>2/28/2013</w:t>
            </w:r>
          </w:p>
        </w:tc>
        <w:tc>
          <w:tcPr>
            <w:tcW w:w="0" w:type="dxa"/>
            <w:vAlign w:val="bottom"/>
          </w:tcPr>
          <w:p>
            <w:pPr>
              <w:spacing w:after="0"/>
              <w:rPr>
                <w:sz w:val="1"/>
                <w:szCs w:val="1"/>
                <w:color w:val="auto"/>
              </w:rPr>
            </w:pPr>
          </w:p>
        </w:tc>
      </w:tr>
      <w:tr>
        <w:trPr>
          <w:trHeight w:val="149"/>
        </w:trPr>
        <w:tc>
          <w:tcPr>
            <w:tcW w:w="54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Plan Number: 001</w:t>
            </w:r>
          </w:p>
        </w:tc>
        <w:tc>
          <w:tcPr>
            <w:tcW w:w="7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as of</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as of</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9/30/2010</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9/30/2009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480" w:type="dxa"/>
            <w:vAlign w:val="bottom"/>
          </w:tcPr>
          <w:p>
            <w:pPr>
              <w:spacing w:after="0" w:line="138" w:lineRule="exact"/>
              <w:rPr>
                <w:sz w:val="20"/>
                <w:szCs w:val="20"/>
                <w:color w:val="auto"/>
              </w:rPr>
            </w:pPr>
            <w:r>
              <w:rPr>
                <w:rFonts w:ascii="Arial" w:cs="Arial" w:eastAsia="Arial" w:hAnsi="Arial"/>
                <w:sz w:val="14"/>
                <w:szCs w:val="14"/>
                <w:color w:val="auto"/>
              </w:rPr>
              <w:t>Suburban Teamsters of Northern Illinois Pension Plan</w:t>
            </w:r>
          </w:p>
        </w:tc>
        <w:tc>
          <w:tcPr>
            <w:tcW w:w="12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EIN: 36-6155778;</w:t>
            </w:r>
          </w:p>
        </w:tc>
        <w:tc>
          <w:tcPr>
            <w:tcW w:w="7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3"/>
              </w:rPr>
              <w:t>Critical</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93"/>
              </w:rPr>
              <w:t>Critical</w:t>
            </w:r>
          </w:p>
        </w:tc>
        <w:tc>
          <w:tcPr>
            <w:tcW w:w="10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Arial" w:cs="Arial" w:eastAsia="Arial" w:hAnsi="Arial"/>
                <w:sz w:val="14"/>
                <w:szCs w:val="14"/>
                <w:color w:val="auto"/>
                <w:w w:val="88"/>
              </w:rPr>
              <w:t>Implemented</w:t>
            </w:r>
          </w:p>
        </w:tc>
        <w:tc>
          <w:tcPr>
            <w:tcW w:w="56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2</w:t>
            </w:r>
          </w:p>
        </w:tc>
        <w:tc>
          <w:tcPr>
            <w:tcW w:w="260" w:type="dxa"/>
            <w:vAlign w:val="bottom"/>
          </w:tcPr>
          <w:p>
            <w:pPr>
              <w:jc w:val="right"/>
              <w:spacing w:after="0" w:line="138" w:lineRule="exact"/>
              <w:rPr>
                <w:sz w:val="20"/>
                <w:szCs w:val="20"/>
                <w:color w:val="auto"/>
              </w:rPr>
            </w:pPr>
            <w:r>
              <w:rPr>
                <w:rFonts w:ascii="Arial" w:cs="Arial" w:eastAsia="Arial" w:hAnsi="Arial"/>
                <w:sz w:val="14"/>
                <w:szCs w:val="14"/>
                <w:color w:val="auto"/>
              </w:rPr>
              <w:t>2</w:t>
            </w:r>
          </w:p>
        </w:tc>
        <w:tc>
          <w:tcPr>
            <w:tcW w:w="6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2</w:t>
            </w:r>
          </w:p>
        </w:tc>
        <w:tc>
          <w:tcPr>
            <w:tcW w:w="940" w:type="dxa"/>
            <w:vAlign w:val="bottom"/>
          </w:tcPr>
          <w:p>
            <w:pPr>
              <w:jc w:val="center"/>
              <w:spacing w:after="0" w:line="138" w:lineRule="exact"/>
              <w:rPr>
                <w:sz w:val="20"/>
                <w:szCs w:val="20"/>
                <w:color w:val="auto"/>
              </w:rPr>
            </w:pPr>
            <w:r>
              <w:rPr>
                <w:rFonts w:ascii="Arial" w:cs="Arial" w:eastAsia="Arial" w:hAnsi="Arial"/>
                <w:sz w:val="14"/>
                <w:szCs w:val="14"/>
                <w:color w:val="auto"/>
                <w:w w:val="84"/>
              </w:rPr>
              <w:t>Various dates</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Plan Number: 001</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8"/>
              </w:rPr>
              <w:t>through</w:t>
            </w:r>
          </w:p>
        </w:tc>
        <w:tc>
          <w:tcPr>
            <w:tcW w:w="0" w:type="dxa"/>
            <w:vAlign w:val="bottom"/>
          </w:tcPr>
          <w:p>
            <w:pPr>
              <w:spacing w:after="0"/>
              <w:rPr>
                <w:sz w:val="1"/>
                <w:szCs w:val="1"/>
                <w:color w:val="auto"/>
              </w:rPr>
            </w:pPr>
          </w:p>
        </w:tc>
      </w:tr>
      <w:tr>
        <w:trPr>
          <w:trHeight w:val="159"/>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spacing w:after="0" w:line="159" w:lineRule="exact"/>
              <w:rPr>
                <w:sz w:val="20"/>
                <w:szCs w:val="20"/>
                <w:color w:val="auto"/>
              </w:rPr>
            </w:pPr>
            <w:r>
              <w:rPr>
                <w:rFonts w:ascii="Arial" w:cs="Arial" w:eastAsia="Arial" w:hAnsi="Arial"/>
                <w:sz w:val="14"/>
                <w:szCs w:val="14"/>
                <w:color w:val="auto"/>
                <w:w w:val="86"/>
              </w:rPr>
              <w:t>3/31/2015</w:t>
            </w:r>
          </w:p>
        </w:tc>
        <w:tc>
          <w:tcPr>
            <w:tcW w:w="0" w:type="dxa"/>
            <w:vAlign w:val="bottom"/>
          </w:tcPr>
          <w:p>
            <w:pPr>
              <w:spacing w:after="0"/>
              <w:rPr>
                <w:sz w:val="1"/>
                <w:szCs w:val="1"/>
                <w:color w:val="auto"/>
              </w:rPr>
            </w:pPr>
          </w:p>
        </w:tc>
      </w:tr>
      <w:tr>
        <w:trPr>
          <w:trHeight w:val="138"/>
        </w:trPr>
        <w:tc>
          <w:tcPr>
            <w:tcW w:w="5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Teamsters Employers Local 945 Pension Fund</w:t>
            </w:r>
          </w:p>
        </w:tc>
        <w:tc>
          <w:tcPr>
            <w:tcW w:w="12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EIN: 22-6196388;</w:t>
            </w:r>
          </w:p>
        </w:tc>
        <w:tc>
          <w:tcPr>
            <w:tcW w:w="7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3"/>
              </w:rPr>
              <w:t>Critical</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3"/>
              </w:rPr>
              <w:t>Critical</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Implemented</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Various dates</w:t>
            </w:r>
          </w:p>
        </w:tc>
        <w:tc>
          <w:tcPr>
            <w:tcW w:w="0" w:type="dxa"/>
            <w:vAlign w:val="bottom"/>
          </w:tcPr>
          <w:p>
            <w:pPr>
              <w:spacing w:after="0"/>
              <w:rPr>
                <w:sz w:val="1"/>
                <w:szCs w:val="1"/>
                <w:color w:val="auto"/>
              </w:rPr>
            </w:pPr>
          </w:p>
        </w:tc>
      </w:tr>
      <w:tr>
        <w:trPr>
          <w:trHeight w:val="149"/>
        </w:trPr>
        <w:tc>
          <w:tcPr>
            <w:tcW w:w="54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Plan Number: 001</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through</w:t>
            </w:r>
          </w:p>
        </w:tc>
        <w:tc>
          <w:tcPr>
            <w:tcW w:w="0" w:type="dxa"/>
            <w:vAlign w:val="bottom"/>
          </w:tcPr>
          <w:p>
            <w:pPr>
              <w:spacing w:after="0"/>
              <w:rPr>
                <w:sz w:val="1"/>
                <w:szCs w:val="1"/>
                <w:color w:val="auto"/>
              </w:rPr>
            </w:pPr>
          </w:p>
        </w:tc>
      </w:tr>
      <w:tr>
        <w:trPr>
          <w:trHeight w:val="159"/>
        </w:trPr>
        <w:tc>
          <w:tcPr>
            <w:tcW w:w="5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12/31/2014</w:t>
            </w:r>
          </w:p>
        </w:tc>
        <w:tc>
          <w:tcPr>
            <w:tcW w:w="0" w:type="dxa"/>
            <w:vAlign w:val="bottom"/>
          </w:tcPr>
          <w:p>
            <w:pPr>
              <w:spacing w:after="0"/>
              <w:rPr>
                <w:sz w:val="1"/>
                <w:szCs w:val="1"/>
                <w:color w:val="auto"/>
              </w:rPr>
            </w:pPr>
          </w:p>
        </w:tc>
      </w:tr>
      <w:tr>
        <w:trPr>
          <w:trHeight w:val="138"/>
        </w:trPr>
        <w:tc>
          <w:tcPr>
            <w:tcW w:w="5480" w:type="dxa"/>
            <w:vAlign w:val="bottom"/>
          </w:tcPr>
          <w:p>
            <w:pPr>
              <w:spacing w:after="0" w:line="138" w:lineRule="exact"/>
              <w:rPr>
                <w:sz w:val="20"/>
                <w:szCs w:val="20"/>
                <w:color w:val="auto"/>
              </w:rPr>
            </w:pPr>
            <w:r>
              <w:rPr>
                <w:rFonts w:ascii="Arial" w:cs="Arial" w:eastAsia="Arial" w:hAnsi="Arial"/>
                <w:sz w:val="14"/>
                <w:szCs w:val="14"/>
                <w:color w:val="auto"/>
              </w:rPr>
              <w:t>Western Conference of Teamsters Pension Plan</w:t>
            </w:r>
          </w:p>
        </w:tc>
        <w:tc>
          <w:tcPr>
            <w:tcW w:w="12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EIN: 91-6145047;</w:t>
            </w:r>
          </w:p>
        </w:tc>
        <w:tc>
          <w:tcPr>
            <w:tcW w:w="7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1"/>
              </w:rPr>
              <w:t>Not</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91"/>
              </w:rPr>
              <w:t>Not</w:t>
            </w:r>
          </w:p>
        </w:tc>
        <w:tc>
          <w:tcPr>
            <w:tcW w:w="10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Arial" w:cs="Arial" w:eastAsia="Arial" w:hAnsi="Arial"/>
                <w:sz w:val="14"/>
                <w:szCs w:val="14"/>
                <w:color w:val="auto"/>
                <w:w w:val="90"/>
              </w:rPr>
              <w:t>Not applicable</w:t>
            </w:r>
          </w:p>
        </w:tc>
        <w:tc>
          <w:tcPr>
            <w:tcW w:w="56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20</w:t>
            </w:r>
          </w:p>
        </w:tc>
        <w:tc>
          <w:tcPr>
            <w:tcW w:w="260" w:type="dxa"/>
            <w:vAlign w:val="bottom"/>
          </w:tcPr>
          <w:p>
            <w:pPr>
              <w:jc w:val="right"/>
              <w:spacing w:after="0" w:line="138" w:lineRule="exact"/>
              <w:rPr>
                <w:sz w:val="20"/>
                <w:szCs w:val="20"/>
                <w:color w:val="auto"/>
              </w:rPr>
            </w:pPr>
            <w:r>
              <w:rPr>
                <w:rFonts w:ascii="Arial" w:cs="Arial" w:eastAsia="Arial" w:hAnsi="Arial"/>
                <w:sz w:val="14"/>
                <w:szCs w:val="14"/>
                <w:color w:val="auto"/>
              </w:rPr>
              <w:t>20</w:t>
            </w:r>
          </w:p>
        </w:tc>
        <w:tc>
          <w:tcPr>
            <w:tcW w:w="6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18</w:t>
            </w:r>
          </w:p>
        </w:tc>
        <w:tc>
          <w:tcPr>
            <w:tcW w:w="940" w:type="dxa"/>
            <w:vAlign w:val="bottom"/>
          </w:tcPr>
          <w:p>
            <w:pPr>
              <w:jc w:val="center"/>
              <w:spacing w:after="0" w:line="138" w:lineRule="exact"/>
              <w:rPr>
                <w:sz w:val="20"/>
                <w:szCs w:val="20"/>
                <w:color w:val="auto"/>
              </w:rPr>
            </w:pPr>
            <w:r>
              <w:rPr>
                <w:rFonts w:ascii="Arial" w:cs="Arial" w:eastAsia="Arial" w:hAnsi="Arial"/>
                <w:sz w:val="14"/>
                <w:szCs w:val="14"/>
                <w:color w:val="auto"/>
                <w:w w:val="84"/>
              </w:rPr>
              <w:t>Various dates</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Plan Number: 001</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3"/>
              </w:rPr>
              <w:t>Endangered</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3"/>
              </w:rPr>
              <w:t>Endangered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8"/>
              </w:rPr>
              <w:t>through</w:t>
            </w:r>
          </w:p>
        </w:tc>
        <w:tc>
          <w:tcPr>
            <w:tcW w:w="0" w:type="dxa"/>
            <w:vAlign w:val="bottom"/>
          </w:tcPr>
          <w:p>
            <w:pPr>
              <w:spacing w:after="0"/>
              <w:rPr>
                <w:sz w:val="1"/>
                <w:szCs w:val="1"/>
                <w:color w:val="auto"/>
              </w:rPr>
            </w:pPr>
          </w:p>
        </w:tc>
      </w:tr>
      <w:tr>
        <w:trPr>
          <w:trHeight w:val="159"/>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94"/>
              </w:rPr>
              <w:t>or Critical</w:t>
            </w:r>
          </w:p>
        </w:tc>
        <w:tc>
          <w:tcPr>
            <w:tcW w:w="660" w:type="dxa"/>
            <w:vAlign w:val="bottom"/>
          </w:tcPr>
          <w:p>
            <w:pPr>
              <w:jc w:val="center"/>
              <w:spacing w:after="0" w:line="159" w:lineRule="exact"/>
              <w:rPr>
                <w:sz w:val="20"/>
                <w:szCs w:val="20"/>
                <w:color w:val="auto"/>
              </w:rPr>
            </w:pPr>
            <w:r>
              <w:rPr>
                <w:rFonts w:ascii="Arial" w:cs="Arial" w:eastAsia="Arial" w:hAnsi="Arial"/>
                <w:sz w:val="14"/>
                <w:szCs w:val="14"/>
                <w:color w:val="auto"/>
                <w:w w:val="91"/>
              </w:rPr>
              <w:t>or Critical</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spacing w:after="0" w:line="159" w:lineRule="exact"/>
              <w:rPr>
                <w:sz w:val="20"/>
                <w:szCs w:val="20"/>
                <w:color w:val="auto"/>
              </w:rPr>
            </w:pPr>
            <w:r>
              <w:rPr>
                <w:rFonts w:ascii="Arial" w:cs="Arial" w:eastAsia="Arial" w:hAnsi="Arial"/>
                <w:sz w:val="14"/>
                <w:szCs w:val="14"/>
                <w:color w:val="auto"/>
                <w:w w:val="86"/>
              </w:rPr>
              <w:t>6/30/2017</w:t>
            </w:r>
          </w:p>
        </w:tc>
        <w:tc>
          <w:tcPr>
            <w:tcW w:w="0" w:type="dxa"/>
            <w:vAlign w:val="bottom"/>
          </w:tcPr>
          <w:p>
            <w:pPr>
              <w:spacing w:after="0"/>
              <w:rPr>
                <w:sz w:val="1"/>
                <w:szCs w:val="1"/>
                <w:color w:val="auto"/>
              </w:rPr>
            </w:pPr>
          </w:p>
        </w:tc>
      </w:tr>
      <w:tr>
        <w:trPr>
          <w:trHeight w:val="138"/>
        </w:trPr>
        <w:tc>
          <w:tcPr>
            <w:tcW w:w="5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Western Pennsylvania Teamsters and Employers Pension Plan</w:t>
            </w:r>
          </w:p>
        </w:tc>
        <w:tc>
          <w:tcPr>
            <w:tcW w:w="12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EIN: 25-6029946;</w:t>
            </w:r>
          </w:p>
        </w:tc>
        <w:tc>
          <w:tcPr>
            <w:tcW w:w="7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3"/>
              </w:rPr>
              <w:t>Critical</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3"/>
              </w:rPr>
              <w:t>Critical</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Implemented</w:t>
            </w:r>
          </w:p>
        </w:tc>
        <w:tc>
          <w:tcPr>
            <w:tcW w:w="56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w:t>
            </w:r>
          </w:p>
        </w:tc>
        <w:tc>
          <w:tcPr>
            <w:tcW w:w="6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w:t>
            </w:r>
          </w:p>
        </w:tc>
        <w:tc>
          <w:tcPr>
            <w:tcW w:w="9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12/31/2011;</w:t>
            </w:r>
          </w:p>
        </w:tc>
        <w:tc>
          <w:tcPr>
            <w:tcW w:w="0" w:type="dxa"/>
            <w:vAlign w:val="bottom"/>
          </w:tcPr>
          <w:p>
            <w:pPr>
              <w:spacing w:after="0"/>
              <w:rPr>
                <w:sz w:val="1"/>
                <w:szCs w:val="1"/>
                <w:color w:val="auto"/>
              </w:rPr>
            </w:pPr>
          </w:p>
        </w:tc>
      </w:tr>
      <w:tr>
        <w:trPr>
          <w:trHeight w:val="149"/>
        </w:trPr>
        <w:tc>
          <w:tcPr>
            <w:tcW w:w="54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Plan Number: 001</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negotiations</w:t>
            </w:r>
          </w:p>
        </w:tc>
        <w:tc>
          <w:tcPr>
            <w:tcW w:w="0" w:type="dxa"/>
            <w:vAlign w:val="bottom"/>
          </w:tcPr>
          <w:p>
            <w:pPr>
              <w:spacing w:after="0"/>
              <w:rPr>
                <w:sz w:val="1"/>
                <w:szCs w:val="1"/>
                <w:color w:val="auto"/>
              </w:rPr>
            </w:pPr>
          </w:p>
        </w:tc>
      </w:tr>
      <w:tr>
        <w:trPr>
          <w:trHeight w:val="159"/>
        </w:trPr>
        <w:tc>
          <w:tcPr>
            <w:tcW w:w="5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ongoing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Unless otherwise noted in the table, the most recent Pension Protection Act zone status available in 2011 and 2010 is for the plan’s year-end at</w:t>
      </w:r>
    </w:p>
    <w:p>
      <w:pPr>
        <w:spacing w:after="0" w:line="38" w:lineRule="exact"/>
        <w:rPr>
          <w:rFonts w:ascii="Arial" w:cs="Arial" w:eastAsia="Arial" w:hAnsi="Arial"/>
          <w:sz w:val="16"/>
          <w:szCs w:val="16"/>
          <w:color w:val="auto"/>
        </w:rPr>
      </w:pPr>
    </w:p>
    <w:p>
      <w:pPr>
        <w:ind w:left="460" w:right="40"/>
        <w:spacing w:after="0" w:line="302" w:lineRule="auto"/>
        <w:rPr>
          <w:rFonts w:ascii="Arial" w:cs="Arial" w:eastAsia="Arial" w:hAnsi="Arial"/>
          <w:sz w:val="16"/>
          <w:szCs w:val="16"/>
          <w:color w:val="auto"/>
        </w:rPr>
      </w:pPr>
      <w:r>
        <w:rPr>
          <w:rFonts w:ascii="Arial" w:cs="Arial" w:eastAsia="Arial" w:hAnsi="Arial"/>
          <w:sz w:val="16"/>
          <w:szCs w:val="16"/>
          <w:color w:val="auto"/>
        </w:rPr>
        <w:t>December 31, 2010 and 2009,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either less than 80% funded or meet certain accumulated funding deficiency criteria.</w:t>
      </w:r>
    </w:p>
    <w:p>
      <w:pPr>
        <w:spacing w:after="0" w:line="1" w:lineRule="exact"/>
        <w:rPr>
          <w:rFonts w:ascii="Arial" w:cs="Arial" w:eastAsia="Arial" w:hAnsi="Arial"/>
          <w:sz w:val="16"/>
          <w:szCs w:val="16"/>
          <w:color w:val="auto"/>
        </w:rPr>
      </w:pPr>
    </w:p>
    <w:p>
      <w:pPr>
        <w:ind w:left="460" w:right="16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“FIP/RP Status” column indicates plans for which a Funding Improvement Plan (“FIP”) or a Rehabilitation Plan (“RP”) is either pending or has been implemented.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right="80" w:hanging="452"/>
        <w:spacing w:after="0" w:line="252"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multiemployer defined benefit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 was listed in the Form 5500 as providing more than 5% of the total contributions for each of the following plans and plan years: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87"/>
              </w:rPr>
              <w:t>Year Contributions to Plan</w:t>
            </w:r>
          </w:p>
        </w:tc>
      </w:tr>
      <w:tr>
        <w:trPr>
          <w:trHeight w:val="149"/>
        </w:trPr>
        <w:tc>
          <w:tcPr>
            <w:tcW w:w="7760" w:type="dxa"/>
            <w:vAlign w:val="bottom"/>
          </w:tcPr>
          <w:p>
            <w:pPr>
              <w:spacing w:after="0"/>
              <w:rPr>
                <w:sz w:val="12"/>
                <w:szCs w:val="12"/>
                <w:color w:val="auto"/>
              </w:rPr>
            </w:pP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Exceeded 5% of Total Contributions</w:t>
            </w:r>
          </w:p>
        </w:tc>
      </w:tr>
      <w:tr>
        <w:trPr>
          <w:trHeight w:val="161"/>
        </w:trPr>
        <w:tc>
          <w:tcPr>
            <w:tcW w:w="7760" w:type="dxa"/>
            <w:vAlign w:val="bottom"/>
            <w:tcBorders>
              <w:bottom w:val="single" w:sz="8" w:color="CCEEFF"/>
            </w:tcBorders>
          </w:tcPr>
          <w:p>
            <w:pPr>
              <w:spacing w:after="0"/>
              <w:rPr>
                <w:sz w:val="14"/>
                <w:szCs w:val="14"/>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(as of Plan’s Year End)</w:t>
            </w:r>
          </w:p>
        </w:tc>
      </w:tr>
      <w:tr>
        <w:trPr>
          <w:trHeight w:val="210"/>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Distributors Association Warehousemens Pension Trust</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5/31/2010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Local 731 Private Scavengers and Garage Attendants Pension Trust Fund</w:t>
            </w:r>
          </w:p>
        </w:tc>
        <w:tc>
          <w:tcPr>
            <w:tcW w:w="2740" w:type="dxa"/>
            <w:vAlign w:val="bottom"/>
          </w:tcPr>
          <w:p>
            <w:pPr>
              <w:jc w:val="center"/>
              <w:spacing w:after="0"/>
              <w:rPr>
                <w:sz w:val="20"/>
                <w:szCs w:val="20"/>
                <w:color w:val="auto"/>
              </w:rPr>
            </w:pPr>
            <w:r>
              <w:rPr>
                <w:rFonts w:ascii="Arial" w:cs="Arial" w:eastAsia="Arial" w:hAnsi="Arial"/>
                <w:sz w:val="18"/>
                <w:szCs w:val="18"/>
                <w:color w:val="auto"/>
                <w:w w:val="87"/>
              </w:rPr>
              <w:t>9/30/2010</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Suburban Teamsters of Northern Illinois Pension Plan</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12/31/2010 and 12/31/2009</w:t>
            </w:r>
          </w:p>
        </w:tc>
      </w:tr>
    </w:tbl>
    <w:p>
      <w:pPr>
        <w:spacing w:after="0" w:line="73"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At the date the financial statements were issued, Forms 5500 were not available for the plan years ended in 2011. For the plan years ended in 2009, Forms 5500 were not available for the following plans: Distributors Association Warehousemens Pension Trust, Local 731 Private Scavengers and Garage Attendants Pension Trust Fund and New England Teamsters and Trucking Industry Pension Fund.</w:t>
      </w:r>
    </w:p>
    <w:p>
      <w:pPr>
        <w:spacing w:after="0" w:line="86"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While the subject of pending litigation, the Company has no collective bargaining agreements remaining that require contributions to this fund.</w:t>
      </w:r>
    </w:p>
    <w:p>
      <w:pPr>
        <w:spacing w:after="0" w:line="11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 summarizes all contributions made to multiemployer defined benefit pension plans, which were charged to operations for our subsidiaries’ ongoing participation in these defined benefit plans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Years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2011</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Contributions to individually significant multiemployer defined benefit pension plans</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$29</w:t>
            </w: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w:t>
            </w: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Contributions to all other multiemployer defined benefit pension plans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contributions to multiemployer defined benefit pension plans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34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Our portion of the projected benefit obligation, plan assets and unfunded liability of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59" w:lineRule="exact"/>
        <w:rPr>
          <w:sz w:val="20"/>
          <w:szCs w:val="20"/>
          <w:color w:val="auto"/>
        </w:rPr>
      </w:pPr>
    </w:p>
    <w:p>
      <w:pPr>
        <w:ind w:right="540" w:firstLine="456"/>
        <w:spacing w:after="0" w:line="298" w:lineRule="auto"/>
        <w:rPr>
          <w:sz w:val="20"/>
          <w:szCs w:val="20"/>
          <w:color w:val="auto"/>
        </w:rPr>
      </w:pPr>
      <w:r>
        <w:rPr>
          <w:rFonts w:ascii="Arial" w:cs="Arial" w:eastAsia="Arial" w:hAnsi="Arial"/>
          <w:sz w:val="16"/>
          <w:szCs w:val="16"/>
          <w:color w:val="auto"/>
        </w:rPr>
        <w:t>In connection with our ongoing renegotiations of various collective bargaining agreements, we may discuss and negotiate for the complete or partial withdrawal from one or more of these pension plans. If we elect to withdraw from these plans, we may incur expenses associated with our obligations for unfunded vested benefits at the time of the withdrawal. As discussed in Note 11, in 2010 and 2009, we recognized aggregate charges of $26 million and $9 million, respectively, to “Operating” expenses for the withdrawal of certain bargaining units from multiemployer pension plans.</w:t>
      </w:r>
    </w:p>
    <w:p>
      <w:pPr>
        <w:spacing w:after="0" w:line="107" w:lineRule="exact"/>
        <w:rPr>
          <w:sz w:val="20"/>
          <w:szCs w:val="20"/>
          <w:color w:val="auto"/>
        </w:rPr>
      </w:pPr>
    </w:p>
    <w:p>
      <w:pPr>
        <w:ind w:left="400" w:hanging="392"/>
        <w:spacing w:after="0"/>
        <w:tabs>
          <w:tab w:leader="none" w:pos="4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performance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revolving credit facility and other credit facilities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established for that purpose. These facilities are discussed further in Note 7. We obtain surety bonds and insurance policies from an entity in which we have a noncontrolling financial interest. We also obtain insurance from a wholly-owned insurance company, the sole business of which is to issue policies for us. In those instances where our use of financial assurance from entities we own or have financial interests in is not allowed, we have available alternative financial assurance mechanisms.</w:t>
      </w:r>
    </w:p>
    <w:p>
      <w:pPr>
        <w:spacing w:after="0" w:line="62" w:lineRule="exact"/>
        <w:rPr>
          <w:sz w:val="20"/>
          <w:szCs w:val="20"/>
          <w:color w:val="auto"/>
        </w:rPr>
      </w:pPr>
    </w:p>
    <w:p>
      <w:pPr>
        <w:jc w:val="both"/>
        <w:ind w:right="400"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6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have retained a significant portion of the risks related to our automobile, general liability and workers’ compensation claims programs.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As of December 31, 2011, our general liability insurance program carried self-insurance exposures of up to $2.5 million per incident and our workers’ compensation insurance program carried self-insurance exposures of up to $5 million per incident. As of December 31, 2011, our auto liability insurance program included a per-incident base deductible of $5 million, subject to additional deductibles of $4.8 million in the $5 million to $10 million layer. Self-insurance claims reserves acquired as part of our acquisition of WM Holdings in July 1998 were discounted at 2.0% at December 31, 2011, 3.50% at December 31, 2010 and 3.75% at December 31, 2009. The changes to our net insurance liabilities for the three years ended December 31, 2011 are summarized below (in millions):</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w w:val="86"/>
              </w:rPr>
              <w:t>Receivables</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20" w:type="dxa"/>
            <w:vAlign w:val="bottom"/>
            <w:gridSpan w:val="3"/>
          </w:tcPr>
          <w:p>
            <w:pPr>
              <w:jc w:val="right"/>
              <w:ind w:right="1220"/>
              <w:spacing w:after="0" w:line="149" w:lineRule="exact"/>
              <w:rPr>
                <w:sz w:val="20"/>
                <w:szCs w:val="20"/>
                <w:color w:val="auto"/>
              </w:rPr>
            </w:pPr>
            <w:r>
              <w:rPr>
                <w:rFonts w:ascii="Arial" w:cs="Arial" w:eastAsia="Arial" w:hAnsi="Arial"/>
                <w:sz w:val="14"/>
                <w:szCs w:val="14"/>
                <w:b w:val="1"/>
                <w:bCs w:val="1"/>
                <w:color w:val="auto"/>
                <w:w w:val="91"/>
              </w:rPr>
              <w:t>Associated with</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6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w w:val="87"/>
              </w:rPr>
              <w:t>Gross Claims Liability</w:t>
            </w: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Insured Claims(a)</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7"/>
              </w:rPr>
              <w:t>Net Claims 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2008</w:t>
            </w:r>
          </w:p>
        </w:tc>
        <w:tc>
          <w:tcPr>
            <w:tcW w:w="7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Self-insurance expense (benefit)</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right"/>
              <w:ind w:right="1100"/>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received</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2009</w:t>
            </w: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gridSpan w:val="2"/>
          </w:tcPr>
          <w:p>
            <w:pPr>
              <w:jc w:val="right"/>
              <w:ind w:right="1100"/>
              <w:spacing w:after="0"/>
              <w:rPr>
                <w:sz w:val="20"/>
                <w:szCs w:val="20"/>
                <w:color w:val="auto"/>
              </w:rPr>
            </w:pPr>
            <w:r>
              <w:rPr>
                <w:rFonts w:ascii="Arial" w:cs="Arial" w:eastAsia="Arial" w:hAnsi="Arial"/>
                <w:sz w:val="18"/>
                <w:szCs w:val="18"/>
                <w:color w:val="auto"/>
              </w:rPr>
              <w:t>(194)</w:t>
            </w:r>
          </w:p>
        </w:tc>
        <w:tc>
          <w:tcPr>
            <w:tcW w:w="4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Self-insurance expense (benefit)</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(38)</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Cash (paid) received</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2"/>
          </w:tcPr>
          <w:p>
            <w:pPr>
              <w:jc w:val="right"/>
              <w:ind w:right="110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2080" w:type="dxa"/>
            <w:vAlign w:val="bottom"/>
            <w:gridSpan w:val="2"/>
          </w:tcPr>
          <w:p>
            <w:pPr>
              <w:jc w:val="right"/>
              <w:ind w:right="1160"/>
              <w:spacing w:after="0"/>
              <w:rPr>
                <w:sz w:val="20"/>
                <w:szCs w:val="20"/>
                <w:color w:val="auto"/>
              </w:rPr>
            </w:pPr>
            <w:r>
              <w:rPr>
                <w:rFonts w:ascii="Arial" w:cs="Arial" w:eastAsia="Arial" w:hAnsi="Arial"/>
                <w:sz w:val="18"/>
                <w:szCs w:val="18"/>
                <w:color w:val="auto"/>
              </w:rPr>
              <w:t>62</w:t>
            </w:r>
          </w:p>
        </w:tc>
        <w:tc>
          <w:tcPr>
            <w:tcW w:w="4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(170)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Self-insurance expense (benefit)</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right"/>
              <w:ind w:right="110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received</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2011(b)</w:t>
            </w: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gridSpan w:val="2"/>
            <w:vMerge w:val="continue"/>
          </w:tcPr>
          <w:p>
            <w:pPr>
              <w:spacing w:after="0"/>
              <w:rPr>
                <w:sz w:val="19"/>
                <w:szCs w:val="19"/>
                <w:color w:val="auto"/>
              </w:rPr>
            </w:pP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160"/>
              <w:spacing w:after="0"/>
              <w:rPr>
                <w:sz w:val="20"/>
                <w:szCs w:val="20"/>
                <w:color w:val="auto"/>
              </w:rPr>
            </w:pPr>
            <w:r>
              <w:rPr>
                <w:rFonts w:ascii="Arial" w:cs="Arial" w:eastAsia="Arial" w:hAnsi="Arial"/>
                <w:sz w:val="18"/>
                <w:szCs w:val="18"/>
                <w:color w:val="auto"/>
              </w:rPr>
              <w:t>511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100"/>
              <w:spacing w:after="0"/>
              <w:rPr>
                <w:sz w:val="20"/>
                <w:szCs w:val="20"/>
                <w:color w:val="auto"/>
              </w:rPr>
            </w:pPr>
            <w:r>
              <w:rPr>
                <w:rFonts w:ascii="Arial" w:cs="Arial" w:eastAsia="Arial" w:hAnsi="Arial"/>
                <w:sz w:val="18"/>
                <w:szCs w:val="18"/>
                <w:color w:val="auto"/>
              </w:rPr>
              <w:t>(161)</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at December 31, 2011</w:t>
            </w:r>
          </w:p>
        </w:tc>
        <w:tc>
          <w:tcPr>
            <w:tcW w:w="10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(40)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Long-term portion at December 31, 2011</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376</w:t>
            </w:r>
          </w:p>
        </w:tc>
        <w:tc>
          <w:tcPr>
            <w:tcW w:w="11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100"/>
              <w:spacing w:after="0"/>
              <w:rPr>
                <w:sz w:val="20"/>
                <w:szCs w:val="20"/>
                <w:color w:val="auto"/>
              </w:rPr>
            </w:pPr>
            <w:r>
              <w:rPr>
                <w:rFonts w:ascii="Arial" w:cs="Arial" w:eastAsia="Arial" w:hAnsi="Arial"/>
                <w:sz w:val="18"/>
                <w:szCs w:val="18"/>
                <w:color w:val="auto"/>
              </w:rPr>
              <w:t>(121)</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color w:val="auto"/>
              </w:rPr>
              <w:t>107</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9436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92"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reported as receivables associated with insured claims are related to both paid and unpaid claims liabilities.</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currently expect substantially all of our recorded obligations to be settled in cash in the next five years.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Directors’ and Officers’ Liability Insurance policy we choose to maintain covers only individual executive liability, often referred to as “Broad Form Side A,” and does not provide corporate reimbursement coverage, often referred to as “Side B.” The Side A policy covers directors and officers directly for loss, including defense costs, when corporate indemnification is unavailable. Side A-only coverage cannot be exhausted by payments to the Company, as the Company is not insured for any money it advances for defense costs or pays as indemnity to the insured directors and officers.</w:t>
      </w:r>
    </w:p>
    <w:p>
      <w:pPr>
        <w:spacing w:after="0" w:line="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5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Rental expense for leased properties was $138 million during 2011, $121 million during 2010 and $114 million during 2009.</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contractual payments due for our operating lease obligations are $91 million in 2012, $77 million in 2013, $68 million in 2014, $56 million in 2015 and $45 million in 2016.</w:t>
      </w:r>
    </w:p>
    <w:p>
      <w:pPr>
        <w:spacing w:after="0" w:line="59" w:lineRule="exact"/>
        <w:rPr>
          <w:sz w:val="20"/>
          <w:szCs w:val="20"/>
          <w:color w:val="auto"/>
        </w:rPr>
      </w:pPr>
    </w:p>
    <w:p>
      <w:pPr>
        <w:ind w:right="140" w:firstLine="456"/>
        <w:spacing w:after="0" w:line="357" w:lineRule="auto"/>
        <w:rPr>
          <w:sz w:val="20"/>
          <w:szCs w:val="20"/>
          <w:color w:val="auto"/>
        </w:rPr>
      </w:pPr>
      <w:r>
        <w:rPr>
          <w:rFonts w:ascii="Arial" w:cs="Arial" w:eastAsia="Arial" w:hAnsi="Arial"/>
          <w:sz w:val="15"/>
          <w:szCs w:val="15"/>
          <w:color w:val="auto"/>
        </w:rPr>
        <w:t>Our minimum contractual payments for lease agreements during future periods is significantly less than current year rent expense due to short-term leases and because our significant lease agreements at landfills have variable terms based either on a percentage of revenue or a rate per ton of waste received.</w:t>
      </w:r>
    </w:p>
    <w:p>
      <w:pPr>
        <w:ind w:left="240"/>
        <w:spacing w:after="0"/>
        <w:rPr>
          <w:sz w:val="20"/>
          <w:szCs w:val="20"/>
          <w:color w:val="auto"/>
        </w:rPr>
      </w:pPr>
      <w:r>
        <w:rPr>
          <w:rFonts w:ascii="Arial" w:cs="Arial" w:eastAsia="Arial" w:hAnsi="Arial"/>
          <w:sz w:val="18"/>
          <w:szCs w:val="18"/>
          <w:i w:val="1"/>
          <w:iCs w:val="1"/>
          <w:color w:val="auto"/>
        </w:rPr>
        <w:t>Other Commitments</w:t>
      </w:r>
    </w:p>
    <w:p>
      <w:pPr>
        <w:spacing w:after="0" w:line="90" w:lineRule="exact"/>
        <w:rPr>
          <w:sz w:val="20"/>
          <w:szCs w:val="20"/>
          <w:color w:val="auto"/>
        </w:rPr>
      </w:pPr>
    </w:p>
    <w:p>
      <w:pPr>
        <w:ind w:left="700" w:hanging="246"/>
        <w:spacing w:after="0" w:line="291" w:lineRule="auto"/>
        <w:tabs>
          <w:tab w:leader="none" w:pos="70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Fuel Supply </w:t>
      </w:r>
      <w:r>
        <w:rPr>
          <w:rFonts w:ascii="Arial" w:cs="Arial" w:eastAsia="Arial" w:hAnsi="Arial"/>
          <w:sz w:val="16"/>
          <w:szCs w:val="16"/>
          <w:color w:val="auto"/>
        </w:rPr>
        <w:t>— We have purchase agreements expiring at various dates through 2025 that require us to purchase minimum amounts of wood waste,</w:t>
      </w:r>
      <w:r>
        <w:rPr>
          <w:rFonts w:ascii="Arial" w:cs="Arial" w:eastAsia="Arial" w:hAnsi="Arial"/>
          <w:sz w:val="16"/>
          <w:szCs w:val="16"/>
          <w:i w:val="1"/>
          <w:iCs w:val="1"/>
          <w:color w:val="auto"/>
        </w:rPr>
        <w:t xml:space="preserve"> </w:t>
      </w:r>
      <w:r>
        <w:rPr>
          <w:rFonts w:ascii="Arial" w:cs="Arial" w:eastAsia="Arial" w:hAnsi="Arial"/>
          <w:sz w:val="16"/>
          <w:szCs w:val="16"/>
          <w:color w:val="auto"/>
        </w:rPr>
        <w:t>anthracite coal waste (culm) and conventional fuels at our independent power production plants. These fuel supplies are used to produce steam that is sold to industrial and commercial users and electricity that is sold to electric utilities, which is generally subject to the terms and conditions of long-term contracts. Our purchase agreements have been established based on the plants’ anticipated fuel supply needs to meet the demands of our customers under these long-term electricity sale contracts. Under our fuel supply take-or-pay contracts, we are generally obligated to pay for a minimum amount of waste or conventional fuel at a stated rate even if such quantities are not required in our operations.</w:t>
      </w:r>
    </w:p>
    <w:p>
      <w:pPr>
        <w:spacing w:after="0" w:line="39" w:lineRule="exact"/>
        <w:rPr>
          <w:rFonts w:ascii="Arial" w:cs="Arial" w:eastAsia="Arial" w:hAnsi="Arial"/>
          <w:sz w:val="16"/>
          <w:szCs w:val="16"/>
          <w:color w:val="auto"/>
        </w:rPr>
      </w:pPr>
    </w:p>
    <w:p>
      <w:pPr>
        <w:ind w:left="700" w:right="60" w:hanging="246"/>
        <w:spacing w:after="0" w:line="256"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Disposal </w:t>
      </w:r>
      <w:r>
        <w:rPr>
          <w:rFonts w:ascii="Arial" w:cs="Arial" w:eastAsia="Arial" w:hAnsi="Arial"/>
          <w:sz w:val="18"/>
          <w:szCs w:val="18"/>
          <w:color w:val="auto"/>
        </w:rPr>
        <w:t>— We have several agreements expiring at various dates through 2052 that require us to dispose of a minimum number of tons at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facilities. Under these put-or-pay agreements, we are required to pay for the agreed upon minimum volumes regardless of the actual number of tons placed at the facilities. We generally fulfill our minimum contractual obligations by disposing of volumes collected in the ordinary course of business at these disposal facilities.</w:t>
      </w:r>
    </w:p>
    <w:p>
      <w:pPr>
        <w:spacing w:after="0" w:line="62" w:lineRule="exact"/>
        <w:rPr>
          <w:rFonts w:ascii="Arial" w:cs="Arial" w:eastAsia="Arial" w:hAnsi="Arial"/>
          <w:sz w:val="18"/>
          <w:szCs w:val="18"/>
          <w:color w:val="auto"/>
        </w:rPr>
      </w:pPr>
    </w:p>
    <w:p>
      <w:pPr>
        <w:ind w:left="700" w:right="100" w:hanging="246"/>
        <w:spacing w:after="0" w:line="268"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Waste Paper </w:t>
      </w:r>
      <w:r>
        <w:rPr>
          <w:rFonts w:ascii="Arial" w:cs="Arial" w:eastAsia="Arial" w:hAnsi="Arial"/>
          <w:sz w:val="18"/>
          <w:szCs w:val="18"/>
          <w:color w:val="auto"/>
        </w:rPr>
        <w:t>— We are party to waste paper purchase agreements expiring at various date through 2016 that require us to purchase a minimum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tons of waste paper. The cost per ton we pay is based on market prices.</w:t>
      </w:r>
    </w:p>
    <w:p>
      <w:pPr>
        <w:spacing w:after="0" w:line="50" w:lineRule="exact"/>
        <w:rPr>
          <w:rFonts w:ascii="Arial" w:cs="Arial" w:eastAsia="Arial" w:hAnsi="Arial"/>
          <w:sz w:val="18"/>
          <w:szCs w:val="18"/>
          <w:color w:val="auto"/>
        </w:rPr>
      </w:pPr>
    </w:p>
    <w:p>
      <w:pPr>
        <w:ind w:left="700" w:right="180" w:hanging="246"/>
        <w:spacing w:after="0" w:line="256"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 We have various arrangements that require us to make royalty payments to third parties including prior land owners, lessors or host</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communities where our operations are located. Our obligations generally are based on per ton rates for waste actually received at our transfer stations, landfills or waste-to-energy facilities. Royalty agreements that are non-cancelable and require fixed or minimum payments are recorded as obligations in our Consolidated Balance Sheet.</w:t>
      </w:r>
    </w:p>
    <w:p>
      <w:pPr>
        <w:spacing w:after="0" w:line="62" w:lineRule="exact"/>
        <w:rPr>
          <w:rFonts w:ascii="Arial" w:cs="Arial" w:eastAsia="Arial" w:hAnsi="Arial"/>
          <w:sz w:val="18"/>
          <w:szCs w:val="18"/>
          <w:color w:val="auto"/>
        </w:rPr>
      </w:pPr>
    </w:p>
    <w:p>
      <w:pPr>
        <w:ind w:left="700" w:right="220" w:hanging="246"/>
        <w:spacing w:after="0" w:line="259"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Credit Commitment </w:t>
      </w:r>
      <w:r>
        <w:rPr>
          <w:rFonts w:ascii="Arial" w:cs="Arial" w:eastAsia="Arial" w:hAnsi="Arial"/>
          <w:sz w:val="18"/>
          <w:szCs w:val="18"/>
          <w:color w:val="auto"/>
        </w:rPr>
        <w:t>— In 2011, we made a noncontrolling equity investment in an entity focused on the conversion of municipal solid waste into</w:t>
      </w:r>
      <w:r>
        <w:rPr>
          <w:rFonts w:ascii="Arial" w:cs="Arial" w:eastAsia="Arial" w:hAnsi="Arial"/>
          <w:sz w:val="18"/>
          <w:szCs w:val="18"/>
          <w:i w:val="1"/>
          <w:iCs w:val="1"/>
          <w:color w:val="auto"/>
        </w:rPr>
        <w:t xml:space="preserve"> </w:t>
      </w:r>
      <w:r>
        <w:rPr>
          <w:rFonts w:ascii="Arial" w:cs="Arial" w:eastAsia="Arial" w:hAnsi="Arial"/>
          <w:sz w:val="18"/>
          <w:szCs w:val="18"/>
          <w:color w:val="auto"/>
        </w:rPr>
        <w:t>advanced bio-fuels. In connection with this investment, we agreed to provide the entity with a secured loan facility whereby we would fund up to $70 million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680" w:right="80"/>
        <w:spacing w:after="0" w:line="259" w:lineRule="auto"/>
        <w:rPr>
          <w:sz w:val="20"/>
          <w:szCs w:val="20"/>
          <w:color w:val="auto"/>
        </w:rPr>
      </w:pPr>
      <w:r>
        <w:rPr>
          <w:rFonts w:ascii="Arial" w:cs="Arial" w:eastAsia="Arial" w:hAnsi="Arial"/>
          <w:sz w:val="18"/>
          <w:szCs w:val="18"/>
          <w:color w:val="auto"/>
        </w:rPr>
        <w:t>support the construction of the entity’s first bio-fuel facility. Our obligation to fund this secured loan agreement is contingent upon the satisfaction of certain conditions by the borrower. The borrower has until November 2014 to draw on the facility and must repay the loan over a term not to exceed 12 years from the plant’s commencement of commercial operations.</w:t>
      </w:r>
    </w:p>
    <w:p>
      <w:pPr>
        <w:spacing w:after="0" w:line="5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unconditional obligations are established in the ordinary course of our business and are structured in a manner that provides us with access to important resources at competitive, market-driven rates. Our actual future minimum obligations under these outstanding agreements are generally quantity driven and, as a result, our associated financial obligations are not fixed as of December 31, 2011. For contracts that require us to purchase minimum quantities of goods or services, we have estimated our future minimum obligations based on the current market values of the underlying products or services. As of December 31, 2011, our estimated minimum obligations for the above-described purchase obligations, which are not recognized in our Consolidated Balance Sheet in accordance with accounting principles generally accepted in the U.S., were $148 million in 2012, $143 million in 2013, $47 million in 2014, $36 million in 2015 and $29 million in 2016. We currently expect the products and services provided by these agreements to continue to meet the needs of our ongoing operations. Therefore, we do not expect these established arrangements to materially impact our future financial position, results of operations or cash flows.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We have entered into the following guarantee agreements associated with our operations:</w:t>
      </w:r>
    </w:p>
    <w:p>
      <w:pPr>
        <w:spacing w:after="0" w:line="90" w:lineRule="exact"/>
        <w:rPr>
          <w:sz w:val="20"/>
          <w:szCs w:val="20"/>
          <w:color w:val="auto"/>
        </w:rPr>
      </w:pPr>
    </w:p>
    <w:p>
      <w:pPr>
        <w:ind w:left="700" w:right="220" w:hanging="246"/>
        <w:spacing w:after="0" w:line="294" w:lineRule="auto"/>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As of December 31, 2011, WM Holdings has fully and unconditionally guaranteed all of WM’s senior indebtedness, including its senior notes, revolving credit agreement and certain letter of credit facilities, which mature through 2039. WM has fully and unconditionally guaranteed the senior indebtedness of WM Holdings, which matures in 2026. Performance under these guarantee agreements would be required if either party defaulted on their respective obligations. No additional liabilities have been recorded for these guarantees because the underlying obligations are reflected in our Consolidated Balance Sheets. See Note 23 for further information.</w:t>
      </w:r>
    </w:p>
    <w:p>
      <w:pPr>
        <w:spacing w:after="0" w:line="34" w:lineRule="exact"/>
        <w:rPr>
          <w:rFonts w:ascii="Arial" w:cs="Arial" w:eastAsia="Arial" w:hAnsi="Arial"/>
          <w:sz w:val="16"/>
          <w:szCs w:val="16"/>
          <w:color w:val="auto"/>
        </w:rPr>
      </w:pPr>
    </w:p>
    <w:p>
      <w:pPr>
        <w:ind w:left="700" w:right="540" w:hanging="246"/>
        <w:spacing w:after="0" w:line="298" w:lineRule="auto"/>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WM and WM Holdings have guaranteed the tax-exempt bonds and other debt obligations of their subsidiaries. If a subsidiary fails to meet its obligations associated with its debt agreements as they come due, WM or WM Holdings will be required to perform under the related guarantee agreement. No additional liabilities have been recorded for these guarantees because the underlying obligations are reflected in our Consolidated Balance Sheets. See Note 7 for information related to the balances and maturities of our tax-exempt bonds.</w:t>
      </w:r>
    </w:p>
    <w:p>
      <w:pPr>
        <w:spacing w:after="0" w:line="31" w:lineRule="exact"/>
        <w:rPr>
          <w:rFonts w:ascii="Arial" w:cs="Arial" w:eastAsia="Arial" w:hAnsi="Arial"/>
          <w:sz w:val="16"/>
          <w:szCs w:val="16"/>
          <w:color w:val="auto"/>
        </w:rPr>
      </w:pPr>
    </w:p>
    <w:p>
      <w:pPr>
        <w:ind w:left="700" w:right="240" w:hanging="246"/>
        <w:spacing w:after="0" w:line="306" w:lineRule="auto"/>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have guaranteed certain financial obligations of unconsolidated entities. The related obligations, which mature through 2020, are not recorded on our Consolidated Balance Sheets. As of December 31, 2011, our maximum future payments associated with these guarantees are approximately $20 million. We do not believe that it is likely that we will be required to perform under these guarantees.</w:t>
      </w:r>
    </w:p>
    <w:p>
      <w:pPr>
        <w:spacing w:after="0" w:line="25" w:lineRule="exact"/>
        <w:rPr>
          <w:rFonts w:ascii="Arial" w:cs="Arial" w:eastAsia="Arial" w:hAnsi="Arial"/>
          <w:sz w:val="16"/>
          <w:szCs w:val="16"/>
          <w:color w:val="auto"/>
        </w:rPr>
      </w:pPr>
    </w:p>
    <w:p>
      <w:pPr>
        <w:ind w:left="700" w:hanging="246"/>
        <w:spacing w:after="0" w:line="254" w:lineRule="auto"/>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Certain of our subsidiaries have guaranteed the market or contractually-determined value of certain homeowners’ properties that are adjacent to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2011, we have agreements guaranteeing certain market value losses for approximately 900 homeowners’ properties adjacent to or near 21 of our landfills. We do not believe that these contingent obligations will have a material effect on our financial position, results of operations or cash flows.</w:t>
      </w:r>
    </w:p>
    <w:p>
      <w:pPr>
        <w:spacing w:after="0" w:line="63" w:lineRule="exact"/>
        <w:rPr>
          <w:rFonts w:ascii="Arial" w:cs="Arial" w:eastAsia="Arial" w:hAnsi="Arial"/>
          <w:sz w:val="18"/>
          <w:szCs w:val="18"/>
          <w:color w:val="auto"/>
        </w:rPr>
      </w:pPr>
    </w:p>
    <w:p>
      <w:pPr>
        <w:ind w:left="700" w:right="20" w:hanging="246"/>
        <w:spacing w:after="0" w:line="256" w:lineRule="auto"/>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680"/>
        <w:spacing w:after="0" w:line="255" w:lineRule="auto"/>
        <w:rPr>
          <w:sz w:val="20"/>
          <w:szCs w:val="20"/>
          <w:color w:val="auto"/>
        </w:rPr>
      </w:pPr>
      <w:r>
        <w:rPr>
          <w:rFonts w:ascii="Arial" w:cs="Arial" w:eastAsia="Arial" w:hAnsi="Arial"/>
          <w:sz w:val="18"/>
          <w:szCs w:val="18"/>
          <w:color w:val="auto"/>
        </w:rPr>
        <w:t>post-closing. For acquisitions completed subsequent to January 1, 2009, we have recognized liabilities for these contingent obligations based on an estimate of the fair value of these contingencies at the time of acquisition. For acquisitions completed before January 1, 2009, the costs associated with any additional consideration requirements are accounted for as incurred. Contingent obligations related to indemnifications arising from our divestitures and contingent consideration provided for by our acquisitions are not expected to be material to our financial position, results of operations or cash flows.</w:t>
      </w:r>
    </w:p>
    <w:p>
      <w:pPr>
        <w:spacing w:after="0" w:line="62" w:lineRule="exact"/>
        <w:rPr>
          <w:sz w:val="20"/>
          <w:szCs w:val="20"/>
          <w:color w:val="auto"/>
        </w:rPr>
      </w:pPr>
    </w:p>
    <w:p>
      <w:pPr>
        <w:ind w:left="700" w:hanging="246"/>
        <w:spacing w:after="0" w:line="294" w:lineRule="auto"/>
        <w:tabs>
          <w:tab w:leader="none" w:pos="7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WM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3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currently do not believe it is reasonably likely that we would be called upon to perform under these guarantees and do not believe that any of the obligations would have a material effect on our financial position, results of operations or cash flows.</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A significant portion of our operating costs and capital expenditures could be characterized as costs of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3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December 31, 2011, we had been notified that we are a PRP in connection with 80 locations listed on the EPA’s Superfund National Priorities List, or NPL. Of the 80 sites at which claims have been made against us, 17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63 NPL sites, which we do not own, are at various procedural stages under the Comprehensive Environmental Response, Compensation and Liability Act of 1980, as amended, known as CERCLA or Superfund.</w:t>
      </w:r>
    </w:p>
    <w:p>
      <w:pPr>
        <w:spacing w:after="0" w:line="3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The majority of these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April 2002, certain former participants in the ERISA plans of WM Holdings filed a lawsuit in the U.S. District Court for the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Columbia in a case entitled </w:t>
      </w:r>
      <w:r>
        <w:rPr>
          <w:rFonts w:ascii="Arial" w:cs="Arial" w:eastAsia="Arial" w:hAnsi="Arial"/>
          <w:sz w:val="18"/>
          <w:szCs w:val="18"/>
          <w:i w:val="1"/>
          <w:iCs w:val="1"/>
          <w:color w:val="auto"/>
        </w:rPr>
        <w:t>William S. Harris, et al. v. James E. Koenig, et al</w:t>
      </w:r>
      <w:r>
        <w:rPr>
          <w:rFonts w:ascii="Arial" w:cs="Arial" w:eastAsia="Arial" w:hAnsi="Arial"/>
          <w:sz w:val="18"/>
          <w:szCs w:val="18"/>
          <w:color w:val="auto"/>
        </w:rPr>
        <w:t>. The lawsuit attempts to increase the recovery of a class of ERISA plan participants on behalf of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plan based on allegations related to both the events alleged in, and the settlements relating to, the securities class action against WM Holdings that was settled in 1998, the litigation against WM in Texas that was settled in 2002, as well as the decision to offer WM common stock as an investment option within the plan beginning in 1990, despite alleged knowledge by at least two members of the investment committee of financial misstatement by WM during the relevant time period.</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second quarter of 2010, the Court dismissed certain claims against individual defendants, including all claims against each of the current members of our Board of Directors. Previously, plaintiffs dismissed all claims related to the settlement of the securities class action against WM that was settled in 2002, and the court certified a limited class of participants who may bring claims on behalf of the plan, but not individually. During the third quarter of 2011, the Court ruled in favor of WM and two former employees dismissing all claims brought by the plaintiffs related to the decision to offer WM stock as an investment option within the plan. The Court still has under consideration additional motions that, if granted, would resolve the few remaining claims against WM and its Committees. The outcome of this lawsuit cannot be predicted with certainty. The defendants intend to defend themselves vigorously in this litigation.</w:t>
      </w:r>
    </w:p>
    <w:p>
      <w:pPr>
        <w:spacing w:after="0" w:line="3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July 2008, subsidiaries of WM were named as defendants in purported class actions in the Circuit Court of Bullock County, Alabama, which was subsequently removed to the United States District Court for the Northern District of Alabama. This suit pertained to our fuel and environmental charge in our customer service agreements and generally alleged that such charges were not properly disclosed, were unfair and were contrary to the contracts. We filed a motion to dismiss that was partially granted during the third quarter of 2010, resulting in dismissal of the plaintiffs’ national class action claims. During the third quarter of 2011, the plaintiffs filed and the Court granted a motion to dismiss the litigation without prejudice.</w:t>
      </w:r>
    </w:p>
    <w:p>
      <w:pPr>
        <w:spacing w:after="0" w:line="3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October 2011 and January 2012, we were named as a defendant in a purported class action in the Circuit Court of Sarasota County, Florida and the Circuit Court of Lawrence County Alabama, respectively. These suits were filed by the same law firm that brought the Alabama litigation discussed in the prior paragraph, and these cases also primarily pertain to our fuel and environmental charges in our customer service agreements, generally alleging that such charges were not properly disclosed, were unfair and were contrary to the contracts. We will vigorously defend this matter. Given the inherent uncertainties of litigation, the ultimate outcome of these cases cannot be predicted at this time, nor can possible damages, if any, be reasonably estimated.</w:t>
      </w:r>
    </w:p>
    <w:p>
      <w:pPr>
        <w:spacing w:after="0" w:line="3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often enter into contractual arrangements with landowners imposing obligations on us to meet certain regulatory or contractual conditions upon site closure or upon termination of the agreements. Compliance with these arrangements is inherently subject to subjective determinations and may result in disputes, including litigation. In May 2008, Mnoian Management, Inc. filed suit in Los Angeles County Superior Court seeking remediation and increased compaction of a site we had previously leased for landfill purposes. The parties have completed a binding arbitration, and all principal matters have been resolved.</w:t>
      </w:r>
    </w:p>
    <w:p>
      <w:pPr>
        <w:spacing w:after="0" w:line="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3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WM’s charter and bylaws provide that WM shall indemnify against all liabilities and expenses, and upon request shall advance expenses to, any person who is subject to a pending or threatened proceeding because such person is a director or officer of the Company. Such indemnification is required to the maximum extent permitted under Delaware law. Accordingly, the director or officer must reimburse the Company for any fees advanced if it is later determined that the director or officer was not entitled to have such fees advanced under Delaware law. Additionally, WM has entered into separate indemnification agreements with each of the members of its Board of Directors, and the employment agreements between WM and its Chief Executive Officer, principal financial officer and other executive and senior vice presidents contain a direct contractual obligation of the Company to provide indemnification to the executive. 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w:t>
      </w:r>
    </w:p>
    <w:p>
      <w:pPr>
        <w:spacing w:after="0" w:line="3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w:t>
      </w:r>
    </w:p>
    <w:p>
      <w:pPr>
        <w:spacing w:after="0" w:line="26" w:lineRule="exact"/>
        <w:rPr>
          <w:sz w:val="20"/>
          <w:szCs w:val="20"/>
          <w:color w:val="auto"/>
        </w:rPr>
      </w:pPr>
    </w:p>
    <w:p>
      <w:pPr>
        <w:ind w:left="460" w:right="60" w:firstLine="438"/>
        <w:spacing w:after="0" w:line="291" w:lineRule="auto"/>
        <w:rPr>
          <w:sz w:val="20"/>
          <w:szCs w:val="20"/>
          <w:color w:val="auto"/>
        </w:rPr>
      </w:pPr>
      <w:r>
        <w:rPr>
          <w:rFonts w:ascii="Arial" w:cs="Arial" w:eastAsia="Arial" w:hAnsi="Arial"/>
          <w:sz w:val="16"/>
          <w:szCs w:val="16"/>
          <w:color w:val="auto"/>
        </w:rPr>
        <w:t>On April 4, 2006, the EPA issued a Notice of Violation (“NOV”) to Waste Management of Hawaii, Inc., an indirect wholly-owned subsidiary of WM,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(“GCCS”) for the Waimanalo Gulch Sanitary Landfill on Oahu. The EPA has also indicated that it will seek penalties and injunctive relief as part of the NOV enforcement for elevated landfill temperatures that were recorded after installation of the GCCS. The parties have been in confidential settlement negotiations. Pursuant to an indemnity agreement, any penalty assessed will be paid by the Company, and not by the City and County of Honolulu.</w:t>
      </w:r>
    </w:p>
    <w:p>
      <w:pPr>
        <w:spacing w:after="0" w:line="39" w:lineRule="exact"/>
        <w:rPr>
          <w:sz w:val="20"/>
          <w:szCs w:val="20"/>
          <w:color w:val="auto"/>
        </w:rPr>
      </w:pPr>
    </w:p>
    <w:p>
      <w:pPr>
        <w:ind w:left="460" w:right="180" w:firstLine="438"/>
        <w:spacing w:after="0" w:line="298" w:lineRule="auto"/>
        <w:rPr>
          <w:sz w:val="20"/>
          <w:szCs w:val="20"/>
          <w:color w:val="auto"/>
        </w:rPr>
      </w:pPr>
      <w:r>
        <w:rPr>
          <w:rFonts w:ascii="Arial" w:cs="Arial" w:eastAsia="Arial" w:hAnsi="Arial"/>
          <w:sz w:val="16"/>
          <w:szCs w:val="16"/>
          <w:color w:val="auto"/>
        </w:rPr>
        <w:t>On November 16, 2011, the Regional Water Quality Control Board for the San Francisco Bay Region issued an Administrative Civil Liability (“ACL”) Complaint to Guadalupe Rubbish Disposal Company, Inc. (“GRDC”), an indirect wholly-owned subsidiary of WM. The ACL Complaint seeks penalties for alleged violations of California’s water pollution statutes and GRDC’s landfill permit relating to handling of landfill gas condensate from an on-site landfill gas-to-energy facility owned and operated by a third party. GRDC has appealed the ACL Complaint.</w:t>
      </w:r>
    </w:p>
    <w:p>
      <w:pPr>
        <w:spacing w:after="0" w:line="32" w:lineRule="exact"/>
        <w:rPr>
          <w:sz w:val="20"/>
          <w:szCs w:val="20"/>
          <w:color w:val="auto"/>
        </w:rPr>
      </w:pPr>
    </w:p>
    <w:p>
      <w:pPr>
        <w:jc w:val="both"/>
        <w:ind w:left="460" w:right="80" w:firstLine="438"/>
        <w:spacing w:after="0" w:line="298" w:lineRule="auto"/>
        <w:rPr>
          <w:sz w:val="20"/>
          <w:szCs w:val="20"/>
          <w:color w:val="auto"/>
        </w:rPr>
      </w:pPr>
      <w:r>
        <w:rPr>
          <w:rFonts w:ascii="Arial" w:cs="Arial" w:eastAsia="Arial" w:hAnsi="Arial"/>
          <w:sz w:val="16"/>
          <w:szCs w:val="16"/>
          <w:color w:val="auto"/>
        </w:rPr>
        <w:t>On December 22, 2011, the Harris County Attorney in Houston, Texas filed suit against McGinnes Industrial Maintenance Corporation (“MIMC”), WM and Waste Management of Texas, Inc., et al, seeking civil penalties and attorneys’ fees for alleged violations of the Texas Water Code and the Texas Health and Safety Code. The County’s Original Petition pending in the District Court of Harris County, Texas alleges the mismanagement of certain waste pits that were operated from 1965 to 1966 by MIMC. In 1998, a predecessor of WM acquired the stock of the parent entity of MIMC.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right="100" w:firstLine="438"/>
        <w:spacing w:after="0" w:line="306" w:lineRule="auto"/>
        <w:rPr>
          <w:sz w:val="20"/>
          <w:szCs w:val="20"/>
          <w:color w:val="auto"/>
        </w:rPr>
      </w:pPr>
      <w:r>
        <w:rPr>
          <w:rFonts w:ascii="Arial" w:cs="Arial" w:eastAsia="Arial" w:hAnsi="Arial"/>
          <w:sz w:val="16"/>
          <w:szCs w:val="16"/>
          <w:color w:val="auto"/>
        </w:rPr>
        <w:t>On January 13, 2012, the Pennsylvania Department of Environmental Protection (“Department”) informed Phoenix Resources, Inc. (“Phoenix”) landfill that it intended to seek civil penalties for alleged violations of Pennsylvania solid waste regulations during the third quarter of 2011 resulting from the acceptance of certain loads of industrial waste prior to the Department’s written approval. Phoenix is an indirect wholly-owned subsidiary of WM.</w:t>
      </w:r>
    </w:p>
    <w:p>
      <w:pPr>
        <w:spacing w:after="0" w:line="26" w:lineRule="exact"/>
        <w:rPr>
          <w:sz w:val="20"/>
          <w:szCs w:val="20"/>
          <w:color w:val="auto"/>
        </w:rPr>
      </w:pPr>
    </w:p>
    <w:p>
      <w:pPr>
        <w:jc w:val="both"/>
        <w:ind w:right="220" w:firstLine="456"/>
        <w:spacing w:after="0" w:line="255" w:lineRule="auto"/>
        <w:rPr>
          <w:sz w:val="20"/>
          <w:szCs w:val="20"/>
          <w:color w:val="auto"/>
        </w:rPr>
      </w:pPr>
      <w:r>
        <w:rPr>
          <w:rFonts w:ascii="Arial" w:cs="Arial" w:eastAsia="Arial" w:hAnsi="Arial"/>
          <w:sz w:val="18"/>
          <w:szCs w:val="18"/>
          <w:color w:val="auto"/>
        </w:rPr>
        <w:t>Additionally, the United States Attorney’s Office for the District of Hawaii has commenced an investigation into allegations of violations of the federal Clean Water Act involving discharge of stormwater at the Waimanalo Gulch Sanitary Landfill, located on Oahu, Hawaii in connection with three major storm events in December 2010 and January 2011. No formal enforcement action has been brought against the Company, although we could potentially be subject to sanctions, including requirements to pay monetary penalties, in connection with a future proceeding that may arise from the investigation. We are cooperating with the U.S. Attorney’s Office.</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Multiemployer Defined Benefit Pension Plans </w:t>
      </w:r>
      <w:r>
        <w:rPr>
          <w:rFonts w:ascii="Arial" w:cs="Arial" w:eastAsia="Arial" w:hAnsi="Arial"/>
          <w:sz w:val="18"/>
          <w:szCs w:val="18"/>
          <w:color w:val="auto"/>
        </w:rPr>
        <w:t>— About 20% of our workforce is covered by collective bargaining agreements with various union locals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the United States and Canada. As a result of some of these agreements, certain of our subsidiaries are participating employers in a number of trustee-managed multiemployer, defined benefit pension plans for the affected employees. Refer to Note 10 for additional information about our participation in multiemployer, defined benefit pension plans considered individually significant.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w:t>
      </w:r>
    </w:p>
    <w:p>
      <w:pPr>
        <w:spacing w:after="0" w:line="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One of the most significant multiemployer pension plans in which we have participated is the Central States, Southeast and Southwest Areas Pension Plan (“Central States Pension Plan”), which has reported that it adopted a rehabilitation plan as a result of its actuarial certification for the plan year beginning January 1, 2008. The Central States Pension Plan is in “critical status,” as defined by the Pension Protection Act of 2006. We recognized charges to “Operating” expenses of $26 million in 2010 and $9 million in 2009 associated with the withdrawal of certain bargaining units from underfunded multiemployer pension plans. Our partial withdrawal from the Central States Pension Plan accounted for all of our 2010 charges. In October 2011, our last remaining group of employees that were active participants in the Central States Pension Plan voted to decertify the union that represented them, ceasing any contribution obligation and withdrawing them from the Central States Pension Plan.</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still negotiating and litigating final resolutions of our withdrawal liability for previous withdrawals and our recent final withdrawal mentioned above, which could be materially higher than the charges we have recognized. We do not believe that our withdrawals from the multiemployer plans, individually or in the aggregate, will have a material adverse effect on our financial condition or liquidity. However, depending on the number of employees withdrawn in any future period and the financial condition of the multiemployer plans at the time of withdrawal, such withdrawals could materially affect our results of operations in the period of the withdrawal.</w:t>
      </w:r>
    </w:p>
    <w:p>
      <w:pPr>
        <w:spacing w:after="0" w:line="6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are currently in the examination phase of IRS audits for the tax years 2010, 2011 and 2012 and expect these audits to be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next three, 12 and 24 months, respectively. We participate in the IRS’s Compliance Assurance Program, which means we work with the IRS throughout the year in order to resolve any material issues prior to the filing of our year-end tax return. We are also currently undergoing audits by various state and local jurisdictions that date back to 2000. We have finalized audits in Canada through the 2005 tax year and are not currently under audit for any subsequent tax years in Canada. On July 28, 2011, we acquired Oakleaf, which is subject to IRS examinations for years dating back to 2008 and state income tax examinations for years dating back to 2002. Pursuant to the terms of our acquisition of Oakleaf, we are entitled to indemnification for Oakleaf’s pre-acquisition tax liabilities.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Restructuring</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2011 Restructuring — </w:t>
      </w:r>
      <w:r>
        <w:rPr>
          <w:rFonts w:ascii="Arial" w:cs="Arial" w:eastAsia="Arial" w:hAnsi="Arial"/>
          <w:sz w:val="16"/>
          <w:szCs w:val="16"/>
          <w:color w:val="auto"/>
        </w:rPr>
        <w:t>Beginning in July 2011, we took steps to streamline our organization as part of our cost savings programs. This reorganization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eliminated over 700 employee positions throughout the Company, including approximately 300 open positions. Additionally, subsequent to our acquisition of Oakleaf, we incurred charges in connection with restructuring that organization. During the year ended December 31, 2011, we recognized a total of $19 million of pre-tax restructuring charges, of which $18 million were related to employee severance and benefit costs associated with this reorganization. The remaining charges were primarily related to operating lease obligations for property that will no longer be utilized. The following table summarizes the employee severance and benefit costs and other charges recognized for this restructuring by each of our current reportable segments and our Corporate and Other organization for the year ended December 31, 2011 (in millions):</w:t>
      </w:r>
    </w:p>
    <w:p>
      <w:pPr>
        <w:spacing w:after="0" w:line="4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Midwest</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Western</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Corporate and Other</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Through December 31, 2011, we have paid approximately $10 million of the employee severance and benefit costs incurred as a result of 2011 restructuring activities.</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2009 Restructuring — </w:t>
      </w:r>
      <w:r>
        <w:rPr>
          <w:rFonts w:ascii="Arial" w:cs="Arial" w:eastAsia="Arial" w:hAnsi="Arial"/>
          <w:sz w:val="18"/>
          <w:szCs w:val="18"/>
          <w:color w:val="auto"/>
        </w:rPr>
        <w:t>In January 2009, we streamlined our organization by (i) consolidating many of our Market Areas; (ii) integrating the management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recycling operations with our other solid waste business; and (iii) realigning our Corporate organization with this new structure in order to provide support functions more efficiently.</w:t>
      </w:r>
    </w:p>
    <w:p>
      <w:pPr>
        <w:spacing w:after="0" w:line="5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principal operations are managed through our Groups, which are discussed in Note 21. Each of our four geographic Groups had been further divided into 45 Market Areas. As a result of our restructuring, the Market Areas were consolidated into 25 Areas. We found that our larger Market Areas generally were able to achieve efficiencies through economies of scale that were not present in our smaller Market Areas, and this reorganization has allowed us to lower costs and to continue to standardize processes and improve productivity. In addition, during the first quarter of 2009, responsibility for the oversight of day-to-day recycling operations at our material recovery facilities and secondary processing facilities was transferred from our Waste Management Recycle America, or WMRA, organization to our four geographic Groups. By integrating the management of our recycling facilities’ operations with our other solid waste business, we are able to more efficiently provide comprehensive environmental solutions to our customers. In addition, as a result of this realignment, we have significantly reduced the overhead costs associated with managing this portion of our business and have increased the geographic Groups’ focus on maximizing the profitability and return on invested capital of our business on an integrated basis.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This reorganization eliminated over 1,500 employee positions throughout the Company. During 2009, we recognized $50 million of pre-tax charges associated with this restructuring, of which $41 million were related to employee severance and benefit costs. The remaining charges were primarily related to operating lease obligations for property that will no longer be utilized. The following table summarizes the charges recognized in 2009 for this restructuring by each of our reportable segments and our Corporate and Other organizations (in millions):</w:t>
      </w:r>
    </w:p>
    <w:p>
      <w:pPr>
        <w:spacing w:after="0" w:line="4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Midwest</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Western</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50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2010, we recognized $2 million of income related to the reversal of pre-tax restructuring charges recorded in 2009. Through December 31, 2010, we had paid all of the employee severance and benefit costs incurred as a result of this restructuring.</w:t>
      </w:r>
    </w:p>
    <w:p>
      <w:pPr>
        <w:spacing w:after="0" w:line="207" w:lineRule="exact"/>
        <w:rPr>
          <w:sz w:val="20"/>
          <w:szCs w:val="20"/>
          <w:color w:val="auto"/>
        </w:rPr>
      </w:pPr>
    </w:p>
    <w:p>
      <w:pPr>
        <w:ind w:left="440" w:hanging="432"/>
        <w:spacing w:after="0"/>
        <w:tabs>
          <w:tab w:leader="none" w:pos="4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(Income) Expense from Divestitures, Asset Impairments and Unusual Items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major components of “(Income) expense from divestitures, asset impairments and unusual items”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the respective periods (in millions):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Years Ended December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6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expense from divestitures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7"/>
              </w:rPr>
              <w:t>—</w:t>
            </w: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Asset impairments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78"/>
              </w:rPr>
              <w:t>83</w:t>
            </w: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0"/>
        </w:trPr>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9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(78)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ind w:left="60"/>
              <w:spacing w:after="0"/>
              <w:rPr>
                <w:sz w:val="20"/>
                <w:szCs w:val="20"/>
                <w:color w:val="auto"/>
              </w:rPr>
            </w:pPr>
            <w:r>
              <w:rPr>
                <w:rFonts w:ascii="Arial" w:cs="Arial" w:eastAsia="Arial" w:hAnsi="Arial"/>
                <w:sz w:val="16"/>
                <w:szCs w:val="16"/>
                <w:color w:val="auto"/>
                <w:w w:val="78"/>
              </w:rPr>
              <w:t>83</w:t>
            </w:r>
          </w:p>
        </w:tc>
        <w:tc>
          <w:tcPr>
            <w:tcW w:w="10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 During the year ended December 31, 2011, we recognized impairment charges relating primarily to two facilities in our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waste services business as a result of the closure of one site and of continuing operating losses at the other site. We wrote down the net book values of the sites to their estimated fair values.</w:t>
      </w:r>
    </w:p>
    <w:p>
      <w:pPr>
        <w:spacing w:after="0" w:line="5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Through December 31, 2008, we capitalized $70 million of accumulated costs associated with the development of a new waste and recycling revenue management system. A significant portion of these costs was specifically associated with the purchase of a license for waste and recycling revenue management software and the efforts required to develop and configure that software for our use. After a failed pilot implementation of the software in one of our smallest Market Areas, the development efforts associated with the revenue management system were suspended in 2007. During 2009, we determined to enhance and improve our existing revenue management system and not pursue alternatives associated with the development and implementation of the licensed software. Accordingly, in 2009, we recognized a non-cash charge of $51 million, for the abandonment of the licensed software.</w:t>
      </w:r>
    </w:p>
    <w:p>
      <w:pPr>
        <w:spacing w:after="0" w:line="3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recognized an additional $32 million of impairment charges during 2009, $27 million of which was recognized by our Western Group during the fourth quarter of 2009 to fully impair a landfill in California as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result of a change in our expectations for the future operations of the landfill. The remaining impairment charges were primarily attributable to a charge required to write down certain of our investments in portable self-storage operations to their fair value as a result of our acquisition of a controlling financial interest in those operations.</w:t>
      </w:r>
    </w:p>
    <w:p>
      <w:pPr>
        <w:spacing w:after="0" w:line="59"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We filed a lawsuit in March 2008 related to the revenue management software implementation that was suspended in 2007 and abandoned in</w:t>
      </w:r>
      <w:r>
        <w:rPr>
          <w:rFonts w:ascii="Arial" w:cs="Arial" w:eastAsia="Arial" w:hAnsi="Arial"/>
          <w:sz w:val="18"/>
          <w:szCs w:val="18"/>
          <w:i w:val="1"/>
          <w:iCs w:val="1"/>
          <w:color w:val="auto"/>
        </w:rPr>
        <w:t xml:space="preserve"> </w:t>
      </w:r>
      <w:r>
        <w:rPr>
          <w:rFonts w:ascii="Arial" w:cs="Arial" w:eastAsia="Arial" w:hAnsi="Arial"/>
          <w:sz w:val="18"/>
          <w:szCs w:val="18"/>
          <w:color w:val="auto"/>
        </w:rPr>
        <w:t>2009. In April 2010, we settled the lawsuit and received a one-time cash payment. The settlement increased our “Income from operations” for the year ended December 31, 2010 by $77 million.</w:t>
      </w:r>
    </w:p>
    <w:p>
      <w:pPr>
        <w:spacing w:after="0" w:line="134" w:lineRule="exact"/>
        <w:rPr>
          <w:sz w:val="20"/>
          <w:szCs w:val="20"/>
          <w:color w:val="auto"/>
        </w:rPr>
      </w:pPr>
    </w:p>
    <w:p>
      <w:pPr>
        <w:ind w:left="440" w:hanging="432"/>
        <w:spacing w:after="0"/>
        <w:tabs>
          <w:tab w:leader="none" w:pos="4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components of accumulated other comprehensive income, which is included as a component of Waste Management, Inc. stockholders’ equity, were as follows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2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5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88"/>
        </w:trPr>
        <w:tc>
          <w:tcPr>
            <w:tcW w:w="81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7"/>
              </w:rPr>
              <w:t>Accumulated unrealized loss on derivative instruments, net of taxes of $39 for 2011, $20 for 2010 and $4</w:t>
            </w: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2009</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(62)</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08"/>
        </w:trPr>
        <w:tc>
          <w:tcPr>
            <w:tcW w:w="8140" w:type="dxa"/>
            <w:vAlign w:val="bottom"/>
          </w:tcPr>
          <w:p>
            <w:pPr>
              <w:spacing w:after="0"/>
              <w:rPr>
                <w:sz w:val="20"/>
                <w:szCs w:val="20"/>
                <w:color w:val="auto"/>
              </w:rPr>
            </w:pPr>
            <w:r>
              <w:rPr>
                <w:rFonts w:ascii="Arial" w:cs="Arial" w:eastAsia="Arial" w:hAnsi="Arial"/>
                <w:sz w:val="18"/>
                <w:szCs w:val="18"/>
                <w:color w:val="auto"/>
                <w:w w:val="97"/>
              </w:rPr>
              <w:t>Accumulated unrealized gain on available-for-sale securities, net of taxes of $1 for 2011, $3 for 2010 and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140" w:type="dxa"/>
            <w:vAlign w:val="bottom"/>
          </w:tcPr>
          <w:p>
            <w:pPr>
              <w:ind w:left="220"/>
              <w:spacing w:after="0"/>
              <w:rPr>
                <w:sz w:val="20"/>
                <w:szCs w:val="20"/>
                <w:color w:val="auto"/>
              </w:rPr>
            </w:pPr>
            <w:r>
              <w:rPr>
                <w:rFonts w:ascii="Arial" w:cs="Arial" w:eastAsia="Arial" w:hAnsi="Arial"/>
                <w:sz w:val="18"/>
                <w:szCs w:val="18"/>
                <w:color w:val="auto"/>
              </w:rPr>
              <w:t>$1 for 2009</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8"/>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212</w:t>
            </w:r>
          </w:p>
        </w:tc>
      </w:tr>
      <w:tr>
        <w:trPr>
          <w:trHeight w:val="208"/>
        </w:trPr>
        <w:tc>
          <w:tcPr>
            <w:tcW w:w="8140" w:type="dxa"/>
            <w:vAlign w:val="bottom"/>
          </w:tcPr>
          <w:p>
            <w:pPr>
              <w:spacing w:after="0"/>
              <w:rPr>
                <w:sz w:val="20"/>
                <w:szCs w:val="20"/>
                <w:color w:val="auto"/>
              </w:rPr>
            </w:pPr>
            <w:r>
              <w:rPr>
                <w:rFonts w:ascii="Arial" w:cs="Arial" w:eastAsia="Arial" w:hAnsi="Arial"/>
                <w:sz w:val="18"/>
                <w:szCs w:val="18"/>
                <w:color w:val="auto"/>
                <w:w w:val="99"/>
              </w:rPr>
              <w:t>Funded status of post-retirement benefit obligations, net of taxes of $9 for 2011, $4 for 2010 and $1 for</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140" w:type="dxa"/>
            <w:vAlign w:val="bottom"/>
          </w:tcPr>
          <w:p>
            <w:pPr>
              <w:ind w:left="220"/>
              <w:spacing w:after="0"/>
              <w:rPr>
                <w:sz w:val="20"/>
                <w:szCs w:val="20"/>
                <w:color w:val="auto"/>
              </w:rPr>
            </w:pPr>
            <w:r>
              <w:rPr>
                <w:rFonts w:ascii="Arial" w:cs="Arial" w:eastAsia="Arial" w:hAnsi="Arial"/>
                <w:sz w:val="18"/>
                <w:szCs w:val="18"/>
                <w:color w:val="auto"/>
              </w:rPr>
              <w:t>2009</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8"/>
        </w:trPr>
        <w:tc>
          <w:tcPr>
            <w:tcW w:w="8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208</w:t>
            </w:r>
          </w:p>
        </w:tc>
      </w:tr>
      <w:tr>
        <w:trPr>
          <w:trHeight w:val="20"/>
        </w:trPr>
        <w:tc>
          <w:tcPr>
            <w:tcW w:w="8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240" w:right="7280" w:hanging="232"/>
        <w:spacing w:after="0" w:line="347" w:lineRule="auto"/>
        <w:tabs>
          <w:tab w:leader="none" w:pos="407"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Stock, Dividends and Share Repurchases </w:t>
      </w:r>
      <w:r>
        <w:rPr>
          <w:rFonts w:ascii="Arial" w:cs="Arial" w:eastAsia="Arial" w:hAnsi="Arial"/>
          <w:sz w:val="18"/>
          <w:szCs w:val="18"/>
          <w:b w:val="1"/>
          <w:bCs w:val="1"/>
          <w:i w:val="1"/>
          <w:iCs w:val="1"/>
          <w:color w:val="auto"/>
        </w:rPr>
        <w:t>Capital Stock</w:t>
      </w:r>
    </w:p>
    <w:p>
      <w:pPr>
        <w:spacing w:after="0" w:line="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1.5 billion shares of authorized common stock with a par value of $0.01 per common share. As of December 31, 2011, we had 460.5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ten million shares of authorized preferred stock, $0.01 par value, none of which is currently outstanding.</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quarterly dividends have been declared by our Board of Directors and paid in accordance with our capital allocation programs. Cash dividends declared and paid were $637 million in 2011, or $1.36 per common share, $604 million in 2010, or $1.26 per common share and $569 million in 2009, or $1.16 per common share.</w:t>
      </w:r>
    </w:p>
    <w:p>
      <w:pPr>
        <w:spacing w:after="0" w:line="59"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In December 2011, we announced that our Board of Directors expects to increase the per share quarterly dividend from $0.34 to $0.355 for dividends declared in 2012. However, all future dividend declarations are at the discretion of the Board of Directors, and depend on various factors, including our net earnings, financial condition, cash required for future business plans and other factors the Board may deem relevant.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40"/>
          </w:cols>
          <w:pgMar w:left="240" w:top="459" w:right="3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share repurchases have been made in accordance with capital allocation programs approved by our Board of Directors. The following is a summary of activity under our stock repurchase programs for each year presented: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4"/>
              </w:rPr>
              <w:t>Years Ended December 31,</w:t>
            </w:r>
          </w:p>
        </w:tc>
        <w:tc>
          <w:tcPr>
            <w:tcW w:w="1260" w:type="dxa"/>
            <w:vAlign w:val="bottom"/>
            <w:tcBorders>
              <w:bottom w:val="single" w:sz="8" w:color="auto"/>
            </w:tcBorders>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580" w:type="dxa"/>
            <w:vAlign w:val="bottom"/>
            <w:gridSpan w:val="2"/>
          </w:tcPr>
          <w:p>
            <w:pPr>
              <w:jc w:val="center"/>
              <w:ind w:left="242"/>
              <w:spacing w:after="0" w:line="142"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Shares repurchased (in thousands)</w:t>
            </w: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17,338</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14,920</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7,237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Per share purchase price</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$28.95-$39.57</w:t>
            </w:r>
          </w:p>
        </w:tc>
        <w:tc>
          <w:tcPr>
            <w:tcW w:w="1580" w:type="dxa"/>
            <w:vAlign w:val="bottom"/>
            <w:gridSpan w:val="2"/>
          </w:tcPr>
          <w:p>
            <w:pPr>
              <w:jc w:val="center"/>
              <w:ind w:left="242"/>
              <w:spacing w:after="0"/>
              <w:rPr>
                <w:sz w:val="20"/>
                <w:szCs w:val="20"/>
                <w:color w:val="auto"/>
              </w:rPr>
            </w:pPr>
            <w:r>
              <w:rPr>
                <w:rFonts w:ascii="Arial" w:cs="Arial" w:eastAsia="Arial" w:hAnsi="Arial"/>
                <w:sz w:val="18"/>
                <w:szCs w:val="18"/>
                <w:color w:val="auto"/>
                <w:w w:val="87"/>
              </w:rPr>
              <w:t>$31.56-$37.05</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$28.06-$33.80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repurchases (in millions)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$575</w:t>
            </w:r>
          </w:p>
        </w:tc>
        <w:tc>
          <w:tcPr>
            <w:tcW w:w="1580" w:type="dxa"/>
            <w:vAlign w:val="bottom"/>
            <w:gridSpan w:val="2"/>
            <w:shd w:val="clear" w:color="auto" w:fill="CCEEFF"/>
          </w:tcPr>
          <w:p>
            <w:pPr>
              <w:jc w:val="center"/>
              <w:ind w:left="242"/>
              <w:spacing w:after="0"/>
              <w:rPr>
                <w:sz w:val="20"/>
                <w:szCs w:val="20"/>
                <w:color w:val="auto"/>
              </w:rPr>
            </w:pPr>
            <w:r>
              <w:rPr>
                <w:rFonts w:ascii="Arial" w:cs="Arial" w:eastAsia="Arial" w:hAnsi="Arial"/>
                <w:sz w:val="18"/>
                <w:szCs w:val="18"/>
                <w:color w:val="auto"/>
                <w:w w:val="84"/>
              </w:rPr>
              <w:t>$501</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$226</w:t>
            </w:r>
          </w:p>
        </w:tc>
      </w:tr>
    </w:tbl>
    <w:p>
      <w:pPr>
        <w:spacing w:after="0" w:line="7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did not repurchase shares during the first half of 2009 given the state of the economy and the financial markets. In the second half of 2009, we resumed repurchases of our common stock following improvements in the economy and capital markets.</w:t>
      </w:r>
    </w:p>
    <w:p>
      <w:pPr>
        <w:spacing w:after="0" w:line="5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December 2011, the Board of Directors approved up to $500 million in share repurchases for 2012. However, future share repurchases will be made at the discretion of management, and will depend on factors similar to those considered by the Board in making dividend declarations.</w:t>
      </w:r>
    </w:p>
    <w:p>
      <w:pPr>
        <w:spacing w:after="0" w:line="79" w:lineRule="exact"/>
        <w:rPr>
          <w:sz w:val="20"/>
          <w:szCs w:val="20"/>
          <w:color w:val="auto"/>
        </w:rPr>
      </w:pPr>
    </w:p>
    <w:p>
      <w:pPr>
        <w:jc w:val="both"/>
        <w:ind w:left="240" w:right="8920" w:hanging="232"/>
        <w:spacing w:after="0" w:line="417" w:lineRule="auto"/>
        <w:tabs>
          <w:tab w:leader="none" w:pos="407" w:val="left"/>
        </w:tabs>
        <w:numPr>
          <w:ilvl w:val="0"/>
          <w:numId w:val="8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Employee Stock Purchase Plan</w:t>
      </w:r>
    </w:p>
    <w:p>
      <w:pPr>
        <w:spacing w:after="0" w:line="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have an Employee Stock Purchase Plan under which employees that have been employed for at least 30 days may purchase shares of our common stock at a discount. The plan provides for two offering periods for purchases: January through June and July through December. At the end of each offering period, employees are able to purchase shares of our common stock at a price equal to 85% of the lesser of the market value of the stock on the first and last day of such offering period. The purchases are made through payroll deductions, and the number of shares that may be purchased is limited by IRS regulations. The total number of shares issued under the plan for the offering periods in each of 2011, 2010 and 2009 was approximately 920,000, 911,000 and 969,000, respectively. Including the impact of the January 2012 issuance of shares associated with the July to December 2011 offering period, approximately 670,000 shares remain available for issuance under the plan.</w:t>
      </w:r>
    </w:p>
    <w:p>
      <w:pPr>
        <w:spacing w:after="0" w:line="3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Accounting for our Employee Stock Purchase Plan increased annual compensation expense by approximately $7 million, or $5 million net of tax, for 2011, by $7 million, or $4 million net of tax, for 2010 and by $6 million, or $4 million net of tax, for 2009.</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Stock Incentive Plans</w:t>
      </w:r>
    </w:p>
    <w:p>
      <w:pPr>
        <w:spacing w:after="0" w:line="90"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We grant equity and equity-based awards to our officers, employees and independent directors. The Company’s 2004 Stock Incentive Plan, which authorized the issuance of up to 34 million shares of our common stock, terminated by its terms in May 2009, at which time our stockholders approved our 2009 Stock Incentive Plan. The 2009 Plan provides for the issuance of up to 26.2 million shares of our common stock. As of December 31, 2011, approximately</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9.5 million shares remain available for issuance under the 2009 Plan. We currently utilize treasury shares to meet the needs of our equity-based compensation programs.</w:t>
      </w:r>
    </w:p>
    <w:p>
      <w:pPr>
        <w:spacing w:after="0" w:line="13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Pursuant to the 2009 Plan, we have the ability to issue stock options, stock appreciation rights and stock awards, including restricted stock, restricted stock units, or RSUs, and performance share units, or PSUs. The terms and conditions of equity awards granted under the 2009 Plan are determined by the Management Development and Compensation Committee of our Board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The Company grants equity awards to certain key employees as part of its long-term incentive plan, or LTIP. The annual LTIP awards granted in 2009 included a combination of RSUs and PSUs. In 2010, we re-introduced stock options as a component of equity compensation, and in 2010 and 2011, key employees were granted a combination of PSUs and stock options. In 2009, the annual LTIP award made to the Company’s senior leadership team, which generally includes the Company’s executive officers, was comprised solely of PSUs. In 2010 and 2011, the annual LTIP award to the Company’s senior leadership team included a combination of PSUs and stock options. During the reported periods, the Company has also granted restricted stock units and stock options to employees working on key initiatives; in connection with new hires and promotions; and to field-based managers.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Restricted Stock Units — </w:t>
      </w:r>
      <w:r>
        <w:rPr>
          <w:rFonts w:ascii="Arial" w:cs="Arial" w:eastAsia="Arial" w:hAnsi="Arial"/>
          <w:sz w:val="18"/>
          <w:szCs w:val="18"/>
          <w:color w:val="auto"/>
        </w:rPr>
        <w:t>A summary of our RSUs is presented in the table below (units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3"/>
              </w:rPr>
              <w:t>Years Ended December 31,</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28"/>
              <w:spacing w:after="0" w:line="142"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48"/>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Fair</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Units</w:t>
            </w:r>
          </w:p>
        </w:tc>
        <w:tc>
          <w:tcPr>
            <w:tcW w:w="24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1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gridSpan w:val="2"/>
          </w:tcPr>
          <w:p>
            <w:pPr>
              <w:ind w:left="80"/>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Unvested, beginning of year</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$ 27.61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1,030</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$ 30.76</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1,121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$ 33.46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920" w:type="dxa"/>
            <w:vAlign w:val="bottom"/>
            <w:gridSpan w:val="3"/>
          </w:tcPr>
          <w:p>
            <w:pPr>
              <w:jc w:val="center"/>
              <w:ind w:left="36"/>
              <w:spacing w:after="0"/>
              <w:rPr>
                <w:sz w:val="20"/>
                <w:szCs w:val="20"/>
                <w:color w:val="auto"/>
              </w:rPr>
            </w:pPr>
            <w:r>
              <w:rPr>
                <w:rFonts w:ascii="Arial" w:cs="Arial" w:eastAsia="Arial" w:hAnsi="Arial"/>
                <w:sz w:val="18"/>
                <w:szCs w:val="18"/>
                <w:color w:val="auto"/>
                <w:w w:val="93"/>
              </w:rPr>
              <w:t>$ 31.65</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93"/>
              </w:rPr>
              <w:t>$ 34.25</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369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Vested(a)</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(253)</w:t>
            </w:r>
          </w:p>
        </w:tc>
        <w:tc>
          <w:tcPr>
            <w:tcW w:w="920" w:type="dxa"/>
            <w:vAlign w:val="bottom"/>
            <w:gridSpan w:val="3"/>
            <w:shd w:val="clear" w:color="auto" w:fill="CCEEFF"/>
          </w:tcPr>
          <w:p>
            <w:pPr>
              <w:jc w:val="center"/>
              <w:ind w:left="36"/>
              <w:spacing w:after="0"/>
              <w:rPr>
                <w:sz w:val="20"/>
                <w:szCs w:val="20"/>
                <w:color w:val="auto"/>
              </w:rPr>
            </w:pPr>
            <w:r>
              <w:rPr>
                <w:rFonts w:ascii="Arial" w:cs="Arial" w:eastAsia="Arial" w:hAnsi="Arial"/>
                <w:sz w:val="18"/>
                <w:szCs w:val="18"/>
                <w:color w:val="auto"/>
                <w:w w:val="93"/>
              </w:rPr>
              <w:t>$ 32.62</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12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3"/>
              </w:rPr>
              <w:t>$ 35.37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920" w:type="dxa"/>
            <w:vAlign w:val="bottom"/>
            <w:gridSpan w:val="3"/>
          </w:tcPr>
          <w:p>
            <w:pPr>
              <w:jc w:val="center"/>
              <w:ind w:left="36"/>
              <w:spacing w:after="0"/>
              <w:rPr>
                <w:sz w:val="20"/>
                <w:szCs w:val="20"/>
                <w:color w:val="auto"/>
              </w:rPr>
            </w:pPr>
            <w:r>
              <w:rPr>
                <w:rFonts w:ascii="Arial" w:cs="Arial" w:eastAsia="Arial" w:hAnsi="Arial"/>
                <w:sz w:val="18"/>
                <w:szCs w:val="18"/>
                <w:color w:val="auto"/>
                <w:w w:val="93"/>
              </w:rPr>
              <w:t>$ 26.12</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93"/>
              </w:rPr>
              <w:t>$ 26.54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end of year</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left="36"/>
              <w:spacing w:after="0"/>
              <w:rPr>
                <w:sz w:val="20"/>
                <w:szCs w:val="20"/>
                <w:color w:val="auto"/>
              </w:rPr>
            </w:pPr>
            <w:r>
              <w:rPr>
                <w:rFonts w:ascii="Arial" w:cs="Arial" w:eastAsia="Arial" w:hAnsi="Arial"/>
                <w:sz w:val="18"/>
                <w:szCs w:val="18"/>
                <w:color w:val="auto"/>
                <w:w w:val="93"/>
              </w:rPr>
              <w:t>$ 23.60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3"/>
              </w:rPr>
              <w:t>$ 27.61</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280" w:hanging="452"/>
        <w:spacing w:after="0" w:line="306"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total fair market value of RSUs that vested during the years ended December 31, 2011, 2010 and 2009 was $9 million, $14 million and $13 million, respectively. Net of units deferred and units used for payment of associated taxes, we issued approximately 162,000, 264,000 and 260,000 shares of common stock for RSUs that vested during the years ended December 31, 2011, 2010 and 2009, respectively.</w:t>
      </w:r>
    </w:p>
    <w:p>
      <w:pPr>
        <w:spacing w:after="0" w:line="2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RSUs provide award recipients with dividend equivalents during the vesting period, but the units may not be voted or sold until time-based vesting restrictions have lapsed. RSUs primarily provide for three-year cliff vesting. Unvested units are subject to forfeiture in the event of voluntary or for-cause termination. RSUs are subject to pro-rata vesting upon an employee’s retirement or involuntary termination other than for cause and become immediately vested in the event of an employee’s death or disability.</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Compensation expense associated with RSUs is measured based on the grant-date fair value of our common stock and is recognized on a straight-line basis over the required employment period, which is generally the vesting period. Compensation expense is only recognized for those awards that we expect to vest, which we estimate based upon an assessment of current period and historical forfeitures.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Performance Share Units — </w:t>
      </w:r>
      <w:r>
        <w:rPr>
          <w:rFonts w:ascii="Arial" w:cs="Arial" w:eastAsia="Arial" w:hAnsi="Arial"/>
          <w:sz w:val="16"/>
          <w:szCs w:val="16"/>
          <w:color w:val="auto"/>
        </w:rPr>
        <w:t>PSUs are payable in shares of common stock after the end of a three-year performance period and after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results for the entire performance period are reported, typically in mid to late February of the succeeding year. At the end of the performance period, the number of shares awarded can range from 0% to 200% of the targeted amount, depending on the Company’s performance against pre-established financial targets. A summary of our PSUs is presented in the table below (units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5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150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r>
      <w:tr>
        <w:trPr>
          <w:trHeight w:val="149"/>
        </w:trPr>
        <w:tc>
          <w:tcPr>
            <w:tcW w:w="15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15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3"/>
              </w:rPr>
              <w:t>Fair</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Fair</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r>
      <w:tr>
        <w:trPr>
          <w:trHeight w:val="161"/>
        </w:trPr>
        <w:tc>
          <w:tcPr>
            <w:tcW w:w="15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Units(a)</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17"/>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Units(b)</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Units(c)</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Unvested, beginning of year</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26.72</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27.68</w:t>
            </w: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2,009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37.19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33.49</w:t>
            </w: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1,159</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22.66</w:t>
            </w:r>
          </w:p>
        </w:tc>
        <w:tc>
          <w:tcPr>
            <w:tcW w:w="100" w:type="dxa"/>
            <w:vAlign w:val="bottom"/>
          </w:tcPr>
          <w:p>
            <w:pPr>
              <w:spacing w:after="0"/>
              <w:rPr>
                <w:sz w:val="18"/>
                <w:szCs w:val="18"/>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Vested(d)</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(1,070)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22.66</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37.28</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Expired without vesting</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(1,064)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32.92</w:t>
            </w:r>
          </w:p>
        </w:tc>
        <w:tc>
          <w:tcPr>
            <w:tcW w:w="5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31.31</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28.41</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33.59</w:t>
            </w:r>
          </w:p>
        </w:tc>
        <w:tc>
          <w:tcPr>
            <w:tcW w:w="100" w:type="dxa"/>
            <w:vAlign w:val="bottom"/>
            <w:shd w:val="clear" w:color="auto" w:fill="CCEEFF"/>
          </w:tcPr>
          <w:p>
            <w:pPr>
              <w:spacing w:after="0"/>
              <w:rPr>
                <w:sz w:val="18"/>
                <w:szCs w:val="18"/>
                <w:color w:val="auto"/>
              </w:rPr>
            </w:pPr>
          </w:p>
        </w:tc>
      </w:tr>
      <w:tr>
        <w:trPr>
          <w:trHeight w:val="222"/>
        </w:trPr>
        <w:tc>
          <w:tcPr>
            <w:tcW w:w="5760" w:type="dxa"/>
            <w:vAlign w:val="bottom"/>
            <w:gridSpan w:val="2"/>
          </w:tcPr>
          <w:p>
            <w:pPr>
              <w:spacing w:after="0"/>
              <w:rPr>
                <w:sz w:val="20"/>
                <w:szCs w:val="20"/>
                <w:color w:val="auto"/>
              </w:rPr>
            </w:pPr>
            <w:r>
              <w:rPr>
                <w:rFonts w:ascii="Arial" w:cs="Arial" w:eastAsia="Arial" w:hAnsi="Arial"/>
                <w:sz w:val="18"/>
                <w:szCs w:val="18"/>
                <w:color w:val="auto"/>
              </w:rPr>
              <w:t>Unvested, end of year</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19"/>
                <w:szCs w:val="19"/>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34.85</w:t>
            </w: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26.72</w:t>
            </w:r>
          </w:p>
        </w:tc>
        <w:tc>
          <w:tcPr>
            <w:tcW w:w="5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2,254</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27.68</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56"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Company’s financial results for the three-year performance period ended December 31, 2011, as measured for purposes of these awards, are anticipated to be lower than the target levels established but in excess of the threshold performance criteria. Accordingly, recipients of PSU awards with the performance period ended December 31, 2011 will be entitled to receive an estimated payout of greater than 60% but less than 100% of the vested PSUs. The payout will occur in late February 2012.</w:t>
      </w:r>
    </w:p>
    <w:p>
      <w:pPr>
        <w:spacing w:after="0" w:line="35" w:lineRule="exact"/>
        <w:rPr>
          <w:rFonts w:ascii="Arial" w:cs="Arial" w:eastAsia="Arial" w:hAnsi="Arial"/>
          <w:sz w:val="18"/>
          <w:szCs w:val="18"/>
          <w:color w:val="auto"/>
        </w:rPr>
      </w:pPr>
    </w:p>
    <w:p>
      <w:pPr>
        <w:ind w:left="460" w:right="40" w:hanging="452"/>
        <w:spacing w:after="0" w:line="338" w:lineRule="auto"/>
        <w:tabs>
          <w:tab w:leader="none" w:pos="4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Company’s financial results for the three-year performance period ended December 31, 2010, as measured for purposes of these awards, did not meet the threshold performance criteria for such PSUs, and as a result, the PSUs with the performance period ended December 31, 2010 expired without vesting.</w:t>
      </w:r>
    </w:p>
    <w:p>
      <w:pPr>
        <w:ind w:left="460" w:right="240" w:hanging="452"/>
        <w:spacing w:after="0" w:line="298"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Company’s financial results for the three-year performance period ended December 31, 2009, as measured for purposes of these awards, were lower than the target levels established but in excess of the threshold performance criteria. Accordingly, recipients of PSU awards with the performance period ended December 31, 2009 were entitled to receive a payout of approximately 84% of the vested PSUs. In early 2010, we issued approximately 443,000 shares of common stock for these vested PSUs, net of units deferred and units used for payment of associated taxes.</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PSUs that vested in 2009 had a fair market value of $23 million.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PSUs have no voting rights. PSUs receive dividend equivalents that are paid out in cash based on actual performance at the end of the awards’ performance period. In the case of the PSUs with the performance period ended December 31, 2010 that expired without vesting, no dividend equivalents were paid. PSUs are payable to an employee (or his beneficiary) upon death or disability as if that employee had remained employed until the end of the performance period, are subject to pro-rata vesting upon an employee’s retirement or involuntary termination other than for cause and are subject to forfeiture in the event of voluntary or for-cause termination.</w:t>
      </w:r>
    </w:p>
    <w:p>
      <w:pPr>
        <w:spacing w:after="0" w:line="6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Compensation expense associated with PSUs that continue to vest based on future performance is measured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current period and historical forfeitures.</w:t>
      </w:r>
    </w:p>
    <w:p>
      <w:pPr>
        <w:spacing w:after="0" w:line="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Deferred Units — </w:t>
      </w:r>
      <w:r>
        <w:rPr>
          <w:rFonts w:ascii="Arial" w:cs="Arial" w:eastAsia="Arial" w:hAnsi="Arial"/>
          <w:sz w:val="18"/>
          <w:szCs w:val="18"/>
          <w:color w:val="auto"/>
        </w:rPr>
        <w:t>Recipients can elect to defer some or all of the vested RSU or PSU awards until a specified date or dates they choose. Deferred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invested, nor do they earn interest, but deferred amounts do earn dividend equivalents during deferral. Deferred amounts are paid out in shares of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the end of the deferral period. At December 31, 2011, 2010 and 2009 we had approximately 372,000, 371,000 and 315,000, respectively, vested deferred units outstanding.</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Stock Options — </w:t>
      </w:r>
      <w:r>
        <w:rPr>
          <w:rFonts w:ascii="Arial" w:cs="Arial" w:eastAsia="Arial" w:hAnsi="Arial"/>
          <w:sz w:val="16"/>
          <w:szCs w:val="16"/>
          <w:color w:val="auto"/>
        </w:rPr>
        <w:t>Prior to 2005, stock options were the primary form of equity-based compensation we granted to our employees. In 2010, the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Compensation Committee decided to re-introduce stock options as a component of our LTIP awards. All of our stock option awards granted prior to 2010 have vested, with the exception of any grants pursuant to the reload feature discussed in footnote (a) to the table below. The stock options granted in 2010 and 2011 primarily vest in 25% increments on the first two anniversaries of the date of grant and the remaining 50% will vest on the third anniversary. The exercise price of the options is the average of the high and low market value of our common stock on the date of grant, and the options have a term of 10 years. A summary of our stock options is presented in the table below (shares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5"/>
              </w:rPr>
              <w:t>Years Ended December 31,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56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5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Shares</w:t>
            </w:r>
          </w:p>
        </w:tc>
        <w:tc>
          <w:tcPr>
            <w:tcW w:w="3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54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4"/>
                <w:szCs w:val="14"/>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Price</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Shares</w:t>
            </w:r>
          </w:p>
        </w:tc>
        <w:tc>
          <w:tcPr>
            <w:tcW w:w="3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beginning of year</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9,957</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$ 28.95</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$ 25.98</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11,045</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Granted(a) (b)</w:t>
            </w:r>
          </w:p>
        </w:tc>
        <w:tc>
          <w:tcPr>
            <w:tcW w:w="540" w:type="dxa"/>
            <w:vAlign w:val="bottom"/>
          </w:tcPr>
          <w:p>
            <w:pPr>
              <w:jc w:val="right"/>
              <w:spacing w:after="0"/>
              <w:rPr>
                <w:sz w:val="20"/>
                <w:szCs w:val="20"/>
                <w:color w:val="auto"/>
              </w:rPr>
            </w:pPr>
            <w:r>
              <w:rPr>
                <w:rFonts w:ascii="Arial" w:cs="Arial" w:eastAsia="Arial" w:hAnsi="Arial"/>
                <w:sz w:val="18"/>
                <w:szCs w:val="18"/>
                <w:color w:val="auto"/>
              </w:rPr>
              <w:t>6,597</w:t>
            </w:r>
          </w:p>
        </w:tc>
        <w:tc>
          <w:tcPr>
            <w:tcW w:w="80" w:type="dxa"/>
            <w:vAlign w:val="bottom"/>
          </w:tcPr>
          <w:p>
            <w:pPr>
              <w:spacing w:after="0"/>
              <w:rPr>
                <w:sz w:val="18"/>
                <w:szCs w:val="18"/>
                <w:color w:val="auto"/>
              </w:rPr>
            </w:pPr>
          </w:p>
        </w:tc>
        <w:tc>
          <w:tcPr>
            <w:tcW w:w="920" w:type="dxa"/>
            <w:vAlign w:val="bottom"/>
            <w:gridSpan w:val="2"/>
          </w:tcPr>
          <w:p>
            <w:pPr>
              <w:jc w:val="center"/>
              <w:ind w:left="276"/>
              <w:spacing w:after="0"/>
              <w:rPr>
                <w:sz w:val="20"/>
                <w:szCs w:val="20"/>
                <w:color w:val="auto"/>
              </w:rPr>
            </w:pPr>
            <w:r>
              <w:rPr>
                <w:rFonts w:ascii="Arial" w:cs="Arial" w:eastAsia="Arial" w:hAnsi="Arial"/>
                <w:sz w:val="18"/>
                <w:szCs w:val="18"/>
                <w:color w:val="auto"/>
                <w:w w:val="93"/>
              </w:rPr>
              <w:t>$ 37.04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3,901</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$ 33.56</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Exercised(c)</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(1,900)</w:t>
            </w:r>
          </w:p>
        </w:tc>
        <w:tc>
          <w:tcPr>
            <w:tcW w:w="92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93"/>
              </w:rPr>
              <w:t>$ 26.46</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(2,454)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$ 25.17</w:t>
            </w:r>
          </w:p>
        </w:tc>
        <w:tc>
          <w:tcPr>
            <w:tcW w:w="5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c>
          <w:tcPr>
            <w:tcW w:w="920" w:type="dxa"/>
            <w:vAlign w:val="bottom"/>
            <w:gridSpan w:val="2"/>
          </w:tcPr>
          <w:p>
            <w:pPr>
              <w:jc w:val="center"/>
              <w:ind w:left="276"/>
              <w:spacing w:after="0"/>
              <w:rPr>
                <w:sz w:val="20"/>
                <w:szCs w:val="20"/>
                <w:color w:val="auto"/>
              </w:rPr>
            </w:pPr>
            <w:r>
              <w:rPr>
                <w:rFonts w:ascii="Arial" w:cs="Arial" w:eastAsia="Arial" w:hAnsi="Arial"/>
                <w:sz w:val="18"/>
                <w:szCs w:val="18"/>
                <w:color w:val="auto"/>
                <w:w w:val="93"/>
              </w:rPr>
              <w:t>$ 33.05</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(290)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$ 32.88</w:t>
            </w:r>
          </w:p>
        </w:tc>
        <w:tc>
          <w:tcPr>
            <w:tcW w:w="5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(961)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end of year(d)</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14,255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93"/>
              </w:rPr>
              <w:t>$ 32.91</w:t>
            </w: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$ 28.95</w:t>
            </w:r>
          </w:p>
        </w:tc>
        <w:tc>
          <w:tcPr>
            <w:tcW w:w="54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rPr>
              <w:t>Exercisable, end of year(e)</w:t>
            </w: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vMerge w:val="restart"/>
          </w:tcPr>
          <w:p>
            <w:pPr>
              <w:jc w:val="center"/>
              <w:ind w:left="276"/>
              <w:spacing w:after="0"/>
              <w:rPr>
                <w:sz w:val="20"/>
                <w:szCs w:val="20"/>
                <w:color w:val="auto"/>
              </w:rPr>
            </w:pPr>
            <w:r>
              <w:rPr>
                <w:rFonts w:ascii="Arial" w:cs="Arial" w:eastAsia="Arial" w:hAnsi="Arial"/>
                <w:sz w:val="18"/>
                <w:szCs w:val="18"/>
                <w:color w:val="auto"/>
                <w:w w:val="93"/>
              </w:rPr>
              <w:t>$ 27.46</w:t>
            </w: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$ 26.25</w:t>
            </w:r>
          </w:p>
        </w:tc>
        <w:tc>
          <w:tcPr>
            <w:tcW w:w="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$ 25.98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gridSpan w:val="3"/>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5,176</w:t>
            </w: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6,286</w:t>
            </w: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8,798</w:t>
            </w: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80" w:hanging="452"/>
        <w:spacing w:after="0" w:line="256"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Although we stopped granting stock options from 2005 through 2009, some of our outstanding options granted in 2003 and 2004 have a reload feature that provides for the automatic grant of a new stock option award when the exercise price of the existing stock option is paid using already owned shares of common stock. The new option award is for the same number of shares used as payment of the exercise price and has the same expiration date as the original option that was reloaded.</w:t>
      </w:r>
    </w:p>
    <w:p>
      <w:pPr>
        <w:spacing w:after="0" w:line="3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weighted average grant-date fair value of stock options granted during the years ended December 31, 2011, 2010 and 2009 was $5.88, $5.83 and $4.03, respectively.</w:t>
      </w:r>
    </w:p>
    <w:p>
      <w:pPr>
        <w:spacing w:after="0" w:line="23"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aggregate intrinsic value of stock options exercised during the years ended December 31, 2011, 2010 and 2009 was $20 million, $25 million and $12 million, respectively.</w:t>
      </w:r>
    </w:p>
    <w:p>
      <w:pPr>
        <w:spacing w:after="0" w:line="23"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Stock options outstanding as of December 31, 2011 have a weighted average remaining contractual term of 6.59 years and an aggregate intrinsic value of $29 million based on the market value of our common stock on December 31, 2011.</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aggregate intrinsic value of stock options exercisable as of December 31, 2011 was $28 million.</w:t>
      </w:r>
    </w:p>
    <w:p>
      <w:pPr>
        <w:spacing w:after="0" w:line="9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We received cash proceeds of $45 million, $54 million and $20 million during the years ended December 31, 2011, 2010 and 2009, respectively, from our employees’ stock option exercises. We also realized tax benefits from these stock option exercises during the years ended December 31, 2011, 2010 and 2009 of $8 million, $10 million and $5 million, respectively. These amounts have been presented as cash inflows in the “Cash flows from financing activities” section of our Consolidated Statements of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Exercisable stock options at December 31, 2011, were as follows (shares in thousands):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89"/>
              </w:rPr>
              <w:t>Range of Exercise Prices</w:t>
            </w:r>
          </w:p>
        </w:tc>
        <w:tc>
          <w:tcPr>
            <w:tcW w:w="4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68"/>
        </w:trPr>
        <w:tc>
          <w:tcPr>
            <w:tcW w:w="1520" w:type="dxa"/>
            <w:vAlign w:val="bottom"/>
            <w:tcBorders>
              <w:bottom w:val="single" w:sz="8" w:color="auto"/>
            </w:tcBorders>
            <w:vMerge w:val="continue"/>
          </w:tcPr>
          <w:p>
            <w:pPr>
              <w:spacing w:after="0"/>
              <w:rPr>
                <w:sz w:val="14"/>
                <w:szCs w:val="14"/>
                <w:color w:val="auto"/>
              </w:rPr>
            </w:pPr>
          </w:p>
        </w:tc>
        <w:tc>
          <w:tcPr>
            <w:tcW w:w="4480" w:type="dxa"/>
            <w:vAlign w:val="bottom"/>
          </w:tcPr>
          <w:p>
            <w:pPr>
              <w:spacing w:after="0"/>
              <w:rPr>
                <w:sz w:val="14"/>
                <w:szCs w:val="14"/>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5"/>
              </w:rPr>
              <w:t>Shares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Exercise Price</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Remaining Years</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$19.61-$20.00</w:t>
            </w:r>
          </w:p>
        </w:tc>
        <w:tc>
          <w:tcPr>
            <w:tcW w:w="4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936</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19.61</w:t>
            </w:r>
          </w:p>
        </w:tc>
        <w:tc>
          <w:tcPr>
            <w:tcW w:w="9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1.18</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$20.01-$30.00</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3,321</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27.90</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1.54</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$30.01-$39.93</w:t>
            </w:r>
          </w:p>
        </w:tc>
        <w:tc>
          <w:tcPr>
            <w:tcW w:w="44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33.88</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7.96</w:t>
            </w:r>
          </w:p>
        </w:tc>
        <w:tc>
          <w:tcPr>
            <w:tcW w:w="0" w:type="dxa"/>
            <w:vAlign w:val="bottom"/>
          </w:tcPr>
          <w:p>
            <w:pPr>
              <w:spacing w:after="0"/>
              <w:rPr>
                <w:sz w:val="1"/>
                <w:szCs w:val="1"/>
                <w:color w:val="auto"/>
              </w:rPr>
            </w:pPr>
          </w:p>
        </w:tc>
      </w:tr>
      <w:tr>
        <w:trPr>
          <w:trHeight w:val="222"/>
        </w:trPr>
        <w:tc>
          <w:tcPr>
            <w:tcW w:w="1520" w:type="dxa"/>
            <w:vAlign w:val="bottom"/>
          </w:tcPr>
          <w:p>
            <w:pPr>
              <w:spacing w:after="0"/>
              <w:rPr>
                <w:sz w:val="20"/>
                <w:szCs w:val="20"/>
                <w:color w:val="auto"/>
              </w:rPr>
            </w:pPr>
            <w:r>
              <w:rPr>
                <w:rFonts w:ascii="Arial" w:cs="Arial" w:eastAsia="Arial" w:hAnsi="Arial"/>
                <w:sz w:val="18"/>
                <w:szCs w:val="18"/>
                <w:color w:val="auto"/>
              </w:rPr>
              <w:t>$19.61-$39.93</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5,176</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27.46</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2.61</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All unvested stock options granted in 2010 and 2011 shall become exercisable upon the award recipient’s death or disability. In the event of a recipient’s retirement, stock options shall continue to vest pursuant to the original schedule set forth in the award agreement. If the recipient is terminated by the Company without cause, the recipient shall be entitled to exercise all 2010 and 2011 stock options outstanding and exercisable prior to such termination. All outstanding stock options, whether exercisable or not, are forfeited upon termination with cause.</w:t>
      </w:r>
    </w:p>
    <w:p>
      <w:pPr>
        <w:spacing w:after="0" w:line="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account for our employee stock options under the fair value method of accounting using a Black-Scholes methodology to measure stock option expense at the date of grant. The fair value of the stock options at the date of grant is amortized to expense over the vesting period. The following table presents the weighted average assumptions used to value employee stock options granted during the years ended December 31, 2011 and 2010 under the Black-Scholes valuation model:</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Years Ended</w:t>
            </w:r>
          </w:p>
        </w:tc>
      </w:tr>
      <w:tr>
        <w:trPr>
          <w:trHeight w:val="161"/>
        </w:trPr>
        <w:tc>
          <w:tcPr>
            <w:tcW w:w="8500" w:type="dxa"/>
            <w:vAlign w:val="bottom"/>
          </w:tcPr>
          <w:p>
            <w:pPr>
              <w:spacing w:after="0"/>
              <w:rPr>
                <w:sz w:val="14"/>
                <w:szCs w:val="1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85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r>
      <w:tr>
        <w:trPr>
          <w:trHeight w:val="210"/>
        </w:trPr>
        <w:tc>
          <w:tcPr>
            <w:tcW w:w="8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option life</w:t>
            </w: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5.4 years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5.7 years</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24.2%</w:t>
            </w:r>
          </w:p>
        </w:tc>
        <w:tc>
          <w:tcPr>
            <w:tcW w:w="3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24.8%</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w:t>
            </w:r>
          </w:p>
        </w:tc>
      </w:tr>
      <w:tr>
        <w:trPr>
          <w:trHeight w:val="222"/>
        </w:trPr>
        <w:tc>
          <w:tcPr>
            <w:tcW w:w="8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3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2.9%</w:t>
            </w:r>
          </w:p>
        </w:tc>
      </w:tr>
    </w:tbl>
    <w:p>
      <w:pPr>
        <w:spacing w:after="0" w:line="6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dividend yield is the annual rate of dividends per share over the exercise price of the option as of the grant date.</w:t>
      </w:r>
    </w:p>
    <w:p>
      <w:pPr>
        <w:spacing w:after="0" w:line="32"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For the years ended December 31, 2011, 2010 and 2009, we recognized $38 million, $28 million, and $22 million, respectively, of compensation expense associated with RSU, PSU and stock option awards as a component of “Selling, general and administrative” expenses in our Consolidated Statement of Operations. Our “Provision for income taxes” for the years ended December 31, 2011, 2010 and 2009 includes related deferred income tax benefits of</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$13 million, $11 million and $9 million, respectively. We have not capitalized any equity-based compensation costs during the years ended December 31, 2011, 2010 and 2009.</w:t>
      </w:r>
    </w:p>
    <w:p>
      <w:pPr>
        <w:spacing w:after="0" w:line="5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Compensation expense recognized in 2011 was higher than expense recognized in 2010 primarily due to expense resulting from the significant increase in the number of stock options granted by the Company in 2011 over the number granted in 2010 and the increase in retirement-eligible employees receiving stock option awards, offset partially by a decrease in the number of PSUs granted in 2011. According to the terms of the stock option award agreement, retirement-eligible employees are not required to provide any future service to vest in these awards and, as a result, we recognized all of the associated compensation expense for retirement-eligible employees on the date of grant. As of December 31, 2011, we estimate that a total of approximately $37 million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 currently unrecognized compensation expense will be recognized over a weighted average period of 1.8 years for unvested RSU, PSU and stock option awards issued and outstanding.</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Non-Employee Director Plans</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non-employee directors currently receive annual grants of shares of our common stock, payable in two equal installments, under the 2009 Plan described above.</w:t>
      </w:r>
    </w:p>
    <w:p>
      <w:pPr>
        <w:spacing w:after="0" w:line="12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280" w:type="dxa"/>
            <w:vAlign w:val="bottom"/>
            <w:gridSpan w:val="6"/>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year-end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460.5</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475.0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Effect of using weighted average common shares outstanding</w:t>
            </w: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5.2</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469.7</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480.2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471.4</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482.2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20" w:type="dxa"/>
            <w:vAlign w:val="bottom"/>
            <w:gridSpan w:val="2"/>
            <w:vMerge w:val="continue"/>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17.0</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12.8</w:t>
            </w:r>
          </w:p>
        </w:tc>
        <w:tc>
          <w:tcPr>
            <w:tcW w:w="4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Number of anti-dilutive potentially issuable shares excluded from diluted common shares outstanding</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Authoritative guidance associated with fair value measurements provides a framework for measuring fair value and establishes a fair value hierarchy that prioritizes the inputs used to measure fair value, giving the highest priority to unadjusted quoted prices in active markets for identical assets or liabilities (Level 1 inputs) and the lowest priority to unobservable inputs (Level 3 inputs).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Our assets and liabilities that are measured at fair value on a recurring basis include the following (in millions):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center"/>
              <w:ind w:left="42"/>
              <w:spacing w:after="0"/>
              <w:rPr>
                <w:sz w:val="20"/>
                <w:szCs w:val="20"/>
                <w:color w:val="auto"/>
              </w:rPr>
            </w:pPr>
            <w:r>
              <w:rPr>
                <w:rFonts w:ascii="Arial" w:cs="Arial" w:eastAsia="Arial" w:hAnsi="Arial"/>
                <w:sz w:val="14"/>
                <w:szCs w:val="14"/>
                <w:b w:val="1"/>
                <w:bCs w:val="1"/>
                <w:color w:val="auto"/>
                <w:w w:val="88"/>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left="42"/>
              <w:spacing w:after="0"/>
              <w:rPr>
                <w:sz w:val="20"/>
                <w:szCs w:val="20"/>
                <w:color w:val="auto"/>
              </w:rPr>
            </w:pPr>
            <w:r>
              <w:rPr>
                <w:rFonts w:ascii="Arial" w:cs="Arial" w:eastAsia="Arial" w:hAnsi="Arial"/>
                <w:sz w:val="14"/>
                <w:szCs w:val="14"/>
                <w:b w:val="1"/>
                <w:bCs w:val="1"/>
                <w:color w:val="auto"/>
                <w:w w:val="85"/>
              </w:rPr>
              <w:t>December 31, 2011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Quoted</w:t>
            </w:r>
          </w:p>
        </w:tc>
        <w:tc>
          <w:tcPr>
            <w:tcW w:w="540" w:type="dxa"/>
            <w:vAlign w:val="bottom"/>
          </w:tcPr>
          <w:p>
            <w:pPr>
              <w:spacing w:after="0"/>
              <w:rPr>
                <w:sz w:val="11"/>
                <w:szCs w:val="11"/>
                <w:color w:val="auto"/>
              </w:rPr>
            </w:pPr>
          </w:p>
        </w:tc>
        <w:tc>
          <w:tcPr>
            <w:tcW w:w="13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Active</w:t>
            </w:r>
          </w:p>
        </w:tc>
        <w:tc>
          <w:tcPr>
            <w:tcW w:w="5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4"/>
                <w:szCs w:val="14"/>
                <w:color w:val="auto"/>
              </w:rPr>
            </w:pPr>
          </w:p>
        </w:tc>
        <w:tc>
          <w:tcPr>
            <w:tcW w:w="13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3020" w:type="dxa"/>
            <w:vAlign w:val="bottom"/>
            <w:gridSpan w:val="3"/>
          </w:tcPr>
          <w:p>
            <w:pPr>
              <w:jc w:val="right"/>
              <w:ind w:right="76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30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Interest rate derivatives</w:t>
            </w:r>
          </w:p>
        </w:tc>
        <w:tc>
          <w:tcPr>
            <w:tcW w:w="3020" w:type="dxa"/>
            <w:vAlign w:val="bottom"/>
            <w:gridSpan w:val="3"/>
          </w:tcPr>
          <w:p>
            <w:pPr>
              <w:jc w:val="right"/>
              <w:ind w:right="76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8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352</w:t>
            </w:r>
          </w:p>
        </w:tc>
        <w:tc>
          <w:tcPr>
            <w:tcW w:w="7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Interest rate derivatives</w:t>
            </w:r>
          </w:p>
        </w:tc>
        <w:tc>
          <w:tcPr>
            <w:tcW w:w="3020" w:type="dxa"/>
            <w:vAlign w:val="bottom"/>
            <w:gridSpan w:val="3"/>
          </w:tcPr>
          <w:p>
            <w:pPr>
              <w:jc w:val="right"/>
              <w:ind w:right="760"/>
              <w:spacing w:after="0"/>
              <w:rPr>
                <w:sz w:val="20"/>
                <w:szCs w:val="20"/>
                <w:color w:val="auto"/>
              </w:rPr>
            </w:pPr>
            <w:r>
              <w:rPr>
                <w:rFonts w:ascii="Arial" w:cs="Arial" w:eastAsia="Arial" w:hAnsi="Arial"/>
                <w:sz w:val="18"/>
                <w:szCs w:val="18"/>
                <w:color w:val="auto"/>
              </w:rPr>
              <w:t>$ 74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18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$ 76</w:t>
            </w:r>
          </w:p>
        </w:tc>
        <w:tc>
          <w:tcPr>
            <w:tcW w:w="7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76</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4"/>
          </w:tcPr>
          <w:p>
            <w:pPr>
              <w:jc w:val="center"/>
              <w:ind w:left="42"/>
              <w:spacing w:after="0"/>
              <w:rPr>
                <w:sz w:val="20"/>
                <w:szCs w:val="20"/>
                <w:color w:val="auto"/>
              </w:rPr>
            </w:pPr>
            <w:r>
              <w:rPr>
                <w:rFonts w:ascii="Arial" w:cs="Arial" w:eastAsia="Arial" w:hAnsi="Arial"/>
                <w:sz w:val="14"/>
                <w:szCs w:val="14"/>
                <w:b w:val="1"/>
                <w:bCs w:val="1"/>
                <w:color w:val="auto"/>
                <w:w w:val="88"/>
              </w:rPr>
              <w:t>Fair Value Measurements at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left="62"/>
              <w:spacing w:after="0"/>
              <w:rPr>
                <w:sz w:val="20"/>
                <w:szCs w:val="20"/>
                <w:color w:val="auto"/>
              </w:rPr>
            </w:pPr>
            <w:r>
              <w:rPr>
                <w:rFonts w:ascii="Arial" w:cs="Arial" w:eastAsia="Arial" w:hAnsi="Arial"/>
                <w:sz w:val="14"/>
                <w:szCs w:val="14"/>
                <w:b w:val="1"/>
                <w:bCs w:val="1"/>
                <w:color w:val="auto"/>
                <w:w w:val="86"/>
              </w:rPr>
              <w:t>December 31, 2010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Quoted</w:t>
            </w:r>
          </w:p>
        </w:tc>
        <w:tc>
          <w:tcPr>
            <w:tcW w:w="540" w:type="dxa"/>
            <w:vAlign w:val="bottom"/>
          </w:tcPr>
          <w:p>
            <w:pPr>
              <w:spacing w:after="0"/>
              <w:rPr>
                <w:sz w:val="11"/>
                <w:szCs w:val="11"/>
                <w:color w:val="auto"/>
              </w:rPr>
            </w:pPr>
          </w:p>
        </w:tc>
        <w:tc>
          <w:tcPr>
            <w:tcW w:w="13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Active</w:t>
            </w:r>
          </w:p>
        </w:tc>
        <w:tc>
          <w:tcPr>
            <w:tcW w:w="5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4"/>
                <w:szCs w:val="14"/>
                <w:color w:val="auto"/>
              </w:rPr>
            </w:pPr>
          </w:p>
        </w:tc>
        <w:tc>
          <w:tcPr>
            <w:tcW w:w="13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3020" w:type="dxa"/>
            <w:vAlign w:val="bottom"/>
            <w:gridSpan w:val="3"/>
          </w:tcPr>
          <w:p>
            <w:pPr>
              <w:jc w:val="right"/>
              <w:ind w:right="760"/>
              <w:spacing w:after="0"/>
              <w:rPr>
                <w:sz w:val="20"/>
                <w:szCs w:val="20"/>
                <w:color w:val="auto"/>
              </w:rPr>
            </w:pPr>
            <w:r>
              <w:rPr>
                <w:rFonts w:ascii="Arial" w:cs="Arial" w:eastAsia="Arial" w:hAnsi="Arial"/>
                <w:sz w:val="18"/>
                <w:szCs w:val="18"/>
                <w:color w:val="auto"/>
              </w:rPr>
              <w:t>$468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30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Interest rate derivatives</w:t>
            </w:r>
          </w:p>
        </w:tc>
        <w:tc>
          <w:tcPr>
            <w:tcW w:w="18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8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654</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derivatives</w:t>
            </w:r>
          </w:p>
        </w:tc>
        <w:tc>
          <w:tcPr>
            <w:tcW w:w="30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$ 24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Foreign currency derivatives</w:t>
            </w:r>
          </w:p>
        </w:tc>
        <w:tc>
          <w:tcPr>
            <w:tcW w:w="3020" w:type="dxa"/>
            <w:vAlign w:val="bottom"/>
            <w:gridSpan w:val="3"/>
          </w:tcPr>
          <w:p>
            <w:pPr>
              <w:jc w:val="right"/>
              <w:ind w:right="7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8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6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$ 28</w:t>
            </w:r>
          </w:p>
        </w:tc>
        <w:tc>
          <w:tcPr>
            <w:tcW w:w="7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28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80" w:type="dxa"/>
            <w:vAlign w:val="bottom"/>
            <w:vMerge w:val="restart"/>
          </w:tcPr>
          <w:p>
            <w:pPr>
              <w:jc w:val="right"/>
              <w:ind w:right="272"/>
              <w:spacing w:after="0"/>
              <w:rPr>
                <w:sz w:val="20"/>
                <w:szCs w:val="20"/>
                <w:color w:val="auto"/>
              </w:rPr>
            </w:pPr>
            <w:r>
              <w:rPr>
                <w:rFonts w:ascii="Arial" w:cs="Arial" w:eastAsia="Arial" w:hAnsi="Arial"/>
                <w:sz w:val="18"/>
                <w:szCs w:val="18"/>
                <w:color w:val="auto"/>
              </w:rPr>
              <w:t>123</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Equivalents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Cash equivalents are reflected at fair value in our Consolidated Financial Statements based upon quoted market prices and consist primarily of money market funds that invest in U.S. government obligations with original maturities of three months or less.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Available-for-Sale Securities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Available for-sale securities are recorded at fair value based on quoted market prices. These assets include restricted trusts and escrow accounts invested in money market mutual funds, equity-based mutual funds and other debt and equity securities. The fair value of our restricted trust and escrow accounts approximates our cost basis in the investments.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Derivatives</w:t>
      </w:r>
    </w:p>
    <w:p>
      <w:pPr>
        <w:spacing w:after="0" w:line="9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As of December 31, 2011, we are party to (i) fixed-to-floating interest rate swaps that are designated as fair value hedges of our currently outstanding senior notes; and (ii) forward-starting interest rate swaps that are designated as cash flow hedges of anticipated interest payments for future fixed-rate debt issuances. Our fixed-to-floating interest rate swaps and forward-starting interest rate swaps are LIBOR-based instruments. Accordingly, these derivatives are valued using a third-party pricing model that incorporates information about LIBOR yield curves for each instrument’s respective term. The third-party pricing model used to value our interest rate derivatives also incorporates Company and counterparty credit valuation adjustments, as appropriate. Counterparties to our interest rate derivatives are financial institutions who participate in our $2.0 billion revolving credit facility. Valuations of our interest rate derivatives may fluctuate significantly from period-to-period due to volatility in underlying interest rates, which are driven by market conditions and the scheduled maturities of the derivatives. Refer to Note 8 for additional information regarding our interest rate derivatives.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foreign currency derivatives are valued using a third-party pricing model that incorporates information about forward Canadian dollar exchange prices as of the reporting date. The third-party pricing model used to value our foreign currency derivatives also incorporates Company and counterparty credit valuation adjustments, as appropriate. Counterparties to these contracts are financial institutions who participate in our $2.0 billion revolving credit facility. Valuations may fluctuate significantly from period-to-period due to volatility in the Canadian dollar to U.S. dollar exchange rate. Refer to Note 8 for additional information regarding our foreign currency derivatives.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Electricity Commodity Derivatives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of December 31, 2011, we are party to fixed-to-floating electricity commodity derivatives to hedge the variability in revenues and cash flows caused by fluctuations in the market prices for electricity. These derivative instruments are valued using third-party pricing models that incorporate forward power curves published by Platts, as well as congestion rates where appropriate. The third-party pricing models also incorporate Company and counterparty credit valuation adjustments, as appropriate. Counterparties to our electricity commodity derivatives are either power marketing arms of investor-owned utilities or power trading desks at various financial institutions. Valuations of the Company’s electricity commodity derivatives may fluctuate significantly from period-to-period due to volatility in the market price of electricity caused by factors such as demand and supply movements, changes in the price of natural gas, and weather related events, among others. Refer to Note 8 for additional information regarding our electricity commodity derivatives.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At December 31, 2011 the carrying value of our debt was approximately $9.8 billion compared with approximately $8.9 billion at December 31, 2010. The carrying value of our debt includes adjustments for both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unamortized fair value adjustments related to terminated hedge arrangements and fair value adjustments of debt instruments that are currently hedged.</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estimated fair value of our debt was approximately $10.8 billion at December 31, 2011 and approximately $9.2 billion at December 31, 2010. The estimated fair value of our senior notes is based on quoted market prices. The carrying value of remarketable debt approximates fair value due to the short-term nature of the interest rates. The fair value of our other debt is estimated using discounted cash flow analysis, based on rates we would currently pay for similar types of instruments. The increase in the fair value of our debt when comparing December 31, 2011 with December 31, 2010 is primarily related to $753 million of net borrowings during 2011 associated with our senior notes. Increases in market prices for corporate debt securities and decreases in current market rates on fixed-rate tax-exempt bonds also contributed to the increase in the fair value of debt for the reported period.</w:t>
      </w:r>
    </w:p>
    <w:p>
      <w:pPr>
        <w:spacing w:after="0" w:line="39"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information available as of December 31, 2011 and December 31, 2010. These amounts have not been revalued since those dates, and current estimates of fair value could differ significantly from the amounts presented.</w:t>
      </w:r>
    </w:p>
    <w:p>
      <w:pPr>
        <w:spacing w:after="0" w:line="94" w:lineRule="exact"/>
        <w:rPr>
          <w:sz w:val="20"/>
          <w:szCs w:val="20"/>
          <w:color w:val="auto"/>
        </w:rPr>
      </w:pPr>
    </w:p>
    <w:p>
      <w:pPr>
        <w:ind w:left="240" w:right="8780" w:hanging="232"/>
        <w:spacing w:after="0" w:line="417" w:lineRule="auto"/>
        <w:tabs>
          <w:tab w:leader="none" w:pos="397"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Divestitures </w:t>
      </w:r>
      <w:r>
        <w:rPr>
          <w:rFonts w:ascii="Arial" w:cs="Arial" w:eastAsia="Arial" w:hAnsi="Arial"/>
          <w:sz w:val="15"/>
          <w:szCs w:val="15"/>
          <w:b w:val="1"/>
          <w:bCs w:val="1"/>
          <w:i w:val="1"/>
          <w:iCs w:val="1"/>
          <w:color w:val="auto"/>
        </w:rPr>
        <w:t>Current Year Acquisitions</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continue to pursue the acquisition of businesses that are accretive to our solid waste operations and enhance and expand our existing service offerings. In 2011, we acquired businesses primarily related to our collection and recycling operations, including the acquisition of Oakleaf discussed below. Total consideration, net of cash acquired, for all acquisitions was $893 million, which included $839 million in cash payments, a liability for additional cash payments with a preliminarily estimated fair value of $47 million, and assumed liabilities of $7 million. In 2011, we paid $8 million in deposits for acquisitions that had not closed as of December 31, 2011. The additional cash payments are contingent upon achievement by the acquired businesses of certain negotiated goals, which generally included targeted revenues. At the dates of acquisition, our estimated maximum obligations for the contingent cash payments were $49 million. As of December 31, 2011, we had paid $12 million of this contingent consideration. In 2011, we also paid $8 million of contingent consideration associated with acquisitions completed in 2010 and 2009.</w:t>
      </w:r>
    </w:p>
    <w:p>
      <w:pPr>
        <w:spacing w:after="0" w:line="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allocation of purchase price was primarily to “Property and equipment,” which had an estimated fair value of $225 million; “Other intangible assets,” which had an estimated fair value of $225 million; and “Goodwill” of $497 million. Goodwill is primarily a result of expected synergies from combining the acquired businesses with our existing operations and is tax deductible, except for the $327 million recognized from the Oakleaf acquisition, which is not deductible for income tax purposes. Other intangible assets included $166 million of customer contracts and customer lists, $29 million of covenants not-to-compete and $30 million of licenses, permits and other.</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 of Oakleaf Global Holdings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July 28, 2011, we paid $432 million, net of cash received of $4 million and inclusive of certain adjustments, to acquire Oakleaf. Oakleaf provides outsourced waste and recycling services through a nationwide network of third-party haulers. The operations we acquired generated approximately $580 million in revenues in 2010. We acquired Oakleaf to advance our growth and transformation strategies and increase our national accounts customer base while enhancing our ability to provide comprehensive environmental solutions. For the year ended December 31, 2011, we incurred $1 million of acquisition-related costs, which are classified as “Selling, general</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and administrative” expenses. Since the acquisition date, Oakleaf has recognized revenues of $265 million and net income of less than $1 million, which are included in our Consolidated Statement of Operations.</w:t>
      </w:r>
    </w:p>
    <w:p>
      <w:pPr>
        <w:spacing w:after="0" w:line="51" w:lineRule="exact"/>
        <w:rPr>
          <w:sz w:val="20"/>
          <w:szCs w:val="20"/>
          <w:color w:val="auto"/>
        </w:rPr>
      </w:pPr>
    </w:p>
    <w:p>
      <w:pPr>
        <w:ind w:right="580" w:firstLine="456"/>
        <w:spacing w:after="0" w:line="331" w:lineRule="auto"/>
        <w:rPr>
          <w:sz w:val="20"/>
          <w:szCs w:val="20"/>
          <w:color w:val="auto"/>
        </w:rPr>
      </w:pPr>
      <w:r>
        <w:rPr>
          <w:rFonts w:ascii="Arial" w:cs="Arial" w:eastAsia="Arial" w:hAnsi="Arial"/>
          <w:sz w:val="16"/>
          <w:szCs w:val="16"/>
          <w:color w:val="auto"/>
        </w:rPr>
        <w:t>The following table shows adjustments to the preliminary allocation of the purchase price of Oakleaf to tangible and intangible assets acquired and liabilities assumed based on their estimated fair value from September 30, 2011 to December 31, 2011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Adjustments(a)</w:t>
            </w:r>
          </w:p>
        </w:tc>
        <w:tc>
          <w:tcPr>
            <w:tcW w:w="5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and other receivables</w:t>
            </w: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320</w:t>
            </w: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18"/>
                <w:szCs w:val="18"/>
                <w:color w:val="auto"/>
              </w:rPr>
            </w:pPr>
          </w:p>
        </w:tc>
        <w:tc>
          <w:tcPr>
            <w:tcW w:w="1840" w:type="dxa"/>
            <w:vAlign w:val="bottom"/>
            <w:gridSpan w:val="2"/>
          </w:tcPr>
          <w:p>
            <w:pPr>
              <w:jc w:val="right"/>
              <w:ind w:right="1120"/>
              <w:spacing w:after="0"/>
              <w:rPr>
                <w:sz w:val="20"/>
                <w:szCs w:val="20"/>
                <w:color w:val="auto"/>
              </w:rPr>
            </w:pPr>
            <w:r>
              <w:rPr>
                <w:rFonts w:ascii="Arial" w:cs="Arial" w:eastAsia="Arial" w:hAnsi="Arial"/>
                <w:sz w:val="18"/>
                <w:szCs w:val="18"/>
                <w:color w:val="auto"/>
              </w:rPr>
              <w:t>(80)</w:t>
            </w:r>
          </w:p>
        </w:tc>
        <w:tc>
          <w:tcPr>
            <w:tcW w:w="4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Deferred income taxes, net</w:t>
            </w:r>
          </w:p>
        </w:tc>
        <w:tc>
          <w:tcPr>
            <w:tcW w:w="460" w:type="dxa"/>
            <w:vAlign w:val="bottom"/>
          </w:tcPr>
          <w:p>
            <w:pPr>
              <w:spacing w:after="0"/>
              <w:rPr>
                <w:sz w:val="18"/>
                <w:szCs w:val="18"/>
                <w:color w:val="auto"/>
              </w:rPr>
            </w:pPr>
          </w:p>
        </w:tc>
        <w:tc>
          <w:tcPr>
            <w:tcW w:w="1840" w:type="dxa"/>
            <w:vAlign w:val="bottom"/>
            <w:gridSpan w:val="2"/>
          </w:tcPr>
          <w:p>
            <w:pPr>
              <w:jc w:val="right"/>
              <w:ind w:right="112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90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purchase price</w:t>
            </w: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900" w:type="dxa"/>
            <w:vAlign w:val="bottom"/>
            <w:gridSpan w:val="2"/>
            <w:vMerge w:val="continue"/>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432</w:t>
            </w:r>
          </w:p>
        </w:tc>
        <w:tc>
          <w:tcPr>
            <w:tcW w:w="118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purchase price adjustments relate primarily to changes in the valuation of the customer and vendor relationships and evaluation of physical and market conditions of equipment.</w:t>
      </w:r>
    </w:p>
    <w:p>
      <w:pPr>
        <w:spacing w:after="0" w:line="5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purchase price allocation is still preliminary and may change. The following table presents the preliminary allocation of the purchase price to intangible assets (amounts in millions, except for amortization periods):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Amortization</w:t>
            </w:r>
          </w:p>
        </w:tc>
      </w:tr>
      <w:tr>
        <w:trPr>
          <w:trHeight w:val="161"/>
        </w:trPr>
        <w:tc>
          <w:tcPr>
            <w:tcW w:w="7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Amount</w:t>
            </w:r>
          </w:p>
        </w:tc>
        <w:tc>
          <w:tcPr>
            <w:tcW w:w="1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Periods (in Years)</w:t>
            </w:r>
          </w:p>
        </w:tc>
      </w:tr>
      <w:tr>
        <w:trPr>
          <w:trHeight w:val="210"/>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Vendor relationships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2180" w:type="dxa"/>
            <w:vAlign w:val="bottom"/>
            <w:gridSpan w:val="2"/>
          </w:tcPr>
          <w:p>
            <w:pPr>
              <w:jc w:val="center"/>
              <w:ind w:left="1032"/>
              <w:spacing w:after="0"/>
              <w:rPr>
                <w:sz w:val="20"/>
                <w:szCs w:val="20"/>
                <w:color w:val="auto"/>
              </w:rPr>
            </w:pPr>
            <w:r>
              <w:rPr>
                <w:rFonts w:ascii="Arial" w:cs="Arial" w:eastAsia="Arial" w:hAnsi="Arial"/>
                <w:sz w:val="18"/>
                <w:szCs w:val="18"/>
                <w:color w:val="auto"/>
                <w:w w:val="85"/>
              </w:rPr>
              <w:t>10.0</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18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5"/>
              </w:rPr>
              <w:t>15.0</w:t>
            </w:r>
          </w:p>
        </w:tc>
      </w:tr>
      <w:tr>
        <w:trPr>
          <w:trHeight w:val="222"/>
        </w:trPr>
        <w:tc>
          <w:tcPr>
            <w:tcW w:w="7840" w:type="dxa"/>
            <w:vAlign w:val="bottom"/>
          </w:tcPr>
          <w:p>
            <w:pPr>
              <w:ind w:left="220"/>
              <w:spacing w:after="0"/>
              <w:rPr>
                <w:sz w:val="20"/>
                <w:szCs w:val="20"/>
                <w:color w:val="auto"/>
              </w:rPr>
            </w:pPr>
            <w:r>
              <w:rPr>
                <w:rFonts w:ascii="Arial" w:cs="Arial" w:eastAsia="Arial" w:hAnsi="Arial"/>
                <w:sz w:val="18"/>
                <w:szCs w:val="18"/>
                <w:color w:val="auto"/>
              </w:rPr>
              <w:t>Total intangible assets subject to amortization</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180" w:type="dxa"/>
            <w:vAlign w:val="bottom"/>
            <w:gridSpan w:val="2"/>
          </w:tcPr>
          <w:p>
            <w:pPr>
              <w:jc w:val="center"/>
              <w:ind w:left="1032"/>
              <w:spacing w:after="0"/>
              <w:rPr>
                <w:sz w:val="20"/>
                <w:szCs w:val="20"/>
                <w:color w:val="auto"/>
              </w:rPr>
            </w:pPr>
            <w:r>
              <w:rPr>
                <w:rFonts w:ascii="Arial" w:cs="Arial" w:eastAsia="Arial" w:hAnsi="Arial"/>
                <w:sz w:val="18"/>
                <w:szCs w:val="18"/>
                <w:color w:val="auto"/>
                <w:w w:val="85"/>
              </w:rPr>
              <w:t>10.5</w:t>
            </w:r>
          </w:p>
        </w:tc>
      </w:tr>
      <w:tr>
        <w:trPr>
          <w:trHeight w:val="20"/>
        </w:trPr>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Goodwill of $327 million was calculated as the excess of the consideration paid over the net assets recognized and represents the future economic benefits arising from other assets acquired that could not be individually identified and separately recognized. Goodwill is a result of expected synergies from combining the Company’s operations with Oakleaf’s national accounts customer base and vendor network. The vendor-hauler network expands our partnership with third-party service providers. In many cases we can provide vendor-haulers with opportunities to maintain and increase their business by utilizing our extensive post-collection network. We believe this will generate significant benefits for the Company and for the vendor-haulers. Based on our preliminary valuation, goodwill has been assigned to our four geographic Groups as they are expected to benefit from the synergies of the combination.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 of Oakleaf occurred at January 1, 2010 (in millions, except per share amounts):</w:t>
      </w:r>
    </w:p>
    <w:p>
      <w:pPr>
        <w:spacing w:after="0" w:line="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22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73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$ 13,693</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13,059</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680" w:type="dxa"/>
            <w:vAlign w:val="bottom"/>
          </w:tcPr>
          <w:p>
            <w:pPr>
              <w:jc w:val="right"/>
              <w:spacing w:after="0"/>
              <w:rPr>
                <w:sz w:val="20"/>
                <w:szCs w:val="20"/>
                <w:color w:val="auto"/>
              </w:rPr>
            </w:pPr>
            <w:r>
              <w:rPr>
                <w:rFonts w:ascii="Arial" w:cs="Arial" w:eastAsia="Arial" w:hAnsi="Arial"/>
                <w:sz w:val="18"/>
                <w:szCs w:val="18"/>
                <w:color w:val="auto"/>
              </w:rPr>
              <w:t>955</w:t>
            </w: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680" w:type="dxa"/>
            <w:vAlign w:val="bottom"/>
          </w:tcPr>
          <w:p>
            <w:pPr>
              <w:jc w:val="right"/>
              <w:spacing w:after="0"/>
              <w:rPr>
                <w:sz w:val="20"/>
                <w:szCs w:val="20"/>
                <w:color w:val="auto"/>
              </w:rPr>
            </w:pPr>
            <w:r>
              <w:rPr>
                <w:rFonts w:ascii="Arial" w:cs="Arial" w:eastAsia="Arial" w:hAnsi="Arial"/>
                <w:sz w:val="18"/>
                <w:szCs w:val="18"/>
                <w:color w:val="auto"/>
              </w:rPr>
              <w:t>2.03</w:t>
            </w: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Year Acquisitions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2010, we acquired businesses primarily related to our collection and waste-to-energy operations. Total consideration, net of cash acquired, for acquisitions was $427 million, which included $379 million in cash payments, $20 million in contributed assets, a liability for additional cash payments with an estimated fair value of $23 million, and assumed liabilities of $5 million. The additional cash payments are contingent upon achievement by the acquired businesses of certain negotiated goals, which generally included targeted revenues. At the date of acquisition, our estimated maximum obligations for the contingent cash payments were $23 million. As of December 31, 2010, we had paid $8 million of this contingent consideration. In 2010, we also paid $20 million of contingent consideration associated with acquisitions completed in 2009.</w:t>
      </w:r>
    </w:p>
    <w:p>
      <w:pPr>
        <w:spacing w:after="0" w:line="3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allocation of purchase price was primarily to “Property and equipment,” which had an estimated fair value of $279 million; “Other intangible assets,” which had an estimated fair value of $98 million; and “Goodwill” of $77 million. Goodwill is primarily a result of expected synergies from combining the acquired businesses with our existing operations and is tax deductible. Other intangible assets included $35 million of customer contracts and customer lists, $8 million of covenants not-to-compete and $55 million of licenses, permits and other.</w:t>
      </w:r>
    </w:p>
    <w:p>
      <w:pPr>
        <w:spacing w:after="0" w:line="6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2009, we acquired businesses primarily related to our collection operations. Total consideration, net of cash acquired, for acquisitions was $329 million, which included $259 million in cash payments, a liability for additional cash payments with an estimated fair value of $46 million, and assumed liabilities of $24 million. The additional cash payments are contingent upon achievement by the acquired businesses of certain negotiated goals, which generally included targeted revenues. At the date of acquisition, our estimated obligations for the contingent cash payments were between $42 million and $56 million. As of December 31, 2009, we had paid $15 million of this contingent consideration. In 2009, we also paid $7 million of contingent consideration associated with acquisitions completed in 2008.</w:t>
      </w:r>
    </w:p>
    <w:p>
      <w:pPr>
        <w:spacing w:after="0" w:line="6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allocation of purchase price was primarily to “Property and equipment,” which had an estimated fair value of $102 million; “Other intangible assets,” which had an estimated fair value of $105 million; and “Goodwill” of $125 million. Goodwill is primarily a result of expected synergies from combining the acquired businesses with our existing operations and is tax deductible. Other intangible assets included $66 million of customer contracts and customer lists, $19 million of covenants not-to-compete and $20 million of licenses, permits and other.</w:t>
      </w:r>
    </w:p>
    <w:p>
      <w:pPr>
        <w:spacing w:after="0" w:line="6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2009 acquisitions included the purchase of the remaining equity interest in one of our portable self-storage investments, increasing our equity interest in this entity from 50% to 100%. As a result of this acquisition, we recognized a $4 million loss for the remeasurement of the fair value of our initial equity investment, which was determined to be $5 million. This loss was recognized as a component of “(Income) expense from divestitures, asset impairments and unusual items” in our Consolidated Statement of Operations.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Divestitures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aggregate sales price for divestitures of operations was $32 million in 2011, $1 million in 2010 and $1 million in 2009. The proceeds from these sales for 2011 were comprised of assets acquired in exchanges of assets. For 2010 and 2009, the proceeds from these sales were comprised substantially of cash. We recognized net losses 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these divestitures of $1 million in 2011 and net gains on these divestitures of $1 million in 2010. The impact to our 2009 income from operations of gains and losses on divestitures was less than $1 million. These divestitures were made as part of our initiative to improve or divest certain underperforming and non-strategic operations.</w:t>
      </w:r>
    </w:p>
    <w:p>
      <w:pPr>
        <w:spacing w:after="0" w:line="1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Variable Interest Entities</w:t>
      </w:r>
    </w:p>
    <w:p>
      <w:pPr>
        <w:spacing w:after="0" w:line="96" w:lineRule="exact"/>
        <w:rPr>
          <w:sz w:val="20"/>
          <w:szCs w:val="20"/>
          <w:color w:val="auto"/>
        </w:rPr>
      </w:pPr>
    </w:p>
    <w:p>
      <w:pPr>
        <w:jc w:val="both"/>
        <w:ind w:right="680" w:firstLine="456"/>
        <w:spacing w:after="0" w:line="259" w:lineRule="auto"/>
        <w:rPr>
          <w:sz w:val="20"/>
          <w:szCs w:val="20"/>
          <w:color w:val="auto"/>
        </w:rPr>
      </w:pPr>
      <w:r>
        <w:rPr>
          <w:rFonts w:ascii="Arial" w:cs="Arial" w:eastAsia="Arial" w:hAnsi="Arial"/>
          <w:sz w:val="18"/>
          <w:szCs w:val="18"/>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and (ii) those that represent a significant interest in an unconsolidated entity.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Waste-to-Energy LLCs </w:t>
      </w:r>
      <w:r>
        <w:rPr>
          <w:rFonts w:ascii="Arial" w:cs="Arial" w:eastAsia="Arial" w:hAnsi="Arial"/>
          <w:sz w:val="18"/>
          <w:szCs w:val="18"/>
          <w:color w:val="auto"/>
        </w:rPr>
        <w:t>— In June 2000, two limited liability companies were established to purchase interests in existing leveraged lease financings at</w:t>
      </w:r>
      <w:r>
        <w:rPr>
          <w:rFonts w:ascii="Arial" w:cs="Arial" w:eastAsia="Arial" w:hAnsi="Arial"/>
          <w:sz w:val="18"/>
          <w:szCs w:val="18"/>
          <w:i w:val="1"/>
          <w:iCs w:val="1"/>
          <w:color w:val="auto"/>
        </w:rPr>
        <w:t xml:space="preserve"> </w:t>
      </w:r>
      <w:r>
        <w:rPr>
          <w:rFonts w:ascii="Arial" w:cs="Arial" w:eastAsia="Arial" w:hAnsi="Arial"/>
          <w:sz w:val="18"/>
          <w:szCs w:val="18"/>
          <w:color w:val="auto"/>
        </w:rPr>
        <w:t>three waste-to-energy facilities that we lease, operate and maintain. We own a 0.5% interest in one of the LLCs (“LLC I”) and a 0.25% interest in the second LLC (“LLC II”). John Hancock Life Insurance Company (“Hancock”) owns 99.5% of LLC I, and 99.75% of LLC II is owned by LLC I and the CIT Group (“CIT”). 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6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Income, losses and cash flows of the LLCs are allocated to the members based on their initial capital account balances until Hancock and CIT achieve targeted returns; thereafter, we will receive 80% of the earnings of each of the LLCs and Hancock and CIT will be allocated the remaining 20%, proportionate to their respective equity interests. All capital allocations made through December 31, 2011 have been based on initial capital account balances as the target returns have not yet been achieved.</w:t>
      </w:r>
    </w:p>
    <w:p>
      <w:pPr>
        <w:spacing w:after="0" w:line="6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These payments are subject to adjustment based on factors that include the fair market value of rents for the facilities and lease payments made through the re-measurement dates. In addition,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6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determined that we are the primary beneficiary of the LLCs and consolidate these entities in our Consolidated Financial Statements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2011, our Consolidated Balance Sheet includes $308 million of net property and equipment associated with the LLCs’ waste-to-energy facilities and $246 million in noncontrolling interests associated with Hancock’s and CIT’s interests in the LLCs. As of December 31, 2011, all debt obligations of the LLCs have been paid in full and, therefore, the LLCs have no liabilities. During each of the years ended December 31, 2011, 2010, and 2009, we recognized expense of $50 million for Hancock’s and CIT’s noncontrolling interests in the LLCs’ earnings. The LLCs’ earnings relate to the rental income generated from leasing the facilities to our subsidiaries, reduced by depreciation expense. The LLCs’ rental income is eliminated in WM’s consolidation.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Investment in Refined Coal Facility </w:t>
      </w:r>
      <w:r>
        <w:rPr>
          <w:rFonts w:ascii="Arial" w:cs="Arial" w:eastAsia="Arial" w:hAnsi="Arial"/>
          <w:sz w:val="16"/>
          <w:szCs w:val="16"/>
          <w:color w:val="auto"/>
        </w:rPr>
        <w:t>— In January 2011, we acquired a noncontrolling interest in a limited liability company, which was established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 in and manage a refined coal facility. Along with the other equity investor, we support the operations of the entity in exchange for a pro-rata share of the tax credits it generates. Our initial consideration for this investment consisted of a cash payment of $48 million. At December 31, 2011, our investment balance was $35 million, representing our current maximum pre-tax exposure to loss. Under the terms and conditions of the transaction, we do not believe that we have any material exposure to loss. Future contributions will commence once certain levels of tax credits have been generated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9.</w:t>
      </w:r>
    </w:p>
    <w:p>
      <w:pPr>
        <w:spacing w:after="0" w:line="3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Investment in Federal Low-income Housing Tax Credits </w:t>
      </w:r>
      <w:r>
        <w:rPr>
          <w:rFonts w:ascii="Arial" w:cs="Arial" w:eastAsia="Arial" w:hAnsi="Arial"/>
          <w:sz w:val="16"/>
          <w:szCs w:val="16"/>
          <w:color w:val="auto"/>
        </w:rPr>
        <w:t>— In April 2010, we acquired a noncontrolling interest in a limited liability company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to invest in and 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At December 31, 2011, our investment balance was $178 million and our debt balance was $176 million.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9.</w:t>
      </w:r>
    </w:p>
    <w:p>
      <w:pPr>
        <w:spacing w:after="0" w:line="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Trusts for Final Capping, Closure, Post-Closure or Environmental Remediation Obligations </w:t>
      </w:r>
      <w:r>
        <w:rPr>
          <w:rFonts w:ascii="Arial" w:cs="Arial" w:eastAsia="Arial" w:hAnsi="Arial"/>
          <w:sz w:val="18"/>
          <w:szCs w:val="18"/>
          <w:color w:val="auto"/>
        </w:rPr>
        <w:t>— We have significant financial interests in trust funds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were created to settle certain of our final capping, closure, post-closure or environmental remediation obligations. We have determined that we are not the primary beneficiary of certain of these trust funds because power over the trusts’ significant activities is shared.</w:t>
      </w:r>
    </w:p>
    <w:p>
      <w:pPr>
        <w:spacing w:after="0" w:line="5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deconsolidation of these variable interest entities as of January 1, 2010, in accordance with the new FASB guidance discussed in Note 2, decreased our restricted trust and escrow accounts by $109 million; increased investments in unconsolidated entities by $27 million; increased receivables, principally long-term, by $51 million; and decreased noncontrolling interests by $31 million. Beginning in 2010, our interests in these variable interest entities have been accounted for as investments in unconsolidated entities and receivables. These amounts are recorded in “Other receivables” and as long-term “Other assets” in our Consolidated Balance Sheet. Our investments and receivables related to the trusts had an aggregate carrying value of $105 million as of January 1, 2010, $103 million as of December 31, 2010 and $107 million as of December 31, 2011. We continue to reflect our interests in the unrealized gains and losses on available-for-sale securities held by these trusts as a component of accumulated other comprehensive income. The deconsolidation of these variable interest entities has not materially affected our financial position, results of operations or cash flows for the periods presented.</w:t>
      </w:r>
    </w:p>
    <w:p>
      <w:pPr>
        <w:spacing w:after="0" w:line="3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Segment and Related Information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currently manage and evaluate our operations primarily through our Eastern, Midwest, Southern, Western and Wheelabrator Groups. These five Groups are presented below as our reportable segments. Our four geographic operating Groups provide collection, transfer, disposal (in both solid waste and hazardous waste landfills) and recycling services. Our fifth Group is the Wheelabrator Group, which provides waste-to-energy services and manages waste-to-energy facilities and independent power production plants. We serve residential, commercial, industrial, and municipal customers throughout North America. The operations not managed through our five operating Groups, including the Oakleaf operations we acquired on July 28, 2011, are presented herein as “Other.” See Note 19 for additional information related to our acquisition of Oakleaf.</w:t>
      </w:r>
    </w:p>
    <w:p>
      <w:pPr>
        <w:spacing w:after="0" w:line="3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Summarized financial information concerning our reportable segments for the respective years ended December 31 is shown in the following table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3"/>
              </w:rPr>
              <w:t>Gross</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Intercompany</w:t>
            </w:r>
          </w:p>
        </w:tc>
        <w:tc>
          <w:tcPr>
            <w:tcW w:w="100" w:type="dxa"/>
            <w:vAlign w:val="bottom"/>
          </w:tcPr>
          <w:p>
            <w:pPr>
              <w:spacing w:after="0"/>
              <w:rPr>
                <w:sz w:val="12"/>
                <w:szCs w:val="12"/>
                <w:color w:val="auto"/>
              </w:rPr>
            </w:pPr>
          </w:p>
        </w:tc>
        <w:tc>
          <w:tcPr>
            <w:tcW w:w="48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rPr>
              <w:t>Net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from</w:t>
            </w: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98"/>
              </w:rPr>
              <w:t>Capital</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12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7"/>
              </w:rPr>
              <w:t>Operating</w:t>
            </w: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Operating</w:t>
            </w:r>
          </w:p>
        </w:tc>
        <w:tc>
          <w:tcPr>
            <w:tcW w:w="4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Operations</w:t>
            </w:r>
          </w:p>
        </w:tc>
        <w:tc>
          <w:tcPr>
            <w:tcW w:w="180" w:type="dxa"/>
            <w:vAlign w:val="bottom"/>
          </w:tcPr>
          <w:p>
            <w:pPr>
              <w:spacing w:after="0"/>
              <w:rPr>
                <w:sz w:val="12"/>
                <w:szCs w:val="12"/>
                <w:color w:val="auto"/>
              </w:rPr>
            </w:pPr>
          </w:p>
        </w:tc>
        <w:tc>
          <w:tcPr>
            <w:tcW w:w="60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and</w:t>
            </w:r>
          </w:p>
        </w:tc>
        <w:tc>
          <w:tcPr>
            <w:tcW w:w="4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Expenditures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Revenues</w:t>
            </w:r>
          </w:p>
        </w:tc>
        <w:tc>
          <w:tcPr>
            <w:tcW w:w="13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8"/>
              </w:rPr>
              <w:t>Revenues(c)</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Revenues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(d),(e)</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b w:val="1"/>
                <w:bCs w:val="1"/>
                <w:color w:val="auto"/>
              </w:rPr>
              <w:t>(f)</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(g),(h)</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2011</w:t>
            </w: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Eastern</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2,596</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559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Southern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3,390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2,978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779</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Western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Wheelabrator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Other(a)</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15,409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2,612</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Other(b)</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660" w:type="dxa"/>
            <w:vAlign w:val="bottom"/>
            <w:vMerge w:val="continue"/>
          </w:tcPr>
          <w:p>
            <w:pPr>
              <w:spacing w:after="0"/>
              <w:rPr>
                <w:sz w:val="19"/>
                <w:szCs w:val="19"/>
                <w:color w:val="auto"/>
              </w:rPr>
            </w:pP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15,409</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13,378</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2,028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1,229</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1,362</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Eastern</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2,943</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2,435</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516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270</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Southern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3,461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844</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Western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569</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Wheelabrator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Other(a)</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14,477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12,515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2,541</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Other(b)</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660" w:type="dxa"/>
            <w:vAlign w:val="bottom"/>
            <w:vMerge w:val="continue"/>
          </w:tcPr>
          <w:p>
            <w:pPr>
              <w:spacing w:after="0"/>
              <w:rPr>
                <w:sz w:val="19"/>
                <w:szCs w:val="19"/>
                <w:color w:val="auto"/>
              </w:rPr>
            </w:pP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14,477</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12,515</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2,116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1,194</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1,167</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Eastern</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2,960</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2,427</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276</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Southern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3,328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768</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Western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Wheelabrator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Other(a)</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13,737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11,791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2,321</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1,123</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Other(b)</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660" w:type="dxa"/>
            <w:vAlign w:val="bottom"/>
            <w:vMerge w:val="continue"/>
          </w:tcPr>
          <w:p>
            <w:pPr>
              <w:spacing w:after="0"/>
              <w:rPr>
                <w:sz w:val="19"/>
                <w:szCs w:val="19"/>
                <w:color w:val="auto"/>
              </w:rPr>
            </w:pP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13,737</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11,791</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1,887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1,166</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1,076</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9436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46" w:lineRule="exact"/>
        <w:rPr>
          <w:sz w:val="20"/>
          <w:szCs w:val="20"/>
          <w:color w:val="auto"/>
        </w:rPr>
      </w:pPr>
    </w:p>
    <w:p>
      <w:pPr>
        <w:ind w:left="460" w:right="40" w:hanging="452"/>
        <w:spacing w:after="0" w:line="289"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Our “Other” net operating revenues and “Other” income from operations include (i) the effects of those elements of our in-plant services, landfill gas-to-energy operations, and third-party subcontract and administration revenues managed by our Sustainability Services, Renewable Energy and Strategic Accounts organizations, including Oakleaf, respectively, that are not included with the operations of our reportable segments; (ii) our recycling brokerage and electronic recycling services; and (iii) the impacts of investments that we are making in expanded service offerings, such as portable self-storage, fluorescent lamp recycling and healthcare solutions, and in oil and gas producing properties. In addition, our “Other” income from operations reflects the impacts of (i) non-operating entities that provide financial assurance and self-insurance support for the Groups or financing for our Canadian operations; and (ii) certain year-end adjustments recorded in consolidation related to the reportable segments that were not included in the measure of segment profit or loss used to assess their performance for the periods disclosed.</w:t>
      </w:r>
    </w:p>
    <w:p>
      <w:pPr>
        <w:spacing w:after="0" w:line="10" w:lineRule="exact"/>
        <w:rPr>
          <w:rFonts w:ascii="Arial" w:cs="Arial" w:eastAsia="Arial" w:hAnsi="Arial"/>
          <w:sz w:val="16"/>
          <w:szCs w:val="16"/>
          <w:color w:val="auto"/>
        </w:rPr>
      </w:pPr>
    </w:p>
    <w:p>
      <w:pPr>
        <w:ind w:left="460" w:right="60" w:hanging="452"/>
        <w:spacing w:after="0" w:line="298"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Corporate operating results reflect the costs incurred for various support services that are not allocated to our five Groups.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4" w:lineRule="exact"/>
        <w:rPr>
          <w:rFonts w:ascii="Arial" w:cs="Arial" w:eastAsia="Arial" w:hAnsi="Arial"/>
          <w:sz w:val="16"/>
          <w:szCs w:val="16"/>
          <w:color w:val="auto"/>
        </w:rPr>
      </w:pPr>
    </w:p>
    <w:p>
      <w:pPr>
        <w:ind w:left="460" w:right="200" w:hanging="452"/>
        <w:spacing w:after="0" w:line="317"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ind w:left="460" w:hanging="452"/>
        <w:spacing w:after="0"/>
        <w:tabs>
          <w:tab w:leader="none" w:pos="4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For those items included in the determination of income from operations, the accounting policies of the segments are the same as those described in Note 3.</w:t>
      </w:r>
    </w:p>
    <w:p>
      <w:pPr>
        <w:spacing w:after="0" w:line="97" w:lineRule="exact"/>
        <w:rPr>
          <w:rFonts w:ascii="Arial" w:cs="Arial" w:eastAsia="Arial" w:hAnsi="Arial"/>
          <w:sz w:val="15"/>
          <w:szCs w:val="15"/>
          <w:color w:val="auto"/>
        </w:rPr>
      </w:pPr>
    </w:p>
    <w:p>
      <w:pPr>
        <w:ind w:left="460" w:hanging="452"/>
        <w:spacing w:after="0" w:line="286"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income from operations provided by our four geographic Groups is generally indicative of the margins provided by our collection, landfill, transfer and recycling businesses. The operating margins provided by our Wheelabrator Group (waste-to-energy facilities and independent power production plants) have historically been higher than the margins provided by our base business generally due to the combined impact of long-term disposal and energy contracts and the disposal demands of the regions in which our facilities are concentrated. However, the revenues and operating results of our Wheelabrator Group have been unfavorably affected by a significant decrease in the rates charged for electricity under our power purchase contracts, which correlate with natural gas prices in the markets where we operate. Exposure to market fluctuations in electricity prices increased for the Wheelabrator Group in 2009 due in large part to the expiration of several long-term energy contracts. Additionally, the Company’s current focus on the expansion of our waste-to-energy business both internationally and domestically has increased Wheelabrator’s costs and expenses, which has negatively affected the comparability of their operating results for the periods presented. From time to time the operating results of our reportable segments are significantly affected by certain transactions or events that management believes are not indicative or representative of our results. Refer to Note 12 and Note 13 for an explanation of certain transactions and events affecting the operating results of our reportable segments.</w:t>
      </w:r>
    </w:p>
    <w:p>
      <w:pPr>
        <w:spacing w:after="0" w:line="19"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non-cash items. Capital expenditures are reported in our reportable segments at the time they are recorded within the segments’ property, plant and equipment balances and, therefore, may include amounts that have been accrued but not yet paid.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reconciliation of total assets reported above to “Total assets” in the Consolidated Balance Sheets is as follows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86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8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assets, as reported above</w:t>
            </w:r>
          </w:p>
        </w:tc>
        <w:tc>
          <w:tcPr>
            <w:tcW w:w="3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$23,241</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$22,169</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$21,801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Elimination of intercompany investments and advances</w:t>
            </w:r>
          </w:p>
        </w:tc>
        <w:tc>
          <w:tcPr>
            <w:tcW w:w="30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(672)</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(693)</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assets, per Consolidated Balance Sheets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22,569</w:t>
            </w: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21,476</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80" w:type="dxa"/>
            <w:vAlign w:val="bottom"/>
            <w:vMerge w:val="restart"/>
          </w:tcPr>
          <w:p>
            <w:pPr>
              <w:jc w:val="right"/>
              <w:ind w:right="2132"/>
              <w:spacing w:after="0"/>
              <w:rPr>
                <w:sz w:val="20"/>
                <w:szCs w:val="20"/>
                <w:color w:val="auto"/>
              </w:rPr>
            </w:pPr>
            <w:r>
              <w:rPr>
                <w:rFonts w:ascii="Arial" w:cs="Arial" w:eastAsia="Arial" w:hAnsi="Arial"/>
                <w:sz w:val="18"/>
                <w:szCs w:val="18"/>
                <w:color w:val="auto"/>
              </w:rPr>
              <w:t>131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right="100" w:hanging="452"/>
        <w:spacing w:after="0" w:line="255"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Goodwill is included within each Group’s total assets. As discussed above, for segment reporting purposes, our material recovery facilities and secondary processing facilities are included as a component of their respective geographic Group and our recycling brokerage business and electronics recycling services are included as part of our “Other” operations. As discussed in Note 19, the goodwill associated with our acquisition of Oakleaf, as preliminarily determined, has been assigned to our geographic Groups. The following table shows changes in goodwill during 2010 and 2011 by reportable segment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Eastern</w:t>
            </w:r>
          </w:p>
        </w:tc>
        <w:tc>
          <w:tcPr>
            <w:tcW w:w="36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Midwest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Southern</w:t>
            </w:r>
          </w:p>
        </w:tc>
        <w:tc>
          <w:tcPr>
            <w:tcW w:w="58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w w:val="83"/>
              </w:rPr>
              <w:t>Western</w:t>
            </w:r>
          </w:p>
        </w:tc>
        <w:tc>
          <w:tcPr>
            <w:tcW w:w="28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w w:val="91"/>
              </w:rPr>
              <w:t>Wheelabrator</w:t>
            </w:r>
          </w:p>
        </w:tc>
        <w:tc>
          <w:tcPr>
            <w:tcW w:w="340" w:type="dxa"/>
            <w:vAlign w:val="bottom"/>
          </w:tcPr>
          <w:p>
            <w:pPr>
              <w:spacing w:after="0"/>
              <w:rPr>
                <w:sz w:val="14"/>
                <w:szCs w:val="14"/>
                <w:color w:val="auto"/>
              </w:rPr>
            </w:pPr>
          </w:p>
        </w:tc>
        <w:tc>
          <w:tcPr>
            <w:tcW w:w="6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5"/>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2009</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$1,500</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$1,382</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$1,221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Acquired goodwill</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Divested goodwill, net of assets held-for-sale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Translation and other adjustments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683</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Acquired goodwill</w:t>
            </w:r>
          </w:p>
        </w:tc>
        <w:tc>
          <w:tcPr>
            <w:tcW w:w="500" w:type="dxa"/>
            <w:vAlign w:val="bottom"/>
          </w:tcPr>
          <w:p>
            <w:pPr>
              <w:jc w:val="right"/>
              <w:spacing w:after="0"/>
              <w:rPr>
                <w:sz w:val="20"/>
                <w:szCs w:val="20"/>
                <w:color w:val="auto"/>
              </w:rPr>
            </w:pPr>
            <w:r>
              <w:rPr>
                <w:rFonts w:ascii="Arial" w:cs="Arial" w:eastAsia="Arial" w:hAnsi="Arial"/>
                <w:sz w:val="18"/>
                <w:szCs w:val="18"/>
                <w:color w:val="auto"/>
              </w:rPr>
              <w:t>142</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142</w:t>
            </w: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Divested goodwill, net of assets held-for-sale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Translation and other adjustments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(16)</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1,649</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829</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1,344</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104</w:t>
            </w: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60" w:type="dxa"/>
            <w:vAlign w:val="bottom"/>
            <w:gridSpan w:val="7"/>
          </w:tcPr>
          <w:p>
            <w:pPr>
              <w:ind w:left="460"/>
              <w:spacing w:after="0"/>
              <w:rPr>
                <w:sz w:val="20"/>
                <w:szCs w:val="20"/>
                <w:color w:val="auto"/>
              </w:rPr>
            </w:pPr>
            <w:r>
              <w:rPr>
                <w:rFonts w:ascii="Arial" w:cs="Arial" w:eastAsia="Arial" w:hAnsi="Arial"/>
                <w:sz w:val="18"/>
                <w:szCs w:val="18"/>
                <w:color w:val="auto"/>
                <w:w w:val="94"/>
              </w:rPr>
              <w:t>The table below shows the total revenues by principal line of business (in millions):</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3"/>
          </w:tcPr>
          <w:p>
            <w:pPr>
              <w:jc w:val="right"/>
              <w:ind w:right="7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Collection</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8,247</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$ 7,980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Landfill</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32"/>
              <w:spacing w:after="0"/>
              <w:rPr>
                <w:sz w:val="20"/>
                <w:szCs w:val="20"/>
                <w:color w:val="auto"/>
              </w:rPr>
            </w:pPr>
            <w:r>
              <w:rPr>
                <w:rFonts w:ascii="Arial" w:cs="Arial" w:eastAsia="Arial" w:hAnsi="Arial"/>
                <w:sz w:val="18"/>
                <w:szCs w:val="18"/>
                <w:color w:val="auto"/>
              </w:rPr>
              <w:t>2,611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4"/>
          </w:tcPr>
          <w:p>
            <w:pPr>
              <w:jc w:val="right"/>
              <w:ind w:right="152"/>
              <w:spacing w:after="0"/>
              <w:rPr>
                <w:sz w:val="20"/>
                <w:szCs w:val="20"/>
                <w:color w:val="auto"/>
              </w:rPr>
            </w:pPr>
            <w:r>
              <w:rPr>
                <w:rFonts w:ascii="Arial" w:cs="Arial" w:eastAsia="Arial" w:hAnsi="Arial"/>
                <w:sz w:val="18"/>
                <w:szCs w:val="18"/>
                <w:color w:val="auto"/>
                <w:w w:val="97"/>
              </w:rPr>
              <w:t>2,540</w:t>
            </w:r>
          </w:p>
        </w:tc>
        <w:tc>
          <w:tcPr>
            <w:tcW w:w="28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color w:val="auto"/>
                <w:w w:val="97"/>
              </w:rPr>
              <w:t>1,318</w:t>
            </w: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4"/>
          </w:tcPr>
          <w:p>
            <w:pPr>
              <w:jc w:val="right"/>
              <w:ind w:right="152"/>
              <w:spacing w:after="0"/>
              <w:rPr>
                <w:sz w:val="20"/>
                <w:szCs w:val="20"/>
                <w:color w:val="auto"/>
              </w:rPr>
            </w:pPr>
            <w:r>
              <w:rPr>
                <w:rFonts w:ascii="Arial" w:cs="Arial" w:eastAsia="Arial" w:hAnsi="Arial"/>
                <w:sz w:val="18"/>
                <w:szCs w:val="18"/>
                <w:color w:val="auto"/>
              </w:rPr>
              <w:t>889</w:t>
            </w:r>
          </w:p>
        </w:tc>
        <w:tc>
          <w:tcPr>
            <w:tcW w:w="28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color w:val="auto"/>
                <w:w w:val="97"/>
              </w:rPr>
              <w:t>1,169</w:t>
            </w: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Other(a)</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4"/>
          </w:tcPr>
          <w:p>
            <w:pPr>
              <w:jc w:val="right"/>
              <w:ind w:right="152"/>
              <w:spacing w:after="0"/>
              <w:rPr>
                <w:sz w:val="20"/>
                <w:szCs w:val="20"/>
                <w:color w:val="auto"/>
              </w:rPr>
            </w:pPr>
            <w:r>
              <w:rPr>
                <w:rFonts w:ascii="Arial" w:cs="Arial" w:eastAsia="Arial" w:hAnsi="Arial"/>
                <w:sz w:val="18"/>
                <w:szCs w:val="18"/>
                <w:color w:val="auto"/>
              </w:rPr>
              <w:t>314</w:t>
            </w:r>
          </w:p>
        </w:tc>
        <w:tc>
          <w:tcPr>
            <w:tcW w:w="28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Intercompany(b)</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91"/>
              </w:rPr>
              <w:t>(2,031)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w w:val="87"/>
              </w:rPr>
              <w:t>(1,962)</w:t>
            </w: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0"/>
        </w:trPr>
        <w:tc>
          <w:tcPr>
            <w:tcW w:w="4920" w:type="dxa"/>
            <w:vAlign w:val="bottom"/>
            <w:gridSpan w:val="3"/>
            <w:vMerge w:val="restart"/>
          </w:tcPr>
          <w:p>
            <w:pPr>
              <w:ind w:left="460"/>
              <w:spacing w:after="0"/>
              <w:rPr>
                <w:sz w:val="20"/>
                <w:szCs w:val="20"/>
                <w:color w:val="auto"/>
              </w:rPr>
            </w:pPr>
            <w:r>
              <w:rPr>
                <w:rFonts w:ascii="Arial" w:cs="Arial" w:eastAsia="Arial" w:hAnsi="Arial"/>
                <w:sz w:val="18"/>
                <w:szCs w:val="18"/>
                <w:color w:val="auto"/>
              </w:rPr>
              <w:t>Operating revenues</w:t>
            </w: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3"/>
            <w:vMerge w:val="continue"/>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13,378</w:t>
            </w:r>
          </w:p>
        </w:tc>
        <w:tc>
          <w:tcPr>
            <w:tcW w:w="200" w:type="dxa"/>
            <w:vAlign w:val="bottom"/>
          </w:tcPr>
          <w:p>
            <w:pPr>
              <w:spacing w:after="0"/>
              <w:rPr>
                <w:sz w:val="19"/>
                <w:szCs w:val="19"/>
                <w:color w:val="auto"/>
              </w:rPr>
            </w:pPr>
          </w:p>
        </w:tc>
        <w:tc>
          <w:tcPr>
            <w:tcW w:w="1140" w:type="dxa"/>
            <w:vAlign w:val="bottom"/>
            <w:gridSpan w:val="7"/>
          </w:tcPr>
          <w:p>
            <w:pPr>
              <w:jc w:val="right"/>
              <w:ind w:right="1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12,515</w:t>
            </w:r>
          </w:p>
        </w:tc>
        <w:tc>
          <w:tcPr>
            <w:tcW w:w="280" w:type="dxa"/>
            <w:vAlign w:val="bottom"/>
          </w:tcPr>
          <w:p>
            <w:pPr>
              <w:spacing w:after="0"/>
              <w:rPr>
                <w:sz w:val="19"/>
                <w:szCs w:val="19"/>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11,791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“Other” line of business includes Oakleaf, landfill gas-to-energy operations, Port-O-Let</w:t>
      </w:r>
      <w:r>
        <w:rPr>
          <w:rFonts w:ascii="Arial" w:cs="Arial" w:eastAsia="Arial" w:hAnsi="Arial"/>
          <w:sz w:val="11"/>
          <w:szCs w:val="11"/>
          <w:color w:val="auto"/>
        </w:rPr>
        <w:t>®</w:t>
      </w:r>
      <w:r>
        <w:rPr>
          <w:rFonts w:ascii="Arial" w:cs="Arial" w:eastAsia="Arial" w:hAnsi="Arial"/>
          <w:sz w:val="18"/>
          <w:szCs w:val="18"/>
          <w:color w:val="auto"/>
        </w:rPr>
        <w:t xml:space="preserve"> services, portable self-storage, fluorescent lamp recycling, oil and gas producing properties and healthcare solutions operations.</w:t>
      </w:r>
    </w:p>
    <w:p>
      <w:pPr>
        <w:spacing w:after="0" w:line="23" w:lineRule="exact"/>
        <w:rPr>
          <w:rFonts w:ascii="Arial" w:cs="Arial" w:eastAsia="Arial" w:hAnsi="Arial"/>
          <w:sz w:val="18"/>
          <w:szCs w:val="18"/>
          <w:color w:val="auto"/>
        </w:rPr>
      </w:pPr>
    </w:p>
    <w:p>
      <w:pPr>
        <w:ind w:left="460" w:right="1820" w:hanging="452"/>
        <w:spacing w:after="0" w:line="410" w:lineRule="auto"/>
        <w:tabs>
          <w:tab w:leader="none" w:pos="449" w:val="left"/>
        </w:tabs>
        <w:numPr>
          <w:ilvl w:val="0"/>
          <w:numId w:val="91"/>
        </w:numPr>
        <w:rPr>
          <w:rFonts w:ascii="Arial" w:cs="Arial" w:eastAsia="Arial" w:hAnsi="Arial"/>
          <w:sz w:val="15"/>
          <w:szCs w:val="15"/>
          <w:color w:val="auto"/>
        </w:rPr>
      </w:pPr>
      <w:r>
        <w:rPr>
          <w:rFonts w:ascii="Arial" w:cs="Arial" w:eastAsia="Arial" w:hAnsi="Arial"/>
          <w:sz w:val="15"/>
          <w:szCs w:val="15"/>
          <w:color w:val="auto"/>
        </w:rPr>
        <w:t>Intercompany revenues between lines of business are eliminated within the Consolidated Financial Statements included herein. Net operating revenues relating to operations in the United States and Puerto Rico, as well as Canada are as follows (in millions):</w:t>
      </w: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6"/>
              </w:rPr>
              <w:t>Years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0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5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 and Puerto Rico</w:t>
            </w:r>
          </w:p>
        </w:tc>
        <w:tc>
          <w:tcPr>
            <w:tcW w:w="40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$12,578</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$11,784</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Canada</w:t>
            </w:r>
          </w:p>
        </w:tc>
        <w:tc>
          <w:tcPr>
            <w:tcW w:w="40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13,378</w:t>
            </w: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20" w:type="dxa"/>
            <w:vAlign w:val="bottom"/>
            <w:vMerge w:val="restart"/>
          </w:tcPr>
          <w:p>
            <w:pPr>
              <w:jc w:val="right"/>
              <w:ind w:right="2172"/>
              <w:spacing w:after="0"/>
              <w:rPr>
                <w:sz w:val="20"/>
                <w:szCs w:val="20"/>
                <w:color w:val="auto"/>
              </w:rPr>
            </w:pPr>
            <w:r>
              <w:rPr>
                <w:rFonts w:ascii="Arial" w:cs="Arial" w:eastAsia="Arial" w:hAnsi="Arial"/>
                <w:sz w:val="18"/>
                <w:szCs w:val="18"/>
                <w:color w:val="auto"/>
              </w:rPr>
              <w:t>132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relating to operations in the United States and Puerto Rico, as well as Canada are as follows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9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5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 and Puerto Rico</w:t>
            </w:r>
          </w:p>
        </w:tc>
        <w:tc>
          <w:tcPr>
            <w:tcW w:w="2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$10,948</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$10,558</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Canada</w:t>
            </w:r>
          </w:p>
        </w:tc>
        <w:tc>
          <w:tcPr>
            <w:tcW w:w="27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12,242</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11,868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11,541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unaudited quarterly results of operations for 2011 and 2010 (in millions, except per share amounts):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First</w:t>
            </w: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79"/>
              </w:rPr>
              <w:t>Second</w:t>
            </w: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Third</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690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Quarter</w:t>
            </w: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Quarter</w:t>
            </w: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Quarter</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Quarter</w:t>
            </w: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2011</w:t>
            </w: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Operating revenues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$3,103</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$3,347</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$3,522</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$3,406</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500" w:type="dxa"/>
            <w:vAlign w:val="bottom"/>
          </w:tcPr>
          <w:p>
            <w:pPr>
              <w:jc w:val="right"/>
              <w:spacing w:after="0"/>
              <w:rPr>
                <w:sz w:val="20"/>
                <w:szCs w:val="20"/>
                <w:color w:val="auto"/>
              </w:rPr>
            </w:pPr>
            <w:r>
              <w:rPr>
                <w:rFonts w:ascii="Arial" w:cs="Arial" w:eastAsia="Arial" w:hAnsi="Arial"/>
                <w:sz w:val="18"/>
                <w:szCs w:val="18"/>
                <w:color w:val="auto"/>
              </w:rPr>
              <w:t>196</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285</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500" w:type="dxa"/>
            <w:vAlign w:val="bottom"/>
          </w:tcPr>
          <w:p>
            <w:pPr>
              <w:jc w:val="right"/>
              <w:spacing w:after="0"/>
              <w:rPr>
                <w:sz w:val="20"/>
                <w:szCs w:val="20"/>
                <w:color w:val="auto"/>
              </w:rPr>
            </w:pPr>
            <w:r>
              <w:rPr>
                <w:rFonts w:ascii="Arial" w:cs="Arial" w:eastAsia="Arial" w:hAnsi="Arial"/>
                <w:sz w:val="18"/>
                <w:szCs w:val="18"/>
                <w:color w:val="auto"/>
              </w:rPr>
              <w:t>0.39</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0.50</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0.58</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$2,935</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$3,158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$3,235</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$3,187</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tcPr>
          <w:p>
            <w:pPr>
              <w:jc w:val="right"/>
              <w:spacing w:after="0"/>
              <w:rPr>
                <w:sz w:val="20"/>
                <w:szCs w:val="20"/>
                <w:color w:val="auto"/>
              </w:rPr>
            </w:pPr>
            <w:r>
              <w:rPr>
                <w:rFonts w:ascii="Arial" w:cs="Arial" w:eastAsia="Arial" w:hAnsi="Arial"/>
                <w:sz w:val="18"/>
                <w:szCs w:val="18"/>
                <w:color w:val="auto"/>
              </w:rPr>
              <w:t>412</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586</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544</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500" w:type="dxa"/>
            <w:vAlign w:val="bottom"/>
          </w:tcPr>
          <w:p>
            <w:pPr>
              <w:jc w:val="right"/>
              <w:spacing w:after="0"/>
              <w:rPr>
                <w:sz w:val="20"/>
                <w:szCs w:val="20"/>
                <w:color w:val="auto"/>
              </w:rPr>
            </w:pPr>
            <w:r>
              <w:rPr>
                <w:rFonts w:ascii="Arial" w:cs="Arial" w:eastAsia="Arial" w:hAnsi="Arial"/>
                <w:sz w:val="18"/>
                <w:szCs w:val="18"/>
                <w:color w:val="auto"/>
              </w:rPr>
              <w:t>182</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246</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500" w:type="dxa"/>
            <w:vAlign w:val="bottom"/>
          </w:tcPr>
          <w:p>
            <w:pPr>
              <w:jc w:val="right"/>
              <w:spacing w:after="0"/>
              <w:rPr>
                <w:sz w:val="20"/>
                <w:szCs w:val="20"/>
                <w:color w:val="auto"/>
              </w:rPr>
            </w:pPr>
            <w:r>
              <w:rPr>
                <w:rFonts w:ascii="Arial" w:cs="Arial" w:eastAsia="Arial" w:hAnsi="Arial"/>
                <w:sz w:val="18"/>
                <w:szCs w:val="18"/>
                <w:color w:val="auto"/>
              </w:rPr>
              <w:t>0.37</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0.51</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0.51</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r>
    </w:tbl>
    <w:p>
      <w:pPr>
        <w:spacing w:after="0" w:line="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w:t>
      </w:r>
    </w:p>
    <w:p>
      <w:pPr>
        <w:spacing w:after="0" w:line="5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operating revenues normally tend to be somewhat higher in the summer months, primarily due to the traditional seasonal increase in the volume of construction and demolition waste. Historically, the volumes of industrial and residential waste in certain regions in which we operate have tended to increase during the summer months. Our second and third quarter revenues and results of operations typically reflect these seasonal trends. Additionally, from time to time, our operating results are significantly affected by certain transactions or events that management believes are not indicative or representative of our results. The following significant items have affected the comparison of our operating results during the periods indicated:</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Third Quarter 2011</w:t>
      </w:r>
    </w:p>
    <w:p>
      <w:pPr>
        <w:spacing w:after="0" w:line="90" w:lineRule="exact"/>
        <w:rPr>
          <w:sz w:val="20"/>
          <w:szCs w:val="20"/>
          <w:color w:val="auto"/>
        </w:rPr>
      </w:pPr>
    </w:p>
    <w:p>
      <w:pPr>
        <w:ind w:left="700" w:right="180" w:hanging="246"/>
        <w:spacing w:after="0" w:line="259" w:lineRule="auto"/>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the recognition of pre-tax restructuring charges, excluding charges recognized in the operating results of Oakleaf, of $14 million related to our cost savings programs. These charges were primarily related to employee severance and benefit costs and negatively affected our diluted earnings per share by $0.02.</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700" w:right="40" w:hanging="246"/>
        <w:spacing w:after="0" w:line="256"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the recognition of net non-cash, pre-tax charges of $8 million arising from the accounting effect of lower ten-year Treasury rates, which are used to discount remediation reserves and related recovery assets at our landfills, offset in part by the favorable impact from a revision to an environmental remediation liability at a closed landfill. The net charges had a negative impact of $0.01 on our diluted earnings per share.</w:t>
      </w:r>
    </w:p>
    <w:p>
      <w:pPr>
        <w:spacing w:after="0" w:line="62" w:lineRule="exact"/>
        <w:rPr>
          <w:rFonts w:ascii="Arial" w:cs="Arial" w:eastAsia="Arial" w:hAnsi="Arial"/>
          <w:sz w:val="18"/>
          <w:szCs w:val="18"/>
          <w:color w:val="auto"/>
        </w:rPr>
      </w:pPr>
    </w:p>
    <w:p>
      <w:pPr>
        <w:ind w:left="700" w:right="160" w:hanging="246"/>
        <w:spacing w:after="0" w:line="259"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a reduction in pre-tax earnings of approximately $6 million related to the Oakleaf acquisition, which includes the operating results of Oakleaf and related interest expense and integration costs. These items negatively affected our diluted earnings per share by $0.01.</w:t>
      </w:r>
    </w:p>
    <w:p>
      <w:pPr>
        <w:spacing w:after="0" w:line="59" w:lineRule="exact"/>
        <w:rPr>
          <w:rFonts w:ascii="Arial" w:cs="Arial" w:eastAsia="Arial" w:hAnsi="Arial"/>
          <w:sz w:val="18"/>
          <w:szCs w:val="18"/>
          <w:color w:val="auto"/>
        </w:rPr>
      </w:pPr>
    </w:p>
    <w:p>
      <w:pPr>
        <w:ind w:left="700" w:right="380" w:hanging="246"/>
        <w:spacing w:after="0" w:line="332" w:lineRule="auto"/>
        <w:tabs>
          <w:tab w:leader="none" w:pos="7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Income from operations was negatively impacted by the recognition of non-cash, pre-tax charges of $6 million related to impairments at two of our medical waste services facilities. The impairment charges had a negative impact of $0.01 on our diluted earnings per share.</w:t>
      </w:r>
    </w:p>
    <w:p>
      <w:pPr>
        <w:spacing w:after="0" w:line="4" w:lineRule="exact"/>
        <w:rPr>
          <w:rFonts w:ascii="Arial" w:cs="Arial" w:eastAsia="Arial" w:hAnsi="Arial"/>
          <w:sz w:val="16"/>
          <w:szCs w:val="16"/>
          <w:color w:val="auto"/>
        </w:rPr>
      </w:pPr>
    </w:p>
    <w:p>
      <w:pPr>
        <w:ind w:left="700" w:right="680" w:hanging="246"/>
        <w:spacing w:after="0" w:line="268"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“Provision for income taxes” for the quarter was reduced by $10 million as a result of the finalization of our 2010 tax returns and tax audit settlements, which positively affected our diluted earnings per share by $0.02.</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Fourth Quarter 2011</w:t>
      </w:r>
    </w:p>
    <w:p>
      <w:pPr>
        <w:spacing w:after="0" w:line="90" w:lineRule="exact"/>
        <w:rPr>
          <w:sz w:val="20"/>
          <w:szCs w:val="20"/>
          <w:color w:val="auto"/>
        </w:rPr>
      </w:pPr>
    </w:p>
    <w:p>
      <w:pPr>
        <w:ind w:left="700" w:right="460" w:hanging="246"/>
        <w:spacing w:after="0" w:line="268" w:lineRule="auto"/>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$24 million of “Selling, general and administrative” expense related to a litigation loss in our Western Group, which had a negative impact of $0.03 on our diluted earnings per share.</w:t>
      </w:r>
    </w:p>
    <w:p>
      <w:pPr>
        <w:spacing w:after="0" w:line="50" w:lineRule="exact"/>
        <w:rPr>
          <w:rFonts w:ascii="Arial" w:cs="Arial" w:eastAsia="Arial" w:hAnsi="Arial"/>
          <w:sz w:val="18"/>
          <w:szCs w:val="18"/>
          <w:color w:val="auto"/>
        </w:rPr>
      </w:pPr>
    </w:p>
    <w:p>
      <w:pPr>
        <w:ind w:left="700" w:right="60" w:hanging="246"/>
        <w:spacing w:after="0" w:line="259" w:lineRule="auto"/>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Income from operations was positively impacted by a $20 million decrease to “Depreciation and amortization” expense for adjustments associated with changes in our expectations for the timing and cost of future final capping, closure and post-closure of fully utilized airspace. This decrease had a positive impact of approximately $0.03 on our diluted earnings per share.</w:t>
      </w:r>
    </w:p>
    <w:p>
      <w:pPr>
        <w:spacing w:after="0" w:line="59" w:lineRule="exact"/>
        <w:rPr>
          <w:rFonts w:ascii="Arial" w:cs="Arial" w:eastAsia="Arial" w:hAnsi="Arial"/>
          <w:sz w:val="18"/>
          <w:szCs w:val="18"/>
          <w:color w:val="auto"/>
        </w:rPr>
      </w:pPr>
    </w:p>
    <w:p>
      <w:pPr>
        <w:ind w:left="700" w:right="220" w:hanging="246"/>
        <w:spacing w:after="0" w:line="259" w:lineRule="auto"/>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“Provision for income taxes” for the quarter was reduced by $7 million as a result of (i) the recognition of a benefit of $4 million due to tax audit settlements; and (ii) the realization of state net operating loss and credit carry-forwards of $3 million. This decrease in taxes positively affected the quarter’s diluted earnings per share by $0.01.</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First Quarter 2010</w:t>
      </w:r>
    </w:p>
    <w:p>
      <w:pPr>
        <w:spacing w:after="0" w:line="90" w:lineRule="exact"/>
        <w:rPr>
          <w:sz w:val="20"/>
          <w:szCs w:val="20"/>
          <w:color w:val="auto"/>
        </w:rPr>
      </w:pPr>
    </w:p>
    <w:p>
      <w:pPr>
        <w:ind w:left="700" w:right="120" w:hanging="246"/>
        <w:spacing w:after="0" w:line="259"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Income from operations was negatively affected by the recognition of a $28 million charge to “Operating” expenses incurred by our Midwest Group as a result of bargaining unit employees in Michigan and Ohio agreeing to our proposal to withdraw them from an underfunded multiemployer pension plan. This charge reduced diluted earnings per share for the quarter by $0.04.</w:t>
      </w:r>
    </w:p>
    <w:p>
      <w:pPr>
        <w:spacing w:after="0" w:line="59"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severe winter weather experienced in early 2010 reduced our revenues and increased our overtime and landfill operating costs, causing an estimated decrease in our diluted earnings per share of $0.02.</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Second Quarter 2010</w:t>
      </w:r>
    </w:p>
    <w:p>
      <w:pPr>
        <w:spacing w:after="0" w:line="90" w:lineRule="exact"/>
        <w:rPr>
          <w:sz w:val="20"/>
          <w:szCs w:val="20"/>
          <w:color w:val="auto"/>
        </w:rPr>
      </w:pPr>
    </w:p>
    <w:p>
      <w:pPr>
        <w:ind w:left="700" w:right="200" w:hanging="246"/>
        <w:spacing w:after="0" w:line="332" w:lineRule="auto"/>
        <w:tabs>
          <w:tab w:leader="none" w:pos="7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Income from operations was positively affected by the recognition of a pre-tax cash benefit of $77 million due to the settlement of a lawsuit related to the abandonment of revenue management software, which had a favorable impact of $0.10 on our diluted earnings per share.</w:t>
      </w:r>
    </w:p>
    <w:p>
      <w:pPr>
        <w:spacing w:after="0" w:line="4" w:lineRule="exact"/>
        <w:rPr>
          <w:rFonts w:ascii="Arial" w:cs="Arial" w:eastAsia="Arial" w:hAnsi="Arial"/>
          <w:sz w:val="16"/>
          <w:szCs w:val="16"/>
          <w:color w:val="auto"/>
        </w:rPr>
      </w:pPr>
    </w:p>
    <w:p>
      <w:pPr>
        <w:ind w:left="700" w:right="100" w:hanging="246"/>
        <w:spacing w:after="0" w:line="255"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Income from operations was negatively affected by (i) the recognition of a pre-tax non-cash charge of $39 million related to increases in our environmental remediation reserves principally related to two closed landfill sites; and (ii) the recognition of an $8 million unfavorable adjustment to “Operating” expenses due to a decrease from 3.75% to 3.0% in the discount rate used to estimate the present value of our environmental remediation obligations and recovery assets. These items decreased the quarter’s “Net Income attributable to Waste Management, Inc.” by $30 million, or $0.06 per diluted share.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700" w:right="260" w:hanging="246"/>
        <w:spacing w:after="0" w:line="332" w:lineRule="auto"/>
        <w:tabs>
          <w:tab w:leader="none" w:pos="7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Our “Provision for income taxes” for the quarter was increased by the recognition of a tax charge of $37 million principally related to refinements in estimates of our deferred state income taxes, which had a negative impact of $0.08 on our diluted earnings per share.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Third Quarter 2010</w:t>
      </w:r>
    </w:p>
    <w:p>
      <w:pPr>
        <w:spacing w:after="0" w:line="90" w:lineRule="exact"/>
        <w:rPr>
          <w:sz w:val="20"/>
          <w:szCs w:val="20"/>
          <w:color w:val="auto"/>
        </w:rPr>
      </w:pPr>
    </w:p>
    <w:p>
      <w:pPr>
        <w:ind w:left="700" w:hanging="246"/>
        <w:spacing w:after="0" w:line="298" w:lineRule="auto"/>
        <w:tabs>
          <w:tab w:leader="none" w:pos="7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Income from operations was negatively affected by (i) the recognition of pre-tax, non-cash charges aggregating $16 million related to remediation and closure costs at five closed sites; and (ii) the recognition of a $6 million unfavorable adjustment to “Operating” expenses due to a decrease from 3.0% to 2.5% in the discount rate used to estimate the present value of our environmental remediation obligations and recovery assets. These items decreased the quarter’s “Net Income attributable to Waste Management, Inc.” by $14 million, or $0.03 per diluted share.</w:t>
      </w:r>
    </w:p>
    <w:p>
      <w:pPr>
        <w:spacing w:after="0" w:line="31" w:lineRule="exact"/>
        <w:rPr>
          <w:rFonts w:ascii="Arial" w:cs="Arial" w:eastAsia="Arial" w:hAnsi="Arial"/>
          <w:sz w:val="16"/>
          <w:szCs w:val="16"/>
          <w:color w:val="auto"/>
        </w:rPr>
      </w:pPr>
    </w:p>
    <w:p>
      <w:pPr>
        <w:ind w:left="700" w:right="140" w:hanging="246"/>
        <w:spacing w:after="0" w:line="259" w:lineRule="auto"/>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“Provision for income taxes” for the quarter was increased by the recognition of net tax charges of $4 million due to adjustments relating to the finalization of our 2009 tax returns, partially offset by favorable tax audit settlements, which, combined, had a negative impact of $0.01 on our diluted earnings per share.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Fourth Quarter 2010</w:t>
      </w:r>
    </w:p>
    <w:p>
      <w:pPr>
        <w:spacing w:after="0" w:line="90" w:lineRule="exact"/>
        <w:rPr>
          <w:sz w:val="20"/>
          <w:szCs w:val="20"/>
          <w:color w:val="auto"/>
        </w:rPr>
      </w:pPr>
    </w:p>
    <w:p>
      <w:pPr>
        <w:ind w:left="700" w:right="200" w:hanging="246"/>
        <w:spacing w:after="0" w:line="294" w:lineRule="auto"/>
        <w:tabs>
          <w:tab w:leader="none" w:pos="7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Income from operations was positively affected by (i) a $23 million decrease to “Depreciation and amortization” expense for adjustments associated with changes in our expectations for the timing and cost of future final capping, closure and post-closure of fully utilized airspace; and (ii) the recognition of a $12 million favorable adjustment to “Operating” expenses due to an increase from 2.5% to 3.5% in the discount rate used to estimate the present value of our environmental remediation obligations and recovery assets. These items increased the quarter’s “Net Income attributable to Waste Management, Inc.” by $22 million, or $0.05 per diluted share.</w:t>
      </w:r>
    </w:p>
    <w:p>
      <w:pPr>
        <w:spacing w:after="0" w:line="34" w:lineRule="exact"/>
        <w:rPr>
          <w:rFonts w:ascii="Arial" w:cs="Arial" w:eastAsia="Arial" w:hAnsi="Arial"/>
          <w:sz w:val="16"/>
          <w:szCs w:val="16"/>
          <w:color w:val="auto"/>
        </w:rPr>
      </w:pPr>
    </w:p>
    <w:p>
      <w:pPr>
        <w:ind w:left="700" w:right="340" w:hanging="246"/>
        <w:spacing w:after="0" w:line="268" w:lineRule="auto"/>
        <w:tabs>
          <w:tab w:leader="none" w:pos="7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Income from operations was negatively affected by the recognition of pre-tax litigation charges of $31 million, which had an unfavorable impact of $0.04 on our diluted earnings per share.</w:t>
      </w:r>
    </w:p>
    <w:p>
      <w:pPr>
        <w:spacing w:after="0" w:line="50" w:lineRule="exact"/>
        <w:rPr>
          <w:rFonts w:ascii="Arial" w:cs="Arial" w:eastAsia="Arial" w:hAnsi="Arial"/>
          <w:sz w:val="18"/>
          <w:szCs w:val="18"/>
          <w:color w:val="auto"/>
        </w:rPr>
      </w:pPr>
    </w:p>
    <w:p>
      <w:pPr>
        <w:ind w:left="700" w:right="200" w:hanging="246"/>
        <w:spacing w:after="0" w:line="259" w:lineRule="auto"/>
        <w:tabs>
          <w:tab w:leader="none" w:pos="7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Our “Provision for income taxes” for the quarter was reduced by $9 million as a result of (i) the recognition of a benefit of $6 million due to tax audit settlements; and (ii) the realization of state net operating loss and credit carry-forwards of $3 million. This decrease in taxes positively affected the quarter’s diluted earnings per common share by $0.02.</w:t>
      </w:r>
    </w:p>
    <w:p>
      <w:pPr>
        <w:spacing w:after="0" w:line="215" w:lineRule="exact"/>
        <w:rPr>
          <w:rFonts w:ascii="Arial" w:cs="Arial" w:eastAsia="Arial" w:hAnsi="Arial"/>
          <w:sz w:val="18"/>
          <w:szCs w:val="18"/>
          <w:color w:val="auto"/>
        </w:rPr>
      </w:pPr>
    </w:p>
    <w:p>
      <w:pPr>
        <w:ind w:left="320" w:hanging="312"/>
        <w:spacing w:after="0"/>
        <w:tabs>
          <w:tab w:leader="none" w:pos="3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9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WM Holdings has fully and unconditionally guaranteed all of WM’s senior indebtedness. WM has fully and unconditionally guaranteed all of</w:t>
      </w:r>
    </w:p>
    <w:p>
      <w:pPr>
        <w:spacing w:after="0" w:line="3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WM</w:t>
            </w:r>
          </w:p>
        </w:tc>
        <w:tc>
          <w:tcPr>
            <w:tcW w:w="6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4"/>
              </w:rPr>
              <w:t>Subsidiaries</w:t>
            </w:r>
          </w:p>
        </w:tc>
        <w:tc>
          <w:tcPr>
            <w:tcW w:w="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12,242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affiliates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12,006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14,905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(29,947)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7,816</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12,251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14,917</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25,348</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(29,947)</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960" w:type="dxa"/>
            <w:vAlign w:val="bottom"/>
          </w:tcPr>
          <w:p>
            <w:pPr>
              <w:spacing w:after="0"/>
              <w:rPr>
                <w:sz w:val="24"/>
                <w:szCs w:val="24"/>
                <w:color w:val="auto"/>
              </w:rPr>
            </w:pPr>
          </w:p>
        </w:tc>
        <w:tc>
          <w:tcPr>
            <w:tcW w:w="2900" w:type="dxa"/>
            <w:vAlign w:val="bottom"/>
            <w:gridSpan w:val="6"/>
          </w:tcPr>
          <w:p>
            <w:pPr>
              <w:jc w:val="right"/>
              <w:ind w:right="53"/>
              <w:spacing w:after="0"/>
              <w:rPr>
                <w:sz w:val="20"/>
                <w:szCs w:val="20"/>
                <w:color w:val="auto"/>
              </w:rPr>
            </w:pPr>
            <w:r>
              <w:rPr>
                <w:rFonts w:ascii="Arial" w:cs="Arial" w:eastAsia="Arial" w:hAnsi="Arial"/>
                <w:sz w:val="18"/>
                <w:szCs w:val="18"/>
                <w:b w:val="1"/>
                <w:bCs w:val="1"/>
                <w:color w:val="auto"/>
              </w:rPr>
              <w:t>LIABILITIES AND EQUITY</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298</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333</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422</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2,633</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Equity: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14,455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(29,947)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14,455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(29,947)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440"/>
              <w:spacing w:after="0"/>
              <w:rPr>
                <w:sz w:val="20"/>
                <w:szCs w:val="20"/>
                <w:color w:val="auto"/>
              </w:rPr>
            </w:pPr>
            <w:r>
              <w:rPr>
                <w:rFonts w:ascii="Arial" w:cs="Arial" w:eastAsia="Arial" w:hAnsi="Arial"/>
                <w:sz w:val="18"/>
                <w:szCs w:val="18"/>
                <w:color w:val="auto"/>
              </w:rPr>
              <w:t>Total liabilities and equity</w:t>
            </w:r>
          </w:p>
        </w:tc>
        <w:tc>
          <w:tcPr>
            <w:tcW w:w="10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12,251</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14,917</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25,348</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(29,947)</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22,569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WM</w:t>
            </w:r>
          </w:p>
        </w:tc>
        <w:tc>
          <w:tcPr>
            <w:tcW w:w="6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4"/>
              </w:rPr>
              <w:t>Subsidiaries</w:t>
            </w:r>
          </w:p>
        </w:tc>
        <w:tc>
          <w:tcPr>
            <w:tcW w:w="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11,868</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affiliates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10,757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13,885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(27,612)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7,023</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11,317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13,898</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23,873</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(27,612)</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960" w:type="dxa"/>
            <w:vAlign w:val="bottom"/>
          </w:tcPr>
          <w:p>
            <w:pPr>
              <w:spacing w:after="0"/>
              <w:rPr>
                <w:sz w:val="24"/>
                <w:szCs w:val="24"/>
                <w:color w:val="auto"/>
              </w:rPr>
            </w:pPr>
          </w:p>
        </w:tc>
        <w:tc>
          <w:tcPr>
            <w:tcW w:w="2900" w:type="dxa"/>
            <w:vAlign w:val="bottom"/>
            <w:gridSpan w:val="6"/>
          </w:tcPr>
          <w:p>
            <w:pPr>
              <w:jc w:val="right"/>
              <w:ind w:right="53"/>
              <w:spacing w:after="0"/>
              <w:rPr>
                <w:sz w:val="20"/>
                <w:szCs w:val="20"/>
                <w:color w:val="auto"/>
              </w:rPr>
            </w:pPr>
            <w:r>
              <w:rPr>
                <w:rFonts w:ascii="Arial" w:cs="Arial" w:eastAsia="Arial" w:hAnsi="Arial"/>
                <w:sz w:val="18"/>
                <w:szCs w:val="18"/>
                <w:b w:val="1"/>
                <w:bCs w:val="1"/>
                <w:color w:val="auto"/>
              </w:rPr>
              <w:t>LIABILITIES AND EQUITY</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232</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2,374</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3,713</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Equity: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13,284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(27,612)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13,284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(27,612)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440"/>
              <w:spacing w:after="0"/>
              <w:rPr>
                <w:sz w:val="20"/>
                <w:szCs w:val="20"/>
                <w:color w:val="auto"/>
              </w:rPr>
            </w:pPr>
            <w:r>
              <w:rPr>
                <w:rFonts w:ascii="Arial" w:cs="Arial" w:eastAsia="Arial" w:hAnsi="Arial"/>
                <w:sz w:val="18"/>
                <w:szCs w:val="18"/>
                <w:color w:val="auto"/>
              </w:rPr>
              <w:t>Total liabilities and equity</w:t>
            </w:r>
          </w:p>
        </w:tc>
        <w:tc>
          <w:tcPr>
            <w:tcW w:w="10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11,317</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13,898</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23,873</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(27,612)</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21,476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WM</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2011</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13,378</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11,350</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Interest income (expense)</w:t>
            </w: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1,188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(2,356)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Equity in net losses of unconsolidated entities and other, net</w:t>
            </w: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(2,356)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826</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1,155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(2,356)</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961</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1,168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(2,356)</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961</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1,168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1,188</w:t>
            </w:r>
          </w:p>
        </w:tc>
        <w:tc>
          <w:tcPr>
            <w:tcW w:w="36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(2,356)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12,515</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10,399</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Interest income (expense)</w:t>
            </w: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(2,321)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Equity in net losses of unconsolidated entities and other, net</w:t>
            </w: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(2,321)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825</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1,134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(2,321)</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953</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1,149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(2,321)</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953</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1,149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1,172</w:t>
            </w:r>
          </w:p>
        </w:tc>
        <w:tc>
          <w:tcPr>
            <w:tcW w:w="36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(2,321)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WM</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2009</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11,791</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Interest income (expense)</w:t>
            </w: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1,182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(2,339)</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Equity in net losses of unconsolidated entities and other, net</w:t>
            </w: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1,141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(2,339)</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889</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1,141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(2,339)</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994</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1,157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(2,339)</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994</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1,157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1,182</w:t>
            </w:r>
          </w:p>
        </w:tc>
        <w:tc>
          <w:tcPr>
            <w:tcW w:w="36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(2,339)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WM</w:t>
            </w:r>
          </w:p>
        </w:tc>
        <w:tc>
          <w:tcPr>
            <w:tcW w:w="6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4"/>
              </w:rPr>
              <w:t>Subsidiaries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2011</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 net income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1,168</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1,236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(2,356)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(1,168)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(1,188)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2,356</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adjustments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1,451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2,687</w:t>
            </w:r>
          </w:p>
        </w:tc>
        <w:tc>
          <w:tcPr>
            <w:tcW w:w="200" w:type="dxa"/>
            <w:vAlign w:val="bottom"/>
          </w:tcPr>
          <w:p>
            <w:pPr>
              <w:spacing w:after="0"/>
              <w:rPr>
                <w:sz w:val="20"/>
                <w:szCs w:val="20"/>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(1,324)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Proceeds from divestitures of businesses (net of cash</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divested) and other sales of assets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receipts from restricted trust and escrow accounts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other, net</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(2,180)</w:t>
            </w:r>
          </w:p>
        </w:tc>
        <w:tc>
          <w:tcPr>
            <w:tcW w:w="200" w:type="dxa"/>
            <w:vAlign w:val="bottom"/>
          </w:tcPr>
          <w:p>
            <w:pPr>
              <w:spacing w:after="0"/>
              <w:rPr>
                <w:sz w:val="20"/>
                <w:szCs w:val="20"/>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1,043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(575)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w w:val="93"/>
              </w:rPr>
              <w:t>(Increase) decrease in intercompany and investments,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5"/>
        </w:trPr>
        <w:tc>
          <w:tcPr>
            <w:tcW w:w="45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w:t>
            </w: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18"/>
                <w:szCs w:val="18"/>
                <w:color w:val="auto"/>
                <w:w w:val="86"/>
              </w:rPr>
              <w:t>140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WM</w:t>
            </w:r>
          </w:p>
        </w:tc>
        <w:tc>
          <w:tcPr>
            <w:tcW w:w="6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4"/>
              </w:rPr>
              <w:t>Subsidiaries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2010</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 net income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1,149</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1,221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(2,321)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(1,149)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(1,172)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2,321</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adjustments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1,232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2,453</w:t>
            </w:r>
          </w:p>
        </w:tc>
        <w:tc>
          <w:tcPr>
            <w:tcW w:w="200" w:type="dxa"/>
            <w:vAlign w:val="bottom"/>
          </w:tcPr>
          <w:p>
            <w:pPr>
              <w:spacing w:after="0"/>
              <w:rPr>
                <w:sz w:val="20"/>
                <w:szCs w:val="20"/>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(407)</w:t>
            </w:r>
          </w:p>
        </w:tc>
        <w:tc>
          <w:tcPr>
            <w:tcW w:w="2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Proceeds from divestitures of businesses (net of cash</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divested) and other sales of assets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receipts from restricted trust and escrow accounts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other, net</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20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(1,601)</w:t>
            </w:r>
          </w:p>
        </w:tc>
        <w:tc>
          <w:tcPr>
            <w:tcW w:w="200" w:type="dxa"/>
            <w:vAlign w:val="bottom"/>
          </w:tcPr>
          <w:p>
            <w:pPr>
              <w:spacing w:after="0"/>
              <w:rPr>
                <w:sz w:val="20"/>
                <w:szCs w:val="20"/>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w w:val="93"/>
              </w:rPr>
              <w:t>(Increase) decrease in intercompany and investments,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5"/>
        </w:trPr>
        <w:tc>
          <w:tcPr>
            <w:tcW w:w="45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w:t>
            </w: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1,093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18"/>
                <w:szCs w:val="18"/>
                <w:color w:val="auto"/>
                <w:w w:val="86"/>
              </w:rPr>
              <w:t>141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WM</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2009</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1,157</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(1,157)</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(1,182)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2,339</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adjustments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w w:val="97"/>
              </w:rPr>
              <w:t>Proceeds from divestitures of businesses (net of cash divested)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and other sales of assets</w:t>
            </w:r>
          </w:p>
        </w:tc>
        <w:tc>
          <w:tcPr>
            <w:tcW w:w="10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9"/>
              </w:rPr>
              <w:t>Net receipts from restricted trust and escrow accounts and other,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w:t>
            </w: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20"/>
                <w:szCs w:val="20"/>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(1,250)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1,385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1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(1,005)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New Accounting Pronouncements</w:t>
      </w:r>
    </w:p>
    <w:p>
      <w:pPr>
        <w:spacing w:after="0" w:line="96"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i w:val="1"/>
          <w:iCs w:val="1"/>
          <w:color w:val="auto"/>
        </w:rPr>
        <w:t xml:space="preserve">Fair Value Measurements </w:t>
      </w:r>
      <w:r>
        <w:rPr>
          <w:rFonts w:ascii="Arial" w:cs="Arial" w:eastAsia="Arial" w:hAnsi="Arial"/>
          <w:sz w:val="15"/>
          <w:szCs w:val="15"/>
          <w:color w:val="auto"/>
        </w:rPr>
        <w:t>— In May 2011, the FASB amended authoritative guidance associated with fair value measurements. This amended guidance</w:t>
      </w:r>
      <w:r>
        <w:rPr>
          <w:rFonts w:ascii="Arial" w:cs="Arial" w:eastAsia="Arial" w:hAnsi="Arial"/>
          <w:sz w:val="15"/>
          <w:szCs w:val="15"/>
          <w:i w:val="1"/>
          <w:iCs w:val="1"/>
          <w:color w:val="auto"/>
        </w:rPr>
        <w:t xml:space="preserve"> </w:t>
      </w:r>
      <w:r>
        <w:rPr>
          <w:rFonts w:ascii="Arial" w:cs="Arial" w:eastAsia="Arial" w:hAnsi="Arial"/>
          <w:sz w:val="15"/>
          <w:szCs w:val="15"/>
          <w:color w:val="auto"/>
        </w:rPr>
        <w:t>defines certain requirements for measuring fair value and for disclosing information about fair value measurements in accordance with U.S. generally accepted accounting principles. The amendments to authoritative guidance associated with fair value measurements were effective for the Company on January 1, 2012 and are to be applied prospectively. We do not expect that the adoption of this guidance will have a material impact on our consolidated financial statements.</w:t>
      </w:r>
    </w:p>
    <w:p>
      <w:pPr>
        <w:spacing w:after="0" w:line="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24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2011 (the end of the period covered by this Annual Report on Form 10-K).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Management’s report on our internal control over financial reporting can be found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of this report. Ernst &amp; Young LLP, an independent registered public accounting firm, has audited the effectiveness of our internal control over financial reporting as of December 31, 2011 as stated in their report, which appears in Item 8 of this report.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Management, together with our principal executive and financial officers, evaluated the changes in our internal control over financial reporting during the quarter ended December 31, 2011. We determined that there were no changes in our internal control over financial reporting during the quarter ended December 31, 2011 that have materially affected, or are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information required by this Item is incorporated by reference to the sections entitled “Board of Directors,” “Section 16(a) Beneficial Ownership Reporting Compliance,” and “Executive Officers,” in the Company’s definitive Proxy Statement for its 2012 Annual Meeting of Stockholders (the “Proxy Statement”), to be held May 10, 2012. The Proxy Statement will be filed with the SEC within 120 days of the end of our fiscal year.</w:t>
      </w:r>
    </w:p>
    <w:p>
      <w:pPr>
        <w:spacing w:after="0" w:line="2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adopted a code of ethics that applies to our CEO, principal financial officer and Chief Accounting Officer, as well as other officers, directors and employees of the Company. The code of ethics, entitled “Code of Conduct,” is posted on our website at http://www.wm.com under the section “Corporate Governance” within the “Investor Relations” tab.</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20"/>
          </w:cols>
          <w:pgMar w:left="240" w:top="460"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The information required by this Item is incorporated herein by reference to the sections entitled “Board of Directors — Non-Employee Director Compensation,” “— Compensation Committee Report,” “— Compensation Committee Interlocks and Insider Participation,” “Executive Compensation — Compensation Discussion and Analysis” and “— Executive Compensation Tables” in the Proxy Statement.</w:t>
      </w:r>
    </w:p>
    <w:p>
      <w:pPr>
        <w:spacing w:after="0" w:line="1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information required by this Item is incorporated herein by reference to the sections entitled “Equity Compensation Plan Table,” “Director Nominee and Officer Stock Ownership,” and “Persons Owning More than 5% of Waste Management Common Stock” in the Proxy Statement.</w:t>
      </w:r>
    </w:p>
    <w:p>
      <w:pPr>
        <w:spacing w:after="0" w:line="1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Related Party Transactions” and “— Independence of Board Members” in the Proxy Statement.</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 entitled “Ratification of Independent Registered Public Accounting Firm — Independent Registered Public Accounting Firm Fee Information” in the Proxy Statement.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(1) Consolidated Financial Statements: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Balance Sheets as of December 31, 2011 and 2010</w:t>
      </w:r>
    </w:p>
    <w:p>
      <w:pPr>
        <w:spacing w:after="0" w:line="9" w:lineRule="exact"/>
        <w:rPr>
          <w:sz w:val="20"/>
          <w:szCs w:val="20"/>
          <w:color w:val="auto"/>
        </w:rPr>
      </w:pPr>
    </w:p>
    <w:p>
      <w:pPr>
        <w:ind w:left="440" w:right="3760"/>
        <w:spacing w:after="0" w:line="254" w:lineRule="auto"/>
        <w:rPr>
          <w:sz w:val="20"/>
          <w:szCs w:val="20"/>
          <w:color w:val="auto"/>
        </w:rPr>
      </w:pPr>
      <w:r>
        <w:rPr>
          <w:rFonts w:ascii="Arial" w:cs="Arial" w:eastAsia="Arial" w:hAnsi="Arial"/>
          <w:sz w:val="18"/>
          <w:szCs w:val="18"/>
          <w:color w:val="auto"/>
        </w:rPr>
        <w:t>Consolidated Statements of Operations for the years ended December 31, 2011, 2010 and 2009 Consolidated Statements of Cash Flows for the years ended December 31, 2011, 2010 and 2009 Consolidated Statements of Changes in Equity for the years ended December 31, 2011, 2010 and 2009 Notes to Consolidated Financial Statements</w:t>
      </w:r>
    </w:p>
    <w:p>
      <w:pPr>
        <w:spacing w:after="0" w:line="63" w:lineRule="exact"/>
        <w:rPr>
          <w:sz w:val="20"/>
          <w:szCs w:val="20"/>
          <w:color w:val="auto"/>
        </w:rPr>
      </w:pPr>
    </w:p>
    <w:p>
      <w:pPr>
        <w:ind w:left="460" w:right="7200" w:firstLine="4"/>
        <w:spacing w:after="0" w:line="387" w:lineRule="auto"/>
        <w:tabs>
          <w:tab w:leader="none" w:pos="69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(2) </w:t>
      </w:r>
      <w:r>
        <w:rPr>
          <w:rFonts w:ascii="Arial" w:cs="Arial" w:eastAsia="Arial" w:hAnsi="Arial"/>
          <w:sz w:val="16"/>
          <w:szCs w:val="16"/>
          <w:i w:val="1"/>
          <w:iCs w:val="1"/>
          <w:color w:val="auto"/>
        </w:rPr>
        <w:t>Consolidated Financial Statement Schedules:</w:t>
      </w:r>
      <w:r>
        <w:rPr>
          <w:rFonts w:ascii="Arial" w:cs="Arial" w:eastAsia="Arial" w:hAnsi="Arial"/>
          <w:sz w:val="16"/>
          <w:szCs w:val="16"/>
          <w:color w:val="auto"/>
        </w:rPr>
        <w:t xml:space="preserve"> Schedule II — Valuation and Qualifying Accounts</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other schedules have been omitted because the required information is not significant or is included in the financial statements or notes thereto, or is not applicable.</w:t>
      </w:r>
    </w:p>
    <w:p>
      <w:pPr>
        <w:spacing w:after="0" w:line="132" w:lineRule="exact"/>
        <w:rPr>
          <w:sz w:val="20"/>
          <w:szCs w:val="20"/>
          <w:color w:val="auto"/>
        </w:rPr>
      </w:pPr>
    </w:p>
    <w:p>
      <w:pPr>
        <w:ind w:left="760" w:hanging="296"/>
        <w:spacing w:after="0"/>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 required by this Item is incorporated by reference to the Exhibit Index filed as part of this report.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  DAVID P. STEINER</w:t>
            </w:r>
          </w:p>
        </w:tc>
      </w:tr>
      <w:tr>
        <w:trPr>
          <w:trHeight w:val="202"/>
        </w:trPr>
        <w:tc>
          <w:tcPr>
            <w:tcW w:w="280" w:type="dxa"/>
            <w:vAlign w:val="bottom"/>
          </w:tcPr>
          <w:p>
            <w:pPr>
              <w:spacing w:after="0"/>
              <w:rPr>
                <w:sz w:val="17"/>
                <w:szCs w:val="17"/>
                <w:color w:val="auto"/>
              </w:rPr>
            </w:pPr>
          </w:p>
        </w:tc>
        <w:tc>
          <w:tcPr>
            <w:tcW w:w="428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7"/>
              </w:rPr>
              <w:t>David P. Steiner</w:t>
            </w:r>
          </w:p>
        </w:tc>
      </w:tr>
      <w:tr>
        <w:trPr>
          <w:trHeight w:val="222"/>
        </w:trPr>
        <w:tc>
          <w:tcPr>
            <w:tcW w:w="280" w:type="dxa"/>
            <w:vAlign w:val="bottom"/>
          </w:tcPr>
          <w:p>
            <w:pPr>
              <w:spacing w:after="0"/>
              <w:rPr>
                <w:sz w:val="19"/>
                <w:szCs w:val="19"/>
                <w:color w:val="auto"/>
              </w:rPr>
            </w:pPr>
          </w:p>
        </w:tc>
        <w:tc>
          <w:tcPr>
            <w:tcW w:w="4280" w:type="dxa"/>
            <w:vAlign w:val="bottom"/>
          </w:tcPr>
          <w:p>
            <w:pPr>
              <w:jc w:val="center"/>
              <w:ind w:left="12"/>
              <w:spacing w:after="0"/>
              <w:rPr>
                <w:sz w:val="20"/>
                <w:szCs w:val="20"/>
                <w:color w:val="auto"/>
              </w:rPr>
            </w:pPr>
            <w:r>
              <w:rPr>
                <w:rFonts w:ascii="Arial" w:cs="Arial" w:eastAsia="Arial" w:hAnsi="Arial"/>
                <w:sz w:val="18"/>
                <w:szCs w:val="18"/>
                <w:i w:val="1"/>
                <w:iCs w:val="1"/>
                <w:color w:val="auto"/>
                <w:w w:val="89"/>
              </w:rPr>
              <w:t>President, Chief Executive Officer and Director</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2012</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w w:val="73"/>
              </w:rPr>
              <w:t>/s/</w:t>
            </w:r>
          </w:p>
        </w:tc>
        <w:tc>
          <w:tcPr>
            <w:tcW w:w="4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DAVID P.</w:t>
            </w: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STEINER</w:t>
            </w:r>
          </w:p>
        </w:tc>
        <w:tc>
          <w:tcPr>
            <w:tcW w:w="5040" w:type="dxa"/>
            <w:vAlign w:val="bottom"/>
            <w:gridSpan w:val="3"/>
          </w:tcPr>
          <w:p>
            <w:pPr>
              <w:jc w:val="center"/>
              <w:ind w:left="232"/>
              <w:spacing w:after="0"/>
              <w:rPr>
                <w:sz w:val="20"/>
                <w:szCs w:val="20"/>
                <w:color w:val="auto"/>
              </w:rPr>
            </w:pPr>
            <w:r>
              <w:rPr>
                <w:rFonts w:ascii="Arial" w:cs="Arial" w:eastAsia="Arial" w:hAnsi="Arial"/>
                <w:sz w:val="18"/>
                <w:szCs w:val="18"/>
                <w:color w:val="auto"/>
                <w:w w:val="90"/>
              </w:rPr>
              <w:t>President, Chief Executive Officer and Director</w:t>
            </w:r>
          </w:p>
        </w:tc>
        <w:tc>
          <w:tcPr>
            <w:tcW w:w="188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February 16, 2012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3"/>
          </w:tcPr>
          <w:p>
            <w:pPr>
              <w:jc w:val="center"/>
              <w:ind w:right="1292"/>
              <w:spacing w:after="0"/>
              <w:rPr>
                <w:sz w:val="20"/>
                <w:szCs w:val="20"/>
                <w:color w:val="auto"/>
              </w:rPr>
            </w:pPr>
            <w:r>
              <w:rPr>
                <w:rFonts w:ascii="Arial" w:cs="Arial" w:eastAsia="Arial" w:hAnsi="Arial"/>
                <w:sz w:val="18"/>
                <w:szCs w:val="18"/>
                <w:color w:val="auto"/>
                <w:w w:val="86"/>
              </w:rPr>
              <w:t>David P. Steiner</w:t>
            </w:r>
          </w:p>
        </w:tc>
        <w:tc>
          <w:tcPr>
            <w:tcW w:w="5040" w:type="dxa"/>
            <w:vAlign w:val="bottom"/>
            <w:gridSpan w:val="3"/>
          </w:tcPr>
          <w:p>
            <w:pPr>
              <w:jc w:val="center"/>
              <w:ind w:left="232"/>
              <w:spacing w:after="0" w:line="202" w:lineRule="exact"/>
              <w:rPr>
                <w:sz w:val="20"/>
                <w:szCs w:val="20"/>
                <w:color w:val="auto"/>
              </w:rPr>
            </w:pPr>
            <w:r>
              <w:rPr>
                <w:rFonts w:ascii="Arial" w:cs="Arial" w:eastAsia="Arial" w:hAnsi="Arial"/>
                <w:sz w:val="18"/>
                <w:szCs w:val="18"/>
                <w:color w:val="auto"/>
                <w:w w:val="91"/>
              </w:rPr>
              <w:t>(Principal Executive Officer)</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380" w:type="dxa"/>
            <w:vAlign w:val="bottom"/>
            <w:gridSpan w:val="2"/>
          </w:tcPr>
          <w:p>
            <w:pPr>
              <w:ind w:left="1100"/>
              <w:spacing w:after="0"/>
              <w:rPr>
                <w:sz w:val="20"/>
                <w:szCs w:val="20"/>
                <w:color w:val="auto"/>
              </w:rPr>
            </w:pPr>
            <w:r>
              <w:rPr>
                <w:rFonts w:ascii="Arial" w:cs="Arial" w:eastAsia="Arial" w:hAnsi="Arial"/>
                <w:sz w:val="18"/>
                <w:szCs w:val="18"/>
                <w:color w:val="auto"/>
              </w:rPr>
              <w:t>/s/</w:t>
            </w:r>
          </w:p>
        </w:tc>
        <w:tc>
          <w:tcPr>
            <w:tcW w:w="2860" w:type="dxa"/>
            <w:vAlign w:val="bottom"/>
            <w:gridSpan w:val="3"/>
          </w:tcPr>
          <w:p>
            <w:pPr>
              <w:jc w:val="center"/>
              <w:ind w:right="952"/>
              <w:spacing w:after="0"/>
              <w:rPr>
                <w:sz w:val="20"/>
                <w:szCs w:val="20"/>
                <w:color w:val="auto"/>
              </w:rPr>
            </w:pPr>
            <w:r>
              <w:rPr>
                <w:rFonts w:ascii="Arial" w:cs="Arial" w:eastAsia="Arial" w:hAnsi="Arial"/>
                <w:sz w:val="18"/>
                <w:szCs w:val="18"/>
                <w:color w:val="auto"/>
                <w:w w:val="90"/>
              </w:rPr>
              <w:t>STEVEN C. PRESTON</w:t>
            </w:r>
          </w:p>
        </w:tc>
        <w:tc>
          <w:tcPr>
            <w:tcW w:w="5040" w:type="dxa"/>
            <w:vAlign w:val="bottom"/>
            <w:gridSpan w:val="3"/>
          </w:tcPr>
          <w:p>
            <w:pPr>
              <w:jc w:val="center"/>
              <w:ind w:left="232"/>
              <w:spacing w:after="0"/>
              <w:rPr>
                <w:sz w:val="20"/>
                <w:szCs w:val="20"/>
                <w:color w:val="auto"/>
              </w:rPr>
            </w:pPr>
            <w:r>
              <w:rPr>
                <w:rFonts w:ascii="Arial" w:cs="Arial" w:eastAsia="Arial" w:hAnsi="Arial"/>
                <w:sz w:val="18"/>
                <w:szCs w:val="18"/>
                <w:color w:val="auto"/>
                <w:w w:val="89"/>
              </w:rPr>
              <w:t>Executive Vice President — Finance, Recycling &amp;</w:t>
            </w:r>
          </w:p>
        </w:tc>
        <w:tc>
          <w:tcPr>
            <w:tcW w:w="1880" w:type="dxa"/>
            <w:vAlign w:val="bottom"/>
            <w:gridSpan w:val="3"/>
            <w:vMerge w:val="restart"/>
          </w:tcPr>
          <w:p>
            <w:pPr>
              <w:jc w:val="center"/>
              <w:ind w:left="492"/>
              <w:spacing w:after="0"/>
              <w:rPr>
                <w:sz w:val="20"/>
                <w:szCs w:val="20"/>
                <w:color w:val="auto"/>
              </w:rPr>
            </w:pPr>
            <w:r>
              <w:rPr>
                <w:rFonts w:ascii="Arial" w:cs="Arial" w:eastAsia="Arial" w:hAnsi="Arial"/>
                <w:sz w:val="18"/>
                <w:szCs w:val="18"/>
                <w:color w:val="auto"/>
                <w:w w:val="88"/>
              </w:rPr>
              <w:t>February 16, 2012</w:t>
            </w:r>
          </w:p>
        </w:tc>
        <w:tc>
          <w:tcPr>
            <w:tcW w:w="0" w:type="dxa"/>
            <w:vAlign w:val="bottom"/>
          </w:tcPr>
          <w:p>
            <w:pPr>
              <w:spacing w:after="0"/>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5040" w:type="dxa"/>
            <w:vAlign w:val="bottom"/>
            <w:gridSpan w:val="3"/>
            <w:vMerge w:val="restart"/>
          </w:tcPr>
          <w:p>
            <w:pPr>
              <w:jc w:val="center"/>
              <w:ind w:left="252"/>
              <w:spacing w:after="0"/>
              <w:rPr>
                <w:sz w:val="20"/>
                <w:szCs w:val="20"/>
                <w:color w:val="auto"/>
              </w:rPr>
            </w:pPr>
            <w:r>
              <w:rPr>
                <w:rFonts w:ascii="Arial" w:cs="Arial" w:eastAsia="Arial" w:hAnsi="Arial"/>
                <w:sz w:val="18"/>
                <w:szCs w:val="18"/>
                <w:color w:val="auto"/>
                <w:w w:val="86"/>
              </w:rPr>
              <w:t>Energy Services</w:t>
            </w:r>
          </w:p>
        </w:tc>
        <w:tc>
          <w:tcPr>
            <w:tcW w:w="1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60" w:type="dxa"/>
            <w:vAlign w:val="bottom"/>
            <w:gridSpan w:val="3"/>
            <w:vMerge w:val="restart"/>
          </w:tcPr>
          <w:p>
            <w:pPr>
              <w:jc w:val="center"/>
              <w:ind w:right="1292"/>
              <w:spacing w:after="0"/>
              <w:rPr>
                <w:sz w:val="20"/>
                <w:szCs w:val="20"/>
                <w:color w:val="auto"/>
              </w:rPr>
            </w:pPr>
            <w:r>
              <w:rPr>
                <w:rFonts w:ascii="Arial" w:cs="Arial" w:eastAsia="Arial" w:hAnsi="Arial"/>
                <w:sz w:val="18"/>
                <w:szCs w:val="18"/>
                <w:color w:val="auto"/>
                <w:w w:val="84"/>
              </w:rPr>
              <w:t>Steven C. Preston</w:t>
            </w:r>
          </w:p>
        </w:tc>
        <w:tc>
          <w:tcPr>
            <w:tcW w:w="5040" w:type="dxa"/>
            <w:vAlign w:val="bottom"/>
            <w:gridSpan w:val="3"/>
            <w:vMerge w:val="continue"/>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60" w:type="dxa"/>
            <w:vAlign w:val="bottom"/>
            <w:gridSpan w:val="3"/>
            <w:vMerge w:val="continue"/>
          </w:tcPr>
          <w:p>
            <w:pPr>
              <w:spacing w:after="0"/>
              <w:rPr>
                <w:sz w:val="10"/>
                <w:szCs w:val="10"/>
                <w:color w:val="auto"/>
              </w:rPr>
            </w:pPr>
          </w:p>
        </w:tc>
        <w:tc>
          <w:tcPr>
            <w:tcW w:w="5040" w:type="dxa"/>
            <w:vAlign w:val="bottom"/>
            <w:gridSpan w:val="3"/>
            <w:vMerge w:val="restart"/>
          </w:tcPr>
          <w:p>
            <w:pPr>
              <w:jc w:val="center"/>
              <w:ind w:left="232"/>
              <w:spacing w:after="0"/>
              <w:rPr>
                <w:sz w:val="20"/>
                <w:szCs w:val="20"/>
                <w:color w:val="auto"/>
              </w:rPr>
            </w:pPr>
            <w:r>
              <w:rPr>
                <w:rFonts w:ascii="Arial" w:cs="Arial" w:eastAsia="Arial" w:hAnsi="Arial"/>
                <w:sz w:val="18"/>
                <w:szCs w:val="18"/>
                <w:color w:val="auto"/>
                <w:w w:val="92"/>
              </w:rPr>
              <w:t>(Principal Financial Officer)</w:t>
            </w: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040" w:type="dxa"/>
            <w:vAlign w:val="bottom"/>
            <w:gridSpan w:val="3"/>
            <w:vMerge w:val="continue"/>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6"/>
        </w:trPr>
        <w:tc>
          <w:tcPr>
            <w:tcW w:w="138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gridSpan w:val="3"/>
          </w:tcPr>
          <w:p>
            <w:pPr>
              <w:jc w:val="center"/>
              <w:ind w:right="952"/>
              <w:spacing w:after="0"/>
              <w:rPr>
                <w:sz w:val="20"/>
                <w:szCs w:val="20"/>
                <w:color w:val="auto"/>
              </w:rPr>
            </w:pPr>
            <w:r>
              <w:rPr>
                <w:rFonts w:ascii="Arial" w:cs="Arial" w:eastAsia="Arial" w:hAnsi="Arial"/>
                <w:sz w:val="18"/>
                <w:szCs w:val="18"/>
                <w:color w:val="auto"/>
                <w:w w:val="91"/>
              </w:rPr>
              <w:t>GREG A. ROBERTSON</w:t>
            </w:r>
          </w:p>
        </w:tc>
        <w:tc>
          <w:tcPr>
            <w:tcW w:w="5040" w:type="dxa"/>
            <w:vAlign w:val="bottom"/>
            <w:gridSpan w:val="3"/>
          </w:tcPr>
          <w:p>
            <w:pPr>
              <w:jc w:val="center"/>
              <w:ind w:left="232"/>
              <w:spacing w:after="0"/>
              <w:rPr>
                <w:sz w:val="20"/>
                <w:szCs w:val="20"/>
                <w:color w:val="auto"/>
              </w:rPr>
            </w:pPr>
            <w:r>
              <w:rPr>
                <w:rFonts w:ascii="Arial" w:cs="Arial" w:eastAsia="Arial" w:hAnsi="Arial"/>
                <w:sz w:val="18"/>
                <w:szCs w:val="18"/>
                <w:color w:val="auto"/>
                <w:w w:val="90"/>
              </w:rPr>
              <w:t>Vice President and Chief Accounting Officer</w:t>
            </w:r>
          </w:p>
        </w:tc>
        <w:tc>
          <w:tcPr>
            <w:tcW w:w="188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February 16, 2012</w:t>
            </w: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3"/>
          </w:tcPr>
          <w:p>
            <w:pPr>
              <w:jc w:val="center"/>
              <w:ind w:right="1292"/>
              <w:spacing w:after="0"/>
              <w:rPr>
                <w:sz w:val="20"/>
                <w:szCs w:val="20"/>
                <w:color w:val="auto"/>
              </w:rPr>
            </w:pPr>
            <w:r>
              <w:rPr>
                <w:rFonts w:ascii="Arial" w:cs="Arial" w:eastAsia="Arial" w:hAnsi="Arial"/>
                <w:sz w:val="18"/>
                <w:szCs w:val="18"/>
                <w:color w:val="auto"/>
                <w:w w:val="87"/>
              </w:rPr>
              <w:t>Greg A. Robertson</w:t>
            </w:r>
          </w:p>
        </w:tc>
        <w:tc>
          <w:tcPr>
            <w:tcW w:w="5040" w:type="dxa"/>
            <w:vAlign w:val="bottom"/>
            <w:gridSpan w:val="3"/>
          </w:tcPr>
          <w:p>
            <w:pPr>
              <w:jc w:val="center"/>
              <w:ind w:left="232"/>
              <w:spacing w:after="0"/>
              <w:rPr>
                <w:sz w:val="20"/>
                <w:szCs w:val="20"/>
                <w:color w:val="auto"/>
              </w:rPr>
            </w:pPr>
            <w:r>
              <w:rPr>
                <w:rFonts w:ascii="Arial" w:cs="Arial" w:eastAsia="Arial" w:hAnsi="Arial"/>
                <w:sz w:val="18"/>
                <w:szCs w:val="18"/>
                <w:color w:val="auto"/>
                <w:w w:val="92"/>
              </w:rPr>
              <w:t>(Principal Accounting Officer)</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BRADBURY H. ANDERSON</w:t>
            </w:r>
          </w:p>
        </w:tc>
        <w:tc>
          <w:tcPr>
            <w:tcW w:w="504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Director</w:t>
            </w:r>
          </w:p>
        </w:tc>
        <w:tc>
          <w:tcPr>
            <w:tcW w:w="188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February 16, 2012</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080" w:type="dxa"/>
            <w:vAlign w:val="bottom"/>
            <w:gridSpan w:val="4"/>
          </w:tcPr>
          <w:p>
            <w:pPr>
              <w:jc w:val="center"/>
              <w:ind w:right="1072"/>
              <w:spacing w:after="0"/>
              <w:rPr>
                <w:sz w:val="20"/>
                <w:szCs w:val="20"/>
                <w:color w:val="auto"/>
              </w:rPr>
            </w:pPr>
            <w:r>
              <w:rPr>
                <w:rFonts w:ascii="Arial" w:cs="Arial" w:eastAsia="Arial" w:hAnsi="Arial"/>
                <w:sz w:val="18"/>
                <w:szCs w:val="18"/>
                <w:color w:val="auto"/>
                <w:w w:val="89"/>
              </w:rPr>
              <w:t>Bradbury H. Anderson</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2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4"/>
              </w:rPr>
              <w:t>/s/  PASTORA SAN JUAN CAFFERTY</w:t>
            </w:r>
          </w:p>
        </w:tc>
        <w:tc>
          <w:tcPr>
            <w:tcW w:w="504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Director</w:t>
            </w:r>
          </w:p>
        </w:tc>
        <w:tc>
          <w:tcPr>
            <w:tcW w:w="188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February 16, 2012</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080" w:type="dxa"/>
            <w:vAlign w:val="bottom"/>
            <w:gridSpan w:val="4"/>
          </w:tcPr>
          <w:p>
            <w:pPr>
              <w:jc w:val="center"/>
              <w:ind w:right="1072"/>
              <w:spacing w:after="0"/>
              <w:rPr>
                <w:sz w:val="20"/>
                <w:szCs w:val="20"/>
                <w:color w:val="auto"/>
              </w:rPr>
            </w:pPr>
            <w:r>
              <w:rPr>
                <w:rFonts w:ascii="Arial" w:cs="Arial" w:eastAsia="Arial" w:hAnsi="Arial"/>
                <w:sz w:val="18"/>
                <w:szCs w:val="18"/>
                <w:color w:val="auto"/>
                <w:w w:val="85"/>
              </w:rPr>
              <w:t>Pastora San Juan Cafferty</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3"/>
              </w:rPr>
              <w:t>/s/</w:t>
            </w:r>
          </w:p>
        </w:tc>
        <w:tc>
          <w:tcPr>
            <w:tcW w:w="2860" w:type="dxa"/>
            <w:vAlign w:val="bottom"/>
            <w:tcBorders>
              <w:bottom w:val="single" w:sz="8" w:color="auto"/>
            </w:tcBorders>
            <w:gridSpan w:val="3"/>
          </w:tcPr>
          <w:p>
            <w:pPr>
              <w:jc w:val="center"/>
              <w:ind w:right="932"/>
              <w:spacing w:after="0"/>
              <w:rPr>
                <w:sz w:val="20"/>
                <w:szCs w:val="20"/>
                <w:color w:val="auto"/>
              </w:rPr>
            </w:pPr>
            <w:r>
              <w:rPr>
                <w:rFonts w:ascii="Arial" w:cs="Arial" w:eastAsia="Arial" w:hAnsi="Arial"/>
                <w:sz w:val="18"/>
                <w:szCs w:val="18"/>
                <w:color w:val="auto"/>
                <w:w w:val="97"/>
              </w:rPr>
              <w:t>FRANK M. CLARK</w:t>
            </w:r>
          </w:p>
        </w:tc>
        <w:tc>
          <w:tcPr>
            <w:tcW w:w="504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Director</w:t>
            </w:r>
          </w:p>
        </w:tc>
        <w:tc>
          <w:tcPr>
            <w:tcW w:w="188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February 16, 2012</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3"/>
          </w:tcPr>
          <w:p>
            <w:pPr>
              <w:jc w:val="center"/>
              <w:ind w:right="1292"/>
              <w:spacing w:after="0"/>
              <w:rPr>
                <w:sz w:val="20"/>
                <w:szCs w:val="20"/>
                <w:color w:val="auto"/>
              </w:rPr>
            </w:pPr>
            <w:r>
              <w:rPr>
                <w:rFonts w:ascii="Arial" w:cs="Arial" w:eastAsia="Arial" w:hAnsi="Arial"/>
                <w:sz w:val="18"/>
                <w:szCs w:val="18"/>
                <w:color w:val="auto"/>
                <w:w w:val="91"/>
              </w:rPr>
              <w:t>Frank M. Clark</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gridSpan w:val="3"/>
          </w:tcPr>
          <w:p>
            <w:pPr>
              <w:jc w:val="center"/>
              <w:ind w:right="932"/>
              <w:spacing w:after="0"/>
              <w:rPr>
                <w:sz w:val="20"/>
                <w:szCs w:val="20"/>
                <w:color w:val="auto"/>
              </w:rPr>
            </w:pPr>
            <w:r>
              <w:rPr>
                <w:rFonts w:ascii="Arial" w:cs="Arial" w:eastAsia="Arial" w:hAnsi="Arial"/>
                <w:sz w:val="18"/>
                <w:szCs w:val="18"/>
                <w:color w:val="auto"/>
                <w:w w:val="89"/>
              </w:rPr>
              <w:t>PATRICK W. GROSS</w:t>
            </w:r>
          </w:p>
        </w:tc>
        <w:tc>
          <w:tcPr>
            <w:tcW w:w="504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Director</w:t>
            </w:r>
          </w:p>
        </w:tc>
        <w:tc>
          <w:tcPr>
            <w:tcW w:w="188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February 16, 2012</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3"/>
          </w:tcPr>
          <w:p>
            <w:pPr>
              <w:jc w:val="center"/>
              <w:ind w:right="1292"/>
              <w:spacing w:after="0"/>
              <w:rPr>
                <w:sz w:val="20"/>
                <w:szCs w:val="20"/>
                <w:color w:val="auto"/>
              </w:rPr>
            </w:pPr>
            <w:r>
              <w:rPr>
                <w:rFonts w:ascii="Arial" w:cs="Arial" w:eastAsia="Arial" w:hAnsi="Arial"/>
                <w:sz w:val="18"/>
                <w:szCs w:val="18"/>
                <w:color w:val="auto"/>
                <w:w w:val="88"/>
              </w:rPr>
              <w:t>Patrick W. Gross</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1292"/>
              <w:spacing w:after="0"/>
              <w:rPr>
                <w:sz w:val="20"/>
                <w:szCs w:val="20"/>
                <w:color w:val="auto"/>
              </w:rPr>
            </w:pPr>
            <w:r>
              <w:rPr>
                <w:rFonts w:ascii="Arial" w:cs="Arial" w:eastAsia="Arial" w:hAnsi="Arial"/>
                <w:sz w:val="18"/>
                <w:szCs w:val="18"/>
                <w:color w:val="auto"/>
                <w:w w:val="94"/>
              </w:rPr>
              <w:t>/s/  JOHN C. POPE</w:t>
            </w:r>
          </w:p>
        </w:tc>
        <w:tc>
          <w:tcPr>
            <w:tcW w:w="504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Director</w:t>
            </w:r>
          </w:p>
        </w:tc>
        <w:tc>
          <w:tcPr>
            <w:tcW w:w="188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February 16, 2012</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3"/>
          </w:tcPr>
          <w:p>
            <w:pPr>
              <w:jc w:val="center"/>
              <w:ind w:right="1292"/>
              <w:spacing w:after="0"/>
              <w:rPr>
                <w:sz w:val="20"/>
                <w:szCs w:val="20"/>
                <w:color w:val="auto"/>
              </w:rPr>
            </w:pPr>
            <w:r>
              <w:rPr>
                <w:rFonts w:ascii="Arial" w:cs="Arial" w:eastAsia="Arial" w:hAnsi="Arial"/>
                <w:sz w:val="18"/>
                <w:szCs w:val="18"/>
                <w:color w:val="auto"/>
                <w:w w:val="84"/>
              </w:rPr>
              <w:t>John C. Pope</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3"/>
              </w:rPr>
              <w:t>/s/</w:t>
            </w:r>
          </w:p>
        </w:tc>
        <w:tc>
          <w:tcPr>
            <w:tcW w:w="2860" w:type="dxa"/>
            <w:vAlign w:val="bottom"/>
            <w:tcBorders>
              <w:bottom w:val="single" w:sz="8" w:color="auto"/>
            </w:tcBorders>
            <w:gridSpan w:val="3"/>
          </w:tcPr>
          <w:p>
            <w:pPr>
              <w:jc w:val="center"/>
              <w:ind w:right="952"/>
              <w:spacing w:after="0"/>
              <w:rPr>
                <w:sz w:val="20"/>
                <w:szCs w:val="20"/>
                <w:color w:val="auto"/>
              </w:rPr>
            </w:pPr>
            <w:r>
              <w:rPr>
                <w:rFonts w:ascii="Arial" w:cs="Arial" w:eastAsia="Arial" w:hAnsi="Arial"/>
                <w:sz w:val="18"/>
                <w:szCs w:val="18"/>
                <w:color w:val="auto"/>
                <w:w w:val="91"/>
              </w:rPr>
              <w:t>W. ROBERT REUM</w:t>
            </w:r>
          </w:p>
        </w:tc>
        <w:tc>
          <w:tcPr>
            <w:tcW w:w="504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Chairman of the Board and Director</w:t>
            </w:r>
          </w:p>
        </w:tc>
        <w:tc>
          <w:tcPr>
            <w:tcW w:w="188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February 16, 2012</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3"/>
          </w:tcPr>
          <w:p>
            <w:pPr>
              <w:jc w:val="center"/>
              <w:ind w:right="1272"/>
              <w:spacing w:after="0"/>
              <w:rPr>
                <w:sz w:val="20"/>
                <w:szCs w:val="20"/>
                <w:color w:val="auto"/>
              </w:rPr>
            </w:pPr>
            <w:r>
              <w:rPr>
                <w:rFonts w:ascii="Arial" w:cs="Arial" w:eastAsia="Arial" w:hAnsi="Arial"/>
                <w:sz w:val="18"/>
                <w:szCs w:val="18"/>
                <w:color w:val="auto"/>
                <w:w w:val="88"/>
              </w:rPr>
              <w:t>W. Robert Reum</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3"/>
              </w:rPr>
              <w:t>/s/</w:t>
            </w:r>
          </w:p>
        </w:tc>
        <w:tc>
          <w:tcPr>
            <w:tcW w:w="3080" w:type="dxa"/>
            <w:vAlign w:val="bottom"/>
            <w:tcBorders>
              <w:bottom w:val="single" w:sz="8" w:color="auto"/>
            </w:tcBorders>
            <w:gridSpan w:val="4"/>
          </w:tcPr>
          <w:p>
            <w:pPr>
              <w:jc w:val="center"/>
              <w:ind w:right="712"/>
              <w:spacing w:after="0"/>
              <w:rPr>
                <w:sz w:val="20"/>
                <w:szCs w:val="20"/>
                <w:color w:val="auto"/>
              </w:rPr>
            </w:pPr>
            <w:r>
              <w:rPr>
                <w:rFonts w:ascii="Arial" w:cs="Arial" w:eastAsia="Arial" w:hAnsi="Arial"/>
                <w:sz w:val="18"/>
                <w:szCs w:val="18"/>
                <w:color w:val="auto"/>
                <w:w w:val="93"/>
              </w:rPr>
              <w:t>STEVEN G. ROTHMEIER</w:t>
            </w:r>
          </w:p>
        </w:tc>
        <w:tc>
          <w:tcPr>
            <w:tcW w:w="504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Director</w:t>
            </w:r>
          </w:p>
        </w:tc>
        <w:tc>
          <w:tcPr>
            <w:tcW w:w="188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February 16, 2012</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3"/>
          </w:tcPr>
          <w:p>
            <w:pPr>
              <w:jc w:val="center"/>
              <w:ind w:right="1292"/>
              <w:spacing w:after="0"/>
              <w:rPr>
                <w:sz w:val="20"/>
                <w:szCs w:val="20"/>
                <w:color w:val="auto"/>
              </w:rPr>
            </w:pPr>
            <w:r>
              <w:rPr>
                <w:rFonts w:ascii="Arial" w:cs="Arial" w:eastAsia="Arial" w:hAnsi="Arial"/>
                <w:sz w:val="18"/>
                <w:szCs w:val="18"/>
                <w:color w:val="auto"/>
                <w:w w:val="88"/>
              </w:rPr>
              <w:t>Steven G. Rothmeier</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4"/>
          </w:tcPr>
          <w:p>
            <w:pPr>
              <w:jc w:val="center"/>
              <w:ind w:right="732"/>
              <w:spacing w:after="0"/>
              <w:rPr>
                <w:sz w:val="20"/>
                <w:szCs w:val="20"/>
                <w:color w:val="auto"/>
              </w:rPr>
            </w:pPr>
            <w:r>
              <w:rPr>
                <w:rFonts w:ascii="Arial" w:cs="Arial" w:eastAsia="Arial" w:hAnsi="Arial"/>
                <w:sz w:val="18"/>
                <w:szCs w:val="18"/>
                <w:color w:val="auto"/>
                <w:w w:val="95"/>
              </w:rPr>
              <w:t>THOMAS H. WEIDEMEYER</w:t>
            </w:r>
          </w:p>
        </w:tc>
        <w:tc>
          <w:tcPr>
            <w:tcW w:w="504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Director</w:t>
            </w:r>
          </w:p>
        </w:tc>
        <w:tc>
          <w:tcPr>
            <w:tcW w:w="188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February 16, 2012</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080" w:type="dxa"/>
            <w:vAlign w:val="bottom"/>
            <w:gridSpan w:val="4"/>
          </w:tcPr>
          <w:p>
            <w:pPr>
              <w:jc w:val="center"/>
              <w:ind w:right="1072"/>
              <w:spacing w:after="0"/>
              <w:rPr>
                <w:sz w:val="20"/>
                <w:szCs w:val="20"/>
                <w:color w:val="auto"/>
              </w:rPr>
            </w:pPr>
            <w:r>
              <w:rPr>
                <w:rFonts w:ascii="Arial" w:cs="Arial" w:eastAsia="Arial" w:hAnsi="Arial"/>
                <w:sz w:val="18"/>
                <w:szCs w:val="18"/>
                <w:color w:val="auto"/>
                <w:w w:val="88"/>
              </w:rPr>
              <w:t>Thomas H. Weidemeyer</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40" w:type="dxa"/>
            <w:vAlign w:val="bottom"/>
          </w:tcPr>
          <w:p>
            <w:pPr>
              <w:jc w:val="right"/>
              <w:ind w:right="852"/>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34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Waste Management, Inc.</w:t>
      </w:r>
    </w:p>
    <w:p>
      <w:pPr>
        <w:spacing w:after="0" w:line="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audited the consolidated financial statements of Waste Management, Inc. as of December 31, 2011 and 2010, and for each of the three years in the period ended December 31, 2011, and have issued our report thereon dated February 16, 2012 (included elsewhere in this Form 10-K). Our audits also included the financial statement schedule listed in Item 15(a)(2) of this Form 10-K. This schedule is the responsibility of the Company’s management. Our responsibility is to express an opinion based on our audits.</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our opinion, the financial statement schedule referred to above, when considered in relation to the basic financial statements taken as a whole, presents fairly in all material respects the information set forth therein.</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Charged</w:t>
            </w:r>
          </w:p>
        </w:tc>
        <w:tc>
          <w:tcPr>
            <w:tcW w:w="320" w:type="dxa"/>
            <w:vAlign w:val="bottom"/>
          </w:tcPr>
          <w:p>
            <w:pPr>
              <w:spacing w:after="0"/>
              <w:rPr>
                <w:sz w:val="14"/>
                <w:szCs w:val="14"/>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7"/>
              </w:rPr>
              <w:t>Accounts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Balance</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(Credited)</w:t>
            </w:r>
          </w:p>
        </w:tc>
        <w:tc>
          <w:tcPr>
            <w:tcW w:w="320" w:type="dxa"/>
            <w:vAlign w:val="bottom"/>
          </w:tcPr>
          <w:p>
            <w:pPr>
              <w:spacing w:after="0"/>
              <w:rPr>
                <w:sz w:val="12"/>
                <w:szCs w:val="12"/>
                <w:color w:val="auto"/>
              </w:rPr>
            </w:pPr>
          </w:p>
        </w:tc>
        <w:tc>
          <w:tcPr>
            <w:tcW w:w="9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Written</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w:t>
            </w:r>
          </w:p>
        </w:tc>
      </w:tr>
      <w:tr>
        <w:trPr>
          <w:trHeight w:val="149"/>
        </w:trPr>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10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to</w:t>
            </w:r>
          </w:p>
        </w:tc>
        <w:tc>
          <w:tcPr>
            <w:tcW w:w="3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Off/Use of</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61"/>
        </w:trPr>
        <w:tc>
          <w:tcPr>
            <w:tcW w:w="3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4"/>
                <w:szCs w:val="14"/>
                <w:color w:val="auto"/>
              </w:rPr>
            </w:pPr>
          </w:p>
        </w:tc>
        <w:tc>
          <w:tcPr>
            <w:tcW w:w="9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Income</w:t>
            </w:r>
          </w:p>
        </w:tc>
        <w:tc>
          <w:tcPr>
            <w:tcW w:w="320" w:type="dxa"/>
            <w:vAlign w:val="bottom"/>
          </w:tcPr>
          <w:p>
            <w:pPr>
              <w:spacing w:after="0"/>
              <w:rPr>
                <w:sz w:val="14"/>
                <w:szCs w:val="14"/>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5"/>
              </w:rPr>
              <w:t>Reserve</w:t>
            </w:r>
          </w:p>
        </w:tc>
        <w:tc>
          <w:tcPr>
            <w:tcW w:w="3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1"/>
              </w:rPr>
              <w:t>Other(a)</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w:t>
            </w:r>
          </w:p>
        </w:tc>
      </w:tr>
      <w:tr>
        <w:trPr>
          <w:trHeight w:val="210"/>
        </w:trPr>
        <w:tc>
          <w:tcPr>
            <w:tcW w:w="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2009</w:t>
            </w:r>
          </w:p>
        </w:tc>
        <w:tc>
          <w:tcPr>
            <w:tcW w:w="398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 Reserves for doubtful accounts(b)</w:t>
            </w: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2010</w:t>
            </w:r>
          </w:p>
        </w:tc>
        <w:tc>
          <w:tcPr>
            <w:tcW w:w="3980" w:type="dxa"/>
            <w:vAlign w:val="bottom"/>
          </w:tcPr>
          <w:p>
            <w:pPr>
              <w:ind w:left="20"/>
              <w:spacing w:after="0"/>
              <w:rPr>
                <w:sz w:val="20"/>
                <w:szCs w:val="20"/>
                <w:color w:val="auto"/>
              </w:rPr>
            </w:pPr>
            <w:r>
              <w:rPr>
                <w:rFonts w:ascii="Arial" w:cs="Arial" w:eastAsia="Arial" w:hAnsi="Arial"/>
                <w:sz w:val="18"/>
                <w:szCs w:val="18"/>
                <w:color w:val="auto"/>
              </w:rPr>
              <w:t>— Reserves for doubtful accounts(b)</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8"/>
                <w:szCs w:val="18"/>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 Reserves for doubtful accounts(b)</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2009</w:t>
            </w:r>
          </w:p>
        </w:tc>
        <w:tc>
          <w:tcPr>
            <w:tcW w:w="3980" w:type="dxa"/>
            <w:vAlign w:val="bottom"/>
          </w:tcPr>
          <w:p>
            <w:pPr>
              <w:ind w:left="20"/>
              <w:spacing w:after="0"/>
              <w:rPr>
                <w:sz w:val="20"/>
                <w:szCs w:val="20"/>
                <w:color w:val="auto"/>
              </w:rPr>
            </w:pPr>
            <w:r>
              <w:rPr>
                <w:rFonts w:ascii="Arial" w:cs="Arial" w:eastAsia="Arial" w:hAnsi="Arial"/>
                <w:sz w:val="18"/>
                <w:szCs w:val="18"/>
                <w:color w:val="auto"/>
              </w:rPr>
              <w:t>— Merger and restructuring accruals(c)</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2010</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Merger and restructuring accruals(c)</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2011 — Merger and restructuring accruals(c)</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9"/>
                <w:szCs w:val="19"/>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right="44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“Other” activity is related to reserves associated with dispositions of businesses, reserves reclassified to operations held-for-sale, reclassifications among reserve accounts, and the impacts of foreign currency translation.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reserves for doubtful accounts receivable and notes receivable.</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Included in accrued liabilities in our Consolidated Balance Sheets. These accruals represent employee severance and benefit costs and transitional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960" w:type="dxa"/>
            <w:vAlign w:val="bottom"/>
            <w:gridSpan w:val="3"/>
          </w:tcPr>
          <w:p>
            <w:pPr>
              <w:ind w:left="438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8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540" w:type="dxa"/>
            <w:vAlign w:val="bottom"/>
          </w:tcPr>
          <w:p>
            <w:pPr>
              <w:spacing w:after="0"/>
              <w:rPr>
                <w:sz w:val="15"/>
                <w:szCs w:val="15"/>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20" w:type="dxa"/>
            <w:vAlign w:val="bottom"/>
          </w:tcPr>
          <w:p>
            <w:pPr>
              <w:spacing w:after="0"/>
              <w:rPr>
                <w:sz w:val="15"/>
                <w:szCs w:val="15"/>
                <w:color w:val="auto"/>
              </w:rPr>
            </w:pPr>
          </w:p>
        </w:tc>
      </w:tr>
      <w:tr>
        <w:trPr>
          <w:trHeight w:val="195"/>
        </w:trPr>
        <w:tc>
          <w:tcPr>
            <w:tcW w:w="46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10960" w:type="dxa"/>
            <w:vAlign w:val="bottom"/>
            <w:gridSpan w:val="3"/>
          </w:tcPr>
          <w:p>
            <w:pPr>
              <w:ind w:left="420"/>
              <w:spacing w:after="0" w:line="195" w:lineRule="exact"/>
              <w:rPr>
                <w:sz w:val="20"/>
                <w:szCs w:val="20"/>
                <w:color w:val="auto"/>
              </w:rPr>
            </w:pPr>
            <w:r>
              <w:rPr>
                <w:rFonts w:ascii="Arial" w:cs="Arial" w:eastAsia="Arial" w:hAnsi="Arial"/>
                <w:sz w:val="18"/>
                <w:szCs w:val="18"/>
                <w:color w:val="auto"/>
                <w:w w:val="95"/>
              </w:rPr>
              <w:t>—   Third Restated Certificate of Incorporation [Incorporated by reference to Exhibit 3.1 to Form 10-Q for the quarter ended June 30, 2010].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10960" w:type="dxa"/>
            <w:vAlign w:val="bottom"/>
            <w:gridSpan w:val="3"/>
          </w:tcPr>
          <w:p>
            <w:pPr>
              <w:ind w:left="420"/>
              <w:spacing w:after="0"/>
              <w:rPr>
                <w:sz w:val="20"/>
                <w:szCs w:val="20"/>
                <w:color w:val="auto"/>
              </w:rPr>
            </w:pPr>
            <w:r>
              <w:rPr>
                <w:rFonts w:ascii="Arial" w:cs="Arial" w:eastAsia="Arial" w:hAnsi="Arial"/>
                <w:sz w:val="18"/>
                <w:szCs w:val="18"/>
                <w:color w:val="auto"/>
              </w:rPr>
              <w:t>—   Amended and Restated By-laws of Waste Management, Inc.</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10960" w:type="dxa"/>
            <w:vAlign w:val="bottom"/>
            <w:gridSpan w:val="3"/>
          </w:tcPr>
          <w:p>
            <w:pPr>
              <w:ind w:left="420"/>
              <w:spacing w:after="0"/>
              <w:rPr>
                <w:sz w:val="20"/>
                <w:szCs w:val="20"/>
                <w:color w:val="auto"/>
              </w:rPr>
            </w:pPr>
            <w:r>
              <w:rPr>
                <w:rFonts w:ascii="Arial" w:cs="Arial" w:eastAsia="Arial" w:hAnsi="Arial"/>
                <w:sz w:val="18"/>
                <w:szCs w:val="18"/>
                <w:color w:val="auto"/>
              </w:rPr>
              <w:t>—   Specimen Stock Certificate [Incorporated by reference to Exhibit 4.1 to Form 10-K for the year ended December 31, 1998].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10960" w:type="dxa"/>
            <w:vAlign w:val="bottom"/>
            <w:gridSpan w:val="3"/>
          </w:tcPr>
          <w:p>
            <w:pPr>
              <w:ind w:left="420"/>
              <w:spacing w:after="0"/>
              <w:rPr>
                <w:sz w:val="20"/>
                <w:szCs w:val="20"/>
                <w:color w:val="auto"/>
              </w:rPr>
            </w:pPr>
            <w:r>
              <w:rPr>
                <w:rFonts w:ascii="Arial" w:cs="Arial" w:eastAsia="Arial" w:hAnsi="Arial"/>
                <w:sz w:val="18"/>
                <w:szCs w:val="18"/>
                <w:color w:val="auto"/>
                <w:w w:val="90"/>
              </w:rPr>
              <w:t>—   Indenture for Subordinated Debt Securities dated February 3, 1997, among the Registrant and The Bank of New York Mellon Trust Company,</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w w:val="90"/>
              </w:rPr>
              <w:t>N.A. (the current successor to Texas Commerce Bank National Association), as trustee [Incorporated by reference to Exhibit 4.1 to Form 8-K</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rPr>
              <w:t>dated February 7, 1997].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4.3</w:t>
            </w:r>
          </w:p>
        </w:tc>
        <w:tc>
          <w:tcPr>
            <w:tcW w:w="10960" w:type="dxa"/>
            <w:vAlign w:val="bottom"/>
            <w:gridSpan w:val="3"/>
          </w:tcPr>
          <w:p>
            <w:pPr>
              <w:ind w:left="420"/>
              <w:spacing w:after="0"/>
              <w:rPr>
                <w:sz w:val="20"/>
                <w:szCs w:val="20"/>
                <w:color w:val="auto"/>
              </w:rPr>
            </w:pPr>
            <w:r>
              <w:rPr>
                <w:rFonts w:ascii="Arial" w:cs="Arial" w:eastAsia="Arial" w:hAnsi="Arial"/>
                <w:sz w:val="18"/>
                <w:szCs w:val="18"/>
                <w:color w:val="auto"/>
                <w:w w:val="89"/>
              </w:rPr>
              <w:t>—   Indenture for Senior Debt Securities dated September 10, 1997, among the Registrant and The Bank of New York Mellon Trust Company, N.A.</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w w:val="89"/>
              </w:rPr>
              <w:t>(the current successor to Texas Commerce Bank National Association), as trustee [Incorporated by reference to Exhibit 4.1 to Form 8-K dated</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rPr>
              <w:t>September 10, 1997].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4.4</w:t>
            </w:r>
          </w:p>
        </w:tc>
        <w:tc>
          <w:tcPr>
            <w:tcW w:w="10960" w:type="dxa"/>
            <w:vAlign w:val="bottom"/>
            <w:gridSpan w:val="3"/>
          </w:tcPr>
          <w:p>
            <w:pPr>
              <w:ind w:left="420"/>
              <w:spacing w:after="0"/>
              <w:rPr>
                <w:sz w:val="20"/>
                <w:szCs w:val="20"/>
                <w:color w:val="auto"/>
              </w:rPr>
            </w:pPr>
            <w:r>
              <w:rPr>
                <w:rFonts w:ascii="Arial" w:cs="Arial" w:eastAsia="Arial" w:hAnsi="Arial"/>
                <w:sz w:val="18"/>
                <w:szCs w:val="18"/>
                <w:color w:val="auto"/>
                <w:w w:val="89"/>
              </w:rPr>
              <w:t>—   Officers’ Certificate delivered pursuant to Section 301 of the Indenture dated September 10, 1997 by and between Waste Management, Inc. and</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w w:val="90"/>
              </w:rPr>
              <w:t>The Bank of New York Mellon Trust Company, N.A., as Trustee, establishing the terms and form of Waste Management, Inc.’s 2.60% Senior</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rPr>
              <w:t>Notes due 2016 [Incorporated by reference to Exhibit 4.1 to Form 10-Q for the quarter ended September 30, 2011].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4.5</w:t>
            </w:r>
          </w:p>
        </w:tc>
        <w:tc>
          <w:tcPr>
            <w:tcW w:w="10960" w:type="dxa"/>
            <w:vAlign w:val="bottom"/>
            <w:gridSpan w:val="3"/>
          </w:tcPr>
          <w:p>
            <w:pPr>
              <w:ind w:left="420"/>
              <w:spacing w:after="0"/>
              <w:rPr>
                <w:sz w:val="20"/>
                <w:szCs w:val="20"/>
                <w:color w:val="auto"/>
              </w:rPr>
            </w:pPr>
            <w:r>
              <w:rPr>
                <w:rFonts w:ascii="Arial" w:cs="Arial" w:eastAsia="Arial" w:hAnsi="Arial"/>
                <w:sz w:val="18"/>
                <w:szCs w:val="18"/>
                <w:color w:val="auto"/>
                <w:w w:val="90"/>
              </w:rPr>
              <w:t>—   Guarantee Agreement by Waste Management Holdings, Inc. in favor of The Bank of New York Mellon Trust Company, N.A., as Trustee for the</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w w:val="92"/>
              </w:rPr>
              <w:t>holders of Waste Management, Inc.’s 2.60% Senior Notes due 2016 [Incorporated by reference to Exhibit 4.2 to Form 10-Q for the quarter</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rPr>
              <w:t>ended September 30, 2011].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4.6*</w:t>
            </w:r>
          </w:p>
        </w:tc>
        <w:tc>
          <w:tcPr>
            <w:tcW w:w="10960" w:type="dxa"/>
            <w:vAlign w:val="bottom"/>
            <w:gridSpan w:val="3"/>
          </w:tcPr>
          <w:p>
            <w:pPr>
              <w:ind w:left="420"/>
              <w:spacing w:after="0"/>
              <w:rPr>
                <w:sz w:val="20"/>
                <w:szCs w:val="20"/>
                <w:color w:val="auto"/>
              </w:rPr>
            </w:pPr>
            <w:r>
              <w:rPr>
                <w:rFonts w:ascii="Arial" w:cs="Arial" w:eastAsia="Arial" w:hAnsi="Arial"/>
                <w:sz w:val="18"/>
                <w:szCs w:val="18"/>
                <w:color w:val="auto"/>
                <w:w w:val="89"/>
              </w:rPr>
              <w:t>—   Schedule of Officers’ Certificates delivered pursuant to Section 301 of the Indenture dated September 10, 1997 establishing the terms and form</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w w:val="88"/>
              </w:rPr>
              <w:t>of Waste Management, Inc.’s Senior Notes. Waste Management and its subsidiaries are parties to debt instruments that have not been filed with</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w w:val="87"/>
              </w:rPr>
              <w:t>the SEC under which the total amount of securities authorized does not exceed 10% of the total assets of Waste Management and its subsidiaries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w w:val="89"/>
              </w:rPr>
              <w:t>on a consolidated basis. Pursuant to paragraph 4(iii)(A) of Item 601(b) of Regulation S-K, Waste Management agrees to furnish a copy of such</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rPr>
              <w:t>instruments to the SEC upon request.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10.1†</w:t>
            </w:r>
          </w:p>
        </w:tc>
        <w:tc>
          <w:tcPr>
            <w:tcW w:w="10960" w:type="dxa"/>
            <w:vAlign w:val="bottom"/>
            <w:gridSpan w:val="3"/>
          </w:tcPr>
          <w:p>
            <w:pPr>
              <w:ind w:left="420"/>
              <w:spacing w:after="0"/>
              <w:rPr>
                <w:sz w:val="20"/>
                <w:szCs w:val="20"/>
                <w:color w:val="auto"/>
              </w:rPr>
            </w:pPr>
            <w:r>
              <w:rPr>
                <w:rFonts w:ascii="Arial" w:cs="Arial" w:eastAsia="Arial" w:hAnsi="Arial"/>
                <w:sz w:val="18"/>
                <w:szCs w:val="18"/>
                <w:color w:val="auto"/>
                <w:w w:val="97"/>
              </w:rPr>
              <w:t>—   2009 Stock Incentive Plan [Incorporated by reference to Appendix B to the Proxy Statement on Schedule 14A filed March 25, 2009].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10.2†</w:t>
            </w:r>
          </w:p>
        </w:tc>
        <w:tc>
          <w:tcPr>
            <w:tcW w:w="10960" w:type="dxa"/>
            <w:vAlign w:val="bottom"/>
            <w:gridSpan w:val="3"/>
          </w:tcPr>
          <w:p>
            <w:pPr>
              <w:ind w:left="420"/>
              <w:spacing w:after="0"/>
              <w:rPr>
                <w:sz w:val="20"/>
                <w:szCs w:val="20"/>
                <w:color w:val="auto"/>
              </w:rPr>
            </w:pPr>
            <w:r>
              <w:rPr>
                <w:rFonts w:ascii="Arial" w:cs="Arial" w:eastAsia="Arial" w:hAnsi="Arial"/>
                <w:sz w:val="18"/>
                <w:szCs w:val="18"/>
                <w:color w:val="auto"/>
                <w:w w:val="98"/>
              </w:rPr>
              <w:t>—   2005 Annual Incentive Plan [Incorporated by reference to Appendix D to the Proxy Statement on Schedule 14A filed April 8, 2004].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10.3†</w:t>
            </w:r>
          </w:p>
        </w:tc>
        <w:tc>
          <w:tcPr>
            <w:tcW w:w="10960" w:type="dxa"/>
            <w:vAlign w:val="bottom"/>
            <w:gridSpan w:val="3"/>
          </w:tcPr>
          <w:p>
            <w:pPr>
              <w:ind w:left="420"/>
              <w:spacing w:after="0"/>
              <w:rPr>
                <w:sz w:val="20"/>
                <w:szCs w:val="20"/>
                <w:color w:val="auto"/>
              </w:rPr>
            </w:pPr>
            <w:r>
              <w:rPr>
                <w:rFonts w:ascii="Arial" w:cs="Arial" w:eastAsia="Arial" w:hAnsi="Arial"/>
                <w:sz w:val="18"/>
                <w:szCs w:val="18"/>
                <w:color w:val="auto"/>
                <w:w w:val="93"/>
              </w:rPr>
              <w:t>—   Employee Stock Purchase Plan [Incorporated by reference to Appendix A to the Proxy Statement on Schedule 14A filed March 25, 2009].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10.4†</w:t>
            </w:r>
          </w:p>
        </w:tc>
        <w:tc>
          <w:tcPr>
            <w:tcW w:w="10960" w:type="dxa"/>
            <w:vAlign w:val="bottom"/>
            <w:gridSpan w:val="3"/>
          </w:tcPr>
          <w:p>
            <w:pPr>
              <w:ind w:left="420"/>
              <w:spacing w:after="0"/>
              <w:rPr>
                <w:sz w:val="20"/>
                <w:szCs w:val="20"/>
                <w:color w:val="auto"/>
              </w:rPr>
            </w:pPr>
            <w:r>
              <w:rPr>
                <w:rFonts w:ascii="Arial" w:cs="Arial" w:eastAsia="Arial" w:hAnsi="Arial"/>
                <w:sz w:val="18"/>
                <w:szCs w:val="18"/>
                <w:color w:val="auto"/>
                <w:w w:val="99"/>
              </w:rPr>
              <w:t>—   Waste Management, Inc. 409A Deferral Savings Plan. [Incorporated by reference to Exhibit 10.4 to Form 10-K for the year ended</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rPr>
              <w:t>December 31, 2006].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10.5†</w:t>
            </w:r>
          </w:p>
        </w:tc>
        <w:tc>
          <w:tcPr>
            <w:tcW w:w="10960" w:type="dxa"/>
            <w:vAlign w:val="bottom"/>
            <w:gridSpan w:val="3"/>
          </w:tcPr>
          <w:p>
            <w:pPr>
              <w:ind w:left="420"/>
              <w:spacing w:after="0"/>
              <w:rPr>
                <w:sz w:val="20"/>
                <w:szCs w:val="20"/>
                <w:color w:val="auto"/>
              </w:rPr>
            </w:pPr>
            <w:r>
              <w:rPr>
                <w:rFonts w:ascii="Arial" w:cs="Arial" w:eastAsia="Arial" w:hAnsi="Arial"/>
                <w:sz w:val="18"/>
                <w:szCs w:val="18"/>
                <w:color w:val="auto"/>
              </w:rPr>
              <w:t>—   1993 Stock Incentive Plan [Incorporated by reference to Exhibit 10.2 to Form 10-K for the year ended December 31, 1998].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10.6†</w:t>
            </w:r>
          </w:p>
        </w:tc>
        <w:tc>
          <w:tcPr>
            <w:tcW w:w="10960" w:type="dxa"/>
            <w:vAlign w:val="bottom"/>
            <w:gridSpan w:val="3"/>
          </w:tcPr>
          <w:p>
            <w:pPr>
              <w:ind w:left="420"/>
              <w:spacing w:after="0"/>
              <w:rPr>
                <w:sz w:val="20"/>
                <w:szCs w:val="20"/>
                <w:color w:val="auto"/>
              </w:rPr>
            </w:pPr>
            <w:r>
              <w:rPr>
                <w:rFonts w:ascii="Arial" w:cs="Arial" w:eastAsia="Arial" w:hAnsi="Arial"/>
                <w:sz w:val="18"/>
                <w:szCs w:val="18"/>
                <w:color w:val="auto"/>
                <w:w w:val="99"/>
              </w:rPr>
              <w:t>—   2000 Stock Incentive Plan [Incorporated by reference to Appendix B to the Proxy Statement on Schedule 14a filed April 6, 2000].</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w w:val="97"/>
              </w:rPr>
              <w:t>10.7†</w:t>
            </w:r>
          </w:p>
        </w:tc>
        <w:tc>
          <w:tcPr>
            <w:tcW w:w="10960" w:type="dxa"/>
            <w:vAlign w:val="bottom"/>
            <w:gridSpan w:val="3"/>
          </w:tcPr>
          <w:p>
            <w:pPr>
              <w:ind w:left="420"/>
              <w:spacing w:after="0"/>
              <w:rPr>
                <w:sz w:val="20"/>
                <w:szCs w:val="20"/>
                <w:color w:val="auto"/>
              </w:rPr>
            </w:pPr>
            <w:r>
              <w:rPr>
                <w:rFonts w:ascii="Arial" w:cs="Arial" w:eastAsia="Arial" w:hAnsi="Arial"/>
                <w:sz w:val="18"/>
                <w:szCs w:val="18"/>
                <w:color w:val="auto"/>
              </w:rPr>
              <w:t>—   2004 Stock Incentive Plan [Incorporated by reference to Appendix C to Proxy Statement on Schedule 14A filed April 8, 2004].</w:t>
            </w:r>
          </w:p>
        </w:tc>
      </w:tr>
      <w:tr>
        <w:trPr>
          <w:trHeight w:val="365"/>
        </w:trPr>
        <w:tc>
          <w:tcPr>
            <w:tcW w:w="460" w:type="dxa"/>
            <w:vAlign w:val="bottom"/>
          </w:tcPr>
          <w:p>
            <w:pPr>
              <w:spacing w:after="0"/>
              <w:rPr>
                <w:sz w:val="24"/>
                <w:szCs w:val="24"/>
                <w:color w:val="auto"/>
              </w:rPr>
            </w:pPr>
          </w:p>
        </w:tc>
        <w:tc>
          <w:tcPr>
            <w:tcW w:w="5540" w:type="dxa"/>
            <w:vAlign w:val="bottom"/>
          </w:tcPr>
          <w:p>
            <w:pPr>
              <w:ind w:left="5120"/>
              <w:spacing w:after="0"/>
              <w:rPr>
                <w:sz w:val="20"/>
                <w:szCs w:val="20"/>
                <w:color w:val="auto"/>
              </w:rPr>
            </w:pPr>
            <w:r>
              <w:rPr>
                <w:rFonts w:ascii="Arial" w:cs="Arial" w:eastAsia="Arial" w:hAnsi="Arial"/>
                <w:sz w:val="18"/>
                <w:szCs w:val="18"/>
                <w:color w:val="auto"/>
              </w:rPr>
              <w:t>149</w:t>
            </w: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80" w:right="40" w:hanging="1147"/>
        <w:spacing w:after="0" w:line="251" w:lineRule="auto"/>
        <w:tabs>
          <w:tab w:leader="none" w:pos="8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 $2 Billion Amended and Restated Revolving Credit Agreement dated as of May 9, 2011 by and among Waste Management, Inc. and Waste Management Holdings, Inc. and certain banks party thereto, Bank of America, N.A., as Administrative Agent, JPMorgan Chase Bank, N.A. and Barclays Capital, as Syndication Agents, Deutsche Bank Securities Inc. and The Royal Bank of Scotland PLC, as Documentation Agents, BNP Paribas and Citibank, N.A., as Co-Documentation Agents and Merrill Lynch, Pierce, Fenner &amp; Smith Incorporated, J.P. Morgan Securities LLC, and Barclays Capital, as Joint Lead Arrangers and Book Managers [Incorporated by reference to Exhibit 10.1 to Form 10-Q for the quarter ended June 30, 2011].</w:t>
      </w:r>
    </w:p>
    <w:p>
      <w:pPr>
        <w:spacing w:after="0" w:line="4" w:lineRule="exact"/>
        <w:rPr>
          <w:sz w:val="20"/>
          <w:szCs w:val="20"/>
          <w:color w:val="auto"/>
        </w:rPr>
      </w:pPr>
    </w:p>
    <w:p>
      <w:pPr>
        <w:ind w:left="880" w:right="180" w:hanging="1147"/>
        <w:spacing w:after="0" w:line="281" w:lineRule="auto"/>
        <w:tabs>
          <w:tab w:leader="none" w:pos="8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 CDN $410,000,000 Credit Facility Credit Agreement by and between Waste Management of Canada Corporation (as Borrower), Waste Management, Inc. and Waste Management Holdings, Inc. (as Guarantors), BNP Paribas Securities Corp. and Scotia Capital (as Lead Arrangers and Book Runners) and Bank of Nova Scotia (as Administrative Agent) and the Lenders from time to time party to the Agreement dated as of November 30, 2005 [Incorporated by reference to Exhibit 10.32 to Form 10-K for the year ended December 31, 2005].</w:t>
      </w:r>
    </w:p>
    <w:p>
      <w:pPr>
        <w:spacing w:after="0" w:line="3" w:lineRule="exact"/>
        <w:rPr>
          <w:sz w:val="20"/>
          <w:szCs w:val="20"/>
          <w:color w:val="auto"/>
        </w:rPr>
      </w:pPr>
    </w:p>
    <w:p>
      <w:pPr>
        <w:ind w:left="880" w:hanging="1147"/>
        <w:spacing w:after="0" w:line="250" w:lineRule="auto"/>
        <w:tabs>
          <w:tab w:leader="none" w:pos="8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 First Amendment Agreement dated as of December 21, 2007 to a Credit Agreement dated as of November 30, 2005 by and between Waste Management of Canada Corporation as borrower, Waste Management, Inc. and Waste Management Holdings, Inc. as guarantors, the lenders from time to time party thereto and the Bank of Nova Scotia as Administrative Agent [Incorporated by reference to Exhibit 10.28 to Form 10-K for the year ended December 31, 2007].</w:t>
      </w:r>
    </w:p>
    <w:p>
      <w:pPr>
        <w:spacing w:after="0" w:line="2" w:lineRule="exact"/>
        <w:rPr>
          <w:sz w:val="20"/>
          <w:szCs w:val="20"/>
          <w:color w:val="auto"/>
        </w:rPr>
      </w:pPr>
    </w:p>
    <w:p>
      <w:pPr>
        <w:ind w:left="880" w:right="80" w:hanging="1147"/>
        <w:spacing w:after="0" w:line="250" w:lineRule="auto"/>
        <w:tabs>
          <w:tab w:leader="none" w:pos="8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 Employment Agreement between the Company and Cherie C. Rice dated August 26, 2005 [Incorporated by reference to Exhibit 10.1 to Form 8-K dated August 26, 2005].</w:t>
      </w:r>
    </w:p>
    <w:p>
      <w:pPr>
        <w:spacing w:after="0" w:line="1" w:lineRule="exact"/>
        <w:rPr>
          <w:sz w:val="20"/>
          <w:szCs w:val="20"/>
          <w:color w:val="auto"/>
        </w:rPr>
      </w:pPr>
    </w:p>
    <w:p>
      <w:pPr>
        <w:ind w:left="880" w:right="500" w:hanging="1147"/>
        <w:spacing w:after="0" w:line="250" w:lineRule="auto"/>
        <w:tabs>
          <w:tab w:leader="none" w:pos="8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 Employment Agreement between the Company and Greg A. Robertson dated August 1, 2003 [Incorporated by reference to Exhibit 10.2 to Form 10-Q for the quarter ended June 30, 2004].</w:t>
      </w:r>
    </w:p>
    <w:p>
      <w:pPr>
        <w:spacing w:after="0" w:line="1" w:lineRule="exact"/>
        <w:rPr>
          <w:sz w:val="20"/>
          <w:szCs w:val="20"/>
          <w:color w:val="auto"/>
        </w:rPr>
      </w:pPr>
    </w:p>
    <w:p>
      <w:pPr>
        <w:ind w:left="880" w:right="520" w:hanging="1147"/>
        <w:spacing w:after="0" w:line="250" w:lineRule="auto"/>
        <w:tabs>
          <w:tab w:leader="none" w:pos="8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 Employment Agreement between the Company and Puneet Bhasin dated December 7, 2009 [Incorporated by reference to Exhibit 10.12 to Form 10-K for the year ended December 31, 2009].</w:t>
      </w:r>
    </w:p>
    <w:p>
      <w:pPr>
        <w:spacing w:after="0" w:line="1" w:lineRule="exact"/>
        <w:rPr>
          <w:sz w:val="20"/>
          <w:szCs w:val="20"/>
          <w:color w:val="auto"/>
        </w:rPr>
      </w:pPr>
    </w:p>
    <w:p>
      <w:pPr>
        <w:ind w:left="880" w:right="480" w:hanging="1147"/>
        <w:spacing w:after="0" w:line="250" w:lineRule="auto"/>
        <w:tabs>
          <w:tab w:leader="none" w:pos="8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 Employment Agreement between the Company and Duane C. Woods dated October 20, 2004 [Incorporated by reference to Exhibit 10.2 to Form 8-K dated October 20, 2004].</w:t>
      </w:r>
    </w:p>
    <w:p>
      <w:pPr>
        <w:spacing w:after="0" w:line="1" w:lineRule="exact"/>
        <w:rPr>
          <w:sz w:val="20"/>
          <w:szCs w:val="20"/>
          <w:color w:val="auto"/>
        </w:rPr>
      </w:pPr>
    </w:p>
    <w:p>
      <w:pPr>
        <w:ind w:left="880" w:right="660" w:hanging="1147"/>
        <w:spacing w:after="0" w:line="250" w:lineRule="auto"/>
        <w:tabs>
          <w:tab w:leader="none" w:pos="8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 Employment Agreement between the Company and David Steiner dated as of May 6, 2002 [Incorporated by reference to Exhibit 10.1 to Form 10-Q for the quarter ended March 31, 2002].</w:t>
      </w:r>
    </w:p>
    <w:p>
      <w:pPr>
        <w:spacing w:after="0" w:line="1" w:lineRule="exact"/>
        <w:rPr>
          <w:sz w:val="20"/>
          <w:szCs w:val="20"/>
          <w:color w:val="auto"/>
        </w:rPr>
      </w:pPr>
    </w:p>
    <w:p>
      <w:pPr>
        <w:ind w:left="880" w:right="160" w:hanging="1147"/>
        <w:spacing w:after="0" w:line="250" w:lineRule="auto"/>
        <w:tabs>
          <w:tab w:leader="none" w:pos="8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 Employment Agreement between the Company and James E. Trevathan dated as of June 1, 2000 [Incorporated by reference to Exhibit 10.20 to Form 10-K for the year ended December 31, 2000].</w:t>
      </w:r>
    </w:p>
    <w:p>
      <w:pPr>
        <w:spacing w:after="0" w:line="1" w:lineRule="exact"/>
        <w:rPr>
          <w:sz w:val="20"/>
          <w:szCs w:val="20"/>
          <w:color w:val="auto"/>
        </w:rPr>
      </w:pPr>
    </w:p>
    <w:p>
      <w:pPr>
        <w:ind w:left="880" w:right="60" w:hanging="1147"/>
        <w:spacing w:after="0" w:line="250" w:lineRule="auto"/>
        <w:tabs>
          <w:tab w:leader="none" w:pos="8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 Employment Agreement between Recycle America Alliance, L.L.C. and Patrick DeRueda dated as of August 4, 2005 [Incorporated by reference to Exhibit 10.1 to Form 8-K dated August 4, 2005].</w:t>
      </w:r>
    </w:p>
    <w:p>
      <w:pPr>
        <w:spacing w:after="0" w:line="1" w:lineRule="exact"/>
        <w:rPr>
          <w:sz w:val="20"/>
          <w:szCs w:val="20"/>
          <w:color w:val="auto"/>
        </w:rPr>
      </w:pPr>
    </w:p>
    <w:p>
      <w:pPr>
        <w:ind w:left="880" w:right="120" w:hanging="1147"/>
        <w:spacing w:after="0" w:line="250" w:lineRule="auto"/>
        <w:tabs>
          <w:tab w:leader="none" w:pos="8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 Employment Agreement between the Company and Robert G. Simpson dated as of October 20, 2004 [Incorporated by reference to Exhibit 10.1 to Form 8-K dated October 20, 2004].</w:t>
      </w:r>
    </w:p>
    <w:p>
      <w:pPr>
        <w:spacing w:after="0" w:line="1" w:lineRule="exact"/>
        <w:rPr>
          <w:sz w:val="20"/>
          <w:szCs w:val="20"/>
          <w:color w:val="auto"/>
        </w:rPr>
      </w:pPr>
    </w:p>
    <w:p>
      <w:pPr>
        <w:ind w:left="880" w:right="920" w:hanging="1147"/>
        <w:spacing w:after="0" w:line="250" w:lineRule="auto"/>
        <w:tabs>
          <w:tab w:leader="none" w:pos="8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 Employment Agreement between the Company and Barry H. Caldwell dated as of September 23, 2002 [Incorporated by reference to Exhibit 10.24 to Form 10-K for the year ended December 31, 2002].</w:t>
      </w:r>
    </w:p>
    <w:p>
      <w:pPr>
        <w:spacing w:after="0" w:line="1" w:lineRule="exact"/>
        <w:rPr>
          <w:sz w:val="20"/>
          <w:szCs w:val="20"/>
          <w:color w:val="auto"/>
        </w:rPr>
      </w:pPr>
    </w:p>
    <w:p>
      <w:pPr>
        <w:ind w:left="880" w:right="80" w:hanging="1147"/>
        <w:spacing w:after="0" w:line="250" w:lineRule="auto"/>
        <w:tabs>
          <w:tab w:leader="none" w:pos="8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 Employment Agreement between the Company and David Aardsma dated June 16, 2005 [Incorporated by reference to Exhibit 10.1 to Form 8-K dated June 16, 2005].</w:t>
      </w:r>
    </w:p>
    <w:p>
      <w:pPr>
        <w:spacing w:after="0" w:line="1" w:lineRule="exact"/>
        <w:rPr>
          <w:sz w:val="20"/>
          <w:szCs w:val="20"/>
          <w:color w:val="auto"/>
        </w:rPr>
      </w:pPr>
    </w:p>
    <w:p>
      <w:pPr>
        <w:ind w:left="880" w:right="760" w:hanging="1147"/>
        <w:spacing w:after="0" w:line="250" w:lineRule="auto"/>
        <w:tabs>
          <w:tab w:leader="none" w:pos="8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 Employment Agreement between the Company and Rick L Wittenbraker dated as of November 10, 2003 [Incorporated by reference to Exhibit 10.30 to Form 10-K for the year ended December 31, 2003].</w:t>
      </w:r>
    </w:p>
    <w:p>
      <w:pPr>
        <w:spacing w:after="0" w:line="1" w:lineRule="exact"/>
        <w:rPr>
          <w:sz w:val="20"/>
          <w:szCs w:val="20"/>
          <w:color w:val="auto"/>
        </w:rPr>
      </w:pPr>
    </w:p>
    <w:p>
      <w:pPr>
        <w:ind w:left="880" w:right="400" w:hanging="1147"/>
        <w:spacing w:after="0" w:line="250" w:lineRule="auto"/>
        <w:tabs>
          <w:tab w:leader="none" w:pos="8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 Employment Agreement between Wheelabrator Technologies Inc. and Mark A. Weidman dated May 11, 2006 [Incorporated by reference to Exhibit 10.1 to Form 8-K dated May 11, 2006].</w:t>
      </w:r>
    </w:p>
    <w:p>
      <w:pPr>
        <w:spacing w:after="0" w:line="1" w:lineRule="exact"/>
        <w:rPr>
          <w:sz w:val="20"/>
          <w:szCs w:val="20"/>
          <w:color w:val="auto"/>
        </w:rPr>
      </w:pPr>
    </w:p>
    <w:p>
      <w:pPr>
        <w:ind w:left="880" w:right="120" w:hanging="1147"/>
        <w:spacing w:after="0" w:line="250" w:lineRule="auto"/>
        <w:tabs>
          <w:tab w:leader="none" w:pos="8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 Employment Agreement between the Company and Jeff Harris dated December 1, 2006 [Incorporated by reference to Exhibit 10.1 to Form 8-K dated December 1, 2006].</w:t>
      </w:r>
    </w:p>
    <w:p>
      <w:pPr>
        <w:spacing w:after="0" w:line="1" w:lineRule="exact"/>
        <w:rPr>
          <w:sz w:val="20"/>
          <w:szCs w:val="20"/>
          <w:color w:val="auto"/>
        </w:rPr>
      </w:pPr>
    </w:p>
    <w:p>
      <w:pPr>
        <w:ind w:left="880" w:right="220" w:hanging="1147"/>
        <w:spacing w:after="0" w:line="261" w:lineRule="auto"/>
        <w:tabs>
          <w:tab w:leader="none" w:pos="8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 Employment Agreement between the Company and Michael Jay Romans dated January 25, 2007 [Incorporated by reference to Exhibit 10.1 to Form 8-K dated January 25, 2007].</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10.25†</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93"/>
              </w:rPr>
              <w:t>—   Resignation Agreement by and between the Company and Michael Jay Romans dated June 14, 2011 [Incorporated by reference to</w:t>
            </w: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Arial" w:cs="Arial" w:eastAsia="Arial" w:hAnsi="Arial"/>
                <w:sz w:val="18"/>
                <w:szCs w:val="18"/>
                <w:color w:val="auto"/>
              </w:rPr>
              <w:t>Exhibit 10.2 to Form 10-Q for the quarter ended June 30, 2011].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10.26†</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96"/>
              </w:rPr>
              <w:t>—   Employment Agreement between Waste Management, Inc. and Brett Frazier dated July 13, 2007 [Incorporated by reference to</w:t>
            </w: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Arial" w:cs="Arial" w:eastAsia="Arial" w:hAnsi="Arial"/>
                <w:sz w:val="18"/>
                <w:szCs w:val="18"/>
                <w:color w:val="auto"/>
              </w:rPr>
              <w:t>Exhibit 10.1 to Form 8-K dated July 13, 2007].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10.27†</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90"/>
              </w:rPr>
              <w:t>—   Amendment to Employment Agreement between the Company and Jim Trevathan [Incorporated by reference to Exhibit 10.3 to Form 8-</w:t>
            </w: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Arial" w:cs="Arial" w:eastAsia="Arial" w:hAnsi="Arial"/>
                <w:sz w:val="18"/>
                <w:szCs w:val="18"/>
                <w:color w:val="auto"/>
              </w:rPr>
              <w:t>K dated March 9, 2011].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10.28†</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89"/>
              </w:rPr>
              <w:t>—   Amendment to Employment Agreement by and between the Company and Duane C. Woods [Incorporated by reference to Exhibit 10.4 to</w:t>
            </w: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Arial" w:cs="Arial" w:eastAsia="Arial" w:hAnsi="Arial"/>
                <w:sz w:val="18"/>
                <w:szCs w:val="18"/>
                <w:color w:val="auto"/>
              </w:rPr>
              <w:t>Form 8-K dated March 9, 2011].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10.29†</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91"/>
              </w:rPr>
              <w:t>—   Amendment to Employment Agreement between the Company and Brett W. Frazier [Incorporated by reference to Exhibit 10.5 to Form</w:t>
            </w: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Arial" w:cs="Arial" w:eastAsia="Arial" w:hAnsi="Arial"/>
                <w:sz w:val="18"/>
                <w:szCs w:val="18"/>
                <w:color w:val="auto"/>
              </w:rPr>
              <w:t>10-Q for the quarter ended March 30, 2011].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10.30†</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89"/>
              </w:rPr>
              <w:t>—   Amendment to Employment Agreement by and between the Company and Jeff Harris [Incorporated by reference to Exhibit 10.6 to Form</w:t>
            </w: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Arial" w:cs="Arial" w:eastAsia="Arial" w:hAnsi="Arial"/>
                <w:sz w:val="18"/>
                <w:szCs w:val="18"/>
                <w:color w:val="auto"/>
              </w:rPr>
              <w:t>10-Q for the quarter ended March 30, 2011].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10.31†</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89"/>
              </w:rPr>
              <w:t>—   Employment Agreement between the Company and Carl V. Rush [Incorporated by reference to Exhibit 10.7 to Form 10-Q for the quarter</w:t>
            </w: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Arial" w:cs="Arial" w:eastAsia="Arial" w:hAnsi="Arial"/>
                <w:sz w:val="18"/>
                <w:szCs w:val="18"/>
                <w:color w:val="auto"/>
              </w:rPr>
              <w:t>ended March 30, 2011].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10.32†</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94"/>
              </w:rPr>
              <w:t>—   Employment Agreement between the Company and Grace Cowan [Incorporated by reference to Exhibit 10.8 to Form 10-Q for the</w:t>
            </w: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Arial" w:cs="Arial" w:eastAsia="Arial" w:hAnsi="Arial"/>
                <w:sz w:val="18"/>
                <w:szCs w:val="18"/>
                <w:color w:val="auto"/>
              </w:rPr>
              <w:t>quarter ended March 30, 2011].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10.33†</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89"/>
              </w:rPr>
              <w:t>—   Employment Agreement between the Company and Steven C. Preston dated October 5, 2011 [Incorporated by reference to Exhibit 10.1</w:t>
            </w: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Arial" w:cs="Arial" w:eastAsia="Arial" w:hAnsi="Arial"/>
                <w:sz w:val="18"/>
                <w:szCs w:val="18"/>
                <w:color w:val="auto"/>
              </w:rPr>
              <w:t>to Form 8-K dated October 2, 2011].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10.34†</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89"/>
              </w:rPr>
              <w:t>—   Employment Agreement between the Company and James C. Fish, Jr. dated August 15, 2011 [Incorporated by reference to Exhibit 10.2</w:t>
            </w: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Arial" w:cs="Arial" w:eastAsia="Arial" w:hAnsi="Arial"/>
                <w:sz w:val="18"/>
                <w:szCs w:val="18"/>
                <w:color w:val="auto"/>
              </w:rPr>
              <w:t>to Form 10-Q for the quarter ended September 30, 2011].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10.35†</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89"/>
              </w:rPr>
              <w:t>—   Employment Agreement between the Company and William K. Caesar dated August 23, 2011 [Incorporated by reference to Exhibit 10.3</w:t>
            </w: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Arial" w:cs="Arial" w:eastAsia="Arial" w:hAnsi="Arial"/>
                <w:sz w:val="18"/>
                <w:szCs w:val="18"/>
                <w:color w:val="auto"/>
              </w:rPr>
              <w:t>to Form 10-Q for the quarter ended September 30, 2011].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10.36†</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91"/>
              </w:rPr>
              <w:t>—   Form of 2011 Performance Share Unit Award Agreement [Incorporated by reference to Exhibit 10.1 to Form 8-K dated March 9, 2011].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10.37†</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99"/>
              </w:rPr>
              <w:t>—   Form of 2011 Stock Option Award Agreement [Incorporated by reference to Exhibit 10.2 to Form 8-K dated March 9, 2011].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10.38†</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91"/>
              </w:rPr>
              <w:t>—   Form of 2010 Performance Share Unit Award Agreement [Incorporated by reference to Exhibit 10.1 to Form 8-K dated March 9, 2010].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10.39†</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95"/>
              </w:rPr>
              <w:t>—   Form of 2010 Stock Option Unit Award Agreement [Incorporated by reference to Exhibit 10.2 to Form 8-K dated March 9, 2010].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10.40†</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93"/>
              </w:rPr>
              <w:t>—   Form of 2009 Performance Share Unit Award Agreement [Incorporated by reference to Exhibit 10.1 to Form 8-K dated February 24,</w:t>
            </w: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Arial" w:cs="Arial" w:eastAsia="Arial" w:hAnsi="Arial"/>
                <w:sz w:val="18"/>
                <w:szCs w:val="18"/>
                <w:color w:val="auto"/>
              </w:rPr>
              <w:t>2009].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12.1*</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rPr>
              <w:t>—   Computation of Ratio of Earnings to Fixed Charges.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21.1*</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rPr>
              <w:t>—   Subsidiaries of the Registrant.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23.1*</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rPr>
              <w:t>—   Consent of Independent Registered Public Accounting Firm.</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92"/>
              </w:rPr>
              <w:t>—   Certification Pursuant to Rule 13a-14(a) and 15d-14(a) under the Securities Exchange Act of 1934, as amended, of David P. Steiner,</w:t>
            </w: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90"/>
              </w:rPr>
              <w:t>—   Certification Pursuant to Rule 13a-14(a) and 15d-14(a) under the Securities Exchange Act of 1934, as amended, of Steven C. Preston,</w:t>
            </w: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Arial" w:cs="Arial" w:eastAsia="Arial" w:hAnsi="Arial"/>
                <w:sz w:val="18"/>
                <w:szCs w:val="18"/>
                <w:color w:val="auto"/>
              </w:rPr>
              <w:t>Executive Vice President — Finance, Recycling &amp; Energy Services.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rPr>
              <w:t>—   Certification Pursuant to 18 U.S.C. §1350 of David P. Steiner, President and Chief Executive Officer.</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32.2*</w:t>
            </w:r>
          </w:p>
        </w:tc>
        <w:tc>
          <w:tcPr>
            <w:tcW w:w="10340" w:type="dxa"/>
            <w:vAlign w:val="bottom"/>
            <w:gridSpan w:val="2"/>
          </w:tcPr>
          <w:p>
            <w:pPr>
              <w:ind w:left="280"/>
              <w:spacing w:after="0"/>
              <w:rPr>
                <w:sz w:val="20"/>
                <w:szCs w:val="20"/>
                <w:color w:val="auto"/>
              </w:rPr>
            </w:pPr>
            <w:r>
              <w:rPr>
                <w:rFonts w:ascii="Arial" w:cs="Arial" w:eastAsia="Arial" w:hAnsi="Arial"/>
                <w:sz w:val="18"/>
                <w:szCs w:val="18"/>
                <w:color w:val="auto"/>
                <w:w w:val="92"/>
              </w:rPr>
              <w:t>—   Certification Pursuant to 18 U.S.C. §1350 of Steven C. Preston, Executive Vice President — Finance, Recycling &amp; Energy Services.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95*</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00"/>
              <w:spacing w:after="0"/>
              <w:rPr>
                <w:sz w:val="20"/>
                <w:szCs w:val="20"/>
                <w:color w:val="auto"/>
              </w:rPr>
            </w:pPr>
            <w:r>
              <w:rPr>
                <w:rFonts w:ascii="Arial" w:cs="Arial" w:eastAsia="Arial" w:hAnsi="Arial"/>
                <w:sz w:val="18"/>
                <w:szCs w:val="18"/>
                <w:color w:val="auto"/>
              </w:rPr>
              <w:t>Mine Safety Disclosures.</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365"/>
        </w:trPr>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3960"/>
              <w:spacing w:after="0"/>
              <w:rPr>
                <w:sz w:val="20"/>
                <w:szCs w:val="20"/>
                <w:color w:val="auto"/>
              </w:rPr>
            </w:pPr>
            <w:r>
              <w:rPr>
                <w:rFonts w:ascii="Arial" w:cs="Arial" w:eastAsia="Arial" w:hAnsi="Arial"/>
                <w:sz w:val="18"/>
                <w:szCs w:val="18"/>
                <w:color w:val="auto"/>
              </w:rPr>
              <w:t>151</w:t>
            </w:r>
          </w:p>
        </w:tc>
      </w:tr>
    </w:tbl>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5180" w:type="dxa"/>
            <w:vAlign w:val="bottom"/>
            <w:gridSpan w:val="2"/>
          </w:tcPr>
          <w:p>
            <w:pPr>
              <w:ind w:left="360"/>
              <w:spacing w:after="0"/>
              <w:rPr>
                <w:sz w:val="20"/>
                <w:szCs w:val="20"/>
                <w:color w:val="auto"/>
              </w:rPr>
            </w:pPr>
            <w:r>
              <w:rPr>
                <w:rFonts w:ascii="Arial" w:cs="Arial" w:eastAsia="Arial" w:hAnsi="Arial"/>
                <w:sz w:val="18"/>
                <w:szCs w:val="18"/>
                <w:color w:val="auto"/>
              </w:rPr>
              <w:t>—   XBRL Taxonomy Extension Schema Document.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5180" w:type="dxa"/>
            <w:vAlign w:val="bottom"/>
            <w:gridSpan w:val="2"/>
          </w:tcPr>
          <w:p>
            <w:pPr>
              <w:ind w:left="360"/>
              <w:spacing w:after="0"/>
              <w:rPr>
                <w:sz w:val="20"/>
                <w:szCs w:val="20"/>
                <w:color w:val="auto"/>
              </w:rPr>
            </w:pPr>
            <w:r>
              <w:rPr>
                <w:rFonts w:ascii="Arial" w:cs="Arial" w:eastAsia="Arial" w:hAnsi="Arial"/>
                <w:sz w:val="18"/>
                <w:szCs w:val="18"/>
                <w:color w:val="auto"/>
                <w:w w:val="92"/>
              </w:rPr>
              <w:t>—   XBRL Taxonomy Extension Calculation Linkbase Document.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5180" w:type="dxa"/>
            <w:vAlign w:val="bottom"/>
            <w:gridSpan w:val="2"/>
          </w:tcPr>
          <w:p>
            <w:pPr>
              <w:ind w:left="360"/>
              <w:spacing w:after="0"/>
              <w:rPr>
                <w:sz w:val="20"/>
                <w:szCs w:val="20"/>
                <w:color w:val="auto"/>
              </w:rPr>
            </w:pPr>
            <w:r>
              <w:rPr>
                <w:rFonts w:ascii="Arial" w:cs="Arial" w:eastAsia="Arial" w:hAnsi="Arial"/>
                <w:sz w:val="18"/>
                <w:szCs w:val="18"/>
                <w:color w:val="auto"/>
                <w:w w:val="95"/>
              </w:rPr>
              <w:t>—   XBRL Taxonomy Extension Definition Linkbase Document.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4540" w:type="dxa"/>
            <w:vAlign w:val="bottom"/>
          </w:tcPr>
          <w:p>
            <w:pPr>
              <w:ind w:left="120"/>
              <w:spacing w:after="0"/>
              <w:rPr>
                <w:sz w:val="20"/>
                <w:szCs w:val="20"/>
                <w:color w:val="auto"/>
              </w:rPr>
            </w:pPr>
            <w:r>
              <w:rPr>
                <w:rFonts w:ascii="Arial" w:cs="Arial" w:eastAsia="Arial" w:hAnsi="Arial"/>
                <w:sz w:val="18"/>
                <w:szCs w:val="18"/>
                <w:color w:val="auto"/>
                <w:w w:val="98"/>
              </w:rPr>
              <w:t>XBRL Taxonomy Extension Labels Linkbase Document.</w:t>
            </w: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4540" w:type="dxa"/>
            <w:vAlign w:val="bottom"/>
          </w:tcPr>
          <w:p>
            <w:pPr>
              <w:ind w:left="120"/>
              <w:spacing w:after="0"/>
              <w:rPr>
                <w:sz w:val="20"/>
                <w:szCs w:val="20"/>
                <w:color w:val="auto"/>
              </w:rPr>
            </w:pPr>
            <w:r>
              <w:rPr>
                <w:rFonts w:ascii="Arial" w:cs="Arial" w:eastAsia="Arial" w:hAnsi="Arial"/>
                <w:sz w:val="18"/>
                <w:szCs w:val="18"/>
                <w:color w:val="auto"/>
                <w:w w:val="88"/>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219"/>
          </w:cols>
          <w:pgMar w:left="240" w:top="459" w:right="1440"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21, 2011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Meetings</w:t>
      </w:r>
      <w:r>
        <w:rPr>
          <w:rFonts w:ascii="Arial" w:cs="Arial" w:eastAsia="Arial" w:hAnsi="Arial"/>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officer who has charge of the stock ledger of the Corporation shall prepare and make, at least 10 days before every meeting of stockholders (provided, however, if the record date for determining the stockholders entitled to vote is less than 10 days before the date of the meeting, the list shall reflect the stockholders entitled to vote as of the tenth day before the meeting),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53" w:name="page154"/>
    <w:bookmarkEnd w:id="153"/>
    <w:p>
      <w:pPr>
        <w:jc w:val="both"/>
        <w:ind w:right="14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 germane to the meeting, at least 10 days prior to the meeting (i) on a reasonably accessible electronic network, provided that the information required to gain access to such list is provided with the notice of meeting or (ii) during ordinary business hours at the principal place of business of the Corporation. The list shall also be produced and kept at the time and place of the meeting during the whole time thereof, and may be inspected by any stockholder who is present.</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13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5" w:lineRule="auto"/>
        <w:tabs>
          <w:tab w:leader="none" w:pos="69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General. Special meetings of the stockholders, for any purpose or purposes, unless otherwise prescribed by the General Corporation Law of the State of Delaware, may be called by the Chairman of the Board (if any), the Chief Executive Officer, or by written order of a majority of the Board of Directors (each, a “Special Meeting Request”). A special meeting of stockholders shall be called by the Secretary upon the written request of the record holders having an aggregate “net long position” of at least twenty-five percent (25%) of the outstanding common stock of the Corporation, and having held such “net long position” continuously for at least one year, as of the date of such request (the “Requisite Percent”), subject to Subsection (b) of this Section 2.4 (a “Stockholder Requested Special Meeting”). “Net long position” shall be determined with respect to each requesting holder in accordance with the definition thereof set forth in Rule 14e-4 under the Securities Exchange Act of 1934, as amended (the “Exchange Act”), provided that (x) for purposes of such definition, in determining such holder’s “short position,” the reference in such Rule to “the date the tender offer is first publicly announced or otherwise made known by the bidder to the holders of the security to be acquired” shall be the date of the relevant Special Meeting Request and all dates in the one year period prior thereto, and the reference to the “highest tender offer price or stated amount of the consideration offered for the subject security” shall refer to the closing sales price of the Corporation’s common stock on the New York Stock Exchange on such corresponding date (or, if such date is not a trading day, the next succeeding trading day) and (y) the net long position of such holder shall be reduced by the number of shares as to which such holder does not, or will not, have the right to vote or direct the vote at the Special Meeting or as to which such holder has entered into any derivative or other agreement, arrangement or understanding that hedges or transfers, in whole or in part, directly or indirectly, any of the economic consequences of ownership of such shares. Whether the requesting holders have complied with the requirements of this Article and related provisions of the By-laws shall be determined in good faith by the Board, which determination shall be conclusive and binding on the Corporation and the stockholders.</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Stockholder Requested Special Meetings. In order for a Stockholder Requested Special Meeting to be called, one or more requests for a special meeting</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(each, 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54" w:name="page155"/>
    <w:bookmarkEnd w:id="154"/>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Special Meeting Request,” and collectively, the “Stockholder Special Meeting Requests”) must be signed by the Requisite Percent of record holders (or their duly authorized agents) and must be delivered to the Secretary. The Stockholder Special Meeting Request(s) shall be delivered to the Secretary at the principal executive offices of the Corporation by registered mail, return receipt requested. Each Stockholder Special Meeting Request shall (i) set forth a statement of the specific purpose(s) of the meeting and the matters proposed to be acted on at it, (ii) bear the date of signature of each such stockholder (or duly authorized agent) signing the Stockholder Special Meeting Request, (iii) set forth (A) the name and address, as they appear in the Corporation’s stock ledger, of each stockholder signing such request (or on whose behalf the Stockholder Special Meeting Request is signed), (B) the class, if applicable, and the number of shares of common stock of the Corporation that are owned of record and beneficially by each such stockholder and (C) include documentary evidence of such stockholder’s record and beneficial ownership of such stock, (iv) set forth all information relating to each such stockholder that must be disclosed in solicitations of proxies for election of directors in an election contest (even if an election contest is not involved), or is otherwise required, in each case, pursuant to Regulation 14A under the Exchange Act and (v) contain the information required by Section 2.13 of these by-laws. Any requesting stockholder may revoke his, her or its request for a special meeting at any time by written revocation delivered to the Secretary at the principal executive offices of the Corporation, and if, following such revocation, there are un-revoked requests from stockholders holding in the aggregate less than the Requisite Percent, the Board of Directors, in its discretion, may cancel the special meeting.</w:t>
      </w:r>
    </w:p>
    <w:p>
      <w:pPr>
        <w:spacing w:after="0" w:line="121" w:lineRule="exact"/>
        <w:rPr>
          <w:sz w:val="20"/>
          <w:szCs w:val="20"/>
          <w:color w:val="auto"/>
        </w:rPr>
      </w:pPr>
    </w:p>
    <w:p>
      <w:pPr>
        <w:ind w:firstLine="464"/>
        <w:spacing w:after="0" w:line="283" w:lineRule="auto"/>
        <w:tabs>
          <w:tab w:leader="none" w:pos="69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Calling of a Special Meeting. Notwithstanding the foregoing, the Secretary shall not be required to call a special meeting of stockholders if (i) the Board of Directors calls an annual or special meeting of stockholders to be held not later than sixty (60) days after the date on which a valid Special Meeting Request or Stockholder Special Meeting Request(s) have been delivered to the Secretary (the “Delivery Date”); or (ii) the Special Meeting Request or the Stockholder Special Meeting Request(s) (A) is received by the Secretary during the period commencing ninety (90) days prior to the first anniversary of the date of the immediately preceding annual meeting and ending on the date of the next annual meeting; (B) contains an identical or substantially similar item (a “Similar Item”) to an item that was presented at any meeting of stockholders held within one hundred and twenty (120) days prior to the Delivery Date (and, for purposes of this clause (B) the election of directors shall be deemed a “Similar Item” with respect to all items of business involving the election or removal of directors);</w:t>
      </w:r>
    </w:p>
    <w:p>
      <w:pPr>
        <w:ind w:right="540" w:firstLine="8"/>
        <w:spacing w:after="0" w:line="255" w:lineRule="auto"/>
        <w:tabs>
          <w:tab w:leader="none" w:pos="27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relates to an item of business that is not a proper subject for action by the party requesting the special meeting under applicable law; (D) was made in a manner that involved a violation of Regulation 14A under the Exchange Act or other applicable law; or (E) does not comply with the provisions of this Section 2.4.</w:t>
      </w:r>
    </w:p>
    <w:p>
      <w:pPr>
        <w:spacing w:after="0" w:line="144" w:lineRule="exact"/>
        <w:rPr>
          <w:rFonts w:ascii="Arial" w:cs="Arial" w:eastAsia="Arial" w:hAnsi="Arial"/>
          <w:sz w:val="18"/>
          <w:szCs w:val="18"/>
          <w:color w:val="auto"/>
        </w:rPr>
      </w:pPr>
    </w:p>
    <w:p>
      <w:pPr>
        <w:ind w:right="180" w:firstLine="464"/>
        <w:spacing w:after="0" w:line="294" w:lineRule="auto"/>
        <w:tabs>
          <w:tab w:leader="none" w:pos="705" w:val="left"/>
        </w:tabs>
        <w:numPr>
          <w:ilvl w:val="1"/>
          <w:numId w:val="108"/>
        </w:numPr>
        <w:rPr>
          <w:rFonts w:ascii="Arial" w:cs="Arial" w:eastAsia="Arial" w:hAnsi="Arial"/>
          <w:sz w:val="16"/>
          <w:szCs w:val="16"/>
          <w:color w:val="auto"/>
        </w:rPr>
      </w:pPr>
      <w:r>
        <w:rPr>
          <w:rFonts w:ascii="Arial" w:cs="Arial" w:eastAsia="Arial" w:hAnsi="Arial"/>
          <w:sz w:val="16"/>
          <w:szCs w:val="16"/>
          <w:color w:val="auto"/>
        </w:rPr>
        <w:t>Holding a Special Meeting. Except as provided in the next sentence, any special meeting shall be held at such date and time as may be fixed by the Board of Directors in accordance with these by-laws and the General Corporation Law of the State of Delaware. In the case of a Stockholder Requested Special Meeting, such meeting shall be held at such date and time as may be fixed by the Board of Directors; provided, however, that the date of any Stockholder Requested Special Meeting shall be not more than sixty (60) days after the record date for such meeting (the “Meeting Record Date”), which shall be fixed in accordance with Section 2.12 of these by-laws; provided further that, if the Board of Directors fails to designate,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55" w:name="page156"/>
    <w:bookmarkEnd w:id="155"/>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ten (10) days after the Delivery Date, a date and time for a Stockholder Requested Special Meeting, then such meeting shall be held at 9:00 a.m. local time on the 60th day after the Meeting Record Date (or, if that day shall not be a business day, then on the next preceding business day); and provided further that in the event that the Board of Directors fails to designate a place for a Stockholder Requested Special Meeting within ten (10) days after the Delivery Date, then such meeting shall be held at the Corporation’s principal executive offices. In fixing a date and time for any Stockholder Requested Special Meeting, the Board of Directors may consider such factors as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w:t>
      </w:r>
    </w:p>
    <w:p>
      <w:pPr>
        <w:spacing w:after="0" w:line="147" w:lineRule="exact"/>
        <w:rPr>
          <w:sz w:val="20"/>
          <w:szCs w:val="20"/>
          <w:color w:val="auto"/>
        </w:rPr>
      </w:pPr>
    </w:p>
    <w:p>
      <w:pPr>
        <w:ind w:right="220" w:firstLine="464"/>
        <w:spacing w:after="0" w:line="256"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Business Transacted at a Special Meeting. Business to be transacted at a special meeting may only be brought before the meeting pursuant to the Corporation’s notice of meeting. Business transacted at any Stockholder Requested Special Meeting shall be limited to the purpose(s) stated in the Stockholder Special Meeting Request(s); provided, however, that nothing herein shall prohibit the Board of Directors from submitting matters to the stockholders at any Stockholder Requested Special Meeting.</w:t>
      </w:r>
    </w:p>
    <w:p>
      <w:pPr>
        <w:spacing w:after="0" w:line="14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 of Meeting</w:t>
      </w:r>
      <w:r>
        <w:rPr>
          <w:rFonts w:ascii="Arial" w:cs="Arial" w:eastAsia="Arial" w:hAnsi="Arial"/>
          <w:sz w:val="16"/>
          <w:szCs w:val="16"/>
          <w:color w:val="auto"/>
        </w:rPr>
        <w:t>. Whenever stockholders are required or permitted to take any action at a meeting, notice of the meeting stating the place, if any, date and time of the meeting, the means of remote communication, if any, the record date for determining the stockholders entitled to vote at the meeting (if such date is different from the record date for determining the stockholders entitled to notice of the meeting) and, in the case of a special meeting, the purpose or purposes for which the meeting is called, shall be given. Unless otherwise provided by law, the Certificate of Incorporation or these by-laws, the notice of any meeting shall be given not less than 10 nor more than 60 days before the date of the meeting to each stockholder entitled to vote at the meeting as of the record date for determining the stockholders entitled to notice of the meeting. Such notice may be delivered either personally or by mail. If mailed, notice is given when deposited in the United States mail, postage prepaid, directed to the stockholder at his address as it appears on the records of the Corporation. Without limiting the foregoing, any notice to stockholders given by the Corporation pursuant to this Section 2.5 shall be effective if given by a form of electronic transmission consented to by the stockholder to whom the notice is given. Any such consent shall be revocable by the stockholder by written notice to the Corporation and shall also be deemed revoked if (1) the Corporation is unable to deliver by electronic transmission two consecutive notices given by the Corporation in accordance with such consent and (2) such inability becomes known to the Secretary or Assistant Secretary of the Corporation, the transfer agent or other person responsible for the giving of notice; provided, however, the failure to treat such inability as a revocation shall not invalidate any meeting or other action. Notice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56" w:name="page157"/>
    <w:bookmarkEnd w:id="156"/>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 Adjournment</w:t>
      </w:r>
      <w:r>
        <w:rPr>
          <w:rFonts w:ascii="Arial" w:cs="Arial" w:eastAsia="Arial" w:hAnsi="Arial"/>
          <w:sz w:val="18"/>
          <w:szCs w:val="18"/>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Notwithstanding the other provisions of the Certificate of Incorporation or these by-laws, the chairman of the meeting or the holders of a majority in voting power of the shares of the stock issued and outstanding and entitled to vote, present in person or represented by proxy, although not constituting a quorum, shall have power to adjourn, postpone, or recess the meeting from time to time, without notice other than announcement at the meeting of the time and place of the adjourned, postponed, or recessed meeting. At such adjourned meeting at which a quorum shall be present or represented any business may be transacted which might have been transacted at the meeting as originally notified.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Voting</w:t>
      </w:r>
      <w:r>
        <w:rPr>
          <w:rFonts w:ascii="Arial" w:cs="Arial" w:eastAsia="Arial" w:hAnsi="Arial"/>
          <w:sz w:val="16"/>
          <w:szCs w:val="16"/>
          <w:color w:val="auto"/>
        </w:rPr>
        <w:t>.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57" w:name="page158"/>
    <w:bookmarkEnd w:id="15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14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14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Voting of Stock of Certain Holders; Elections; Inspectors</w:t>
      </w:r>
      <w:r>
        <w:rPr>
          <w:rFonts w:ascii="Arial" w:cs="Arial" w:eastAsia="Arial" w:hAnsi="Arial"/>
          <w:sz w:val="16"/>
          <w:szCs w:val="16"/>
          <w:color w:val="auto"/>
        </w:rPr>
        <w:t>. Shares held in the name of another entity, domestic or foreign, may be voted by such officer, agent, authorized person or proxy as the organizational documents of such entity may prescribe, or in the absence of such provision, as the board of directors or other governing body of such entity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he has expressly empowered the pledgee to vote such shares, in which case only the pledgee, or his proxy, may represent the stock and vote such shares.</w:t>
      </w:r>
    </w:p>
    <w:p>
      <w:pPr>
        <w:spacing w:after="0" w:line="118"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32" w:lineRule="exact"/>
        <w:rPr>
          <w:sz w:val="20"/>
          <w:szCs w:val="20"/>
          <w:color w:val="auto"/>
        </w:rPr>
      </w:pPr>
    </w:p>
    <w:p>
      <w:pPr>
        <w:ind w:left="1140" w:hanging="237"/>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only one votes, his act binds all;</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more than one vote, the act of the majority so voting binds all; or</w:t>
      </w:r>
    </w:p>
    <w:p>
      <w:pPr>
        <w:spacing w:after="0" w:line="90" w:lineRule="exact"/>
        <w:rPr>
          <w:rFonts w:ascii="Arial" w:cs="Arial" w:eastAsia="Arial" w:hAnsi="Arial"/>
          <w:sz w:val="18"/>
          <w:szCs w:val="18"/>
          <w:color w:val="auto"/>
        </w:rPr>
      </w:pPr>
    </w:p>
    <w:p>
      <w:pPr>
        <w:ind w:left="460" w:right="60" w:firstLine="443"/>
        <w:spacing w:after="0" w:line="255" w:lineRule="auto"/>
        <w:tabs>
          <w:tab w:leader="none" w:pos="11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 additional person to act with the persons so voting the shares, which shall then be voted as determined by a majority of such persons and the person appointed by such court. If the instrument so filed shows that any such tenancy is held in unequal interests, a majority or even-split for the purpose of this subsection shall be a majority or even-split in interest.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58" w:name="page159"/>
    <w:bookmarkEnd w:id="158"/>
    <w:p>
      <w:pPr>
        <w:ind w:right="74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voting of stockholders shall be taken by written ballots, each of which shall state the name of the stockholder or proxy voting and such other information as may be required under the procedure established for the meeting. All proxies submitted to management may be voted by a master ballot.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provided in the Certificate of Incorporation, cumulative voting for the election of directors shall be prohibited.</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Inspector of Elections</w:t>
      </w:r>
      <w:r>
        <w:rPr>
          <w:rFonts w:ascii="Arial" w:cs="Arial" w:eastAsia="Arial" w:hAnsi="Arial"/>
          <w:sz w:val="16"/>
          <w:szCs w:val="16"/>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duties, shall take and sign an oath to execute faithfully the duties of inspector with strict impartiality and according to the best of his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Conduct of Meeting</w:t>
      </w:r>
      <w:r>
        <w:rPr>
          <w:rFonts w:ascii="Arial" w:cs="Arial" w:eastAsia="Arial" w:hAnsi="Arial"/>
          <w:sz w:val="16"/>
          <w:szCs w:val="16"/>
          <w:color w:val="auto"/>
        </w:rPr>
        <w:t>.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Chief Executive Officer, or if neither the Chairman of the Board (if any), the Vice Chairman of the Board (if any)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date and time of the opening and the closing of the polls for each matter upon which the stockholders will vote at the meeting and the order of business and 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Calling of meeting to order.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59" w:name="page160"/>
    <w:bookmarkEnd w:id="159"/>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Election of a chairman and the appointment of a secretary if necessary.</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Presentation of proof of the due calling of the meeting.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Presentation and examination of proxies and determination of a quorum.</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Reading and settlement of the minutes of the previous meeting.</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Reports of officers and committees.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election of directors if an annual meeting, or a meeting called for that purpose.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Unfinished business.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New business.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Adjournment.</w:t>
      </w:r>
    </w:p>
    <w:p>
      <w:pPr>
        <w:spacing w:after="0" w:line="171"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Without limiting the foregoing, except to the extent inconsistent with such rules and regulations as adopted by the Board of Directors, the chairman of the meeting shall have the right and authority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w:t>
      </w:r>
    </w:p>
    <w:p>
      <w:pPr>
        <w:spacing w:after="0" w:line="1" w:lineRule="exact"/>
        <w:rPr>
          <w:sz w:val="20"/>
          <w:szCs w:val="20"/>
          <w:color w:val="auto"/>
        </w:rPr>
      </w:pPr>
    </w:p>
    <w:p>
      <w:pPr>
        <w:jc w:val="both"/>
        <w:ind w:right="200" w:firstLine="8"/>
        <w:spacing w:after="0" w:line="255" w:lineRule="auto"/>
        <w:tabs>
          <w:tab w:leader="none" w:pos="29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Treasury Stock</w:t>
      </w:r>
      <w:r>
        <w:rPr>
          <w:rFonts w:ascii="Arial" w:cs="Arial" w:eastAsia="Arial" w:hAnsi="Arial"/>
          <w:sz w:val="18"/>
          <w:szCs w:val="18"/>
          <w:color w:val="auto"/>
        </w:rPr>
        <w:t>.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Fixing Record Date; Action by Written Consent</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68"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notice of any meeting of stockholders or any adjournment thereof, or entitled to receive payment of any dividend or other distribution or allotment of any rights, or entitled to exercise any rights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60" w:name="page161"/>
    <w:bookmarkEnd w:id="160"/>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 of any change, conversion or exchange of stock or for the purpose of any other lawful action (other than action by consent in writing without a meeting), the Board of Directors may fix a record date, which record date shall not precede the date upon which the resolution fixing the record date is adopted by the Board of Directors, and which record date: (1) in the case of determination of stockholders entitled to notice of any meeting of stockholders or adjournment thereof, shall, unless otherwise required by law, not be more than 60 nor less than 10 days before the date of such meeting; and (2) in the case of any other action (other than action by consent in writing without a meeting), shall not be more than 60 days prior to such other action. If the Board of Directors so fixes a date for determining stockholders entitled to notice of the meeting, such date shall also be the record date for determining the stockholders entitled to vote at such meeting unless the Board of Directors determines, at the time it fixes such record date for determining stockholders entitled to notice of the meeting, that a later date on or before the date of the meeting shall be the date for determining stockholders entitled to vote at the meeting.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 stockholders for any other purpose (other than action by consent in writing without a meeting) shall be at the close of business on the day on which the Board of Directors adopts the resolution relating thereto.</w:t>
      </w:r>
    </w:p>
    <w:p>
      <w:pPr>
        <w:spacing w:after="0" w:line="124" w:lineRule="exact"/>
        <w:rPr>
          <w:sz w:val="20"/>
          <w:szCs w:val="20"/>
          <w:color w:val="auto"/>
        </w:rPr>
      </w:pPr>
    </w:p>
    <w:p>
      <w:pPr>
        <w:ind w:firstLine="464"/>
        <w:spacing w:after="0" w:line="285" w:lineRule="auto"/>
        <w:tabs>
          <w:tab w:leader="none" w:pos="70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written consent shall, by written notice to the Secretary, request that the Board of Directors fix a record date. The Board of Directors shall promptly, but in all events within 10 days after the date on which such written notice is received, adopt a resolution fixing the record date (unless a record date has previously been fixed by the Board of Directors pursuant to the first sentence of this Section 2.12(b)).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10 day time period on which a signed written consent setting forth the action taken or proposed to be taken is delivered to the Corporation by delivery to its registered office in Delaware, its principal place of business, or to any officer or agent of the Corporation having custody of the book in which proceedings of meetings of stockholders are recorded. If no record date has been fixed by the Board of Directors pursuant to the first sentence of this Section 2.12(b), the record date for determining stockholders entitled to consent to corporate action in writing without a meeting if prior action by the Board of Directors is required by applicable law shall be at the close of business on the date on which the Board of Directors adopts the resolution taking such prior action.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61" w:name="page162"/>
    <w:bookmarkEnd w:id="161"/>
    <w:p>
      <w:pPr>
        <w:ind w:right="260" w:firstLine="464"/>
        <w:spacing w:after="0" w:line="287" w:lineRule="auto"/>
        <w:tabs>
          <w:tab w:leader="none" w:pos="695" w:val="left"/>
        </w:tabs>
        <w:numPr>
          <w:ilvl w:val="0"/>
          <w:numId w:val="1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the delivery, in the manner provided by this Section 2.12 and applicable law, to the Corporation of written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22" w:lineRule="exact"/>
        <w:rPr>
          <w:rFonts w:ascii="Arial" w:cs="Arial" w:eastAsia="Arial" w:hAnsi="Arial"/>
          <w:sz w:val="16"/>
          <w:szCs w:val="16"/>
          <w:color w:val="auto"/>
        </w:rPr>
      </w:pPr>
    </w:p>
    <w:p>
      <w:pPr>
        <w:jc w:val="both"/>
        <w:ind w:right="240" w:firstLine="464"/>
        <w:spacing w:after="0" w:line="256"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after the earliest dated written consent received in accordance with this Section 2.12, a valid written consent or valid written consents signed by a sufficient number of stockholders to take such action are delivered to the Corporation in the manner prescribed in this Section 2.12 and applicable law, and not revoked.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Stockholder Proposals</w:t>
      </w:r>
      <w:r>
        <w:rPr>
          <w:rFonts w:ascii="Arial" w:cs="Arial" w:eastAsia="Arial" w:hAnsi="Arial"/>
          <w:sz w:val="16"/>
          <w:szCs w:val="16"/>
          <w:color w:val="auto"/>
        </w:rPr>
        <w:t>. At an annual or special meeting of the stockholders, only such business (other than nominations of persons for election to the Board of Directors) shall be conducted as shall have been properly brought before the meeting. To be properly brought before an annual or special meeting, business (other than nominations of persons for election to the Board of Directors) must be (a) specified in the notice of meeting (or any supplement thereto) given by or at the direction of the Chairman of the Board, the Chief Executive Officer, or the Board of Directors or any committee thereof, (b) otherwise properly brought before the meeting by or at the direction of the Chairman of the Board, the Chief Executive Officer, or the Board of Directors or any committee thereof, or (c) otherwise properly brought before the meeting by a stockholder of the Corporation of record at the time the notice provided for in this Section 2.13 is delivered to the Secretary of the Corporation, who is entitled to vote at the meeting and who otherwise complies with the notice procedures set forth in this Section 2.13. For any proposed business to be properly brought before an annual or special meeting of stockholders pursuant to clause (c) above of this paragraph, the proposed business must constitute a proper matter for stockholder action.</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No proposal (other than nominations of persons for election to the Board of Directors) by a stockholder shall be presented at an annual or special meeting of stockholders unless such stockholder shall provide the Board of Directors or the Secretary of the Corporation with timely written notice of his, her or its intention to present a proposal for action at the forthcoming meeting of stockholders, which notice shall include as to the stockholder giving the notice and the beneficial owner, if any, on whose behalf the proposal is made (a) the name and address of such stockholder as they appear on the Corporation’s books, and of such beneficial owner,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62" w:name="page163"/>
    <w:bookmarkEnd w:id="162"/>
    <w:p>
      <w:pPr>
        <w:ind w:left="-8" w:firstLine="8"/>
        <w:spacing w:after="0" w:line="303" w:lineRule="auto"/>
        <w:tabs>
          <w:tab w:leader="none" w:pos="241" w:val="left"/>
        </w:tabs>
        <w:numPr>
          <w:ilvl w:val="0"/>
          <w:numId w:val="11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class or series and number of voting securities of the Corporation which are owned beneficially and of record by such stockholder and such beneficial owner, (c) a description of any agreement, arrangement or understanding with respect to the proposal between or among such stockholder and/or such beneficial owner, any of their respective affiliates or associates, and any others acting in concert with any of the foregoing, (d)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(e) a brief description of the business desired to be brought before the meeting, the text of the proposal to be presented at the meeting (including the text of any resolutions proposed for consideration and in the event that such business includes a proposal to amend these by-laws, the language of the proposed amendment), (f) a statement in support of the proposal, (g) any material interest of the stockholder in such proposal, (h) a representation that the stockholder is a holder of record of stock of the Corporation entitled to vote at such meeting and intends to appear in person or by proxy at the meeting to propose such business, (i) a representation whether the stockholder or the beneficial owner intends or is part of a group which intends (1) to deliver a proxy statement and/or form of proxy to holders of at least the percentage of the Corporation’s outstanding capital stock required to approve or adopt the proposal and/or (2) otherwise solicit proxies from stockholders in support of such proposal, and (j) any other information relating to such stockholder and beneficial owner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To be timely, a stockholder’s notice (other than for the nominations of persons for election to the Board of Directors)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0"/>
          <w:szCs w:val="10"/>
          <w:color w:val="auto"/>
        </w:rPr>
        <w:t>th</w:t>
      </w:r>
      <w:r>
        <w:rPr>
          <w:rFonts w:ascii="Arial" w:cs="Arial" w:eastAsia="Arial" w:hAnsi="Arial"/>
          <w:sz w:val="15"/>
          <w:szCs w:val="15"/>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5"/>
          <w:szCs w:val="15"/>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To be timely, a stockholder’s notice (other than for the nominations of persons for election to the Board of Directors) with respect to a special meeting of stockholders must be delivered to or mailed and received at the principal executive offices of the Corporation, not less than 90 days nor more than 120 days prior to the meeting; provided, however, that in the event that less than 70 days’ notice or prior public announcement of the date of the meeting is given or made to stockholders, notice by the stockholder to be timely must be so received not later than the close of business on the fifth (5</w:t>
      </w:r>
      <w:r>
        <w:rPr>
          <w:rFonts w:ascii="Arial" w:cs="Arial" w:eastAsia="Arial" w:hAnsi="Arial"/>
          <w:sz w:val="10"/>
          <w:szCs w:val="10"/>
          <w:color w:val="auto"/>
        </w:rPr>
        <w:t>th</w:t>
      </w:r>
      <w:r>
        <w:rPr>
          <w:rFonts w:ascii="Arial" w:cs="Arial" w:eastAsia="Arial" w:hAnsi="Arial"/>
          <w:sz w:val="15"/>
          <w:szCs w:val="15"/>
          <w:color w:val="auto"/>
        </w:rPr>
        <w:t>) day following the day on which such notice of the date of the special meeting was</w:t>
      </w:r>
    </w:p>
    <w:p>
      <w:pPr>
        <w:spacing w:after="0" w:line="3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72"/>
          </w:cols>
          <w:pgMar w:left="248" w:top="280" w:right="279" w:bottom="1440" w:gutter="0" w:footer="0" w:header="0"/>
        </w:sectPr>
      </w:pPr>
    </w:p>
    <w:bookmarkStart w:id="163" w:name="page164"/>
    <w:bookmarkEnd w:id="163"/>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mailed or such public announcement was made. For purposes of these by-laws,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 The foregoing notice requirements of this Section 2.13 shall be deemed satisfied by a stockholder with respect to business (other than nominations of persons for election to the Board of Directors) if the stockholder has notified the Corporation of his, her or its intention to present a proposal at an annual or special meeting in compliance with applicable rules and regulations promulgated under the Exchange Act and such stockholder’s proposal has been included in a proxy statement that has been prepared by the Corporation to solicit proxies for such annual or special meeting.</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provision shall not prevent the consideration and approval or disapproval at a meeting of stockholders of reports of officers, directors, and committees; but in connection with such reports, no new business shall be acted upon at such meeting unless stated and filed as provided in this Section 2.13. Notwithstanding anything in these by-laws to the contrary, no business (other than nominations of persons for election to the Board of Directors) shall be conducted at any annual or special meeting of stockholders except in accordance with the procedures set forth in this Section 2.13 and no nominations shall be considered at an annual or special meeting of stockholders except in accordance with Section 2.14 below. The chairman of the annual meeting or a special meeting shall, if the facts warrant, determine and declare to the meeting that business was not properly brought before the meeting and in accordance with the provisions of this Section 2.13 (including whether the stockholder or beneficial owner, if any, on whose behalf the proposal is made solicited (or is part of a group which solicited) or did not so solicit, as the case may be, proxies in support of such stockholder’s proposal in compliance with such stockholder’s representation as required by clause (i) of this Section 2.13) and if any proposed business was not proposed in compliance with this Section 2.13, to declare that such proposed business shall not be transacted, and if he should so determine, he shall so declare to the meeting and any such business not properly brought before the meeting shall not be transacted. Notwithstanding the foregoing provisions of this Section 2.13, unless otherwise required by law, if the stockholder (or a qualified representative of the stockholder) does not appear at the annual or special meeting of stockholders of the Corporation to present the proposed business, such proposed business shall not be transacted, notwithstanding that proxies in respect of such vote may have been received by the Corporation. For purposes of this Section 2.13,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21"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Exchange Act and the rules and regulations promulgated thereunder, and the Corporation shall not be required to include in its proxy statement material to stockholders any stockholder proposal not required to be included in its proxy material to stockholders in accordance with the Exchange Act and the rules and regulations promulgated thereunder.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4" w:name="page165"/>
    <w:bookmarkEnd w:id="164"/>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provisions of this Section 2.13, a stockholder shall also comply with all applicable requirements of the Exchange Act and the rules and regulations promulgated thereunder with respect to the matters set forth in this Section 2.13; provided however, that any references in these by-laws to the Exchange Act or the rules and regulations promulgated thereunder are not intended to and shall not limit any requirements applicable to proposals as to any other business to be considered pursuant to this Section 2.13, and compliance with this Section 2.13 shall be the exclusive means for a stockholder to submit other business (other than matters brought properly under and in compliance with Rule 14a-8 of the Exchange Act, as may be amended from time to time). Nothing in this Section 2.13 shall be deemed to affect any rights of stockholders to request inclusion of proposals in the Corporation’s proxy statement pursuant to applicable rules and regulations promulgated under the Exchange Act.</w:t>
      </w:r>
    </w:p>
    <w:p>
      <w:pPr>
        <w:spacing w:after="0" w:line="118"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 xml:space="preserve">SECTION 2.14. </w:t>
      </w:r>
      <w:r>
        <w:rPr>
          <w:rFonts w:ascii="Arial" w:cs="Arial" w:eastAsia="Arial" w:hAnsi="Arial"/>
          <w:sz w:val="15"/>
          <w:szCs w:val="15"/>
          <w:u w:val="single" w:color="auto"/>
          <w:color w:val="auto"/>
        </w:rPr>
        <w:t>Nomination of Directors</w:t>
      </w:r>
      <w:r>
        <w:rPr>
          <w:rFonts w:ascii="Arial" w:cs="Arial" w:eastAsia="Arial" w:hAnsi="Arial"/>
          <w:sz w:val="15"/>
          <w:szCs w:val="15"/>
          <w:color w:val="auto"/>
        </w:rPr>
        <w:t>. Only persons who are nominated in accordance with the procedures of this Section 2.14 shall be eligible for election as directors. Subject to the rights of holders of any class or series of stock having a preference over the common stock as to dividends or upon liquidation, nominations for the election of directors may be made (a) pursuant to the Corporation’s notice of meeting (or any supplement thereto), (b) by or at the direction of the Board of Directors or any committee thereof, or (c) by any stockholder of the Corporation who was a stockholder of record of the Corporation at the time notice provided for in this Section 2.14 is delivered to the Secretary of the Corporation, who is entitled to vote in the election of directors and who complies with the notice procedures set forth in this Section 2.14. Such stockholder may nominate one or more persons for election as a director at an annual or special meeting of stockholders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10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To be timely, a stockholder’s notice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Exchange Act and the rules and regulations promulgated thereunder, and (ii) such person’s written consent to being named in the proxy statement as a nominee and to serving as a director if elected; and (b) as to the stockholder giving the notice and the beneficial owner, if any, 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5" w:name="page166"/>
    <w:bookmarkEnd w:id="16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whose behalf the nomination is made (i) the name and address of such stockholder, as they appear on the Corporation’s books, and of such beneficial owner,</w:t>
      </w:r>
    </w:p>
    <w:p>
      <w:pPr>
        <w:spacing w:after="0" w:line="38" w:lineRule="exact"/>
        <w:rPr>
          <w:sz w:val="20"/>
          <w:szCs w:val="20"/>
          <w:color w:val="auto"/>
        </w:rPr>
      </w:pPr>
    </w:p>
    <w:p>
      <w:pPr>
        <w:ind w:firstLine="8"/>
        <w:spacing w:after="0" w:line="283" w:lineRule="auto"/>
        <w:tabs>
          <w:tab w:leader="none" w:pos="25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class or series and number of voting securities of the Corporation which are owned beneficially and of record by such stockholder and such beneficial owner, (iii) a description of any agreement, arrangement or understanding with respect to the proposal between or among such stockholder and/or such beneficial owner, any of their respective affiliates or associates, and any others acting in concert with any of the foregoing,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(v) a representation that the stockholder is a holder of record of stock of the Corporation entitled to vote at such meeting and intends to appear in person or by proxy at the meeting to propose such nomination, (vi) a representation whether the stockholder or the beneficial owner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 and (vii) any other information relating to such stockholder and beneficial owner required to be disclosed in a proxy statement or other filings required to be made in connection with solicitations of proxies for the election of directors in an election contest pursuant to and in accordance with Section 14(a) of the Exchange Act and the rules and regulations promulgated thereunder. The Corporation may require any proposed nominee to furnish such other information as it may reasonably require to determine the eligibility of such proposed nominee to serve as a director of the Corporation. Notwithstanding anything in the first sentence of this paragraph to the contrary, in the event that the number of directors to be elected to the Board of Directors is increased effective at the annual meeting and there is no public announcement by the Corporation naming the nominees for the additional directorships at least one hundred (100) days prior to the first anniversary of the preceding year’s annual meeting, a stockholder’s notice required by this Section 2.14 shall also be considered timely, but only with respect to nominees for the additional directorships, if it shall be delivered to the Secretary of the Corporation at the principal executive offices of the Corporation not later than the close of business on the tenth (10</w:t>
      </w:r>
      <w:r>
        <w:rPr>
          <w:rFonts w:ascii="Arial" w:cs="Arial" w:eastAsia="Arial" w:hAnsi="Arial"/>
          <w:sz w:val="10"/>
          <w:szCs w:val="10"/>
          <w:color w:val="auto"/>
        </w:rPr>
        <w:t>th</w:t>
      </w:r>
      <w:r>
        <w:rPr>
          <w:rFonts w:ascii="Arial" w:cs="Arial" w:eastAsia="Arial" w:hAnsi="Arial"/>
          <w:sz w:val="16"/>
          <w:szCs w:val="16"/>
          <w:color w:val="auto"/>
        </w:rPr>
        <w:t>) day following the day on which such public announcement is first made by the Corporation.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13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this Section 2.14 is delivered to the Secretary of the Corporation, who is entitled to vote at the meeting and upon such election and who complies with the notice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66" w:name="page167"/>
    <w:bookmarkEnd w:id="16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procedures set forth in this Section 2.14.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Section 2.14 shall be delivered to the Secretary at the principal executive offices of the Corporation not earlier than the close of business on the one hundred twentieth (120</w:t>
      </w:r>
      <w:r>
        <w:rPr>
          <w:rFonts w:ascii="Arial" w:cs="Arial" w:eastAsia="Arial" w:hAnsi="Arial"/>
          <w:sz w:val="10"/>
          <w:szCs w:val="10"/>
          <w:color w:val="auto"/>
        </w:rPr>
        <w:t>th</w:t>
      </w:r>
      <w:r>
        <w:rPr>
          <w:rFonts w:ascii="Arial" w:cs="Arial" w:eastAsia="Arial" w:hAnsi="Arial"/>
          <w:sz w:val="16"/>
          <w:szCs w:val="16"/>
          <w:color w:val="auto"/>
        </w:rPr>
        <w:t>) day prior to such special meeting and not later than the close of business on the later of the ninetieth (90</w:t>
      </w:r>
      <w:r>
        <w:rPr>
          <w:rFonts w:ascii="Arial" w:cs="Arial" w:eastAsia="Arial" w:hAnsi="Arial"/>
          <w:sz w:val="10"/>
          <w:szCs w:val="10"/>
          <w:color w:val="auto"/>
        </w:rPr>
        <w:t>th</w:t>
      </w:r>
      <w:r>
        <w:rPr>
          <w:rFonts w:ascii="Arial" w:cs="Arial" w:eastAsia="Arial" w:hAnsi="Arial"/>
          <w:sz w:val="16"/>
          <w:szCs w:val="16"/>
          <w:color w:val="auto"/>
        </w:rPr>
        <w:t>) day prior to such special meeting, or the tenth (10</w:t>
      </w:r>
      <w:r>
        <w:rPr>
          <w:rFonts w:ascii="Arial" w:cs="Arial" w:eastAsia="Arial" w:hAnsi="Arial"/>
          <w:sz w:val="10"/>
          <w:szCs w:val="10"/>
          <w:color w:val="auto"/>
        </w:rPr>
        <w:t>th</w:t>
      </w:r>
      <w:r>
        <w:rPr>
          <w:rFonts w:ascii="Arial" w:cs="Arial" w:eastAsia="Arial" w:hAnsi="Arial"/>
          <w:sz w:val="16"/>
          <w:szCs w:val="16"/>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Only such persons who are nominated in accordance with the procedures set forth in this Section 2.14 shall be eligible to be elected at an annual or special meeting of stockholders of the Corporation to serve as directors.</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Except as otherwise provided by law, the chairman of the meeting shall have the power and duty (a) to determine whether a nomination brought before the meeting was made in accordance with the procedures set forth in this Section 2.14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(b)(vi) of this Section 2.14) and (b) if any proposed nomination was not made in compliance with this Section 2.14, to declare that such nomination shall be disregarded. Notwithstanding the foregoing provisions of this Section 2.14,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2.14,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Notwithstanding the foregoing provisions of this Section 2.14, a stockholder shall also comply with all applicable requirements of the Exchange Act and the rules and regulations promulgated thereunder with respect to the matters set forth in this Section 2.14; provided however, that any references in these by-laws to the Exchange Act or the rules and regulations promulgated thereunder are not intended to and shall not limit any requirements applicable to nominations as to any other business to be considered pursuant to this Section 2.14, and compliance with this Section 2.14 shall be the exclusive means for a stockholder to make nominations. Nothing in this Section 2.14 shall be deemed to affect any rights of the holders of any series of Preferred Stock to elect directors pursuant to any applicable provision of the Certificate of Incorporation.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67" w:name="page168"/>
    <w:bookmarkEnd w:id="16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BOARD OF DIRECTORS</w:t>
      </w:r>
    </w:p>
    <w:p>
      <w:pPr>
        <w:spacing w:after="0" w:line="171"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and do all such lawful acts and thing as are not by law or by the Certificate of Incorporation or by these by-laws directed or required to be exercised or done by the stockholders.</w:t>
      </w:r>
    </w:p>
    <w:p>
      <w:pPr>
        <w:spacing w:after="0" w:line="14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the State of Delaware or stockholders of the Corporation.</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Each director, other than those who may be elected by the holders of any class or series of Preferred Stock, voting separately by class or series, shall be elected by the vote of the majority of the votes cast with respect to the director at any meeting for the election of directors at which a quorum is present, provided that if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50% of the votes cast with respect to that director. If a director is not elected, the director shall offer to tender his or her resignation to the Board. The Nominating and Governance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 The director who tenders his or her resignation will not participate in the Board’s decision. Directors shall hold office until the next annual meeting and until their successors shall be duly elected and qualified, subject to such director’s earlier death, resignation, disqualification or removal. Any director may resign at any time upon notice to the Corporation.</w:t>
      </w:r>
    </w:p>
    <w:p>
      <w:pPr>
        <w:spacing w:after="0" w:line="12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Vacancies, Additional Directors and Removal From Office</w:t>
      </w:r>
      <w:r>
        <w:rPr>
          <w:rFonts w:ascii="Arial" w:cs="Arial" w:eastAsia="Arial" w:hAnsi="Arial"/>
          <w:sz w:val="18"/>
          <w:szCs w:val="18"/>
          <w:color w:val="auto"/>
        </w:rPr>
        <w:t>. Except as otherwise provided pursuant to the provisions of the Certificate of Incorporation relating to the rights of the holders of any class or series of Preferred Stock, voting separately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8" w:name="page169"/>
    <w:bookmarkEnd w:id="168"/>
    <w:p>
      <w:pPr>
        <w:jc w:val="both"/>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class or series, to elect directors under specified circumstances, any director or directors may be removed from office at any time, with or without cause but only by the affirmative vote, at any regular meeting or special meeting (as the case may be) of the stockholders, of a majority of the outstanding shares of capital stock of the Corporation then entitled to vote generally in the election of directors, voting together as a single class, but only if notice of such proposal was contained in the notice of such meeting.</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 filled solely by the vote of a majority of the remaining members of the Board of Directors whether or not a quorum, and any director so elected shall hold office until the expiration of the term of office of the director whom he has replaced or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1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Regular Meeting</w:t>
      </w:r>
      <w:r>
        <w:rPr>
          <w:rFonts w:ascii="Arial" w:cs="Arial" w:eastAsia="Arial" w:hAnsi="Arial"/>
          <w:sz w:val="16"/>
          <w:szCs w:val="16"/>
          <w:color w:val="auto"/>
        </w:rPr>
        <w:t>. A regular meeting of the Board of Directors shall be held each year, without notice other than this by-law, at the place of, and on the day of, the annual meeting of stockholders if a quorum is present; and other regular meetings of the Board of Directors shall be held each year, at such time and place either within or without the State of Delaware as the Board of Directors may determine.</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Special Meeting</w:t>
      </w:r>
      <w:r>
        <w:rPr>
          <w:rFonts w:ascii="Arial" w:cs="Arial" w:eastAsia="Arial" w:hAnsi="Arial"/>
          <w:sz w:val="16"/>
          <w:szCs w:val="16"/>
          <w:color w:val="auto"/>
        </w:rPr>
        <w:t>. A special meeting of the Board of Directors may be called by the Chairman of the Board (if any) or by the Chief Executive Officer and shall be called by the Secretary on the written request of a majority of the directors. The Chairman or Chief Executive Officer so calling, or the directors so requesting, any such meeting shall fix the time and place, either within or without the State of Delaware, of holding such meeting.</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Notice of Special Meeting</w:t>
      </w:r>
      <w:r>
        <w:rPr>
          <w:rFonts w:ascii="Arial" w:cs="Arial" w:eastAsia="Arial" w:hAnsi="Arial"/>
          <w:sz w:val="18"/>
          <w:szCs w:val="18"/>
          <w:color w:val="auto"/>
        </w:rPr>
        <w:t>. Notice of special meetings of the Board of Directors shall be given to each director at least 24 hours prior to the time of such meeting by mail, personal delivery, facsimile, telephone or other means of electronic communication. Any director may waive notice of any meeting, whether before or after the time specified therein. The attendance of a director at any meeting shall constitute a waiver of notice of such meeting, except where a director attends a meeting for the purpose of objecting to the transaction of any business because the meeting is not lawfully called or convened. Neither the business to be transacted at nor the purpose of any regular or special meeting of the directors, or members of a committee of directors, need be specified in a waiver of notice.</w:t>
      </w:r>
    </w:p>
    <w:p>
      <w:pPr>
        <w:spacing w:after="0" w:line="144"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SECTION 3.7. </w:t>
      </w:r>
      <w:r>
        <w:rPr>
          <w:rFonts w:ascii="Arial" w:cs="Arial" w:eastAsia="Arial" w:hAnsi="Arial"/>
          <w:sz w:val="15"/>
          <w:szCs w:val="15"/>
          <w:u w:val="single" w:color="auto"/>
          <w:color w:val="auto"/>
        </w:rPr>
        <w:t>Place of Meetings; Order of Business</w:t>
      </w:r>
      <w:r>
        <w:rPr>
          <w:rFonts w:ascii="Arial" w:cs="Arial" w:eastAsia="Arial" w:hAnsi="Arial"/>
          <w:sz w:val="15"/>
          <w:szCs w:val="15"/>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 preside at all meetings of the Board of Directors. In the absence of the Chairman of the Board, the Chairman of the Nominating and Governance Committee will preside at all meetings of the Board of Directors. If both the Chairman of the Board and the Chairman of the Nominating and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69" w:name="page170"/>
    <w:bookmarkEnd w:id="169"/>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Governance Committee are absent or unable to act as chairman,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Quorum and Participation; Telephonic Meeting</w:t>
      </w:r>
      <w:r>
        <w:rPr>
          <w:rFonts w:ascii="Arial" w:cs="Arial" w:eastAsia="Arial" w:hAnsi="Arial"/>
          <w:sz w:val="18"/>
          <w:szCs w:val="18"/>
          <w:color w:val="auto"/>
        </w:rPr>
        <w:t>.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Members of the Board of Directors, or any committee designated by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Presumption of Assent</w:t>
      </w:r>
      <w:r>
        <w:rPr>
          <w:rFonts w:ascii="Arial" w:cs="Arial" w:eastAsia="Arial" w:hAnsi="Arial"/>
          <w:sz w:val="18"/>
          <w:szCs w:val="18"/>
          <w:color w:val="auto"/>
        </w:rPr>
        <w: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Action By Unanimous Consent of Directors</w:t>
      </w:r>
      <w:r>
        <w:rPr>
          <w:rFonts w:ascii="Arial" w:cs="Arial" w:eastAsia="Arial" w:hAnsi="Arial"/>
          <w:sz w:val="16"/>
          <w:szCs w:val="16"/>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 such committee, as the case may be, consent thereto in writing or by electronic transmission and such written consent or electronic transmission is filed with the minutes of proceedings of the Board or committee. Such consent shall have the same force and effect as a unanimous vote at a meeting, and may be stated as such in any document or instrument filed with the Secretary of State of the State of Delaware.</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70" w:name="page171"/>
    <w:bookmarkEnd w:id="170"/>
    <w:p>
      <w:pPr>
        <w:ind w:right="2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3.12. </w:t>
      </w:r>
      <w:r>
        <w:rPr>
          <w:rFonts w:ascii="Arial" w:cs="Arial" w:eastAsia="Arial" w:hAnsi="Arial"/>
          <w:sz w:val="16"/>
          <w:szCs w:val="16"/>
          <w:u w:val="single" w:color="auto"/>
          <w:color w:val="auto"/>
        </w:rPr>
        <w:t>Approval, Adoption or Ratification of Acts or Agreements by Stockholders</w:t>
      </w:r>
      <w:r>
        <w:rPr>
          <w:rFonts w:ascii="Arial" w:cs="Arial" w:eastAsia="Arial" w:hAnsi="Arial"/>
          <w:sz w:val="16"/>
          <w:szCs w:val="16"/>
          <w:color w:val="auto"/>
        </w:rPr>
        <w:t>. The Board of Directors in its discretion may submit any act or agreement for approval, adoption or ratification at any annual meeting of the stockholders, or at any special meeting of the stockholders called for the purpose of considering any such act or agreement, and any act or agreement that shall be approved, adopted or ratified by the vote of the stockholders holding a majority in voting power of the issued and outstanding shares of stock of the Corporation entitled to vote and present in person or by proxy at such meeting (provided that a quorum is present), shall be as valid and as binding upon the Corporation and upon all the stockholders as if it has been approved, adopted or ratified by every stockholder of the Corporation subject to the Certificate of Incorporation, applicable law or the rules and regulations of any exchange on which shares of the Corporation’s stock are traded. In addition, any such act or contract may be approved, adopted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COMMITTEES OF DIRECTORS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Designation, Powers and Name</w:t>
      </w:r>
      <w:r>
        <w:rPr>
          <w:rFonts w:ascii="Arial" w:cs="Arial" w:eastAsia="Arial" w:hAnsi="Arial"/>
          <w:sz w:val="16"/>
          <w:szCs w:val="16"/>
          <w:color w:val="auto"/>
        </w:rPr>
        <w:t>. The Board of Directors shall designate a Nominating and Governance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to the fullest extent permitted 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 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these by-laws, by the Charter for such committee adopted by the Board of Directors, or by a resolution adopted by the Board of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71" w:name="page172"/>
    <w:bookmarkEnd w:id="171"/>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4.2. </w:t>
      </w:r>
      <w:r>
        <w:rPr>
          <w:rFonts w:ascii="Arial" w:cs="Arial" w:eastAsia="Arial" w:hAnsi="Arial"/>
          <w:sz w:val="16"/>
          <w:szCs w:val="16"/>
          <w:u w:val="single" w:color="auto"/>
          <w:color w:val="auto"/>
        </w:rPr>
        <w:t>Procedure; Meetings; Quorum</w:t>
      </w:r>
      <w:r>
        <w:rPr>
          <w:rFonts w:ascii="Arial" w:cs="Arial" w:eastAsia="Arial" w:hAnsi="Arial"/>
          <w:sz w:val="16"/>
          <w:szCs w:val="16"/>
          <w:color w:val="auto"/>
        </w:rPr>
        <w:t>. Any committee designated pursuant to Section 4.1 shall keep regular minutes of its proceedings and report the same to the Board of Directors when requested, shall fix its own rules or procedures to the extent not otherwise set forth in the Charter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w:t>
      </w:r>
    </w:p>
    <w:p>
      <w:pPr>
        <w:spacing w:after="0" w:line="12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Compensation</w:t>
      </w:r>
      <w:r>
        <w:rPr>
          <w:rFonts w:ascii="Arial" w:cs="Arial" w:eastAsia="Arial" w:hAnsi="Arial"/>
          <w:sz w:val="16"/>
          <w:szCs w:val="16"/>
          <w:color w:val="auto"/>
        </w:rPr>
        <w:t>.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WAIVER OF NOTICE</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Methods of Giving Notice</w:t>
      </w:r>
      <w:r>
        <w:rPr>
          <w:rFonts w:ascii="Arial" w:cs="Arial" w:eastAsia="Arial" w:hAnsi="Arial"/>
          <w:sz w:val="16"/>
          <w:szCs w:val="16"/>
          <w:color w:val="auto"/>
        </w:rPr>
        <w:t>. Except as otherwise provided herein, whenever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electronic or facsimile transmission. If mailed, notice to a director, member of a committee or stockholder shall be deemed to be given when deposited in the United States mail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In the case of notice given by electronic or facsimile transmission, such notice shall be deemed to have been given on the date such transmission is sent or as otherwise determined in accordance with applicable law.</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Written Waiver</w:t>
      </w:r>
      <w:r>
        <w:rPr>
          <w:rFonts w:ascii="Arial" w:cs="Arial" w:eastAsia="Arial" w:hAnsi="Arial"/>
          <w:sz w:val="16"/>
          <w:szCs w:val="16"/>
          <w:color w:val="auto"/>
        </w:rPr>
        <w:t>. Whenever any notice is required to be given under the Certificate of Incorporation, these by-laws or applicable law,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these by-laws.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Officers</w:t>
      </w:r>
      <w:r>
        <w:rPr>
          <w:rFonts w:ascii="Arial" w:cs="Arial" w:eastAsia="Arial" w:hAnsi="Arial"/>
          <w:sz w:val="16"/>
          <w:szCs w:val="16"/>
          <w:color w:val="auto"/>
        </w:rPr>
        <w:t>. The Board of Directors shall elect such officers of the Corporation with the titles and duties that it designates. The Chairman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General Counsel, a Secretary, a Treasurer, a Controller, and such other officers as the Board of Directors may elect or appoint. The Board of Directors may appoint such other officers and agents, including Assistant Vice Presidents, Assistant Secretaries, Assistant Treasurers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12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until his successor shall have been chosen and shall have qualified or until his death or the effective date of his resignation or removal.</w:t>
      </w:r>
    </w:p>
    <w:p>
      <w:pPr>
        <w:spacing w:after="0" w:line="132"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Removal and Resignation</w:t>
      </w:r>
      <w:r>
        <w:rPr>
          <w:rFonts w:ascii="Arial" w:cs="Arial" w:eastAsia="Arial" w:hAnsi="Arial"/>
          <w:sz w:val="18"/>
          <w:szCs w:val="18"/>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4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any office of the Corporation by death, resignation, removal or otherwise, may be filled solely by the Board of Directors for the unexpired portion of the term.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73" w:name="page174"/>
    <w:bookmarkEnd w:id="173"/>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6.5.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the Corporation’s executive officers (as determined in accordance with the Securities Exchange Act of 1934, as amended) and all members of the Corporation’s Senior Leadership Team or other designated group of officers elected or appointed by the Board of Directors shall be fixed by the Management Development and Compensation Committee of the Board of Directors or pursuant to its direction; no officer shall be prevented from receiving such compensation by reason of his also being a director. Actions relating to the compensation of the Chief Executive Officer will be promptly reported to the Board of Directors.</w:t>
      </w:r>
    </w:p>
    <w:p>
      <w:pPr>
        <w:spacing w:after="0" w:line="14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SECTION 6.6. </w:t>
      </w:r>
      <w:r>
        <w:rPr>
          <w:rFonts w:ascii="Arial" w:cs="Arial" w:eastAsia="Arial" w:hAnsi="Arial"/>
          <w:sz w:val="15"/>
          <w:szCs w:val="15"/>
          <w:u w:val="single" w:color="auto"/>
          <w:color w:val="auto"/>
        </w:rPr>
        <w:t>Chairman of the Board</w:t>
      </w:r>
      <w:r>
        <w:rPr>
          <w:rFonts w:ascii="Arial" w:cs="Arial" w:eastAsia="Arial" w:hAnsi="Arial"/>
          <w:sz w:val="15"/>
          <w:szCs w:val="15"/>
          <w:color w:val="auto"/>
        </w:rPr>
        <w:t>. The Chairman of the Board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10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Vice Chairman of the Board</w:t>
      </w:r>
      <w:r>
        <w:rPr>
          <w:rFonts w:ascii="Arial" w:cs="Arial" w:eastAsia="Arial" w:hAnsi="Arial"/>
          <w:sz w:val="16"/>
          <w:szCs w:val="16"/>
          <w:color w:val="auto"/>
        </w:rPr>
        <w:t>.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In the Chairman’s and Vice Chairman’s absence, such duties shall be attended to by a chairman designated by the Board of Directors. The Vice Chairman shall perform such other duties, and shall have such other powers, as from time to time may be assigned to him by the Board of Directors or the Executive Committee (if any).</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In the absence of the Chairman of the Board and any Vice Chairman of the Board, the Chief Executive Officer shall preside at all meetings of the stockholders. He may also preside at any such meeting attended by the Chairman of the Board if he is so designated by the Chairman. Subject to any contractual limitations contained in any employment agreement or other applicable contract, he shall have the power to appoint and remove subordinate officers, agents, and employees; provided, however, that he shall not have the power to remove the President, General Counsel, Chief Financial Officer, Chief Accounting Officer or Vice President of Internal Audit without the approval of the Board of Directors.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74" w:name="page175"/>
    <w:bookmarkEnd w:id="174"/>
    <w:p>
      <w:pPr>
        <w:ind w:right="1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stockholders, the Board of Directors or the Executive Committee (if any) from time to time.</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Subject to any contractual limitations contained in any employment agreement or other applicable contract, he shall have the power to appoint and remove subordinate officers, agents and employees, after consultation with the Chief Executive Officer; provided, however, that he shall not have the power to remove the General Counsel, Chief Financial Officer, Chief Accounting Officer or Vice President of Internal Audit without the approval of the Board of Directors. Unless the Board of Directors otherwise determines, the President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12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 such other duties as may be assigned to him either directly or indirectly by the Board of Directors, the Audit Committee, the Executive Committee (if any), the Chief Executive Officer, or the President, or as may be provided by law.</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75" w:name="page176"/>
    <w:bookmarkEnd w:id="175"/>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6.11.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Board of Directors may appoint such Vice Presidents, including Executive or Senior Vice Presidents, as it may determine to be in the best interests of the Corporation. Any Vice President may sign, with the Secretary or Assistant Secretary, certificates representing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General Counsel</w:t>
      </w:r>
      <w:r>
        <w:rPr>
          <w:rFonts w:ascii="Arial" w:cs="Arial" w:eastAsia="Arial" w:hAnsi="Arial"/>
          <w:sz w:val="18"/>
          <w:szCs w:val="18"/>
          <w:color w:val="auto"/>
        </w:rPr>
        <w:t>. The General Counsel shall be the chief legal advisor of the Corporation and shall have responsibility for the management of the legal affairs and litigation of the Corporation; and, in general, he shall perform the duties incident to the office of general counsel of a corporation and such other duties as may be assigned to him by these by-laws or by the Chief Executive Officer, the President, the Board of Directors, or the Executive Committee (if any).</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representing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Chairman of the Board, the President, or any Vice President, certificates representing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shall have such other powers and perform such other duties, as from time to time may be assigned to him by these by-laws, the Chief Executive Officer, the President, the Board of Directors, or the Executive Committee (if any).</w:t>
      </w:r>
    </w:p>
    <w:p>
      <w:pPr>
        <w:spacing w:after="0" w:line="123"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Chief Accounting Officer</w:t>
      </w:r>
      <w:r>
        <w:rPr>
          <w:rFonts w:ascii="Arial" w:cs="Arial" w:eastAsia="Arial" w:hAnsi="Arial"/>
          <w:sz w:val="18"/>
          <w:szCs w:val="18"/>
          <w:color w:val="auto"/>
        </w:rPr>
        <w:t>. The Chief Accounting Officer shall be the controller and principal accounting officer of the Corporation. He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he shall perform the duties incident to the office of controller of a 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176" w:name="page177"/>
    <w:bookmarkEnd w:id="176"/>
    <w:p>
      <w:pPr>
        <w:ind w:right="1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 of treasurer of a corporation and such other duties as may be assigned to him directly or indirectly by the Board of Directors, the Chief Executive Officer, the President, or the Chief Financial Officer, or as may be provided by law.</w:t>
      </w:r>
    </w:p>
    <w:p>
      <w:pPr>
        <w:spacing w:after="0" w:line="9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6.16. </w:t>
      </w:r>
      <w:r>
        <w:rPr>
          <w:rFonts w:ascii="Arial" w:cs="Arial" w:eastAsia="Arial" w:hAnsi="Arial"/>
          <w:sz w:val="16"/>
          <w:szCs w:val="16"/>
          <w:u w:val="single" w:color="auto"/>
          <w:color w:val="auto"/>
        </w:rPr>
        <w:t>Assistant Secretary, Assistant Treasurer or Assistant Controller</w:t>
      </w:r>
      <w:r>
        <w:rPr>
          <w:rFonts w:ascii="Arial" w:cs="Arial" w:eastAsia="Arial" w:hAnsi="Arial"/>
          <w:sz w:val="16"/>
          <w:szCs w:val="16"/>
          <w:color w:val="auto"/>
        </w:rPr>
        <w:t>. The Assistant Secretaries, Assistant Treasurers and Assistant Controllers shall, in general, perform such duties and have such powers as shall be assigned to them by the Secretary, the Treasurer or the Controller, respectively, or by the Chief Executive Officer, the President, the Board of Directors or the Executive Committee (if any). The Assistant Secretaries, Assistant Treasurers and Assistant Controllers shall, in the absence or inability or refusal to act of the Secretary, Treasurer or Controller, respectively, perform all functions and duties which such absent officers may delegate, but such delegation shall not relieve the absent officer from the responsibilities and liabilities of his office. The Assistant Secretaries may sign, with the Chairman of the Board, the President or a Vice President, certificates representing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CONTRACTS, CHECKS AND DEPOSITS</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Contracts</w:t>
      </w:r>
      <w:r>
        <w:rPr>
          <w:rFonts w:ascii="Arial" w:cs="Arial" w:eastAsia="Arial" w:hAnsi="Arial"/>
          <w:sz w:val="16"/>
          <w:szCs w:val="16"/>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or the President or, if designated by the Board of Directors,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77" w:name="page178"/>
    <w:bookmarkEnd w:id="177"/>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7.2. </w:t>
      </w:r>
      <w:r>
        <w:rPr>
          <w:rFonts w:ascii="Arial" w:cs="Arial" w:eastAsia="Arial" w:hAnsi="Arial"/>
          <w:sz w:val="18"/>
          <w:szCs w:val="18"/>
          <w:u w:val="single" w:color="auto"/>
          <w:color w:val="auto"/>
        </w:rPr>
        <w:t>Checks, Etc.</w:t>
      </w:r>
      <w:r>
        <w:rPr>
          <w:rFonts w:ascii="Arial" w:cs="Arial" w:eastAsia="Arial" w:hAnsi="Arial"/>
          <w:sz w:val="18"/>
          <w:szCs w:val="18"/>
          <w:color w:val="auto"/>
        </w:rPr>
        <w:t xml:space="preserve">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Deposits</w:t>
      </w:r>
      <w:r>
        <w:rPr>
          <w:rFonts w:ascii="Arial" w:cs="Arial" w:eastAsia="Arial" w:hAnsi="Arial"/>
          <w:sz w:val="16"/>
          <w:szCs w:val="16"/>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11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u w:val="single" w:color="auto"/>
          <w:color w:val="auto"/>
        </w:rPr>
        <w:t>Loans</w:t>
      </w:r>
      <w:r>
        <w:rPr>
          <w:rFonts w:ascii="Arial" w:cs="Arial" w:eastAsia="Arial" w:hAnsi="Arial"/>
          <w:sz w:val="15"/>
          <w:szCs w:val="15"/>
          <w:color w:val="auto"/>
        </w:rPr>
        <w:t>.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CERTIFICATES OF STOCK</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Issuance</w:t>
      </w:r>
      <w:r>
        <w:rPr>
          <w:rFonts w:ascii="Arial" w:cs="Arial" w:eastAsia="Arial" w:hAnsi="Arial"/>
          <w:sz w:val="16"/>
          <w:szCs w:val="16"/>
          <w:color w:val="auto"/>
        </w:rPr>
        <w:t>. The shares of the Corporation shall be represented by certificates or shall be uncertificated shares evidenced by a book-entry system maintained by the registrar of such stock, or a combination of both. Every holder of stock represented by certificates shall be entitled to a certificate signed by, or in the name of the Corporation by, the chairman or vice-chairman of the Board of Directors, or the President or Vice-President, and by the Treasurer or an Assistant Treasurer, or the Secretary and an Assistant Secretary of the 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officers identified in this Section 8.1. Any of or all of the signatures on the certificate may be facsimiles. The stock record books and the blank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178" w:name="page179"/>
    <w:bookmarkEnd w:id="178"/>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books shall be kept by the Secretary, or at the office of the transfer agent or transfer agents of the Corporation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24"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Lost, Stolen or Destroyed; Issuance of New Certificates</w:t>
      </w:r>
      <w:r>
        <w:rPr>
          <w:rFonts w:ascii="Arial" w:cs="Arial" w:eastAsia="Arial" w:hAnsi="Arial"/>
          <w:sz w:val="16"/>
          <w:szCs w:val="16"/>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 of any such certificate or the issuance of such new certificate or uncertificated shares, or both.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79" w:name="page180"/>
    <w:bookmarkEnd w:id="179"/>
    <w:p>
      <w:pPr>
        <w:ind w:right="20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8.3. </w:t>
      </w:r>
      <w:r>
        <w:rPr>
          <w:rFonts w:ascii="Arial" w:cs="Arial" w:eastAsia="Arial" w:hAnsi="Arial"/>
          <w:sz w:val="16"/>
          <w:szCs w:val="16"/>
          <w:u w:val="single" w:color="auto"/>
          <w:color w:val="auto"/>
        </w:rPr>
        <w:t>Transfers</w:t>
      </w:r>
      <w:r>
        <w:rPr>
          <w:rFonts w:ascii="Arial" w:cs="Arial" w:eastAsia="Arial" w:hAnsi="Arial"/>
          <w:sz w:val="16"/>
          <w:szCs w:val="16"/>
          <w:color w:val="auto"/>
        </w:rPr>
        <w:t>. Upon surrender to the Corporation or the transfer agent of the Corporation of a certificate representing shares duly endorsed or accompanied by proper evidence of succession, assignment or authority to transfer, it shall be the duty of the Corporation to issue a new certificate or uncertificated shares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07"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 xml:space="preserve">SECTION 8.5. </w:t>
      </w:r>
      <w:r>
        <w:rPr>
          <w:rFonts w:ascii="Arial" w:cs="Arial" w:eastAsia="Arial" w:hAnsi="Arial"/>
          <w:sz w:val="15"/>
          <w:szCs w:val="15"/>
          <w:u w:val="single" w:color="auto"/>
          <w:color w:val="auto"/>
        </w:rPr>
        <w:t>Regulations Regarding Certificates</w:t>
      </w:r>
      <w:r>
        <w:rPr>
          <w:rFonts w:ascii="Arial" w:cs="Arial" w:eastAsia="Arial" w:hAnsi="Arial"/>
          <w:sz w:val="15"/>
          <w:szCs w:val="15"/>
          <w:color w:val="auto"/>
        </w:rPr>
        <w:t>.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DIVIDENDS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Declaration</w:t>
      </w:r>
      <w:r>
        <w:rPr>
          <w:rFonts w:ascii="Arial" w:cs="Arial" w:eastAsia="Arial" w:hAnsi="Arial"/>
          <w:sz w:val="16"/>
          <w:szCs w:val="16"/>
          <w:color w:val="auto"/>
        </w:rPr>
        <w:t>. Dividends upon the capital stock of the Corporation, subject to the provisions of the Certificate of Incorporation, if any, may be declared by the Board of Directors at any regular or special meeting, pursuant to and in accordance with applicable law. Dividends may be paid in the form of cash, in property or in shares of capital stock, subject to the provisions of the Certificate of Incorporation.</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Reserve</w:t>
      </w:r>
      <w:r>
        <w:rPr>
          <w:rFonts w:ascii="Arial" w:cs="Arial" w:eastAsia="Arial" w:hAnsi="Arial"/>
          <w:sz w:val="16"/>
          <w:szCs w:val="16"/>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w:t>
      </w:r>
    </w:p>
    <w:p>
      <w:pPr>
        <w:spacing w:after="0" w:line="17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Third Party Actions</w:t>
      </w:r>
      <w:r>
        <w:rPr>
          <w:rFonts w:ascii="Arial" w:cs="Arial" w:eastAsia="Arial" w:hAnsi="Arial"/>
          <w:sz w:val="16"/>
          <w:szCs w:val="16"/>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liability, loss suffered and expenses (including attorney’s fees and expenses), judgments, fines, penalties and amounts paid in settlement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(or part thereof) initiated by or on behalf of such person unless the initiation of such action, suit, proceeding, claim or counterclaim (or part thereof) by such person was authorized in the specific case by the Board of Directors.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12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Actions By or in the Right of the Corporation</w:t>
      </w:r>
      <w:r>
        <w:rPr>
          <w:rFonts w:ascii="Arial" w:cs="Arial" w:eastAsia="Arial" w:hAnsi="Arial"/>
          <w:sz w:val="16"/>
          <w:szCs w:val="16"/>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expenses (including attorney’s fees and expenses)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181" w:name="page182"/>
    <w:bookmarkEnd w:id="181"/>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10.3. </w:t>
      </w:r>
      <w:r>
        <w:rPr>
          <w:rFonts w:ascii="Arial" w:cs="Arial" w:eastAsia="Arial" w:hAnsi="Arial"/>
          <w:sz w:val="18"/>
          <w:szCs w:val="18"/>
          <w:u w:val="single" w:color="auto"/>
          <w:color w:val="auto"/>
        </w:rPr>
        <w:t>Successful Defense</w:t>
      </w:r>
      <w:r>
        <w:rPr>
          <w:rFonts w:ascii="Arial" w:cs="Arial" w:eastAsia="Arial" w:hAnsi="Arial"/>
          <w:sz w:val="18"/>
          <w:szCs w:val="18"/>
          <w:color w:val="auto"/>
        </w:rPr>
        <w:t>. To the extent that a director or officer,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Claims</w:t>
      </w:r>
      <w:r>
        <w:rPr>
          <w:rFonts w:ascii="Arial" w:cs="Arial" w:eastAsia="Arial" w:hAnsi="Arial"/>
          <w:sz w:val="18"/>
          <w:szCs w:val="18"/>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file suit to recover the unpaid amount of such claim and, if successful in whole or in part, shall be entitled to be paid the expense of prosecuting such claim. In any such action the Corporation shall have the burden of proving that such indemnitee is not entitled to the requested indemnification or advancement of expenses under applicable law.</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by a person who is a director or officer of the Corporation which imposes duties on, or involves services by, such director or officer with respect to an employee benefit plan, its participants, or beneficiaries.</w:t>
      </w:r>
    </w:p>
    <w:p>
      <w:pPr>
        <w:spacing w:after="0" w:line="143"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Survival; Preservation of Other Rights</w:t>
      </w:r>
      <w:r>
        <w:rPr>
          <w:rFonts w:ascii="Arial" w:cs="Arial" w:eastAsia="Arial" w:hAnsi="Arial"/>
          <w:sz w:val="16"/>
          <w:szCs w:val="16"/>
          <w:color w:val="auto"/>
        </w:rPr>
        <w:t>. The foregoing indemnification provisions shall be deemed to be a contract between the Corporation and each director or officer who serves in any such capacity at any time while these provisions as well as relevant provisions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82" w:name="page183"/>
    <w:bookmarkEnd w:id="18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 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Amendment or Repeal</w:t>
      </w:r>
      <w:r>
        <w:rPr>
          <w:rFonts w:ascii="Arial" w:cs="Arial" w:eastAsia="Arial" w:hAnsi="Arial"/>
          <w:sz w:val="16"/>
          <w:szCs w:val="16"/>
          <w:color w:val="auto"/>
        </w:rPr>
        <w:t>. Any repeal or modification of the provisions of this Article X shall not adversely affect any right or protection hereunder of any person entitled to indemnification hereunder in respect of any proceeding (regardless of when such proceeding is first threatened, commenced or completed) arising out of, or related to any act or omission occurring prior to the time of such repeal or modification.</w:t>
      </w:r>
    </w:p>
    <w:p>
      <w:pPr>
        <w:spacing w:after="0" w:line="10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Other Sources</w:t>
      </w:r>
      <w:r>
        <w:rPr>
          <w:rFonts w:ascii="Arial" w:cs="Arial" w:eastAsia="Arial" w:hAnsi="Arial"/>
          <w:sz w:val="16"/>
          <w:szCs w:val="16"/>
          <w:color w:val="auto"/>
        </w:rPr>
        <w:t>. The Corporation’s obligation, if any, to indemnify or to advance expenses to any person entitled to indemnification hereunder who was or is serving at its request as a director, officer, employee or agent of another corporation, partnership, joint venture, trust, enterprise or nonprofit entity shall be reduced by any amount such person entitled to indemnification hereunder may collect as indemnification or advancement of expenses from such other corporation, partnership, joint venture, trust, enterprise or non-profit enterprise.</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This Article X shall not limit the right of the Corporation, to the extent and in the manner permitted by law, to indemnify and to advance expenses to persons other than persons entitled to indemnification hereunder when and as authorized by appropriate corporate action.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Seal</w:t>
      </w:r>
      <w:r>
        <w:rPr>
          <w:rFonts w:ascii="Arial" w:cs="Arial" w:eastAsia="Arial" w:hAnsi="Arial"/>
          <w:sz w:val="16"/>
          <w:szCs w:val="16"/>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Books</w:t>
      </w:r>
      <w:r>
        <w:rPr>
          <w:rFonts w:ascii="Arial" w:cs="Arial" w:eastAsia="Arial" w:hAnsi="Arial"/>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such as established from time to time by the Board of Directors.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83" w:name="page184"/>
    <w:bookmarkEnd w:id="183"/>
    <w:p>
      <w:pPr>
        <w:jc w:val="both"/>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11.4.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member of a committee, or officer may resign at any time. Such resignation shall be made in writing and shall take effect at the time specified therein, or if no time be specified, at the time of its receipt by (i) the Chairman of the Board or Secretary if the resignation is from a director or committee member, or (ii) the Chief Executive Officer or Secretary if the resignation is from an officer. The acceptance of a resignation shall not be necessary to make it effective, unless expressly so provided in the resignation.</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u w:val="single" w:color="auto"/>
          <w:color w:val="auto"/>
        </w:rPr>
        <w:t>Facsimile Signatures</w:t>
      </w:r>
      <w:r>
        <w:rPr>
          <w:rFonts w:ascii="Arial" w:cs="Arial" w:eastAsia="Arial" w:hAnsi="Arial"/>
          <w:sz w:val="16"/>
          <w:szCs w:val="16"/>
          <w:color w:val="auto"/>
        </w:rPr>
        <w:t>.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85"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Reliance upon Books, Reports and Records</w:t>
      </w:r>
      <w:r>
        <w:rPr>
          <w:rFonts w:ascii="Arial" w:cs="Arial" w:eastAsia="Arial" w:hAnsi="Arial"/>
          <w:sz w:val="18"/>
          <w:szCs w:val="18"/>
          <w:color w:val="auto"/>
        </w:rPr>
        <w:t>.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AMENDMENT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provided in the Certificate of Incorporation of the Corporation,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184" w:name="page185"/>
    <w:bookmarkEnd w:id="184"/>
    <w:p>
      <w:pPr>
        <w:ind w:left="10600"/>
        <w:spacing w:after="0"/>
        <w:rPr>
          <w:sz w:val="20"/>
          <w:szCs w:val="20"/>
          <w:color w:val="auto"/>
        </w:rPr>
      </w:pPr>
      <w:r>
        <w:rPr>
          <w:rFonts w:ascii="Arial" w:cs="Arial" w:eastAsia="Arial" w:hAnsi="Arial"/>
          <w:sz w:val="16"/>
          <w:szCs w:val="16"/>
          <w:b w:val="1"/>
          <w:bCs w:val="1"/>
          <w:color w:val="auto"/>
        </w:rPr>
        <w:t>Exhibit 4.6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Officers’ Certificates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delivered pursuant to Section 301 of the Indenture dated September 10, 1997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 Waste Management, Inc. and The Bank of New York Mellon Trust Company, N.A., 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Trustee, establishing the terms and form of Waste Management, Inc.’s Senior Notes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tcPr>
          <w:p>
            <w:pPr>
              <w:jc w:val="center"/>
              <w:ind w:right="952"/>
              <w:spacing w:after="0"/>
              <w:rPr>
                <w:sz w:val="20"/>
                <w:szCs w:val="20"/>
                <w:color w:val="auto"/>
              </w:rPr>
            </w:pPr>
            <w:r>
              <w:rPr>
                <w:rFonts w:ascii="Arial" w:cs="Arial" w:eastAsia="Arial" w:hAnsi="Arial"/>
                <w:sz w:val="14"/>
                <w:szCs w:val="14"/>
                <w:b w:val="1"/>
                <w:bCs w:val="1"/>
                <w:color w:val="auto"/>
                <w:w w:val="91"/>
              </w:rPr>
              <w:t>Principal</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9"/>
        </w:trPr>
        <w:tc>
          <w:tcPr>
            <w:tcW w:w="2020" w:type="dxa"/>
            <w:vAlign w:val="bottom"/>
            <w:gridSpan w:val="2"/>
          </w:tcPr>
          <w:p>
            <w:pPr>
              <w:jc w:val="center"/>
              <w:ind w:right="932"/>
              <w:spacing w:after="0" w:line="149" w:lineRule="exact"/>
              <w:rPr>
                <w:sz w:val="20"/>
                <w:szCs w:val="20"/>
                <w:color w:val="auto"/>
              </w:rPr>
            </w:pPr>
            <w:r>
              <w:rPr>
                <w:rFonts w:ascii="Arial" w:cs="Arial" w:eastAsia="Arial" w:hAnsi="Arial"/>
                <w:sz w:val="14"/>
                <w:szCs w:val="14"/>
                <w:b w:val="1"/>
                <w:bCs w:val="1"/>
                <w:color w:val="auto"/>
                <w:w w:val="90"/>
              </w:rPr>
              <w:t>Amount</w:t>
            </w:r>
          </w:p>
        </w:tc>
        <w:tc>
          <w:tcPr>
            <w:tcW w:w="1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Interest Rate</w:t>
            </w: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Issued</w:t>
            </w:r>
          </w:p>
        </w:tc>
        <w:tc>
          <w:tcPr>
            <w:tcW w:w="10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1"/>
              </w:rPr>
              <w:t>(per annum)</w:t>
            </w:r>
          </w:p>
        </w:tc>
        <w:tc>
          <w:tcPr>
            <w:tcW w:w="1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9"/>
              </w:rPr>
              <w:t>Issue Date</w:t>
            </w:r>
          </w:p>
        </w:tc>
        <w:tc>
          <w:tcPr>
            <w:tcW w:w="9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Maturity Date</w:t>
            </w:r>
          </w:p>
        </w:tc>
        <w:tc>
          <w:tcPr>
            <w:tcW w:w="9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CUSIP</w:t>
            </w:r>
          </w:p>
        </w:tc>
        <w:tc>
          <w:tcPr>
            <w:tcW w:w="9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87"/>
              </w:rPr>
              <w:t>Interest Payment Dates</w:t>
            </w:r>
          </w:p>
        </w:tc>
        <w:tc>
          <w:tcPr>
            <w:tcW w:w="240" w:type="dxa"/>
            <w:vAlign w:val="bottom"/>
            <w:tcBorders>
              <w:bottom w:val="single" w:sz="8" w:color="auto"/>
            </w:tcBorders>
          </w:tcPr>
          <w:p>
            <w:pPr>
              <w:spacing w:after="0"/>
              <w:rPr>
                <w:sz w:val="14"/>
                <w:szCs w:val="14"/>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4"/>
              </w:rPr>
              <w:t>$ 150 million</w:t>
            </w:r>
          </w:p>
        </w:tc>
        <w:tc>
          <w:tcPr>
            <w:tcW w:w="1040" w:type="dxa"/>
            <w:vAlign w:val="bottom"/>
            <w:shd w:val="clear" w:color="auto" w:fill="CCEEFF"/>
          </w:tcPr>
          <w:p>
            <w:pPr>
              <w:jc w:val="right"/>
              <w:ind w:right="872"/>
              <w:spacing w:after="0" w:line="202" w:lineRule="exact"/>
              <w:rPr>
                <w:sz w:val="20"/>
                <w:szCs w:val="20"/>
                <w:color w:val="auto"/>
              </w:rPr>
            </w:pPr>
            <w:r>
              <w:rPr>
                <w:rFonts w:ascii="Arial" w:cs="Arial" w:eastAsia="Arial" w:hAnsi="Arial"/>
                <w:sz w:val="18"/>
                <w:szCs w:val="18"/>
                <w:color w:val="auto"/>
                <w:w w:val="84"/>
              </w:rPr>
              <w:t>*</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7.125%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12/17/1997</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12/15/2017</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902917AF0</w:t>
            </w:r>
          </w:p>
        </w:tc>
        <w:tc>
          <w:tcPr>
            <w:tcW w:w="9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December 15; June 15</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7.00%</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7/17/1998</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7/15/2028</w:t>
            </w:r>
          </w:p>
        </w:tc>
        <w:tc>
          <w:tcPr>
            <w:tcW w:w="920" w:type="dxa"/>
            <w:vAlign w:val="bottom"/>
          </w:tcPr>
          <w:p>
            <w:pPr>
              <w:spacing w:after="0"/>
              <w:rPr>
                <w:sz w:val="18"/>
                <w:szCs w:val="18"/>
                <w:color w:val="auto"/>
              </w:rPr>
            </w:pPr>
          </w:p>
        </w:tc>
        <w:tc>
          <w:tcPr>
            <w:tcW w:w="1880" w:type="dxa"/>
            <w:vAlign w:val="bottom"/>
            <w:gridSpan w:val="2"/>
          </w:tcPr>
          <w:p>
            <w:pPr>
              <w:jc w:val="center"/>
              <w:ind w:right="900"/>
              <w:spacing w:after="0"/>
              <w:rPr>
                <w:sz w:val="20"/>
                <w:szCs w:val="20"/>
                <w:color w:val="auto"/>
              </w:rPr>
            </w:pPr>
            <w:r>
              <w:rPr>
                <w:rFonts w:ascii="Arial" w:cs="Arial" w:eastAsia="Arial" w:hAnsi="Arial"/>
                <w:sz w:val="18"/>
                <w:szCs w:val="18"/>
                <w:color w:val="auto"/>
                <w:w w:val="90"/>
              </w:rPr>
              <w:t>902917AH6</w:t>
            </w:r>
          </w:p>
        </w:tc>
        <w:tc>
          <w:tcPr>
            <w:tcW w:w="1640" w:type="dxa"/>
            <w:vAlign w:val="bottom"/>
          </w:tcPr>
          <w:p>
            <w:pPr>
              <w:ind w:left="260"/>
              <w:spacing w:after="0"/>
              <w:rPr>
                <w:sz w:val="20"/>
                <w:szCs w:val="20"/>
                <w:color w:val="auto"/>
              </w:rPr>
            </w:pPr>
            <w:r>
              <w:rPr>
                <w:rFonts w:ascii="Arial" w:cs="Arial" w:eastAsia="Arial" w:hAnsi="Arial"/>
                <w:sz w:val="18"/>
                <w:szCs w:val="18"/>
                <w:color w:val="auto"/>
                <w:w w:val="87"/>
              </w:rPr>
              <w:t>January 15; July 15</w:t>
            </w:r>
          </w:p>
        </w:tc>
        <w:tc>
          <w:tcPr>
            <w:tcW w:w="240" w:type="dxa"/>
            <w:vAlign w:val="bottom"/>
          </w:tcPr>
          <w:p>
            <w:pPr>
              <w:spacing w:after="0"/>
              <w:rPr>
                <w:sz w:val="18"/>
                <w:szCs w:val="18"/>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$ 250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7.375%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12/21/1999</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5/15/2029</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1"/>
              </w:rPr>
              <w:t>94106LAG4</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May 15; November 15</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$ 500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7.75%</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5/21/2002</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5/15/2032</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94106LAN9</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w w:val="97"/>
              </w:rPr>
              <w:t>May 15; November 15</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6.375%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11/21/2002</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11/15/2012</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1"/>
              </w:rPr>
              <w:t>94106LAP4</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May 15; November 15</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$ 350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5.00%</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3/5/2004</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3/15/2014</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94106LAR0</w:t>
            </w:r>
          </w:p>
        </w:tc>
        <w:tc>
          <w:tcPr>
            <w:tcW w:w="1640" w:type="dxa"/>
            <w:vAlign w:val="bottom"/>
          </w:tcPr>
          <w:p>
            <w:pPr>
              <w:ind w:left="80"/>
              <w:spacing w:after="0"/>
              <w:rPr>
                <w:sz w:val="20"/>
                <w:szCs w:val="20"/>
                <w:color w:val="auto"/>
              </w:rPr>
            </w:pPr>
            <w:r>
              <w:rPr>
                <w:rFonts w:ascii="Arial" w:cs="Arial" w:eastAsia="Arial" w:hAnsi="Arial"/>
                <w:sz w:val="18"/>
                <w:szCs w:val="18"/>
                <w:color w:val="auto"/>
                <w:w w:val="88"/>
              </w:rPr>
              <w:t>March 15; September</w:t>
            </w:r>
          </w:p>
        </w:tc>
        <w:tc>
          <w:tcPr>
            <w:tcW w:w="240" w:type="dxa"/>
            <w:vAlign w:val="bottom"/>
          </w:tcPr>
          <w:p>
            <w:pPr>
              <w:spacing w:after="0"/>
              <w:rPr>
                <w:sz w:val="20"/>
                <w:szCs w:val="20"/>
                <w:color w:val="auto"/>
              </w:rPr>
            </w:pPr>
            <w:r>
              <w:rPr>
                <w:rFonts w:ascii="Arial" w:cs="Arial" w:eastAsia="Arial" w:hAnsi="Arial"/>
                <w:sz w:val="18"/>
                <w:szCs w:val="18"/>
                <w:color w:val="auto"/>
              </w:rPr>
              <w:t>15</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6.10%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3/6/2008</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3/15/2018**</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1"/>
              </w:rPr>
              <w:t>94106LAS8</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March 15;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$ 350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6.375%</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2/26/2009</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3/11/2015**</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0"/>
              </w:rPr>
              <w:t>94106LAT6</w:t>
            </w:r>
          </w:p>
        </w:tc>
        <w:tc>
          <w:tcPr>
            <w:tcW w:w="1640" w:type="dxa"/>
            <w:vAlign w:val="bottom"/>
          </w:tcPr>
          <w:p>
            <w:pPr>
              <w:ind w:left="80"/>
              <w:spacing w:after="0"/>
              <w:rPr>
                <w:sz w:val="20"/>
                <w:szCs w:val="20"/>
                <w:color w:val="auto"/>
              </w:rPr>
            </w:pPr>
            <w:r>
              <w:rPr>
                <w:rFonts w:ascii="Arial" w:cs="Arial" w:eastAsia="Arial" w:hAnsi="Arial"/>
                <w:sz w:val="18"/>
                <w:szCs w:val="18"/>
                <w:color w:val="auto"/>
                <w:w w:val="88"/>
              </w:rPr>
              <w:t>March 11; September</w:t>
            </w:r>
          </w:p>
        </w:tc>
        <w:tc>
          <w:tcPr>
            <w:tcW w:w="240" w:type="dxa"/>
            <w:vAlign w:val="bottom"/>
          </w:tcPr>
          <w:p>
            <w:pPr>
              <w:spacing w:after="0"/>
              <w:rPr>
                <w:sz w:val="20"/>
                <w:szCs w:val="20"/>
                <w:color w:val="auto"/>
              </w:rPr>
            </w:pPr>
            <w:r>
              <w:rPr>
                <w:rFonts w:ascii="Arial" w:cs="Arial" w:eastAsia="Arial" w:hAnsi="Arial"/>
                <w:sz w:val="18"/>
                <w:szCs w:val="18"/>
                <w:color w:val="auto"/>
              </w:rPr>
              <w:t>11</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$ 450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7.375%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2/26/2009</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3/11/2019**</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2"/>
              </w:rPr>
              <w:t>94106LAU3</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March 11;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6.125%</w:t>
            </w: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11/12/2009</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11/30/2039**</w:t>
            </w:r>
          </w:p>
        </w:tc>
        <w:tc>
          <w:tcPr>
            <w:tcW w:w="920" w:type="dxa"/>
            <w:vAlign w:val="bottom"/>
          </w:tcPr>
          <w:p>
            <w:pPr>
              <w:spacing w:after="0"/>
              <w:rPr>
                <w:sz w:val="18"/>
                <w:szCs w:val="18"/>
                <w:color w:val="auto"/>
              </w:rPr>
            </w:pPr>
          </w:p>
        </w:tc>
        <w:tc>
          <w:tcPr>
            <w:tcW w:w="1880" w:type="dxa"/>
            <w:vAlign w:val="bottom"/>
            <w:gridSpan w:val="2"/>
          </w:tcPr>
          <w:p>
            <w:pPr>
              <w:jc w:val="center"/>
              <w:ind w:right="900"/>
              <w:spacing w:after="0"/>
              <w:rPr>
                <w:sz w:val="20"/>
                <w:szCs w:val="20"/>
                <w:color w:val="auto"/>
              </w:rPr>
            </w:pPr>
            <w:r>
              <w:rPr>
                <w:rFonts w:ascii="Arial" w:cs="Arial" w:eastAsia="Arial" w:hAnsi="Arial"/>
                <w:sz w:val="18"/>
                <w:szCs w:val="18"/>
                <w:color w:val="auto"/>
                <w:w w:val="91"/>
              </w:rPr>
              <w:t>94106LAV1</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w w:val="97"/>
              </w:rPr>
              <w:t>May 30; November 30</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4.75%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6/8/2010</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6/30/2020**</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2"/>
              </w:rPr>
              <w:t>94106LAW9</w:t>
            </w: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June 30; December 30</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$ 400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4.60%</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2/28/2011</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3/1/2021**</w:t>
            </w:r>
          </w:p>
        </w:tc>
        <w:tc>
          <w:tcPr>
            <w:tcW w:w="920" w:type="dxa"/>
            <w:vAlign w:val="bottom"/>
          </w:tcPr>
          <w:p>
            <w:pPr>
              <w:spacing w:after="0"/>
              <w:rPr>
                <w:sz w:val="18"/>
                <w:szCs w:val="18"/>
                <w:color w:val="auto"/>
              </w:rPr>
            </w:pPr>
          </w:p>
        </w:tc>
        <w:tc>
          <w:tcPr>
            <w:tcW w:w="1880" w:type="dxa"/>
            <w:vAlign w:val="bottom"/>
            <w:gridSpan w:val="2"/>
          </w:tcPr>
          <w:p>
            <w:pPr>
              <w:jc w:val="center"/>
              <w:ind w:right="900"/>
              <w:spacing w:after="0"/>
              <w:rPr>
                <w:sz w:val="20"/>
                <w:szCs w:val="20"/>
                <w:color w:val="auto"/>
              </w:rPr>
            </w:pPr>
            <w:r>
              <w:rPr>
                <w:rFonts w:ascii="Arial" w:cs="Arial" w:eastAsia="Arial" w:hAnsi="Arial"/>
                <w:sz w:val="18"/>
                <w:szCs w:val="18"/>
                <w:color w:val="auto"/>
                <w:w w:val="89"/>
              </w:rPr>
              <w:t>941063AQ2</w:t>
            </w:r>
          </w:p>
        </w:tc>
        <w:tc>
          <w:tcPr>
            <w:tcW w:w="1640" w:type="dxa"/>
            <w:vAlign w:val="bottom"/>
          </w:tcPr>
          <w:p>
            <w:pPr>
              <w:ind w:left="160"/>
              <w:spacing w:after="0"/>
              <w:rPr>
                <w:sz w:val="20"/>
                <w:szCs w:val="20"/>
                <w:color w:val="auto"/>
              </w:rPr>
            </w:pPr>
            <w:r>
              <w:rPr>
                <w:rFonts w:ascii="Arial" w:cs="Arial" w:eastAsia="Arial" w:hAnsi="Arial"/>
                <w:sz w:val="18"/>
                <w:szCs w:val="18"/>
                <w:color w:val="auto"/>
                <w:w w:val="89"/>
              </w:rPr>
              <w:t>March 1; September</w:t>
            </w:r>
          </w:p>
        </w:tc>
        <w:tc>
          <w:tcPr>
            <w:tcW w:w="240" w:type="dxa"/>
            <w:vAlign w:val="bottom"/>
          </w:tcPr>
          <w:p>
            <w:pPr>
              <w:spacing w:after="0"/>
              <w:rPr>
                <w:sz w:val="20"/>
                <w:szCs w:val="20"/>
                <w:color w:val="auto"/>
              </w:rPr>
            </w:pPr>
            <w:r>
              <w:rPr>
                <w:rFonts w:ascii="Arial" w:cs="Arial" w:eastAsia="Arial" w:hAnsi="Arial"/>
                <w:sz w:val="18"/>
                <w:szCs w:val="18"/>
                <w:color w:val="auto"/>
              </w:rPr>
              <w:t>1</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$ 500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2.60%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8/29/2011</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9/1/2016**</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3"/>
              </w:rPr>
              <w:t>94106LAX7</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March 1;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00" w:hanging="452"/>
        <w:spacing w:after="0" w:line="254"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of these series of Senior Notes has been partially redeemed, such that the remaining outstanding principal amount of such Senior Notes as of December 31, 2011 was $146.8 million, $577.2 million, $222.9 million and $496.0 million, respectively.</w:t>
      </w:r>
    </w:p>
    <w:p>
      <w:pPr>
        <w:ind w:left="460" w:hanging="452"/>
        <w:spacing w:after="0" w:line="255"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of these series of Senior Notes contain a Change of Control Offer covenant that provides, if a change of control triggering event occurs, each holder of the notes may require us to purchase all or a portion of such holder’s notes at a price equal to 101% of the principal amount, plus accrued interest, if any, to the date of purchase.</w:t>
      </w:r>
    </w:p>
    <w:p>
      <w:pPr>
        <w:spacing w:after="0" w:line="14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This schedule is provided in accordance with Instruction 2 to Regulation S-K Item 601, as each of the series of Series Notes is governed by an instrument that differs only in the material respects set forth in the schedule above from the Officers’ Certificate identified as Exhibit 4.4. Each of the series of Senior Notes identified above is also guaranteed by Waste Management Holdings, Inc. in favor of The Bank of New York Mellon Trust Company, N.A., as Trustee for the holders of Waste Management, Inc.’s Senior Notes.</w:t>
      </w:r>
    </w:p>
    <w:p>
      <w:pPr>
        <w:sectPr>
          <w:pgSz w:w="11900" w:h="16838" w:orient="portrait"/>
          <w:cols w:equalWidth="0" w:num="1">
            <w:col w:w="11420"/>
          </w:cols>
          <w:pgMar w:left="240" w:top="125" w:right="239" w:bottom="1440" w:gutter="0" w:footer="0" w:header="0"/>
        </w:sectPr>
      </w:pPr>
    </w:p>
    <w:bookmarkStart w:id="185" w:name="page186"/>
    <w:bookmarkEnd w:id="185"/>
    <w:p>
      <w:pPr>
        <w:ind w:left="10520"/>
        <w:spacing w:after="0"/>
        <w:rPr>
          <w:sz w:val="20"/>
          <w:szCs w:val="20"/>
          <w:color w:val="auto"/>
        </w:rPr>
      </w:pPr>
      <w:r>
        <w:rPr>
          <w:rFonts w:ascii="Arial" w:cs="Arial" w:eastAsia="Arial" w:hAnsi="Arial"/>
          <w:sz w:val="16"/>
          <w:szCs w:val="16"/>
          <w:b w:val="1"/>
          <w:bCs w:val="1"/>
          <w:color w:val="auto"/>
        </w:rPr>
        <w:t>Exhibit 12.1</w:t>
      </w:r>
    </w:p>
    <w:p>
      <w:pPr>
        <w:spacing w:after="0" w:line="27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center"/>
              <w:ind w:left="236"/>
              <w:spacing w:after="0"/>
              <w:rPr>
                <w:sz w:val="20"/>
                <w:szCs w:val="20"/>
                <w:color w:val="auto"/>
              </w:rPr>
            </w:pPr>
            <w:r>
              <w:rPr>
                <w:rFonts w:ascii="Arial" w:cs="Arial" w:eastAsia="Arial" w:hAnsi="Arial"/>
                <w:sz w:val="14"/>
                <w:szCs w:val="14"/>
                <w:b w:val="1"/>
                <w:bCs w:val="1"/>
                <w:color w:val="auto"/>
                <w:w w:val="86"/>
              </w:rPr>
              <w:t>Years Ended December 31,</w:t>
            </w: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46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losses in equity investments(a)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1,557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1,656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1,475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1,801</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1,792</w:t>
            </w:r>
          </w:p>
        </w:tc>
        <w:tc>
          <w:tcPr>
            <w:tcW w:w="0" w:type="dxa"/>
            <w:vAlign w:val="bottom"/>
          </w:tcPr>
          <w:p>
            <w:pPr>
              <w:spacing w:after="0"/>
              <w:rPr>
                <w:sz w:val="1"/>
                <w:szCs w:val="1"/>
                <w:color w:val="auto"/>
              </w:rPr>
            </w:pPr>
          </w:p>
        </w:tc>
      </w:tr>
      <w:tr>
        <w:trPr>
          <w:trHeight w:val="222"/>
        </w:trPr>
        <w:tc>
          <w:tcPr>
            <w:tcW w:w="5780" w:type="dxa"/>
            <w:vAlign w:val="bottom"/>
            <w:gridSpan w:val="3"/>
          </w:tcPr>
          <w:p>
            <w:pPr>
              <w:spacing w:after="0"/>
              <w:rPr>
                <w:sz w:val="20"/>
                <w:szCs w:val="20"/>
                <w:color w:val="auto"/>
              </w:rPr>
            </w:pPr>
            <w:r>
              <w:rPr>
                <w:rFonts w:ascii="Arial" w:cs="Arial" w:eastAsia="Arial" w:hAnsi="Arial"/>
                <w:sz w:val="18"/>
                <w:szCs w:val="18"/>
                <w:color w:val="auto"/>
              </w:rPr>
              <w:t>Fixed charges deducted from income:</w:t>
            </w:r>
          </w:p>
        </w:tc>
        <w:tc>
          <w:tcPr>
            <w:tcW w:w="1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Arial" w:cs="Arial" w:eastAsia="Arial" w:hAnsi="Arial"/>
                <w:sz w:val="18"/>
                <w:szCs w:val="18"/>
                <w:color w:val="auto"/>
              </w:rPr>
              <w:t>Implicit interest in rents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gridSpan w:val="2"/>
            <w:vMerge w:val="restart"/>
          </w:tcPr>
          <w:p>
            <w:pPr>
              <w:ind w:left="420"/>
              <w:spacing w:after="0"/>
              <w:rPr>
                <w:sz w:val="20"/>
                <w:szCs w:val="20"/>
                <w:color w:val="auto"/>
              </w:rPr>
            </w:pPr>
            <w:r>
              <w:rPr>
                <w:rFonts w:ascii="Arial" w:cs="Arial" w:eastAsia="Arial" w:hAnsi="Arial"/>
                <w:sz w:val="18"/>
                <w:szCs w:val="18"/>
                <w:color w:val="auto"/>
              </w:rPr>
              <w:t>Earnings available for fixed charges(b)</w:t>
            </w: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2"/>
            <w:vMerge w:val="continue"/>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2,083</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2,169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1,939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2,294</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2,357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fixed charges(b)</w:t>
            </w: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2"/>
            <w:vMerge w:val="continue"/>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548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530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481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Ratio of earnings to fixed charges(a)</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3.8x</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4.1x</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4.0x</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4.5x</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20" w:hanging="452"/>
        <w:spacing w:after="0" w:line="306"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Our “Income before income taxes and losses in equity investments” for the periods presented has been significantly affected by restructurings, asset impairments, divestitures and other items that management believes are not representative of our results. The effect of these items on our “Income before income taxes and losses in equity investments” should be considered when comparing the “Ratio of earnings to fixed charges” for the periods presented.</w:t>
      </w:r>
    </w:p>
    <w:p>
      <w:pPr>
        <w:spacing w:after="0" w:line="25" w:lineRule="exact"/>
        <w:rPr>
          <w:rFonts w:ascii="Arial" w:cs="Arial" w:eastAsia="Arial" w:hAnsi="Arial"/>
          <w:sz w:val="16"/>
          <w:szCs w:val="16"/>
          <w:color w:val="auto"/>
        </w:rPr>
      </w:pPr>
    </w:p>
    <w:p>
      <w:pPr>
        <w:jc w:val="both"/>
        <w:ind w:left="460" w:hanging="452"/>
        <w:spacing w:after="0" w:line="306"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w:t>
      </w:r>
    </w:p>
    <w:p>
      <w:pPr>
        <w:sectPr>
          <w:pgSz w:w="11900" w:h="16838" w:orient="portrait"/>
          <w:cols w:equalWidth="0" w:num="1">
            <w:col w:w="11420"/>
          </w:cols>
          <w:pgMar w:left="240" w:top="125"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6"/>
          <w:szCs w:val="16"/>
          <w:color w:val="auto"/>
        </w:rPr>
        <w:t>Exhibit 21.1</w:t>
      </w:r>
    </w:p>
    <w:p>
      <w:pPr>
        <w:sectPr>
          <w:pgSz w:w="11900" w:h="16838" w:orient="portrait"/>
          <w:cols w:equalWidth="0" w:num="1">
            <w:col w:w="11420"/>
          </w:cols>
          <w:pgMar w:left="240" w:top="131" w:right="23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Name of Entity</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Jurisdiction of Incorporation/Formation</w:t>
      </w:r>
    </w:p>
    <w:p>
      <w:pPr>
        <w:spacing w:after="0" w:line="28" w:lineRule="exact"/>
        <w:rPr>
          <w:sz w:val="20"/>
          <w:szCs w:val="20"/>
          <w:color w:val="auto"/>
        </w:rPr>
      </w:pPr>
    </w:p>
    <w:p>
      <w:pPr>
        <w:sectPr>
          <w:pgSz w:w="11900" w:h="16838" w:orient="portrait"/>
          <w:cols w:equalWidth="0" w:num="2">
            <w:col w:w="6360" w:space="720"/>
            <w:col w:w="4340"/>
          </w:cols>
          <w:pgMar w:left="240" w:top="131" w:right="239" w:bottom="1440" w:gutter="0" w:footer="0" w:header="0"/>
          <w:type w:val="continuous"/>
        </w:sectPr>
      </w:pPr>
    </w:p>
    <w:p>
      <w:pPr>
        <w:spacing w:after="0"/>
        <w:rPr>
          <w:sz w:val="20"/>
          <w:szCs w:val="20"/>
          <w:color w:val="auto"/>
        </w:rPr>
      </w:pPr>
      <w:r>
        <w:rPr>
          <w:rFonts w:ascii="Arial" w:cs="Arial" w:eastAsia="Arial" w:hAnsi="Arial"/>
          <w:sz w:val="18"/>
          <w:szCs w:val="18"/>
          <w:color w:val="auto"/>
        </w:rPr>
        <w:t>0842463 B.C. Ltd.</w:t>
      </w:r>
    </w:p>
    <w:p>
      <w:pPr>
        <w:spacing w:after="0"/>
        <w:rPr>
          <w:sz w:val="20"/>
          <w:szCs w:val="20"/>
          <w:color w:val="auto"/>
        </w:rPr>
      </w:pPr>
      <w:r>
        <w:rPr>
          <w:rFonts w:ascii="Arial" w:cs="Arial" w:eastAsia="Arial" w:hAnsi="Arial"/>
          <w:sz w:val="18"/>
          <w:szCs w:val="18"/>
          <w:color w:val="auto"/>
        </w:rPr>
        <w:t>1-800-Pack-Rat,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1329409 Ontario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2M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3368084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635952 Ontario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Acaverde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Acaverde Servicios, S.A. de C.V.</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Advanced Environmental Technical Services,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Akron Regional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Alabama Waste Disposal Solutions,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Alliance Sanitary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Alpharetta Transfer Station,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Anderson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Antelope Valley Recycling and Disposal Facility,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Arden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Articulus spolka z ograniczona odpowiedzialnoscia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Atlantic Waste Disposal,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Automated Salvage Transport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Auxiwaste Services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Avalon South,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Avalon Southwest,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Azusa Land Reclamation,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B&amp;B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Barre Landfill Gas Associates,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Beecher Development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Big Dipper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Bluebird Recycling,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Bluegrass Containment,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Burnsville Sanitary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Newco,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 Sierra Disposal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Asbestos Monofill,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Canadian Waste Services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Sanitation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Capitol Disposal,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Carolina Grading,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Cedar Ridge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Disposal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Chadwick Road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Chambers Clearview Environmental Landfill,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Chambers Development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Chambers Development of Ohio,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Chambers of Georgia,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Chambers of Mississippi,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Chemical Waste Management of Indiana,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Chemical Waste Management of the Northwest,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Chemical Waste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Chesser Island Road Landfill,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British Columbia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Alabama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Dakota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Idaho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Alaska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Mississippi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Mississippi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ectPr>
          <w:pgSz w:w="11900" w:h="16838" w:orient="portrait"/>
          <w:cols w:equalWidth="0" w:num="2">
            <w:col w:w="6360" w:space="720"/>
            <w:col w:w="4340"/>
          </w:cols>
          <w:pgMar w:left="240" w:top="131" w:right="239" w:bottom="1440" w:gutter="0" w:footer="0" w:header="0"/>
          <w:type w:val="continuous"/>
        </w:sectPr>
      </w:pPr>
    </w:p>
    <w:bookmarkStart w:id="187" w:name="page188"/>
    <w:bookmarkEnd w:id="187"/>
    <w:p>
      <w:pPr>
        <w:spacing w:after="0"/>
        <w:rPr>
          <w:sz w:val="20"/>
          <w:szCs w:val="20"/>
          <w:color w:val="auto"/>
        </w:rPr>
      </w:pPr>
      <w:r>
        <w:rPr>
          <w:rFonts w:ascii="Arial" w:cs="Arial" w:eastAsia="Arial" w:hAnsi="Arial"/>
          <w:sz w:val="16"/>
          <w:szCs w:val="16"/>
          <w:color w:val="auto"/>
        </w:rPr>
        <w:t>City Environmental Services, Inc. of Waters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City Environmental,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Cleburne Landfill Company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Coast Waste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Connecticut Valley Sanitary Waste Disposal,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Conservation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Waste Industries Arizona,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Coshocton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Cougar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Countryside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Cuyahoga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CWM Chemical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Dafter Sanitary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Dauphin Meadows,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Deep Valley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Deer Track Park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 Almo Landfill,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Recyclable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Dickinson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Disposal Service,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Doctor Bramblett Road,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Downtown Diversion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 Waste,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Earthmovers Landfill,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East Liverpool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Eastern One Land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Eco-Vista,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eCycling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 Coqui Landfill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 Coqui Waste Disposal,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ELDA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Elk River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Envirofil of Illinois,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Evergreen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Evergreen Recycling and Disposal Facility,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Feather River Disposal,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 Landfills,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Gallia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Garick,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Garnet of Maryland,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Gartran,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Gateway Transfer Station,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 Waste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Giordano Recycling,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Glades Landfill,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Glen’s Sanitary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Central Sanitary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Greenbow,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Greenleaf Compaction,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Grupo WMX, S.A. De C.V.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-219710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Alabama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Massachusetts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Pennsylvania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West Virginia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Pennsylvania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Alabama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ectPr>
          <w:pgSz w:w="11900" w:h="16838" w:orient="portrait"/>
          <w:cols w:equalWidth="0" w:num="2">
            <w:col w:w="6360" w:space="720"/>
            <w:col w:w="3139"/>
          </w:cols>
          <w:pgMar w:left="240" w:top="280" w:right="1440"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t>Guadalupe Mines Mutual Water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Guadalupe Rubbish Disposal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Guam Resource Recovery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Harris Sanitation,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Harwood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Hedco Landfill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Mountain Fuels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Hillsboro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Holyoke Sanitary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Landfills,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International Environmental Management,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Jahner Sanitation,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Jay County Landfill,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JFS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 and W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Keene Road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Kelly Run Sanitation,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Key Disposal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 George Landfill Properties,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 George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Lakeville Recycling,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Land Reclamation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Land South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Landfill Services of Charleston,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Laurel Highlands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LCS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Landfill,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Lane West Owners’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Liquid Waste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Longleaf C&amp;D Disposal Facility,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Looney Bins,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Mahoning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Mass Gravel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Mc Ginnes Industrial Maintenance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McDaniel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McGill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Meadowfill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Michigan Environs,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Midwest One Land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Modern-Mallard Energy,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Modesto Garbage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Moor Refuse,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Mountain High Medical Disposal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Mountain Indemnity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Mountainview Landfill, Inc.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Mountainview Landfill, Inc. (UT)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Nassau Landfill,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National Guaranty Insurance Company of Vermont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England CR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Milford Connecticut Farms,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Milford Landfill,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Orleans Landfill,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-219710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Dakota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British Columbia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Hampshire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Dakota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Vermont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Vermont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6360" w:space="720"/>
            <w:col w:w="3139"/>
          </w:cols>
          <w:pgMar w:left="240" w:top="280" w:right="1440"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t>NH/VT Energy Recovery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North Manatee Recycling and Disposal Facility,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Northwestern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Nu-Way Live Oak Reclamation,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Oakleaf Global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Oakleaf Waste Management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Oakleaf Waste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Oakleaf Waste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Oakridge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Oakwood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OGH Acquisition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Okeechobee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Ozark Ridge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 &amp; R Environmental Industries,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Pacific Waste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Pappy,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Peltz H.C.,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Pen-Rob,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Penuelas Valley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Peterson Demolition,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 Resources,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Pine Grove Landfill, Inc.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Pine Tree Acres,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PPP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Quail Hollow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Questquill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 &amp; B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RAA Colorado,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RAA Trucking,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RCI Hudson,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Recycle America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Recycle America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Refuse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Refuse,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Reliable Landfill,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Remote Landfill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Disposal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Resco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Resource Control Composting,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Resource Control,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Richland County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Riverbend Landfill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RTS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Rust Engineering &amp; Construction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Rust Engineering (Thailand)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Rust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&amp; J Landfill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&amp; S Grading,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S&amp;T Materials,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Sanifill de Mexico (US),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Hampshire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-205105</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South Carolina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Carolina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Massachusetts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Massachusetts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Massachusetts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Carolina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6360" w:space="720"/>
            <w:col w:w="3139"/>
          </w:cols>
          <w:pgMar w:left="240" w:top="280" w:right="1440"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t>Sanifill de Mexico, S.A. de C.V.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Serubam Servicos Urbanos E Ambientais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SES Bridgeport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Shade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Sierra Estrella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Alleghenies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One Land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Waste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Recycling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Spruce Ridge,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Stony Hollow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Suburban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TerraFuels,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Texarkana Landfill,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Pack Rat - Austin #1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Pack Rat - Dallas #1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Pack Rat - Houston #1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Pack Rat - Houston #2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Pack Rat - Houston #3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Pack Rat - San Antonio #1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Pack Rat Service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Peltz Group,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The Trashmasters Waste and Recycling Services, Inc.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Waste Management Charitable Foundation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Woodlands of Van Buren,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Thermal Remediation Solutions,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TN’T Sands,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Trail Ridge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Transamerican Waste Central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Trash Hunters,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TrashCo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TX Newco,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Waste Systems Leasing,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Waste Systems of Gardner,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South Hills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Valley Facility,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Waste Geneva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USA Waste Landfill Operations and Transfer,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USA Waste of California,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Waste of Pennsylvania,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Waste of Texas Landfills,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Waste of Virginia Landfills,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Waste Services of NYC,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Waste-Management Resources,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USA-Crinc,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UWS Barre,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Valley Garbage and Rubbish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Vern’s Refuse Service,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Vickery Environmental,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 Landfill,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Voyageur Disposal Processing,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-219710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Pennsylvania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Arizona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Pennsylvania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South Carolina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Mississippi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Massachusetts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Pennsylvania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Massachusetts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North Dakota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ectPr>
          <w:pgSz w:w="11900" w:h="16838" w:orient="portrait"/>
          <w:cols w:equalWidth="0" w:num="2">
            <w:col w:w="6360" w:space="720"/>
            <w:col w:w="3139"/>
          </w:cols>
          <w:pgMar w:left="240" w:top="280" w:right="1440"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Warner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Waste Away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Arizona Landfills,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Buckeye,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Collection and Recycling,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Disposal Services of Colorado,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Disposal Services of Maine,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Disposal Services of Maryland,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Disposal Services of Massachusetts,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Disposal Services of Oregon,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Disposal Services of Pennsylvania,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Disposal Services of Virginia,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 of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Indycoke,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National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Waste Management New England Environmental Transport,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Alameda County,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Alaska,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Arizona,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Arkansas,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California,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Carolinas,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Colorado,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Connecticut,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Delaware,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Fairless,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Waste Management of Five Oaks Recycling and Disposal Facility,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Georgia,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Hawaii,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Idaho,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Illinois,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Indiana Holdings One,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Indiana Holdings Two,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Indiana,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Iowa,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Kansas,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Kentucky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Kentucky,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Leon County,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Londonderry,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Louisiana Holdings One,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Louisiana,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Maine,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Maryland,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Massachusetts,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Metro Atlanta,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Michigan,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Minnesota,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Mississippi,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Alabama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Massachusetts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Pennsylvania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North Carolina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Idaho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Massachusetts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Mississippi</w:t>
      </w:r>
    </w:p>
    <w:p>
      <w:pPr>
        <w:sectPr>
          <w:pgSz w:w="11900" w:h="16838" w:orient="portrait"/>
          <w:cols w:equalWidth="0" w:num="2">
            <w:col w:w="6360" w:space="720"/>
            <w:col w:w="3139"/>
          </w:cols>
          <w:pgMar w:left="240" w:top="280" w:right="1440"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of Missouri,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Montana,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Nebraska,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Nevada,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New Hampshire,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New Jersey,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New Mexico,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New York,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North Dakota,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Ohio,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Oklahoma,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Oregon,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Pennsylvania Gas Recovery,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Pennsylvania,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Plainfield,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Rhode Island,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South Carolina,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South Dakota,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Texas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Texas,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Tunica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Utah,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Virginia,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Washington,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West Virginia,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Wisconsin,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of Wyoming,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Waste Management Recycling and Disposal Services of California,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Recycling of New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Service Center,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 of Tennessee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Paper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Resources of Tennessee,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 to Energy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Wasteless Environmental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WESI Baltimore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WESI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WESI Peekskill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WESI Westchester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Westchester Resco Associates,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One Land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Waste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Waste of Texas,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Baltimore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Baltimore,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Bridgeport,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Cedar Creek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Chambers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China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Claremont Company,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Claremont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Oklahoma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Pennsylvania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South Carolina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Dakota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Mississippi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6360" w:space="720"/>
            <w:col w:w="3139"/>
          </w:cols>
          <w:pgMar w:left="240" w:top="280" w:right="1440"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Wheelabrator Concord Company,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Wheelabrator Concord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Connecticut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Culm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Environmental Systems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Wheelabrator Environmental Technologies Consulting (Shanghai)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Wheelabrator Falls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Frackville Energy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Frackville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Frederick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Fuel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Gloucester Company,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Gloucester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Guam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Hudson Falls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Lassen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Lisbon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McKay Bay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Millbury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New Hampshire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New Jersey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NHC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North Andover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North Broward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Norwalk Energy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Penacook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Pinellas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Portsmouth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Putnam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Ridge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Saugus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Shasta Energy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Sherman Energy Company, G.P.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Sherman Station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Sherman Station One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South Broward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Spokane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Technologies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Wheelabrator Westchester,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White Lake Landfill,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Willow Oak Landfill,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Arizona Operations,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Asphalt Products,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Bagco,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Conversion Fund,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Corporate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Curbside,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Emergency Employee Support Fund,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Energy Resources,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Energy 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Green Squad,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People’s Republic Of China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6360" w:space="720"/>
            <w:col w:w="3139"/>
          </w:cols>
          <w:pgMar w:left="240" w:top="280" w:right="1440"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t>WM GreenOps,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WM GTL,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GTL,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Healthcare 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Illinois Renewable Energy,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International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International Services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KS Energy Resources,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LampTracker,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Landfills of Ohio,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Landfills of Tennessee,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Leasing of Arizona,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Leasing of Texas,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LNG,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Logistics,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Mercury Waste,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WM Middle Tennessee Environmental Center,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WM Mobile Bay Environmental Center,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ND Energy Resources,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Nevada Renewable Energy,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of Texas,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Organic Growth,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PA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Pack-Rat of California,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Pack-Rat of Illinois,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Pack-Rat of Kentucky,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Pack-Rat of Maryland,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Pack-Rat of Massachusetts,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Pack-Rat of Michigan,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Pack-Rat of Nevada,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Pack-Rat of Ohio,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Pack-Rat of Rhode Island,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Pack-Rat,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Partnership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Phoenix Energy Resources,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Product Recovery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Quebec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RA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Recycle America,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Recycle Europe,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Refined Coal,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Renewable Energy,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WM Resource Recovery &amp; Recycling Center,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WM Resources,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Safety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Security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Services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Storage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Storage,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Texas Pack Rat,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Trash Monitor Plus,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TX Energy Resources,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-219710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Pennsylvania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6360" w:space="720"/>
            <w:col w:w="3139"/>
          </w:cols>
          <w:pgMar w:left="240" w:top="280" w:right="1440" w:bottom="1440" w:gutter="0" w:footer="0" w:header="0"/>
        </w:sectPr>
      </w:pPr>
    </w:p>
    <w:bookmarkStart w:id="195" w:name="page196"/>
    <w:bookmarkEnd w:id="195"/>
    <w:p>
      <w:pPr>
        <w:spacing w:after="0"/>
        <w:rPr>
          <w:sz w:val="20"/>
          <w:szCs w:val="20"/>
          <w:color w:val="auto"/>
        </w:rPr>
      </w:pPr>
      <w:r>
        <w:rPr>
          <w:rFonts w:ascii="Arial" w:cs="Arial" w:eastAsia="Arial" w:hAnsi="Arial"/>
          <w:sz w:val="16"/>
          <w:szCs w:val="16"/>
          <w:color w:val="auto"/>
        </w:rPr>
        <w:t>WM WY Energy Resources II, LLC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WM WY Energy Resources III,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WM WY Energy Resources,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WMI Medical Services of Indiana,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WMI Mexico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WMNA Container Recycling,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WMRE of Kentucky,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WMRE of Michigan,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WMRE of Ohio,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WMRE of Ohio-American,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WMSALSA,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WMST Illinois,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WTI Air Pollution Control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WTI Financial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WTI International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WTI Rust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WTI UK Fin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WTI UK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WTI/EFW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WTI/Willows Construction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-219710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ectPr>
          <w:pgSz w:w="11900" w:h="16838" w:orient="portrait"/>
          <w:cols w:equalWidth="0" w:num="2">
            <w:col w:w="6360" w:space="720"/>
            <w:col w:w="3139"/>
          </w:cols>
          <w:pgMar w:left="240" w:top="280" w:right="1440"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ind w:right="3460" w:firstLine="3464"/>
        <w:spacing w:after="0" w:line="391"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 w:lineRule="exact"/>
        <w:rPr>
          <w:sz w:val="20"/>
          <w:szCs w:val="20"/>
          <w:color w:val="auto"/>
        </w:rPr>
      </w:pPr>
    </w:p>
    <w:p>
      <w:pPr>
        <w:ind w:left="240" w:hanging="4"/>
        <w:spacing w:after="0" w:line="268" w:lineRule="auto"/>
        <w:tabs>
          <w:tab w:leader="none" w:pos="4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Registration Statement (Form S-8 No. 333-159475) of Waste Management, Inc. pertaining to the issuance of shares of common stock pursuant to the Waste Management, Inc. Employee Stock Purchase Plan,</w:t>
      </w:r>
    </w:p>
    <w:p>
      <w:pPr>
        <w:spacing w:after="0" w:line="50" w:lineRule="exact"/>
        <w:rPr>
          <w:rFonts w:ascii="Arial" w:cs="Arial" w:eastAsia="Arial" w:hAnsi="Arial"/>
          <w:sz w:val="18"/>
          <w:szCs w:val="18"/>
          <w:color w:val="auto"/>
        </w:rPr>
      </w:pPr>
    </w:p>
    <w:p>
      <w:pPr>
        <w:ind w:left="240" w:right="80" w:hanging="4"/>
        <w:spacing w:after="0" w:line="268" w:lineRule="auto"/>
        <w:tabs>
          <w:tab w:leader="none" w:pos="4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Registration Statement (Form S-8 No. 333-159476) of Waste Management, Inc. pertaining to the issuance of shares of common stock pursuant to the 2009 Stock Incentive Plan,</w:t>
      </w:r>
    </w:p>
    <w:p>
      <w:pPr>
        <w:spacing w:after="0" w:line="50" w:lineRule="exact"/>
        <w:rPr>
          <w:rFonts w:ascii="Arial" w:cs="Arial" w:eastAsia="Arial" w:hAnsi="Arial"/>
          <w:sz w:val="18"/>
          <w:szCs w:val="18"/>
          <w:color w:val="auto"/>
        </w:rPr>
      </w:pPr>
    </w:p>
    <w:p>
      <w:pPr>
        <w:ind w:left="240" w:hanging="4"/>
        <w:spacing w:after="0" w:line="332" w:lineRule="auto"/>
        <w:tabs>
          <w:tab w:leader="none" w:pos="48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Registration Statement (Form S-8 No. 333-153363) of Waste Management, Inc. pertaining to the issuance of shares of common stock pursuant to the Waste Management Retirement Savings Plan and the Waste Management Retirement Savings Plan for Bargaining Unit Employees,</w:t>
      </w:r>
    </w:p>
    <w:p>
      <w:pPr>
        <w:spacing w:after="0" w:line="4" w:lineRule="exact"/>
        <w:rPr>
          <w:rFonts w:ascii="Arial" w:cs="Arial" w:eastAsia="Arial" w:hAnsi="Arial"/>
          <w:sz w:val="16"/>
          <w:szCs w:val="16"/>
          <w:color w:val="auto"/>
        </w:rPr>
      </w:pPr>
    </w:p>
    <w:p>
      <w:pPr>
        <w:ind w:left="480" w:hanging="244"/>
        <w:spacing w:after="0"/>
        <w:tabs>
          <w:tab w:leader="none" w:pos="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Registration Statement (Form S-3 Automatic Shelf Registration No. 333-162059) of Waste Management, Inc.,</w:t>
      </w:r>
    </w:p>
    <w:p>
      <w:pPr>
        <w:spacing w:after="0" w:line="90" w:lineRule="exact"/>
        <w:rPr>
          <w:rFonts w:ascii="Arial" w:cs="Arial" w:eastAsia="Arial" w:hAnsi="Arial"/>
          <w:sz w:val="18"/>
          <w:szCs w:val="18"/>
          <w:color w:val="auto"/>
        </w:rPr>
      </w:pPr>
    </w:p>
    <w:p>
      <w:pPr>
        <w:ind w:left="480" w:hanging="244"/>
        <w:spacing w:after="0"/>
        <w:tabs>
          <w:tab w:leader="none" w:pos="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Registration Statement (Form S-4 No. 333-32805 and Post-Effective Amendment No. 1 thereto) of Waste Management, Inc.,</w:t>
      </w:r>
    </w:p>
    <w:p>
      <w:pPr>
        <w:spacing w:after="0" w:line="90" w:lineRule="exact"/>
        <w:rPr>
          <w:rFonts w:ascii="Arial" w:cs="Arial" w:eastAsia="Arial" w:hAnsi="Arial"/>
          <w:sz w:val="18"/>
          <w:szCs w:val="18"/>
          <w:color w:val="auto"/>
        </w:rPr>
      </w:pPr>
    </w:p>
    <w:p>
      <w:pPr>
        <w:ind w:left="240" w:right="340" w:hanging="4"/>
        <w:spacing w:after="0" w:line="268" w:lineRule="auto"/>
        <w:tabs>
          <w:tab w:leader="none" w:pos="4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Registration Statement (Form S-8 No. 333-115932) of Waste Management, Inc. pertaining to issuance of shares of common stock pursuant to the 2004 Stock Incentive Plan,</w:t>
      </w:r>
    </w:p>
    <w:p>
      <w:pPr>
        <w:spacing w:after="0" w:line="50" w:lineRule="exact"/>
        <w:rPr>
          <w:rFonts w:ascii="Arial" w:cs="Arial" w:eastAsia="Arial" w:hAnsi="Arial"/>
          <w:sz w:val="18"/>
          <w:szCs w:val="18"/>
          <w:color w:val="auto"/>
        </w:rPr>
      </w:pPr>
    </w:p>
    <w:p>
      <w:pPr>
        <w:ind w:left="240" w:right="420" w:hanging="4"/>
        <w:spacing w:after="0" w:line="268" w:lineRule="auto"/>
        <w:tabs>
          <w:tab w:leader="none" w:pos="4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Registration Statement (Form S-8 No. 333-45066) of Waste Management, Inc. pertaining to issuance of shares of common stock pursuant to the 2000 Stock Incentive Plan and 1996 Stock Option Plan for Non-Employee Directors, and</w:t>
      </w:r>
    </w:p>
    <w:p>
      <w:pPr>
        <w:spacing w:after="0" w:line="50" w:lineRule="exact"/>
        <w:rPr>
          <w:rFonts w:ascii="Arial" w:cs="Arial" w:eastAsia="Arial" w:hAnsi="Arial"/>
          <w:sz w:val="18"/>
          <w:szCs w:val="18"/>
          <w:color w:val="auto"/>
        </w:rPr>
      </w:pPr>
    </w:p>
    <w:p>
      <w:pPr>
        <w:ind w:left="240" w:right="420" w:hanging="4"/>
        <w:spacing w:after="0" w:line="268" w:lineRule="auto"/>
        <w:tabs>
          <w:tab w:leader="none" w:pos="4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Registration Statement (Form S-8 No. 333-14613) of Waste Management, Inc. pertaining to issuance of shares of common stock pursuant to the 1993 Stock Incentive Plan</w:t>
      </w:r>
    </w:p>
    <w:p>
      <w:pPr>
        <w:spacing w:after="0" w:line="5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of our reports dated February 16, 2012, with respect to the consolidated financial statements and schedule of Waste Management, Inc. and the effectiveness of internal control over financial reporting of Waste Management, Inc. included in this Annual Report (Form 10-K) for the year ended December 31, 2011.</w:t>
      </w:r>
    </w:p>
    <w:p>
      <w:pPr>
        <w:spacing w:after="0" w:line="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2012</w:t>
      </w:r>
    </w:p>
    <w:p>
      <w:pPr>
        <w:sectPr>
          <w:pgSz w:w="11900" w:h="16838" w:orient="portrait"/>
          <w:cols w:equalWidth="0" w:num="1">
            <w:col w:w="11420"/>
          </w:cols>
          <w:pgMar w:left="240" w:top="125"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90" w:lineRule="exact"/>
        <w:rPr>
          <w:sz w:val="20"/>
          <w:szCs w:val="20"/>
          <w:color w:val="auto"/>
        </w:rPr>
      </w:pPr>
    </w:p>
    <w:p>
      <w:pPr>
        <w:ind w:left="640" w:hanging="17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report on Form 10-K of Waste Management, Inc.;</w:t>
      </w:r>
    </w:p>
    <w:p>
      <w:pPr>
        <w:spacing w:after="0" w:line="90" w:lineRule="exact"/>
        <w:rPr>
          <w:rFonts w:ascii="Arial" w:cs="Arial" w:eastAsia="Arial" w:hAnsi="Arial"/>
          <w:sz w:val="18"/>
          <w:szCs w:val="18"/>
          <w:color w:val="auto"/>
        </w:rPr>
      </w:pPr>
    </w:p>
    <w:p>
      <w:pPr>
        <w:ind w:right="20" w:firstLine="464"/>
        <w:spacing w:after="0" w:line="332" w:lineRule="auto"/>
        <w:tabs>
          <w:tab w:leader="none" w:pos="72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right="20" w:firstLine="464"/>
        <w:spacing w:after="0" w:line="268" w:lineRule="auto"/>
        <w:tabs>
          <w:tab w:leader="none" w:pos="77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firstLine="464"/>
        <w:spacing w:after="0" w:line="259" w:lineRule="auto"/>
        <w:tabs>
          <w:tab w:leader="none" w:pos="75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8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213"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firstLine="443"/>
        <w:spacing w:after="0" w:line="332" w:lineRule="auto"/>
        <w:tabs>
          <w:tab w:leader="none" w:pos="1227"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firstLine="443"/>
        <w:spacing w:after="0" w:line="259" w:lineRule="auto"/>
        <w:tabs>
          <w:tab w:leader="none" w:pos="118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firstLine="464"/>
        <w:spacing w:after="0" w:line="268" w:lineRule="auto"/>
        <w:tabs>
          <w:tab w:leader="none" w:pos="68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0" w:lineRule="exact"/>
        <w:rPr>
          <w:rFonts w:ascii="Arial" w:cs="Arial" w:eastAsia="Arial" w:hAnsi="Arial"/>
          <w:sz w:val="18"/>
          <w:szCs w:val="18"/>
          <w:color w:val="auto"/>
        </w:rPr>
      </w:pPr>
    </w:p>
    <w:p>
      <w:pPr>
        <w:ind w:left="460" w:firstLine="443"/>
        <w:spacing w:after="0" w:line="268" w:lineRule="auto"/>
        <w:tabs>
          <w:tab w:leader="none" w:pos="11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53"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P. STEINER</w:t>
            </w:r>
          </w:p>
        </w:tc>
      </w:tr>
      <w:tr>
        <w:trPr>
          <w:trHeight w:val="202"/>
        </w:trPr>
        <w:tc>
          <w:tcPr>
            <w:tcW w:w="420" w:type="dxa"/>
            <w:vAlign w:val="bottom"/>
          </w:tcPr>
          <w:p>
            <w:pPr>
              <w:spacing w:after="0"/>
              <w:rPr>
                <w:sz w:val="17"/>
                <w:szCs w:val="17"/>
                <w:color w:val="auto"/>
              </w:rPr>
            </w:pPr>
          </w:p>
        </w:tc>
        <w:tc>
          <w:tcPr>
            <w:tcW w:w="4140" w:type="dxa"/>
            <w:vAlign w:val="bottom"/>
          </w:tcPr>
          <w:p>
            <w:pPr>
              <w:jc w:val="center"/>
              <w:spacing w:after="0" w:line="202" w:lineRule="exact"/>
              <w:rPr>
                <w:sz w:val="20"/>
                <w:szCs w:val="20"/>
                <w:color w:val="auto"/>
              </w:rPr>
            </w:pPr>
            <w:r>
              <w:rPr>
                <w:rFonts w:ascii="Arial" w:cs="Arial" w:eastAsia="Arial" w:hAnsi="Arial"/>
                <w:sz w:val="18"/>
                <w:szCs w:val="18"/>
                <w:color w:val="auto"/>
                <w:w w:val="87"/>
              </w:rPr>
              <w:t>David P. Steiner</w:t>
            </w:r>
          </w:p>
        </w:tc>
      </w:tr>
      <w:tr>
        <w:trPr>
          <w:trHeight w:val="222"/>
        </w:trPr>
        <w:tc>
          <w:tcPr>
            <w:tcW w:w="4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8"/>
              </w:rPr>
              <w:t>President and Chief Executive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2012</w:t>
      </w:r>
    </w:p>
    <w:p>
      <w:pPr>
        <w:sectPr>
          <w:pgSz w:w="11900" w:h="16838" w:orient="portrait"/>
          <w:cols w:equalWidth="0" w:num="1">
            <w:col w:w="11420"/>
          </w:cols>
          <w:pgMar w:left="240" w:top="125"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Steven C. Preston, certify that:</w:t>
      </w:r>
    </w:p>
    <w:p>
      <w:pPr>
        <w:spacing w:after="0" w:line="90" w:lineRule="exact"/>
        <w:rPr>
          <w:sz w:val="20"/>
          <w:szCs w:val="20"/>
          <w:color w:val="auto"/>
        </w:rPr>
      </w:pPr>
    </w:p>
    <w:p>
      <w:pPr>
        <w:ind w:left="640" w:hanging="17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report on Form 10-K of Waste Management, Inc.;</w:t>
      </w:r>
    </w:p>
    <w:p>
      <w:pPr>
        <w:spacing w:after="0" w:line="90" w:lineRule="exact"/>
        <w:rPr>
          <w:rFonts w:ascii="Arial" w:cs="Arial" w:eastAsia="Arial" w:hAnsi="Arial"/>
          <w:sz w:val="18"/>
          <w:szCs w:val="18"/>
          <w:color w:val="auto"/>
        </w:rPr>
      </w:pPr>
    </w:p>
    <w:p>
      <w:pPr>
        <w:ind w:right="20" w:firstLine="464"/>
        <w:spacing w:after="0" w:line="332" w:lineRule="auto"/>
        <w:tabs>
          <w:tab w:leader="none" w:pos="72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right="20" w:firstLine="464"/>
        <w:spacing w:after="0" w:line="268" w:lineRule="auto"/>
        <w:tabs>
          <w:tab w:leader="none" w:pos="77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firstLine="464"/>
        <w:spacing w:after="0" w:line="259" w:lineRule="auto"/>
        <w:tabs>
          <w:tab w:leader="none" w:pos="75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8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21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firstLine="443"/>
        <w:spacing w:after="0" w:line="332" w:lineRule="auto"/>
        <w:tabs>
          <w:tab w:leader="none" w:pos="122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firstLine="443"/>
        <w:spacing w:after="0" w:line="259" w:lineRule="auto"/>
        <w:tabs>
          <w:tab w:leader="none" w:pos="118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firstLine="464"/>
        <w:spacing w:after="0" w:line="268" w:lineRule="auto"/>
        <w:tabs>
          <w:tab w:leader="none" w:pos="68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0" w:lineRule="exact"/>
        <w:rPr>
          <w:rFonts w:ascii="Arial" w:cs="Arial" w:eastAsia="Arial" w:hAnsi="Arial"/>
          <w:sz w:val="18"/>
          <w:szCs w:val="18"/>
          <w:color w:val="auto"/>
        </w:rPr>
      </w:pPr>
    </w:p>
    <w:p>
      <w:pPr>
        <w:ind w:left="460" w:firstLine="443"/>
        <w:spacing w:after="0" w:line="268" w:lineRule="auto"/>
        <w:tabs>
          <w:tab w:leader="none" w:pos="11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5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STEVEN C. PRESTON</w:t>
            </w:r>
          </w:p>
        </w:tc>
      </w:tr>
      <w:tr>
        <w:trPr>
          <w:trHeight w:val="202"/>
        </w:trPr>
        <w:tc>
          <w:tcPr>
            <w:tcW w:w="420" w:type="dxa"/>
            <w:vAlign w:val="bottom"/>
          </w:tcPr>
          <w:p>
            <w:pPr>
              <w:spacing w:after="0"/>
              <w:rPr>
                <w:sz w:val="17"/>
                <w:szCs w:val="17"/>
                <w:color w:val="auto"/>
              </w:rPr>
            </w:pPr>
          </w:p>
        </w:tc>
        <w:tc>
          <w:tcPr>
            <w:tcW w:w="4140" w:type="dxa"/>
            <w:vAlign w:val="bottom"/>
          </w:tcPr>
          <w:p>
            <w:pPr>
              <w:jc w:val="center"/>
              <w:spacing w:after="0" w:line="202" w:lineRule="exact"/>
              <w:rPr>
                <w:sz w:val="20"/>
                <w:szCs w:val="20"/>
                <w:color w:val="auto"/>
              </w:rPr>
            </w:pPr>
            <w:r>
              <w:rPr>
                <w:rFonts w:ascii="Arial" w:cs="Arial" w:eastAsia="Arial" w:hAnsi="Arial"/>
                <w:sz w:val="18"/>
                <w:szCs w:val="18"/>
                <w:color w:val="auto"/>
                <w:w w:val="86"/>
              </w:rPr>
              <w:t>Steven C. Preston</w:t>
            </w:r>
          </w:p>
        </w:tc>
      </w:tr>
      <w:tr>
        <w:trPr>
          <w:trHeight w:val="216"/>
        </w:trPr>
        <w:tc>
          <w:tcPr>
            <w:tcW w:w="4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7"/>
              </w:rPr>
              <w:t>Executive Vice President —</w:t>
            </w:r>
          </w:p>
        </w:tc>
      </w:tr>
      <w:tr>
        <w:trPr>
          <w:trHeight w:val="222"/>
        </w:trPr>
        <w:tc>
          <w:tcPr>
            <w:tcW w:w="4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8"/>
              </w:rPr>
              <w:t>Finance, Recycling &amp; Energy Services</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2012</w:t>
      </w:r>
    </w:p>
    <w:p>
      <w:pPr>
        <w:sectPr>
          <w:pgSz w:w="11900" w:h="16838" w:orient="portrait"/>
          <w:cols w:equalWidth="0" w:num="1">
            <w:col w:w="11420"/>
          </w:cols>
          <w:pgMar w:left="240" w:top="125"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2011 as filed with the Securities and Exchange Commission on the date hereof (the “Report”), I, David P. Steiner, Chief Executive Officer of the Company, certify, pursuant to 18 U.S.C. § 1350, as adopted pursuant to §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P. STEINER</w:t>
            </w:r>
          </w:p>
        </w:tc>
      </w:tr>
      <w:tr>
        <w:trPr>
          <w:trHeight w:val="202"/>
        </w:trPr>
        <w:tc>
          <w:tcPr>
            <w:tcW w:w="420" w:type="dxa"/>
            <w:vAlign w:val="bottom"/>
          </w:tcPr>
          <w:p>
            <w:pPr>
              <w:spacing w:after="0"/>
              <w:rPr>
                <w:sz w:val="17"/>
                <w:szCs w:val="17"/>
                <w:color w:val="auto"/>
              </w:rPr>
            </w:pPr>
          </w:p>
        </w:tc>
        <w:tc>
          <w:tcPr>
            <w:tcW w:w="4140" w:type="dxa"/>
            <w:vAlign w:val="bottom"/>
          </w:tcPr>
          <w:p>
            <w:pPr>
              <w:jc w:val="center"/>
              <w:spacing w:after="0" w:line="202" w:lineRule="exact"/>
              <w:rPr>
                <w:sz w:val="20"/>
                <w:szCs w:val="20"/>
                <w:color w:val="auto"/>
              </w:rPr>
            </w:pPr>
            <w:r>
              <w:rPr>
                <w:rFonts w:ascii="Arial" w:cs="Arial" w:eastAsia="Arial" w:hAnsi="Arial"/>
                <w:sz w:val="18"/>
                <w:szCs w:val="18"/>
                <w:color w:val="auto"/>
                <w:w w:val="87"/>
              </w:rPr>
              <w:t>David P. Steiner</w:t>
            </w:r>
          </w:p>
        </w:tc>
      </w:tr>
      <w:tr>
        <w:trPr>
          <w:trHeight w:val="222"/>
        </w:trPr>
        <w:tc>
          <w:tcPr>
            <w:tcW w:w="4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8"/>
              </w:rPr>
              <w:t>President and Chief Executive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2012</w:t>
      </w:r>
    </w:p>
    <w:p>
      <w:pPr>
        <w:sectPr>
          <w:pgSz w:w="11900" w:h="16838" w:orient="portrait"/>
          <w:cols w:equalWidth="0" w:num="1">
            <w:col w:w="11420"/>
          </w:cols>
          <w:pgMar w:left="240" w:top="125"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2011 as filed with the Securities and Exchange Commission on the date hereof (the “Report”), I, Steven C. Preston, principal financial officer of the Company, certify, pursuant to 18 U.S.C. § 1350, as adopted pursuant to §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STEVEN C. PRESTON</w:t>
            </w:r>
          </w:p>
        </w:tc>
      </w:tr>
      <w:tr>
        <w:trPr>
          <w:trHeight w:val="202"/>
        </w:trPr>
        <w:tc>
          <w:tcPr>
            <w:tcW w:w="420" w:type="dxa"/>
            <w:vAlign w:val="bottom"/>
          </w:tcPr>
          <w:p>
            <w:pPr>
              <w:spacing w:after="0"/>
              <w:rPr>
                <w:sz w:val="17"/>
                <w:szCs w:val="17"/>
                <w:color w:val="auto"/>
              </w:rPr>
            </w:pPr>
          </w:p>
        </w:tc>
        <w:tc>
          <w:tcPr>
            <w:tcW w:w="4140" w:type="dxa"/>
            <w:vAlign w:val="bottom"/>
          </w:tcPr>
          <w:p>
            <w:pPr>
              <w:jc w:val="center"/>
              <w:spacing w:after="0" w:line="202" w:lineRule="exact"/>
              <w:rPr>
                <w:sz w:val="20"/>
                <w:szCs w:val="20"/>
                <w:color w:val="auto"/>
              </w:rPr>
            </w:pPr>
            <w:r>
              <w:rPr>
                <w:rFonts w:ascii="Arial" w:cs="Arial" w:eastAsia="Arial" w:hAnsi="Arial"/>
                <w:sz w:val="18"/>
                <w:szCs w:val="18"/>
                <w:color w:val="auto"/>
                <w:w w:val="86"/>
              </w:rPr>
              <w:t>Steven C. Preston</w:t>
            </w:r>
          </w:p>
        </w:tc>
      </w:tr>
      <w:tr>
        <w:trPr>
          <w:trHeight w:val="216"/>
        </w:trPr>
        <w:tc>
          <w:tcPr>
            <w:tcW w:w="4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7"/>
              </w:rPr>
              <w:t>Executive Vice President —</w:t>
            </w:r>
          </w:p>
        </w:tc>
      </w:tr>
      <w:tr>
        <w:trPr>
          <w:trHeight w:val="222"/>
        </w:trPr>
        <w:tc>
          <w:tcPr>
            <w:tcW w:w="4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8"/>
              </w:rPr>
              <w:t>Finance, Recycling &amp; Energy Services</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2012</w:t>
      </w:r>
    </w:p>
    <w:p>
      <w:pPr>
        <w:sectPr>
          <w:pgSz w:w="11900" w:h="16838" w:orient="portrait"/>
          <w:cols w:equalWidth="0" w:num="1">
            <w:col w:w="11420"/>
          </w:cols>
          <w:pgMar w:left="240" w:top="125"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95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4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During the year ended December 31, 2011,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104(a)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Waste Management of Hawaii, Inc. was assessed a penalty of $100 by the MSHA in connection with the requirement to file quarterly reports with the MSHA for the mine located at our West Hawaii Landfill.</w:t>
      </w:r>
    </w:p>
    <w:p>
      <w:pPr>
        <w:spacing w:after="0" w:line="118"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In addition, during the year ended December 31, 2011,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Ÿ"/>
      <w:numFmt w:val="bullet"/>
      <w:start w:val="1"/>
    </w:lvl>
  </w:abstractNum>
  <w:abstractNum w:abstractNumId="3">
    <w:nsid w:val="5FF87E05"/>
    <w:multiLevelType w:val="hybridMultilevel"/>
    <w:lvl w:ilvl="0">
      <w:lvlJc w:val="left"/>
      <w:lvlText w:val="Ÿ"/>
      <w:numFmt w:val="bullet"/>
      <w:start w:val="1"/>
    </w:lvl>
  </w:abstractNum>
  <w:abstractNum w:abstractNumId="4">
    <w:nsid w:val="2F305DEF"/>
    <w:multiLevelType w:val="hybridMultilevel"/>
    <w:lvl w:ilvl="0">
      <w:lvlJc w:val="left"/>
      <w:lvlText w:val="(%1)"/>
      <w:numFmt w:val="lowerLetter"/>
      <w:start w:val="1"/>
    </w:lvl>
  </w:abstractNum>
  <w:abstractNum w:abstractNumId="5">
    <w:nsid w:val="25A70BF7"/>
    <w:multiLevelType w:val="hybridMultilevel"/>
    <w:lvl w:ilvl="0">
      <w:lvlJc w:val="left"/>
      <w:lvlText w:val="(%1)"/>
      <w:numFmt w:val="lowerLetter"/>
      <w:start w:val="6"/>
    </w:lvl>
  </w:abstractNum>
  <w:abstractNum w:abstractNumId="6">
    <w:nsid w:val="1DBABF00"/>
    <w:multiLevelType w:val="hybridMultilevel"/>
    <w:lvl w:ilvl="0">
      <w:lvlJc w:val="left"/>
      <w:lvlText w:val="Ÿ"/>
      <w:numFmt w:val="bullet"/>
      <w:start w:val="1"/>
    </w:lvl>
  </w:abstractNum>
  <w:abstractNum w:abstractNumId="7">
    <w:nsid w:val="4AD084E9"/>
    <w:multiLevelType w:val="hybridMultilevel"/>
    <w:lvl w:ilvl="0">
      <w:lvlJc w:val="left"/>
      <w:lvlText w:val="Ÿ"/>
      <w:numFmt w:val="bullet"/>
      <w:start w:val="1"/>
    </w:lvl>
  </w:abstractNum>
  <w:abstractNum w:abstractNumId="8">
    <w:nsid w:val="1F48EAA1"/>
    <w:multiLevelType w:val="hybridMultilevel"/>
    <w:lvl w:ilvl="0">
      <w:lvlJc w:val="left"/>
      <w:lvlText w:val="Ÿ"/>
      <w:numFmt w:val="bullet"/>
      <w:start w:val="1"/>
    </w:lvl>
  </w:abstractNum>
  <w:abstractNum w:abstractNumId="9">
    <w:nsid w:val="1381823A"/>
    <w:multiLevelType w:val="hybridMultilevel"/>
    <w:lvl w:ilvl="0">
      <w:lvlJc w:val="left"/>
      <w:lvlText w:val="Ÿ"/>
      <w:numFmt w:val="bullet"/>
      <w:start w:val="1"/>
    </w:lvl>
  </w:abstractNum>
  <w:abstractNum w:abstractNumId="10">
    <w:nsid w:val="5DB70AE5"/>
    <w:multiLevelType w:val="hybridMultilevel"/>
    <w:lvl w:ilvl="0">
      <w:lvlJc w:val="left"/>
      <w:lvlText w:val="Ÿ"/>
      <w:numFmt w:val="bullet"/>
      <w:start w:val="1"/>
    </w:lvl>
  </w:abstractNum>
  <w:abstractNum w:abstractNumId="11">
    <w:nsid w:val="100F8FCA"/>
    <w:multiLevelType w:val="hybridMultilevel"/>
    <w:lvl w:ilvl="0">
      <w:lvlJc w:val="left"/>
      <w:lvlText w:val="Ÿ"/>
      <w:numFmt w:val="bullet"/>
      <w:start w:val="1"/>
    </w:lvl>
  </w:abstractNum>
  <w:abstractNum w:abstractNumId="12">
    <w:nsid w:val="6590700B"/>
    <w:multiLevelType w:val="hybridMultilevel"/>
    <w:lvl w:ilvl="0">
      <w:lvlJc w:val="left"/>
      <w:lvlText w:val="Ÿ"/>
      <w:numFmt w:val="bullet"/>
      <w:start w:val="1"/>
    </w:lvl>
  </w:abstractNum>
  <w:abstractNum w:abstractNumId="13">
    <w:nsid w:val="15014ACB"/>
    <w:multiLevelType w:val="hybridMultilevel"/>
    <w:lvl w:ilvl="0">
      <w:lvlJc w:val="left"/>
      <w:lvlText w:val="Ÿ"/>
      <w:numFmt w:val="bullet"/>
      <w:start w:val="1"/>
    </w:lvl>
  </w:abstractNum>
  <w:abstractNum w:abstractNumId="14">
    <w:nsid w:val="5F5E7FD0"/>
    <w:multiLevelType w:val="hybridMultilevel"/>
    <w:lvl w:ilvl="0">
      <w:lvlJc w:val="left"/>
      <w:lvlText w:val="Ÿ"/>
      <w:numFmt w:val="bullet"/>
      <w:start w:val="1"/>
    </w:lvl>
  </w:abstractNum>
  <w:abstractNum w:abstractNumId="15">
    <w:nsid w:val="98A3148"/>
    <w:multiLevelType w:val="hybridMultilevel"/>
    <w:lvl w:ilvl="0">
      <w:lvlJc w:val="left"/>
      <w:lvlText w:val="(%1)"/>
      <w:numFmt w:val="lowerLetter"/>
      <w:start w:val="1"/>
    </w:lvl>
  </w:abstractNum>
  <w:abstractNum w:abstractNumId="16">
    <w:nsid w:val="799D0247"/>
    <w:multiLevelType w:val="hybridMultilevel"/>
    <w:lvl w:ilvl="0">
      <w:lvlJc w:val="left"/>
      <w:lvlText w:val="(%1)"/>
      <w:numFmt w:val="lowerLetter"/>
      <w:start w:val="1"/>
    </w:lvl>
  </w:abstractNum>
  <w:abstractNum w:abstractNumId="17">
    <w:nsid w:val="6B94764"/>
    <w:multiLevelType w:val="hybridMultilevel"/>
    <w:lvl w:ilvl="0">
      <w:lvlJc w:val="left"/>
      <w:lvlText w:val="(%1)"/>
      <w:numFmt w:val="lowerLetter"/>
      <w:start w:val="1"/>
    </w:lvl>
  </w:abstractNum>
  <w:abstractNum w:abstractNumId="18">
    <w:nsid w:val="42C296BD"/>
    <w:multiLevelType w:val="hybridMultilevel"/>
    <w:lvl w:ilvl="0">
      <w:lvlJc w:val="left"/>
      <w:lvlText w:val="Ÿ"/>
      <w:numFmt w:val="bullet"/>
      <w:start w:val="1"/>
    </w:lvl>
  </w:abstractNum>
  <w:abstractNum w:abstractNumId="19">
    <w:nsid w:val="168E121F"/>
    <w:multiLevelType w:val="hybridMultilevel"/>
    <w:lvl w:ilvl="0">
      <w:lvlJc w:val="left"/>
      <w:lvlText w:val="Ÿ"/>
      <w:numFmt w:val="bullet"/>
      <w:start w:val="1"/>
    </w:lvl>
    <w:lvl w:ilvl="1">
      <w:lvlJc w:val="left"/>
      <w:lvlText w:val="Ÿ"/>
      <w:numFmt w:val="bullet"/>
      <w:start w:val="1"/>
    </w:lvl>
  </w:abstractNum>
  <w:abstractNum w:abstractNumId="20">
    <w:nsid w:val="1EBA5D23"/>
    <w:multiLevelType w:val="hybridMultilevel"/>
    <w:lvl w:ilvl="0">
      <w:lvlJc w:val="left"/>
      <w:lvlText w:val="Ÿ"/>
      <w:numFmt w:val="bullet"/>
      <w:start w:val="1"/>
    </w:lvl>
  </w:abstractNum>
  <w:abstractNum w:abstractNumId="21">
    <w:nsid w:val="661E3F1E"/>
    <w:multiLevelType w:val="hybridMultilevel"/>
    <w:lvl w:ilvl="0">
      <w:lvlJc w:val="left"/>
      <w:lvlText w:val="Ÿ"/>
      <w:numFmt w:val="bullet"/>
      <w:start w:val="1"/>
    </w:lvl>
  </w:abstractNum>
  <w:abstractNum w:abstractNumId="22">
    <w:nsid w:val="5DC79EA8"/>
    <w:multiLevelType w:val="hybridMultilevel"/>
    <w:lvl w:ilvl="0">
      <w:lvlJc w:val="left"/>
      <w:lvlText w:val="Ÿ"/>
      <w:numFmt w:val="bullet"/>
      <w:start w:val="1"/>
    </w:lvl>
  </w:abstractNum>
  <w:abstractNum w:abstractNumId="23">
    <w:nsid w:val="540A471C"/>
    <w:multiLevelType w:val="hybridMultilevel"/>
    <w:lvl w:ilvl="0">
      <w:lvlJc w:val="left"/>
      <w:lvlText w:val="(%1)"/>
      <w:numFmt w:val="lowerLetter"/>
      <w:start w:val="1"/>
    </w:lvl>
  </w:abstractNum>
  <w:abstractNum w:abstractNumId="24">
    <w:nsid w:val="7BD3EE7B"/>
    <w:multiLevelType w:val="hybridMultilevel"/>
    <w:lvl w:ilvl="0">
      <w:lvlJc w:val="left"/>
      <w:lvlText w:val="(%1)"/>
      <w:numFmt w:val="lowerLetter"/>
      <w:start w:val="1"/>
    </w:lvl>
  </w:abstractNum>
  <w:abstractNum w:abstractNumId="25">
    <w:nsid w:val="51D9C564"/>
    <w:multiLevelType w:val="hybridMultilevel"/>
    <w:lvl w:ilvl="0">
      <w:lvlJc w:val="left"/>
      <w:lvlText w:val="(%1)"/>
      <w:numFmt w:val="lowerRoman"/>
      <w:start w:val="2"/>
    </w:lvl>
  </w:abstractNum>
  <w:abstractNum w:abstractNumId="26">
    <w:nsid w:val="613EFDC5"/>
    <w:multiLevelType w:val="hybridMultilevel"/>
    <w:lvl w:ilvl="0">
      <w:lvlJc w:val="left"/>
      <w:lvlText w:val="Ÿ"/>
      <w:numFmt w:val="bullet"/>
      <w:start w:val="1"/>
    </w:lvl>
  </w:abstractNum>
  <w:abstractNum w:abstractNumId="27">
    <w:nsid w:val="BF72B14"/>
    <w:multiLevelType w:val="hybridMultilevel"/>
    <w:lvl w:ilvl="0">
      <w:lvlJc w:val="left"/>
      <w:lvlText w:val="Ÿ"/>
      <w:numFmt w:val="bullet"/>
      <w:start w:val="1"/>
    </w:lvl>
  </w:abstractNum>
  <w:abstractNum w:abstractNumId="28">
    <w:nsid w:val="11447B73"/>
    <w:multiLevelType w:val="hybridMultilevel"/>
    <w:lvl w:ilvl="0">
      <w:lvlJc w:val="left"/>
      <w:lvlText w:val="Ÿ"/>
      <w:numFmt w:val="bullet"/>
      <w:start w:val="1"/>
    </w:lvl>
  </w:abstractNum>
  <w:abstractNum w:abstractNumId="29">
    <w:nsid w:val="42963E5A"/>
    <w:multiLevelType w:val="hybridMultilevel"/>
    <w:lvl w:ilvl="0">
      <w:lvlJc w:val="left"/>
      <w:lvlText w:val="(%1)"/>
      <w:numFmt w:val="lowerRoman"/>
      <w:start w:val="3"/>
    </w:lvl>
  </w:abstractNum>
  <w:abstractNum w:abstractNumId="30">
    <w:nsid w:val="A0382C5"/>
    <w:multiLevelType w:val="hybridMultilevel"/>
    <w:lvl w:ilvl="0">
      <w:lvlJc w:val="left"/>
      <w:lvlText w:val="(%1)"/>
      <w:numFmt w:val="lowerLetter"/>
      <w:start w:val="1"/>
    </w:lvl>
  </w:abstractNum>
  <w:abstractNum w:abstractNumId="31">
    <w:nsid w:val="8F2B15E"/>
    <w:multiLevelType w:val="hybridMultilevel"/>
    <w:lvl w:ilvl="0">
      <w:lvlJc w:val="left"/>
      <w:lvlText w:val="(%1)"/>
      <w:numFmt w:val="lowerRoman"/>
      <w:start w:val="1"/>
    </w:lvl>
  </w:abstractNum>
  <w:abstractNum w:abstractNumId="32">
    <w:nsid w:val="1A32234B"/>
    <w:multiLevelType w:val="hybridMultilevel"/>
    <w:lvl w:ilvl="0">
      <w:lvlJc w:val="left"/>
      <w:lvlText w:val="(%1)"/>
      <w:numFmt w:val="lowerRoman"/>
      <w:start w:val="2"/>
    </w:lvl>
  </w:abstractNum>
  <w:abstractNum w:abstractNumId="33">
    <w:nsid w:val="3B0FD379"/>
    <w:multiLevelType w:val="hybridMultilevel"/>
    <w:lvl w:ilvl="0">
      <w:lvlJc w:val="left"/>
      <w:lvlText w:val="(%1)"/>
      <w:numFmt w:val="lowerRoman"/>
      <w:start w:val="2"/>
    </w:lvl>
  </w:abstractNum>
  <w:abstractNum w:abstractNumId="34">
    <w:nsid w:val="68EB2F63"/>
    <w:multiLevelType w:val="hybridMultilevel"/>
    <w:lvl w:ilvl="0">
      <w:lvlJc w:val="left"/>
      <w:lvlText w:val="(%1)"/>
      <w:numFmt w:val="lowerRoman"/>
      <w:start w:val="3"/>
    </w:lvl>
  </w:abstractNum>
  <w:abstractNum w:abstractNumId="35">
    <w:nsid w:val="4962813B"/>
    <w:multiLevelType w:val="hybridMultilevel"/>
    <w:lvl w:ilvl="0">
      <w:lvlJc w:val="left"/>
      <w:lvlText w:val="(%1)"/>
      <w:numFmt w:val="lowerRoman"/>
      <w:start w:val="3"/>
    </w:lvl>
  </w:abstractNum>
  <w:abstractNum w:abstractNumId="36">
    <w:nsid w:val="60B6DF70"/>
    <w:multiLevelType w:val="hybridMultilevel"/>
    <w:lvl w:ilvl="0">
      <w:lvlJc w:val="left"/>
      <w:lvlText w:val="Ÿ"/>
      <w:numFmt w:val="bullet"/>
      <w:start w:val="1"/>
    </w:lvl>
  </w:abstractNum>
  <w:abstractNum w:abstractNumId="37">
    <w:nsid w:val="6A5EE64"/>
    <w:multiLevelType w:val="hybridMultilevel"/>
    <w:lvl w:ilvl="0">
      <w:lvlJc w:val="left"/>
      <w:lvlText w:val="Ÿ"/>
      <w:numFmt w:val="bullet"/>
      <w:start w:val="1"/>
    </w:lvl>
  </w:abstractNum>
  <w:abstractNum w:abstractNumId="38">
    <w:nsid w:val="14330624"/>
    <w:multiLevelType w:val="hybridMultilevel"/>
    <w:lvl w:ilvl="0">
      <w:lvlJc w:val="left"/>
      <w:lvlText w:val="Ÿ"/>
      <w:numFmt w:val="bullet"/>
      <w:start w:val="1"/>
    </w:lvl>
  </w:abstractNum>
  <w:abstractNum w:abstractNumId="39">
    <w:nsid w:val="7FFFCA11"/>
    <w:multiLevelType w:val="hybridMultilevel"/>
    <w:lvl w:ilvl="0">
      <w:lvlJc w:val="left"/>
      <w:lvlText w:val="(%1)"/>
      <w:numFmt w:val="lowerLetter"/>
      <w:start w:val="1"/>
    </w:lvl>
  </w:abstractNum>
  <w:abstractNum w:abstractNumId="40">
    <w:nsid w:val="1A27709E"/>
    <w:multiLevelType w:val="hybridMultilevel"/>
    <w:lvl w:ilvl="0">
      <w:lvlJc w:val="left"/>
      <w:lvlText w:val="Ÿ"/>
      <w:numFmt w:val="bullet"/>
      <w:start w:val="1"/>
    </w:lvl>
  </w:abstractNum>
  <w:abstractNum w:abstractNumId="41">
    <w:nsid w:val="71EA1109"/>
    <w:multiLevelType w:val="hybridMultilevel"/>
    <w:lvl w:ilvl="0">
      <w:lvlJc w:val="left"/>
      <w:lvlText w:val="Ÿ"/>
      <w:numFmt w:val="bullet"/>
      <w:start w:val="1"/>
    </w:lvl>
  </w:abstractNum>
  <w:abstractNum w:abstractNumId="42">
    <w:nsid w:val="100F59DC"/>
    <w:multiLevelType w:val="hybridMultilevel"/>
    <w:lvl w:ilvl="0">
      <w:lvlJc w:val="left"/>
      <w:lvlText w:val="(%1)"/>
      <w:numFmt w:val="lowerLetter"/>
      <w:start w:val="1"/>
    </w:lvl>
  </w:abstractNum>
  <w:abstractNum w:abstractNumId="43">
    <w:nsid w:val="7FB7E0AA"/>
    <w:multiLevelType w:val="hybridMultilevel"/>
    <w:lvl w:ilvl="0">
      <w:lvlJc w:val="left"/>
      <w:lvlText w:val="(%1)"/>
      <w:numFmt w:val="lowerLetter"/>
      <w:start w:val="1"/>
    </w:lvl>
  </w:abstractNum>
  <w:abstractNum w:abstractNumId="44">
    <w:nsid w:val="6EB5BD4"/>
    <w:multiLevelType w:val="hybridMultilevel"/>
    <w:lvl w:ilvl="0">
      <w:lvlJc w:val="left"/>
      <w:lvlText w:val="(%1)"/>
      <w:numFmt w:val="lowerLetter"/>
      <w:start w:val="1"/>
    </w:lvl>
  </w:abstractNum>
  <w:abstractNum w:abstractNumId="45">
    <w:nsid w:val="6F6DD9AC"/>
    <w:multiLevelType w:val="hybridMultilevel"/>
    <w:lvl w:ilvl="0">
      <w:lvlJc w:val="left"/>
      <w:lvlText w:val="Ÿ"/>
      <w:numFmt w:val="bullet"/>
      <w:start w:val="1"/>
    </w:lvl>
  </w:abstractNum>
  <w:abstractNum w:abstractNumId="46">
    <w:nsid w:val="94211F2"/>
    <w:multiLevelType w:val="hybridMultilevel"/>
    <w:lvl w:ilvl="0">
      <w:lvlJc w:val="left"/>
      <w:lvlText w:val="(%1)"/>
      <w:numFmt w:val="lowerRoman"/>
      <w:start w:val="2"/>
    </w:lvl>
  </w:abstractNum>
  <w:abstractNum w:abstractNumId="47">
    <w:nsid w:val="885E1B"/>
    <w:multiLevelType w:val="hybridMultilevel"/>
    <w:lvl w:ilvl="0">
      <w:lvlJc w:val="left"/>
      <w:lvlText w:val="(%1)"/>
      <w:numFmt w:val="lowerRoman"/>
      <w:start w:val="6"/>
    </w:lvl>
  </w:abstractNum>
  <w:abstractNum w:abstractNumId="48">
    <w:nsid w:val="76272110"/>
    <w:multiLevelType w:val="hybridMultilevel"/>
    <w:lvl w:ilvl="0">
      <w:lvlJc w:val="left"/>
      <w:lvlText w:val="(%1)"/>
      <w:numFmt w:val="lowerRoman"/>
      <w:start w:val="2"/>
    </w:lvl>
  </w:abstractNum>
  <w:abstractNum w:abstractNumId="49">
    <w:nsid w:val="4C04A8AF"/>
    <w:multiLevelType w:val="hybridMultilevel"/>
    <w:lvl w:ilvl="0">
      <w:lvlJc w:val="left"/>
      <w:lvlText w:val="(%1)"/>
      <w:numFmt w:val="lowerLetter"/>
      <w:start w:val="1"/>
    </w:lvl>
  </w:abstractNum>
  <w:abstractNum w:abstractNumId="50">
    <w:nsid w:val="1716703B"/>
    <w:multiLevelType w:val="hybridMultilevel"/>
    <w:lvl w:ilvl="0">
      <w:lvlJc w:val="left"/>
      <w:lvlText w:val="Ÿ"/>
      <w:numFmt w:val="bullet"/>
      <w:start w:val="1"/>
    </w:lvl>
  </w:abstractNum>
  <w:abstractNum w:abstractNumId="51">
    <w:nsid w:val="14E17E33"/>
    <w:multiLevelType w:val="hybridMultilevel"/>
    <w:lvl w:ilvl="0">
      <w:lvlJc w:val="left"/>
      <w:lvlText w:val="Ÿ"/>
      <w:numFmt w:val="bullet"/>
      <w:start w:val="1"/>
    </w:lvl>
    <w:lvl w:ilvl="1">
      <w:lvlJc w:val="left"/>
      <w:lvlText w:val="Ÿ"/>
      <w:numFmt w:val="bullet"/>
      <w:start w:val="1"/>
    </w:lvl>
  </w:abstractNum>
  <w:abstractNum w:abstractNumId="52">
    <w:nsid w:val="3222E7CD"/>
    <w:multiLevelType w:val="hybridMultilevel"/>
    <w:lvl w:ilvl="0">
      <w:lvlJc w:val="left"/>
      <w:lvlText w:val="Ÿ"/>
      <w:numFmt w:val="bullet"/>
      <w:start w:val="1"/>
    </w:lvl>
  </w:abstractNum>
  <w:abstractNum w:abstractNumId="53">
    <w:nsid w:val="74DE0EE3"/>
    <w:multiLevelType w:val="hybridMultilevel"/>
    <w:lvl w:ilvl="0">
      <w:lvlJc w:val="left"/>
      <w:lvlText w:val="Ÿ"/>
      <w:numFmt w:val="bullet"/>
      <w:start w:val="1"/>
    </w:lvl>
  </w:abstractNum>
  <w:abstractNum w:abstractNumId="54">
    <w:nsid w:val="68EBC550"/>
    <w:multiLevelType w:val="hybridMultilevel"/>
    <w:lvl w:ilvl="0">
      <w:lvlJc w:val="left"/>
      <w:lvlText w:val="Ÿ"/>
      <w:numFmt w:val="bullet"/>
      <w:start w:val="1"/>
    </w:lvl>
  </w:abstractNum>
  <w:abstractNum w:abstractNumId="55">
    <w:nsid w:val="2DF6D648"/>
    <w:multiLevelType w:val="hybridMultilevel"/>
    <w:lvl w:ilvl="0">
      <w:lvlJc w:val="left"/>
      <w:lvlText w:val="Ÿ"/>
      <w:numFmt w:val="bullet"/>
      <w:start w:val="1"/>
    </w:lvl>
  </w:abstractNum>
  <w:abstractNum w:abstractNumId="56">
    <w:nsid w:val="46B7D447"/>
    <w:multiLevelType w:val="hybridMultilevel"/>
    <w:lvl w:ilvl="0">
      <w:lvlJc w:val="left"/>
      <w:lvlText w:val="(%1)"/>
      <w:numFmt w:val="lowerLetter"/>
      <w:start w:val="1"/>
    </w:lvl>
  </w:abstractNum>
  <w:abstractNum w:abstractNumId="57">
    <w:nsid w:val="4A2AC315"/>
    <w:multiLevelType w:val="hybridMultilevel"/>
    <w:lvl w:ilvl="0">
      <w:lvlJc w:val="left"/>
      <w:lvlText w:val="Ÿ"/>
      <w:numFmt w:val="bullet"/>
      <w:start w:val="1"/>
    </w:lvl>
  </w:abstractNum>
  <w:abstractNum w:abstractNumId="58">
    <w:nsid w:val="39EE015C"/>
    <w:multiLevelType w:val="hybridMultilevel"/>
    <w:lvl w:ilvl="0">
      <w:lvlJc w:val="left"/>
      <w:lvlText w:val="(%1)"/>
      <w:numFmt w:val="lowerLetter"/>
      <w:start w:val="1"/>
    </w:lvl>
  </w:abstractNum>
  <w:abstractNum w:abstractNumId="59">
    <w:nsid w:val="57FC4FBB"/>
    <w:multiLevelType w:val="hybridMultilevel"/>
    <w:lvl w:ilvl="0">
      <w:lvlJc w:val="left"/>
      <w:lvlText w:val="(%1)"/>
      <w:numFmt w:val="lowerRoman"/>
      <w:start w:val="5"/>
    </w:lvl>
  </w:abstractNum>
  <w:abstractNum w:abstractNumId="60">
    <w:nsid w:val="CC1016F"/>
    <w:multiLevelType w:val="hybridMultilevel"/>
    <w:lvl w:ilvl="0">
      <w:lvlJc w:val="left"/>
      <w:lvlText w:val="%1."/>
      <w:numFmt w:val="lowerRoman"/>
      <w:start w:val="1"/>
    </w:lvl>
  </w:abstractNum>
  <w:abstractNum w:abstractNumId="61">
    <w:nsid w:val="43F18422"/>
    <w:multiLevelType w:val="hybridMultilevel"/>
    <w:lvl w:ilvl="0">
      <w:lvlJc w:val="left"/>
      <w:lvlText w:val="Ÿ"/>
      <w:numFmt w:val="bullet"/>
      <w:start w:val="1"/>
    </w:lvl>
  </w:abstractNum>
  <w:abstractNum w:abstractNumId="62">
    <w:nsid w:val="60EF0119"/>
    <w:multiLevelType w:val="hybridMultilevel"/>
    <w:lvl w:ilvl="0">
      <w:lvlJc w:val="left"/>
      <w:lvlText w:val="(%1)"/>
      <w:numFmt w:val="lowerRoman"/>
      <w:start w:val="1"/>
    </w:lvl>
  </w:abstractNum>
  <w:abstractNum w:abstractNumId="63">
    <w:nsid w:val="26F324BA"/>
    <w:multiLevelType w:val="hybridMultilevel"/>
    <w:lvl w:ilvl="0">
      <w:lvlJc w:val="left"/>
      <w:lvlText w:val="Ÿ"/>
      <w:numFmt w:val="bullet"/>
      <w:start w:val="1"/>
    </w:lvl>
    <w:lvl w:ilvl="1">
      <w:lvlJc w:val="left"/>
      <w:lvlText w:val="Ÿ"/>
      <w:numFmt w:val="bullet"/>
      <w:start w:val="1"/>
    </w:lvl>
  </w:abstractNum>
  <w:abstractNum w:abstractNumId="64">
    <w:nsid w:val="7F01579B"/>
    <w:multiLevelType w:val="hybridMultilevel"/>
    <w:lvl w:ilvl="0">
      <w:lvlJc w:val="left"/>
      <w:lvlText w:val="Ÿ"/>
      <w:numFmt w:val="bullet"/>
      <w:start w:val="1"/>
    </w:lvl>
  </w:abstractNum>
  <w:abstractNum w:abstractNumId="65">
    <w:nsid w:val="49DA307D"/>
    <w:multiLevelType w:val="hybridMultilevel"/>
    <w:lvl w:ilvl="0">
      <w:lvlJc w:val="left"/>
      <w:lvlText w:val="(%1)"/>
      <w:numFmt w:val="lowerLetter"/>
      <w:start w:val="1"/>
    </w:lvl>
  </w:abstractNum>
  <w:abstractNum w:abstractNumId="66">
    <w:nsid w:val="7055A5F5"/>
    <w:multiLevelType w:val="hybridMultilevel"/>
    <w:lvl w:ilvl="0">
      <w:lvlJc w:val="left"/>
      <w:lvlText w:val="Ÿ"/>
      <w:numFmt w:val="bullet"/>
      <w:start w:val="1"/>
    </w:lvl>
  </w:abstractNum>
  <w:abstractNum w:abstractNumId="67">
    <w:nsid w:val="5FB8370B"/>
    <w:multiLevelType w:val="hybridMultilevel"/>
    <w:lvl w:ilvl="0">
      <w:lvlJc w:val="left"/>
      <w:lvlText w:val="(%1)"/>
      <w:numFmt w:val="lowerLetter"/>
      <w:start w:val="1"/>
    </w:lvl>
  </w:abstractNum>
  <w:abstractNum w:abstractNumId="68">
    <w:nsid w:val="50801EE1"/>
    <w:multiLevelType w:val="hybridMultilevel"/>
    <w:lvl w:ilvl="0">
      <w:lvlJc w:val="left"/>
      <w:lvlText w:val="(%1)"/>
      <w:numFmt w:val="lowerLetter"/>
      <w:start w:val="1"/>
    </w:lvl>
  </w:abstractNum>
  <w:abstractNum w:abstractNumId="69">
    <w:nsid w:val="488AC1A"/>
    <w:multiLevelType w:val="hybridMultilevel"/>
    <w:lvl w:ilvl="0">
      <w:lvlJc w:val="left"/>
      <w:lvlText w:val="$"/>
      <w:numFmt w:val="bullet"/>
      <w:start w:val="1"/>
    </w:lvl>
  </w:abstractNum>
  <w:abstractNum w:abstractNumId="70">
    <w:nsid w:val="5FB8011C"/>
    <w:multiLevelType w:val="hybridMultilevel"/>
    <w:lvl w:ilvl="0">
      <w:lvlJc w:val="left"/>
      <w:lvlText w:val="$"/>
      <w:numFmt w:val="bullet"/>
      <w:start w:val="1"/>
    </w:lvl>
  </w:abstractNum>
  <w:abstractNum w:abstractNumId="71">
    <w:nsid w:val="6AA78F7F"/>
    <w:multiLevelType w:val="hybridMultilevel"/>
    <w:lvl w:ilvl="0">
      <w:lvlJc w:val="left"/>
      <w:lvlText w:val="(%1)"/>
      <w:numFmt w:val="lowerLetter"/>
      <w:start w:val="1"/>
    </w:lvl>
  </w:abstractNum>
  <w:abstractNum w:abstractNumId="72">
    <w:nsid w:val="7672BD23"/>
    <w:multiLevelType w:val="hybridMultilevel"/>
    <w:lvl w:ilvl="0">
      <w:lvlJc w:val="left"/>
      <w:lvlText w:val="(%1)"/>
      <w:numFmt w:val="lowerLetter"/>
      <w:start w:val="3"/>
    </w:lvl>
  </w:abstractNum>
  <w:abstractNum w:abstractNumId="73">
    <w:nsid w:val="6FC75AF8"/>
    <w:multiLevelType w:val="hybridMultilevel"/>
    <w:lvl w:ilvl="0">
      <w:lvlJc w:val="left"/>
      <w:lvlText w:val="(%1)"/>
      <w:numFmt w:val="lowerLetter"/>
      <w:start w:val="5"/>
    </w:lvl>
  </w:abstractNum>
  <w:abstractNum w:abstractNumId="74">
    <w:nsid w:val="6A5F7029"/>
    <w:multiLevelType w:val="hybridMultilevel"/>
    <w:lvl w:ilvl="0">
      <w:lvlJc w:val="left"/>
      <w:lvlText w:val="%1."/>
      <w:numFmt w:val="decimal"/>
      <w:start w:val="11"/>
    </w:lvl>
  </w:abstractNum>
  <w:abstractNum w:abstractNumId="75">
    <w:nsid w:val="7D5E18F8"/>
    <w:multiLevelType w:val="hybridMultilevel"/>
    <w:lvl w:ilvl="0">
      <w:lvlJc w:val="left"/>
      <w:lvlText w:val="(%1)"/>
      <w:numFmt w:val="lowerLetter"/>
      <w:start w:val="1"/>
    </w:lvl>
  </w:abstractNum>
  <w:abstractNum w:abstractNumId="76">
    <w:nsid w:val="5F3534A4"/>
    <w:multiLevelType w:val="hybridMultilevel"/>
    <w:lvl w:ilvl="0">
      <w:lvlJc w:val="left"/>
      <w:lvlText w:val="Ÿ"/>
      <w:numFmt w:val="bullet"/>
      <w:start w:val="1"/>
    </w:lvl>
  </w:abstractNum>
  <w:abstractNum w:abstractNumId="77">
    <w:nsid w:val="73A1821B"/>
    <w:multiLevelType w:val="hybridMultilevel"/>
    <w:lvl w:ilvl="0">
      <w:lvlJc w:val="left"/>
      <w:lvlText w:val="Ÿ"/>
      <w:numFmt w:val="bullet"/>
      <w:start w:val="1"/>
    </w:lvl>
  </w:abstractNum>
  <w:abstractNum w:abstractNumId="78">
    <w:nsid w:val="7DE67713"/>
    <w:multiLevelType w:val="hybridMultilevel"/>
    <w:lvl w:ilvl="0">
      <w:lvlJc w:val="left"/>
      <w:lvlText w:val="Ÿ"/>
      <w:numFmt w:val="bullet"/>
      <w:start w:val="1"/>
    </w:lvl>
  </w:abstractNum>
  <w:abstractNum w:abstractNumId="79">
    <w:nsid w:val="555C55B5"/>
    <w:multiLevelType w:val="hybridMultilevel"/>
    <w:lvl w:ilvl="0">
      <w:lvlJc w:val="left"/>
      <w:lvlText w:val="%1."/>
      <w:numFmt w:val="decimal"/>
      <w:start w:val="13"/>
    </w:lvl>
  </w:abstractNum>
  <w:abstractNum w:abstractNumId="80">
    <w:nsid w:val="3FA62ACA"/>
    <w:multiLevelType w:val="hybridMultilevel"/>
    <w:lvl w:ilvl="0">
      <w:lvlJc w:val="left"/>
      <w:lvlText w:val="%1."/>
      <w:numFmt w:val="decimal"/>
      <w:start w:val="14"/>
    </w:lvl>
  </w:abstractNum>
  <w:abstractNum w:abstractNumId="81">
    <w:nsid w:val="14FCE74E"/>
    <w:multiLevelType w:val="hybridMultilevel"/>
    <w:lvl w:ilvl="0">
      <w:lvlJc w:val="left"/>
      <w:lvlText w:val="%1."/>
      <w:numFmt w:val="decimal"/>
      <w:start w:val="15"/>
    </w:lvl>
  </w:abstractNum>
  <w:abstractNum w:abstractNumId="82">
    <w:nsid w:val="6A3DD3E8"/>
    <w:multiLevelType w:val="hybridMultilevel"/>
    <w:lvl w:ilvl="0">
      <w:lvlJc w:val="left"/>
      <w:lvlText w:val="%1."/>
      <w:numFmt w:val="decimal"/>
      <w:start w:val="16"/>
    </w:lvl>
  </w:abstractNum>
  <w:abstractNum w:abstractNumId="83">
    <w:nsid w:val="71C91298"/>
    <w:multiLevelType w:val="hybridMultilevel"/>
    <w:lvl w:ilvl="0">
      <w:lvlJc w:val="left"/>
      <w:lvlText w:val="(%1)"/>
      <w:numFmt w:val="lowerLetter"/>
      <w:start w:val="1"/>
    </w:lvl>
  </w:abstractNum>
  <w:abstractNum w:abstractNumId="84">
    <w:nsid w:val="9DAF632"/>
    <w:multiLevelType w:val="hybridMultilevel"/>
    <w:lvl w:ilvl="0">
      <w:lvlJc w:val="left"/>
      <w:lvlText w:val="(%1)"/>
      <w:numFmt w:val="lowerLetter"/>
      <w:start w:val="1"/>
    </w:lvl>
  </w:abstractNum>
  <w:abstractNum w:abstractNumId="85">
    <w:nsid w:val="53299938"/>
    <w:multiLevelType w:val="hybridMultilevel"/>
    <w:lvl w:ilvl="0">
      <w:lvlJc w:val="left"/>
      <w:lvlText w:val="(%1)"/>
      <w:numFmt w:val="lowerLetter"/>
      <w:start w:val="1"/>
    </w:lvl>
  </w:abstractNum>
  <w:abstractNum w:abstractNumId="86">
    <w:nsid w:val="1FBFE8E0"/>
    <w:multiLevelType w:val="hybridMultilevel"/>
    <w:lvl w:ilvl="0">
      <w:lvlJc w:val="left"/>
      <w:lvlText w:val="%1."/>
      <w:numFmt w:val="decimal"/>
      <w:start w:val="19"/>
    </w:lvl>
  </w:abstractNum>
  <w:abstractNum w:abstractNumId="87">
    <w:nsid w:val="5092CA79"/>
    <w:multiLevelType w:val="hybridMultilevel"/>
    <w:lvl w:ilvl="0">
      <w:lvlJc w:val="left"/>
      <w:lvlText w:val="(%1)"/>
      <w:numFmt w:val="lowerLetter"/>
      <w:start w:val="1"/>
    </w:lvl>
  </w:abstractNum>
  <w:abstractNum w:abstractNumId="88">
    <w:nsid w:val="1D545C4D"/>
    <w:multiLevelType w:val="hybridMultilevel"/>
    <w:lvl w:ilvl="0">
      <w:lvlJc w:val="left"/>
      <w:lvlText w:val="(%1)"/>
      <w:numFmt w:val="lowerLetter"/>
      <w:start w:val="1"/>
    </w:lvl>
  </w:abstractNum>
  <w:abstractNum w:abstractNumId="89">
    <w:nsid w:val="59ADEA3D"/>
    <w:multiLevelType w:val="hybridMultilevel"/>
    <w:lvl w:ilvl="0">
      <w:lvlJc w:val="left"/>
      <w:lvlText w:val="(%1)"/>
      <w:numFmt w:val="lowerLetter"/>
      <w:start w:val="8"/>
    </w:lvl>
  </w:abstractNum>
  <w:abstractNum w:abstractNumId="90">
    <w:nsid w:val="288F1A34"/>
    <w:multiLevelType w:val="hybridMultilevel"/>
    <w:lvl w:ilvl="0">
      <w:lvlJc w:val="left"/>
      <w:lvlText w:val="(%1)"/>
      <w:numFmt w:val="lowerLetter"/>
      <w:start w:val="1"/>
    </w:lvl>
  </w:abstractNum>
  <w:abstractNum w:abstractNumId="91">
    <w:nsid w:val="2A155DBC"/>
    <w:multiLevelType w:val="hybridMultilevel"/>
    <w:lvl w:ilvl="0">
      <w:lvlJc w:val="left"/>
      <w:lvlText w:val="Ÿ"/>
      <w:numFmt w:val="bullet"/>
      <w:start w:val="1"/>
    </w:lvl>
  </w:abstractNum>
  <w:abstractNum w:abstractNumId="92">
    <w:nsid w:val="1D9F6E5F"/>
    <w:multiLevelType w:val="hybridMultilevel"/>
    <w:lvl w:ilvl="0">
      <w:lvlJc w:val="left"/>
      <w:lvlText w:val="Ÿ"/>
      <w:numFmt w:val="bullet"/>
      <w:start w:val="1"/>
    </w:lvl>
  </w:abstractNum>
  <w:abstractNum w:abstractNumId="93">
    <w:nsid w:val="97E1B4E"/>
    <w:multiLevelType w:val="hybridMultilevel"/>
    <w:lvl w:ilvl="0">
      <w:lvlJc w:val="left"/>
      <w:lvlText w:val="Ÿ"/>
      <w:numFmt w:val="bullet"/>
      <w:start w:val="1"/>
    </w:lvl>
  </w:abstractNum>
  <w:abstractNum w:abstractNumId="94">
    <w:nsid w:val="51088277"/>
    <w:multiLevelType w:val="hybridMultilevel"/>
    <w:lvl w:ilvl="0">
      <w:lvlJc w:val="left"/>
      <w:lvlText w:val="Ÿ"/>
      <w:numFmt w:val="bullet"/>
      <w:start w:val="1"/>
    </w:lvl>
  </w:abstractNum>
  <w:abstractNum w:abstractNumId="95">
    <w:nsid w:val="1CA0C5FA"/>
    <w:multiLevelType w:val="hybridMultilevel"/>
    <w:lvl w:ilvl="0">
      <w:lvlJc w:val="left"/>
      <w:lvlText w:val="Ÿ"/>
      <w:numFmt w:val="bullet"/>
      <w:start w:val="1"/>
    </w:lvl>
  </w:abstractNum>
  <w:abstractNum w:abstractNumId="96">
    <w:nsid w:val="53584BCB"/>
    <w:multiLevelType w:val="hybridMultilevel"/>
    <w:lvl w:ilvl="0">
      <w:lvlJc w:val="left"/>
      <w:lvlText w:val="Ÿ"/>
      <w:numFmt w:val="bullet"/>
      <w:start w:val="1"/>
    </w:lvl>
  </w:abstractNum>
  <w:abstractNum w:abstractNumId="97">
    <w:nsid w:val="415E286C"/>
    <w:multiLevelType w:val="hybridMultilevel"/>
    <w:lvl w:ilvl="0">
      <w:lvlJc w:val="left"/>
      <w:lvlText w:val="Ÿ"/>
      <w:numFmt w:val="bullet"/>
      <w:start w:val="1"/>
    </w:lvl>
  </w:abstractNum>
  <w:abstractNum w:abstractNumId="98">
    <w:nsid w:val="7C58FD05"/>
    <w:multiLevelType w:val="hybridMultilevel"/>
    <w:lvl w:ilvl="0">
      <w:lvlJc w:val="left"/>
      <w:lvlText w:val="%1."/>
      <w:numFmt w:val="decimal"/>
      <w:start w:val="22"/>
    </w:lvl>
    <w:lvl w:ilvl="1">
      <w:lvlJc w:val="left"/>
      <w:lvlText w:val="Ÿ"/>
      <w:numFmt w:val="bullet"/>
      <w:start w:val="1"/>
    </w:lvl>
  </w:abstractNum>
  <w:abstractNum w:abstractNumId="99">
    <w:nsid w:val="23D86AAC"/>
    <w:multiLevelType w:val="hybridMultilevel"/>
    <w:lvl w:ilvl="0">
      <w:lvlJc w:val="left"/>
      <w:lvlText w:val="(%1)"/>
      <w:numFmt w:val="lowerLetter"/>
      <w:start w:val="1"/>
    </w:lvl>
  </w:abstractNum>
  <w:abstractNum w:abstractNumId="100">
    <w:nsid w:val="45E6D486"/>
    <w:multiLevelType w:val="hybridMultilevel"/>
    <w:lvl w:ilvl="0">
      <w:lvlJc w:val="left"/>
      <w:lvlText w:val="(%1)"/>
      <w:numFmt w:val="lowerLetter"/>
      <w:start w:val="2"/>
    </w:lvl>
  </w:abstractNum>
  <w:abstractNum w:abstractNumId="101">
    <w:nsid w:val="5C10FE21"/>
    <w:multiLevelType w:val="hybridMultilevel"/>
    <w:lvl w:ilvl="0">
      <w:lvlJc w:val="left"/>
      <w:lvlText w:val="(%1)"/>
      <w:numFmt w:val="lowerLetter"/>
      <w:start w:val="1"/>
    </w:lvl>
  </w:abstractNum>
  <w:abstractNum w:abstractNumId="102">
    <w:nsid w:val="E7FFA2B"/>
    <w:multiLevelType w:val="hybridMultilevel"/>
    <w:lvl w:ilvl="0">
      <w:lvlJc w:val="left"/>
      <w:lvlText w:val="*"/>
      <w:numFmt w:val="bullet"/>
      <w:start w:val="1"/>
    </w:lvl>
  </w:abstractNum>
  <w:abstractNum w:abstractNumId="103">
    <w:nsid w:val="3C5991AA"/>
    <w:multiLevelType w:val="hybridMultilevel"/>
    <w:lvl w:ilvl="0">
      <w:lvlJc w:val="left"/>
      <w:lvlText w:val="**"/>
      <w:numFmt w:val="bullet"/>
      <w:start w:val="1"/>
    </w:lvl>
  </w:abstractNum>
  <w:abstractNum w:abstractNumId="104">
    <w:nsid w:val="4BD8591A"/>
    <w:multiLevelType w:val="hybridMultilevel"/>
    <w:lvl w:ilvl="0">
      <w:lvlJc w:val="left"/>
      <w:lvlText w:val="†"/>
      <w:numFmt w:val="bullet"/>
      <w:start w:val="1"/>
    </w:lvl>
  </w:abstractNum>
  <w:abstractNum w:abstractNumId="105">
    <w:nsid w:val="78DF6A55"/>
    <w:multiLevelType w:val="hybridMultilevel"/>
    <w:lvl w:ilvl="0">
      <w:lvlJc w:val="left"/>
      <w:lvlText w:val="(%1)"/>
      <w:numFmt w:val="lowerLetter"/>
      <w:start w:val="1"/>
    </w:lvl>
  </w:abstractNum>
  <w:abstractNum w:abstractNumId="106">
    <w:nsid w:val="39B7AAA2"/>
    <w:multiLevelType w:val="hybridMultilevel"/>
    <w:lvl w:ilvl="0">
      <w:lvlJc w:val="left"/>
      <w:lvlText w:val="%1"/>
      <w:numFmt w:val="upperLetter"/>
      <w:start w:val="1"/>
    </w:lvl>
    <w:lvl w:ilvl="1">
      <w:lvlJc w:val="left"/>
      <w:lvlText w:val="(%2)"/>
      <w:numFmt w:val="lowerLetter"/>
      <w:start w:val="3"/>
    </w:lvl>
  </w:abstractNum>
  <w:abstractNum w:abstractNumId="107">
    <w:nsid w:val="2B0D8DBE"/>
    <w:multiLevelType w:val="hybridMultilevel"/>
    <w:lvl w:ilvl="0">
      <w:lvlJc w:val="left"/>
      <w:lvlText w:val="(%1)"/>
      <w:numFmt w:val="upperLetter"/>
      <w:start w:val="3"/>
    </w:lvl>
    <w:lvl w:ilvl="1">
      <w:lvlJc w:val="left"/>
      <w:lvlText w:val="(%2)"/>
      <w:numFmt w:val="lowerLetter"/>
      <w:start w:val="4"/>
    </w:lvl>
  </w:abstractNum>
  <w:abstractNum w:abstractNumId="108">
    <w:nsid w:val="6C80EC70"/>
    <w:multiLevelType w:val="hybridMultilevel"/>
    <w:lvl w:ilvl="0">
      <w:lvlJc w:val="left"/>
      <w:lvlText w:val="(%1)"/>
      <w:numFmt w:val="lowerLetter"/>
      <w:start w:val="5"/>
    </w:lvl>
  </w:abstractNum>
  <w:abstractNum w:abstractNumId="109">
    <w:nsid w:val="379E21B5"/>
    <w:multiLevelType w:val="hybridMultilevel"/>
    <w:lvl w:ilvl="0">
      <w:lvlJc w:val="left"/>
      <w:lvlText w:val="(%1)"/>
      <w:numFmt w:val="lowerLetter"/>
      <w:start w:val="1"/>
    </w:lvl>
  </w:abstractNum>
  <w:abstractNum w:abstractNumId="110">
    <w:nsid w:val="69E373"/>
    <w:multiLevelType w:val="hybridMultilevel"/>
    <w:lvl w:ilvl="0">
      <w:lvlJc w:val="left"/>
      <w:lvlText w:val="(%1)"/>
      <w:numFmt w:val="lowerLetter"/>
      <w:start w:val="2"/>
    </w:lvl>
  </w:abstractNum>
  <w:abstractNum w:abstractNumId="111">
    <w:nsid w:val="2C27173B"/>
    <w:multiLevelType w:val="hybridMultilevel"/>
    <w:lvl w:ilvl="0">
      <w:lvlJc w:val="left"/>
      <w:lvlText w:val="(%1)"/>
      <w:numFmt w:val="lowerRoman"/>
      <w:start w:val="4"/>
    </w:lvl>
  </w:abstractNum>
  <w:abstractNum w:abstractNumId="112">
    <w:nsid w:val="4C9B0904"/>
    <w:multiLevelType w:val="hybridMultilevel"/>
    <w:lvl w:ilvl="0">
      <w:lvlJc w:val="left"/>
      <w:lvlText w:val="(%1)"/>
      <w:numFmt w:val="lowerLetter"/>
      <w:start w:val="1"/>
    </w:lvl>
  </w:abstractNum>
  <w:abstractNum w:abstractNumId="113">
    <w:nsid w:val="6AA7B75C"/>
    <w:multiLevelType w:val="hybridMultilevel"/>
    <w:lvl w:ilvl="0">
      <w:lvlJc w:val="left"/>
      <w:lvlText w:val="(%1)"/>
      <w:numFmt w:val="lowerLetter"/>
      <w:start w:val="2"/>
    </w:lvl>
  </w:abstractNum>
  <w:abstractNum w:abstractNumId="114">
    <w:nsid w:val="1DF029D3"/>
    <w:multiLevelType w:val="hybridMultilevel"/>
    <w:lvl w:ilvl="0">
      <w:lvlJc w:val="left"/>
      <w:lvlText w:val="(%1)"/>
      <w:numFmt w:val="lowerLetter"/>
      <w:start w:val="3"/>
    </w:lvl>
  </w:abstractNum>
  <w:abstractNum w:abstractNumId="115">
    <w:nsid w:val="5675FF36"/>
    <w:multiLevelType w:val="hybridMultilevel"/>
    <w:lvl w:ilvl="0">
      <w:lvlJc w:val="left"/>
      <w:lvlText w:val="(%1)"/>
      <w:numFmt w:val="lowerLetter"/>
      <w:start w:val="2"/>
    </w:lvl>
  </w:abstractNum>
  <w:abstractNum w:abstractNumId="116">
    <w:nsid w:val="3DD15094"/>
    <w:multiLevelType w:val="hybridMultilevel"/>
    <w:lvl w:ilvl="0">
      <w:lvlJc w:val="left"/>
      <w:lvlText w:val="(%1)"/>
      <w:numFmt w:val="lowerRoman"/>
      <w:start w:val="2"/>
    </w:lvl>
  </w:abstractNum>
  <w:abstractNum w:abstractNumId="117">
    <w:nsid w:val="3DB012B3"/>
    <w:multiLevelType w:val="hybridMultilevel"/>
    <w:lvl w:ilvl="0">
      <w:lvlJc w:val="left"/>
      <w:lvlText w:val="*"/>
      <w:numFmt w:val="bullet"/>
      <w:start w:val="1"/>
    </w:lvl>
  </w:abstractNum>
  <w:abstractNum w:abstractNumId="118">
    <w:nsid w:val="2708C9AF"/>
    <w:multiLevelType w:val="hybridMultilevel"/>
    <w:lvl w:ilvl="0">
      <w:lvlJc w:val="left"/>
      <w:lvlText w:val="**"/>
      <w:numFmt w:val="bullet"/>
      <w:start w:val="1"/>
    </w:lvl>
  </w:abstractNum>
  <w:abstractNum w:abstractNumId="119">
    <w:nsid w:val="5B25ACE2"/>
    <w:multiLevelType w:val="hybridMultilevel"/>
    <w:lvl w:ilvl="0">
      <w:lvlJc w:val="left"/>
      <w:lvlText w:val="(%1)"/>
      <w:numFmt w:val="lowerLetter"/>
      <w:start w:val="1"/>
    </w:lvl>
  </w:abstractNum>
  <w:abstractNum w:abstractNumId="120">
    <w:nsid w:val="175DFCF0"/>
    <w:multiLevelType w:val="hybridMultilevel"/>
    <w:lvl w:ilvl="0">
      <w:lvlJc w:val="left"/>
      <w:lvlText w:val="(%1)"/>
      <w:numFmt w:val="decimal"/>
      <w:start w:val="1"/>
    </w:lvl>
  </w:abstractNum>
  <w:abstractNum w:abstractNumId="121">
    <w:nsid w:val="4F97E3E4"/>
    <w:multiLevelType w:val="hybridMultilevel"/>
    <w:lvl w:ilvl="0">
      <w:lvlJc w:val="left"/>
      <w:lvlText w:val="%1."/>
      <w:numFmt w:val="lowerRoman"/>
      <w:start w:val="1"/>
    </w:lvl>
    <w:lvl w:ilvl="1">
      <w:lvlJc w:val="left"/>
      <w:lvlText w:val="%2."/>
      <w:numFmt w:val="upperLetter"/>
      <w:start w:val="1"/>
    </w:lvl>
  </w:abstractNum>
  <w:abstractNum w:abstractNumId="122">
    <w:nsid w:val="53B0A9E"/>
    <w:multiLevelType w:val="hybridMultilevel"/>
    <w:lvl w:ilvl="0">
      <w:lvlJc w:val="left"/>
      <w:lvlText w:val="%1."/>
      <w:numFmt w:val="lowerRoman"/>
      <w:start w:val="1"/>
    </w:lvl>
    <w:lvl w:ilvl="1">
      <w:lvlJc w:val="left"/>
      <w:lvlText w:val="%2."/>
      <w:numFmt w:val="upperLetter"/>
      <w:start w:val="1"/>
    </w:lvl>
  </w:abstractNum>
  <w:abstractNum w:abstractNumId="123">
    <w:nsid w:val="34FD6B4F"/>
    <w:multiLevelType w:val="hybridMultilevel"/>
    <w:lvl w:ilvl="0">
      <w:lvlJc w:val="left"/>
      <w:lvlText w:val="(%1)"/>
      <w:numFmt w:val="decimal"/>
      <w:start w:val="1"/>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2019-12-09T09:39:02Z</dcterms:created>
  <dcterms:modified xsi:type="dcterms:W3CDTF">2019-12-09T09:39:02Z</dcterms:modified>
</cp:coreProperties>
</file>