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25, 2004</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333-32805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76200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Post-Effective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S-4</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116205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4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2980" w:type="dxa"/>
            <w:vAlign w:val="bottom"/>
          </w:tcPr>
          <w:p>
            <w:pPr>
              <w:spacing w:after="0"/>
              <w:rPr>
                <w:sz w:val="20"/>
                <w:szCs w:val="20"/>
                <w:color w:val="auto"/>
              </w:rPr>
            </w:pPr>
          </w:p>
        </w:tc>
      </w:tr>
      <w:tr>
        <w:trPr>
          <w:trHeight w:val="414"/>
        </w:trPr>
        <w:tc>
          <w:tcPr>
            <w:tcW w:w="34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44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4953</w:t>
            </w:r>
          </w:p>
        </w:tc>
        <w:tc>
          <w:tcPr>
            <w:tcW w:w="2980" w:type="dxa"/>
            <w:vAlign w:val="bottom"/>
          </w:tcPr>
          <w:p>
            <w:pPr>
              <w:jc w:val="right"/>
              <w:ind w:right="850"/>
              <w:spacing w:after="0"/>
              <w:rPr>
                <w:sz w:val="20"/>
                <w:szCs w:val="20"/>
                <w:color w:val="auto"/>
              </w:rPr>
            </w:pPr>
            <w:r>
              <w:rPr>
                <w:rFonts w:ascii="Arial" w:cs="Arial" w:eastAsia="Arial" w:hAnsi="Arial"/>
                <w:sz w:val="18"/>
                <w:szCs w:val="18"/>
                <w:b w:val="1"/>
                <w:bCs w:val="1"/>
                <w:color w:val="auto"/>
              </w:rPr>
              <w:t>73-1309529</w:t>
            </w:r>
          </w:p>
        </w:tc>
      </w:tr>
      <w:tr>
        <w:trPr>
          <w:trHeight w:val="216"/>
        </w:trPr>
        <w:tc>
          <w:tcPr>
            <w:tcW w:w="34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(State or other jurisdiction of incorporation</w:t>
            </w:r>
          </w:p>
        </w:tc>
        <w:tc>
          <w:tcPr>
            <w:tcW w:w="44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(Primary Standard Industrial</w:t>
            </w:r>
          </w:p>
        </w:tc>
        <w:tc>
          <w:tcPr>
            <w:tcW w:w="2980" w:type="dxa"/>
            <w:vAlign w:val="bottom"/>
          </w:tcPr>
          <w:p>
            <w:pPr>
              <w:jc w:val="center"/>
              <w:ind w:left="13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234"/>
        </w:trPr>
        <w:tc>
          <w:tcPr>
            <w:tcW w:w="34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or organization)</w:t>
            </w:r>
          </w:p>
        </w:tc>
        <w:tc>
          <w:tcPr>
            <w:tcW w:w="44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Classification Code Number)</w:t>
            </w:r>
          </w:p>
        </w:tc>
        <w:tc>
          <w:tcPr>
            <w:tcW w:w="2980" w:type="dxa"/>
            <w:vAlign w:val="bottom"/>
          </w:tcPr>
          <w:p>
            <w:pPr>
              <w:spacing w:after="0"/>
              <w:rPr>
                <w:sz w:val="20"/>
                <w:szCs w:val="20"/>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Rick L Wittenbraker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 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this Registration Statement becomes effective.</w:t>
      </w:r>
    </w:p>
    <w:p>
      <w:pPr>
        <w:spacing w:after="0" w:line="200"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If the securities being registered on this form are being offered in connection with the formation of a holding company and there is compliance with General Instruction G, check the following box. [ ]</w:t>
      </w:r>
    </w:p>
    <w:p>
      <w:pPr>
        <w:spacing w:after="0" w:line="130"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43"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26" w:lineRule="exact"/>
        <w:rPr>
          <w:sz w:val="20"/>
          <w:szCs w:val="20"/>
          <w:color w:val="auto"/>
        </w:rPr>
      </w:pPr>
    </w:p>
    <w:p>
      <w:pPr>
        <w:ind w:right="140" w:firstLine="225"/>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to Completion, May 25, 2004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128905</wp:posOffset>
            </wp:positionV>
            <wp:extent cx="1783715" cy="917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71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20,000,000 Shares of Common Stock</w:t>
      </w:r>
    </w:p>
    <w:p>
      <w:pPr>
        <w:spacing w:after="0" w:line="194" w:lineRule="exact"/>
        <w:rPr>
          <w:sz w:val="20"/>
          <w:szCs w:val="20"/>
          <w:color w:val="auto"/>
        </w:rPr>
      </w:pPr>
    </w:p>
    <w:p>
      <w:pPr>
        <w:jc w:val="both"/>
        <w:ind w:right="520" w:firstLine="222"/>
        <w:spacing w:after="0" w:line="312" w:lineRule="auto"/>
        <w:rPr>
          <w:sz w:val="20"/>
          <w:szCs w:val="20"/>
          <w:color w:val="auto"/>
        </w:rPr>
      </w:pPr>
      <w:r>
        <w:rPr>
          <w:rFonts w:ascii="Arial" w:cs="Arial" w:eastAsia="Arial" w:hAnsi="Arial"/>
          <w:sz w:val="16"/>
          <w:szCs w:val="16"/>
          <w:color w:val="auto"/>
        </w:rPr>
        <w:t>This prospectus relates to up to 20,000,000 shares of our common stock, par value $0.01 per share, that we may offer and issue from time to time in connection with acquisitions by us or our subsidiaries of the assets or securities of other businesses. We also may issue the shares upon the exercise of options, warrants, convertible securities or other similar securities assumed or issued by us from time to time in connection with such acquisitions.</w:t>
      </w:r>
    </w:p>
    <w:p>
      <w:pPr>
        <w:spacing w:after="0" w:line="120"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anticipate that the terms of acquisitions in connection with which the shares are issued will be determined through direct negotiations with the owners or controlling persons of the businesses being acquired. We also anticipate that the shares issued in connection with such acquisitions will be valued, for purposes of determining the numbers of the shares to be issued, at prices related to the market price of our common stock as of one or more times during the period between the time the terms of an acquisition are agreed upon and the time the shares are issued. We will not pay any discounts or commissions in connection with our issuance of the shares, although we may pay finders’ fees from time to time in connection with certain acquisitions. Any person receiving finders’ fees may be deemed an “underwriter” within the meaning of the Securities Act of 1933, as amended.</w:t>
      </w:r>
    </w:p>
    <w:p>
      <w:pPr>
        <w:spacing w:after="0" w:line="138"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Our common stock is traded on the New York Stock Exchange under the symbol “WMI.” On May 24, 2004, the last reported sale price of our common stock on the NYSE was $28.12 per share.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See “Risk Factors” on page 3 for a discussion of certain factors that you should consider before purchasing shares of our common stock.</w:t>
      </w:r>
    </w:p>
    <w:p>
      <w:pPr>
        <w:spacing w:after="0" w:line="221"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accurate or adequate. Any representation to the contrary is a criminal offense.</w:t>
      </w:r>
    </w:p>
    <w:p>
      <w:pPr>
        <w:spacing w:after="0" w:line="125" w:lineRule="exact"/>
        <w:rPr>
          <w:sz w:val="20"/>
          <w:szCs w:val="20"/>
          <w:color w:val="auto"/>
        </w:rPr>
      </w:pPr>
    </w:p>
    <w:tbl>
      <w:tblPr>
        <w:tblLayout w:type="fixed"/>
        <w:tblInd w:w="414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760" w:type="dxa"/>
            <w:vAlign w:val="bottom"/>
          </w:tcPr>
          <w:p>
            <w:pPr>
              <w:jc w:val="right"/>
              <w:spacing w:after="0"/>
              <w:rPr>
                <w:sz w:val="20"/>
                <w:szCs w:val="20"/>
                <w:color w:val="auto"/>
              </w:rPr>
            </w:pPr>
            <w:r>
              <w:rPr>
                <w:rFonts w:ascii="Arial" w:cs="Arial" w:eastAsia="Arial" w:hAnsi="Arial"/>
                <w:sz w:val="18"/>
                <w:szCs w:val="18"/>
                <w:color w:val="auto"/>
              </w:rPr>
              <w:t>, 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gridSpan w:val="3"/>
          </w:tcPr>
          <w:p>
            <w:pPr>
              <w:ind w:left="360"/>
              <w:spacing w:after="0"/>
              <w:rPr>
                <w:sz w:val="20"/>
                <w:szCs w:val="20"/>
                <w:color w:val="auto"/>
              </w:rPr>
            </w:pPr>
            <w:r>
              <w:rPr>
                <w:rFonts w:ascii="Arial" w:cs="Arial" w:eastAsia="Arial" w:hAnsi="Arial"/>
                <w:sz w:val="18"/>
                <w:szCs w:val="18"/>
                <w:b w:val="1"/>
                <w:bCs w:val="1"/>
                <w:color w:val="auto"/>
              </w:rPr>
              <w:t>TABLE OF CONTENTS</w:t>
            </w:r>
          </w:p>
        </w:tc>
        <w:tc>
          <w:tcPr>
            <w:tcW w:w="1440" w:type="dxa"/>
            <w:vAlign w:val="bottom"/>
          </w:tcPr>
          <w:p>
            <w:pPr>
              <w:spacing w:after="0"/>
              <w:rPr>
                <w:sz w:val="20"/>
                <w:szCs w:val="20"/>
                <w:color w:val="auto"/>
              </w:rPr>
            </w:pPr>
          </w:p>
        </w:tc>
      </w:tr>
      <w:tr>
        <w:trPr>
          <w:trHeight w:val="581"/>
        </w:trPr>
        <w:tc>
          <w:tcPr>
            <w:tcW w:w="592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92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Special Note Regarding Forward-Looking Statements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Risk Factors</w:t>
              </w:r>
            </w:hyperlink>
          </w:p>
        </w:tc>
        <w:tc>
          <w:tcPr>
            <w:tcW w:w="2960" w:type="dxa"/>
            <w:vAlign w:val="bottom"/>
            <w:tcBorders>
              <w:top w:val="single" w:sz="8" w:color="0000EE"/>
            </w:tcBorders>
            <w:gridSpan w:val="11"/>
          </w:tcPr>
          <w:p>
            <w:pPr>
              <w:spacing w:after="0"/>
              <w:rPr>
                <w:sz w:val="17"/>
                <w:szCs w:val="17"/>
                <w:color w:val="auto"/>
              </w:rPr>
            </w:pPr>
          </w:p>
        </w:tc>
        <w:tc>
          <w:tcPr>
            <w:tcW w:w="204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0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Our Company</w:t>
              </w:r>
            </w:hyperlink>
          </w:p>
        </w:tc>
        <w:tc>
          <w:tcPr>
            <w:tcW w:w="4880" w:type="dxa"/>
            <w:vAlign w:val="bottom"/>
            <w:gridSpan w:val="1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Use of Proceeds</w:t>
              </w:r>
            </w:hyperlink>
          </w:p>
        </w:tc>
        <w:tc>
          <w:tcPr>
            <w:tcW w:w="4740" w:type="dxa"/>
            <w:vAlign w:val="bottom"/>
            <w:gridSpan w:val="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5920" w:type="dxa"/>
            <w:vAlign w:val="bottom"/>
            <w:gridSpan w:val="1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Selling Stockholders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920" w:type="dxa"/>
            <w:vAlign w:val="bottom"/>
            <w:gridSpan w:val="1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Capital Stock</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0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Legal Matters</w:t>
              </w:r>
            </w:hyperlink>
          </w:p>
        </w:tc>
        <w:tc>
          <w:tcPr>
            <w:tcW w:w="1040" w:type="dxa"/>
            <w:vAlign w:val="bottom"/>
            <w:tcBorders>
              <w:top w:val="single" w:sz="8" w:color="0000EE"/>
            </w:tcBorders>
            <w:gridSpan w:val="6"/>
          </w:tcPr>
          <w:p>
            <w:pPr>
              <w:spacing w:after="0"/>
              <w:rPr>
                <w:sz w:val="17"/>
                <w:szCs w:val="17"/>
                <w:color w:val="auto"/>
              </w:rPr>
            </w:pPr>
          </w:p>
        </w:tc>
        <w:tc>
          <w:tcPr>
            <w:tcW w:w="3860" w:type="dxa"/>
            <w:vAlign w:val="bottom"/>
            <w:gridSpan w:val="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Experts</w:t>
              </w:r>
            </w:hyperlink>
          </w:p>
        </w:tc>
        <w:tc>
          <w:tcPr>
            <w:tcW w:w="5360" w:type="dxa"/>
            <w:vAlign w:val="bottom"/>
            <w:gridSpan w:val="1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Where You Can Find More Information</w:t>
              </w:r>
            </w:hyperlink>
          </w:p>
        </w:tc>
        <w:tc>
          <w:tcPr>
            <w:tcW w:w="304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60" w:type="dxa"/>
            <w:vAlign w:val="bottom"/>
          </w:tcPr>
          <w:p>
            <w:pPr>
              <w:spacing w:after="0"/>
              <w:rPr>
                <w:sz w:val="17"/>
                <w:szCs w:val="17"/>
                <w:color w:val="auto"/>
              </w:rPr>
            </w:pPr>
          </w:p>
        </w:tc>
        <w:tc>
          <w:tcPr>
            <w:tcW w:w="16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7"/>
              </w:rPr>
              <w:t>Opinion of John S. Tsai</w:t>
            </w:r>
          </w:p>
        </w:tc>
        <w:tc>
          <w:tcPr>
            <w:tcW w:w="4200" w:type="dxa"/>
            <w:vAlign w:val="bottom"/>
            <w:gridSpan w:val="6"/>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22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Consent of Ernst &amp; Young LLP</w:t>
            </w:r>
          </w:p>
        </w:tc>
        <w:tc>
          <w:tcPr>
            <w:tcW w:w="3640" w:type="dxa"/>
            <w:vAlign w:val="bottom"/>
            <w:gridSpan w:val="4"/>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5860" w:type="dxa"/>
            <w:vAlign w:val="bottom"/>
            <w:gridSpan w:val="14"/>
          </w:tcPr>
          <w:p>
            <w:pPr>
              <w:spacing w:after="0" w:line="196" w:lineRule="exact"/>
              <w:rPr>
                <w:sz w:val="20"/>
                <w:szCs w:val="20"/>
                <w:color w:val="auto"/>
              </w:rPr>
            </w:pPr>
            <w:r>
              <w:rPr>
                <w:rFonts w:ascii="Arial" w:cs="Arial" w:eastAsia="Arial" w:hAnsi="Arial"/>
                <w:sz w:val="18"/>
                <w:szCs w:val="18"/>
                <w:color w:val="0000EE"/>
              </w:rPr>
              <w:t>Consent of Arthur Andersen LLP</w:t>
            </w:r>
          </w:p>
        </w:tc>
        <w:tc>
          <w:tcPr>
            <w:tcW w:w="14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firstLine="225"/>
        <w:spacing w:after="0" w:line="303" w:lineRule="auto"/>
        <w:rPr>
          <w:sz w:val="20"/>
          <w:szCs w:val="20"/>
          <w:color w:val="auto"/>
        </w:rPr>
      </w:pPr>
      <w:r>
        <w:rPr>
          <w:rFonts w:ascii="Arial" w:cs="Arial" w:eastAsia="Arial" w:hAnsi="Arial"/>
          <w:sz w:val="16"/>
          <w:szCs w:val="16"/>
          <w:b w:val="1"/>
          <w:bCs w:val="1"/>
          <w:color w:val="auto"/>
        </w:rPr>
        <w:t>This prospectus incorporates documents by reference that are not presented herein or delivered herewith. These documents (excluding exhibits to such documents, unless such exhibits are specifically incorporated by reference therein) are available upon request without charge from the Secretary of Waste Management, Inc., 1001 Fannin Street, Suite 4000, Houston, Texas 77002 (telephone number (713) 512-6200). In order to ensure timely delivery of the documents, any request should be made five days prior to the date on which a final investment decision is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354330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02"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This prospectus is part of a registration statement we filed on Form S-4 that allows us to issue up to 20,000,000 shares of our common stock from time to time in connection with asset acquisitions, stock acquisitions, mergers or consolidations. This prospectus may also be used by people who receive our stock in connection with those transactions to resell the shares of common stock we issue to them. We expect to determine the terms of any acquisitions by direct negotiations with the persons from whom the assets, businesses or securities are acquired. The common stock we issue in each transaction will be valued at prices reasonably related to market prices, either when an agreement for the acquisition is entered into, or when we deliver the securities.</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should read both this prospectus and the additional information described under the heading “Where You Can Find More Information.”</w:t>
      </w:r>
    </w:p>
    <w:p>
      <w:pPr>
        <w:spacing w:after="0" w:line="185"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In this prospectus, the terms “us,” “we,” “our,” “Waste Management,” “the Company” and similar terms refer to Waste Management, Inc. and include all of our subsidiaries unless the context requires otherwise.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the normal course of our business, we may from time to time issue or make certain statements, either in writing or orally designed to help keep our stockholders and the public informed about our operations. These statements may be or contain forward-looking statements, as that term is defined in the U.S. federal securities laws. Generally, these statements relate to business plans or strategies, projected or anticipated benefits or other consequences of such plans or strategies, projected or anticipated benefits from acquisitions made by or to be made by us, or projections involving anticipated revenues, earnings, or other aspects of operating results. The words “may,” “expect,” “believe,” “anticipate,” “project,” “estimate,” their opposites and similar expressions are intended to identify forward-looking statements.</w:t>
      </w:r>
    </w:p>
    <w:p>
      <w:pPr>
        <w:spacing w:after="0" w:line="15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caution readers that forward-looking statements are not guarantees of future performance or events and are subject to a number of factors that may influence the accuracy of the statements and the projections upon which the statements are based, including but not limited to those discussed in this prospectus in the section entitled “Risk Factors,” below. All phases of our operations are subject to a number of uncertainties, risks, and other influences, many of which are outside our control, any one of or a combination of which, could materially affect our consolidated financial statements and operations and whether forward-looking statements made by us ultimately prove to be accurate.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i w:val="1"/>
          <w:iCs w:val="1"/>
          <w:color w:val="auto"/>
        </w:rPr>
        <w:t>As a Waste Management stockholder, you will be subject to risks inherent in our business. The value of your investment may increase or decline and could result in a loss. You should carefully consider the following factors as well as other information contained or incorporated by reference in this prospectus before deciding to invest in shares of our common stock.</w:t>
      </w:r>
    </w:p>
    <w:p>
      <w:pPr>
        <w:spacing w:after="0" w:line="14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i w:val="1"/>
          <w:iCs w:val="1"/>
          <w:color w:val="auto"/>
        </w:rPr>
        <w:t>The risks described below are not the only ones facing us. There may be additional risks not presently known to us or that we currently deem immaterial which may also impair our business operations.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liable for environmental damages resulting from our operations</w:t>
      </w:r>
    </w:p>
    <w:p>
      <w:pPr>
        <w:spacing w:after="0" w:line="198"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could be liable if our operations cause environmental damage to our properties or to the property of other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 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178" w:lineRule="exact"/>
        <w:rPr>
          <w:sz w:val="20"/>
          <w:szCs w:val="20"/>
          <w:color w:val="auto"/>
        </w:rPr>
      </w:pPr>
    </w:p>
    <w:p>
      <w:pPr>
        <w:ind w:left="460" w:right="200" w:hanging="177"/>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170" w:lineRule="exact"/>
        <w:rPr>
          <w:rFonts w:ascii="Arial" w:cs="Arial" w:eastAsia="Arial" w:hAnsi="Arial"/>
          <w:sz w:val="18"/>
          <w:szCs w:val="18"/>
          <w:color w:val="auto"/>
        </w:rPr>
      </w:pPr>
    </w:p>
    <w:p>
      <w:pPr>
        <w:ind w:left="460" w:right="320" w:hanging="177"/>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local communities and 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adverse outcome of one or more of these proceedings could result in, among other things, material increases in our liabilities.</w:t>
      </w:r>
    </w:p>
    <w:p>
      <w:pPr>
        <w:spacing w:after="0" w:line="185" w:lineRule="exact"/>
        <w:rPr>
          <w:sz w:val="20"/>
          <w:szCs w:val="20"/>
          <w:color w:val="auto"/>
        </w:rPr>
      </w:pPr>
    </w:p>
    <w:p>
      <w:pPr>
        <w:ind w:right="440" w:firstLine="225"/>
        <w:spacing w:after="0" w:line="259" w:lineRule="auto"/>
        <w:rPr>
          <w:sz w:val="20"/>
          <w:szCs w:val="20"/>
          <w:color w:val="auto"/>
        </w:rPr>
      </w:pPr>
      <w:r>
        <w:rPr>
          <w:rFonts w:ascii="Arial" w:cs="Arial" w:eastAsia="Arial" w:hAnsi="Arial"/>
          <w:sz w:val="18"/>
          <w:szCs w:val="18"/>
          <w:color w:val="auto"/>
        </w:rPr>
        <w:t>From time to time, we have received citations or notices from governmental authorities that our operations are not in compliance with our permits or certain environmental or land use laws and regulations. In the future we may receive additional citations or notices. We generally seek to work with the authorities to resolve the issues raised by these citations or notices. If we are not successful in these resolutions, we may incur fines, penalties or other sanctions that could result in material unanticipated costs or liabilities.</w:t>
      </w:r>
    </w:p>
    <w:p>
      <w:pPr>
        <w:spacing w:after="0" w:line="14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amount of insurance required to be maintained for environmental liability is governed by statutory requirements. We believe that the cost for such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insurance is high relative to the coverage it would provide, and therefore, our coverages are generally maintained at the minimum statutorily required levels.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face the risk of incurring liabilities for environmental damage if our insurance coverage is ultimately inadequate to cover those damages.</w:t>
      </w:r>
    </w:p>
    <w:p>
      <w:pPr>
        <w:spacing w:after="0" w:line="184"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addition, to fulfill our financial assurance obligations with respect to environmental closure and post-closure liabilities, we generally obtain letters of credit or surety bonds, or rely on insurance, including captive insurance. We currently have in place all necessary financial assurance instruments but are aware of recent decreases in the availability and increases in the cost of financial assurance. We do not anticipate any unmanageable difficulty in obtaining financial assurance instruments in the future.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 and our ability to meet our obligations as they become due.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regulations or levies may restrict our operations or increase our costs of operations</w:t>
      </w:r>
    </w:p>
    <w:p>
      <w:pPr>
        <w:spacing w:after="0" w:line="198"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Stringent government regulations at the federal, state, provincial,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187" w:lineRule="exact"/>
        <w:rPr>
          <w:sz w:val="20"/>
          <w:szCs w:val="20"/>
          <w:color w:val="auto"/>
        </w:rPr>
      </w:pPr>
    </w:p>
    <w:p>
      <w:pPr>
        <w:ind w:left="460" w:hanging="17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on siting and constructing new waste disposal, transfer or processing facilities or expanding existing facilities;</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 or</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mandates regarding the disposal of solid waste.</w:t>
      </w:r>
    </w:p>
    <w:p>
      <w:pPr>
        <w:spacing w:after="0" w:line="225"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Regulations also affect the siting, design and closure of landfills and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14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operations.</w:t>
      </w:r>
    </w:p>
    <w:p>
      <w:pPr>
        <w:spacing w:after="0" w:line="14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possibility of disposal site developments, expansion projects or pending acquisitions not being completed or certain other events could result in a material charge against our earnings</w:t>
      </w:r>
    </w:p>
    <w:p>
      <w:pPr>
        <w:spacing w:after="0" w:line="143"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In accordance with generally accepted accounting principles, we capitalize certain expenditures and advances relating to disposal site development, expansion projects and acquisitions. We expense indirect acquisition costs as incurred, such as executive salaries, general corporate overhead, public affairs and other corporate services. Our policy is to charge against earnings any unamortized capitalized expenditures and advances relating to any facility or operation that is permanently shut down or determined to be impaired, any pending acquisition that is not consummated and any disposal site development or expansion project that is not completed or determined to be impaired. The charge against earnings is reduced by any portion of the capitalized expenditures and advances that we estimate will be recoverable, through sale or otherwise. In future periods, we may be required to incur charges against earnings in accordance with this policy, or due to other events that cause impairments. Depending on the magnitude, any such charges could have a material adverse effect on our results of operations and possibly our ability to meet the financial covenants in our credit arrangements, which could negatively affect our liquidity.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development and acceptance of alternatives to landfill disposal and waste-to-energy facilities could reduce our ability to operate at full capacity</w:t>
      </w:r>
    </w:p>
    <w:p>
      <w:pPr>
        <w:spacing w:after="0" w:line="2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customers are increasingly using alternatives to landfill disposal, such as recycling and composting. In addition, some state and local governments mandate recycling and waste reduction at the source and prohibit the disposal of certain types of wastes, such as yard wastes,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seasonal in nature and our revenues and results vary from quarter-to-quarter</w:t>
      </w:r>
    </w:p>
    <w:p>
      <w:pPr>
        <w:spacing w:after="0" w:line="185"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are adversely affected by these seasonal changes. In addition, particularly harsh weather conditions may result in the temporary suspension of certain of our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commodity prices affect our operating revenues</w:t>
      </w:r>
    </w:p>
    <w:p>
      <w:pPr>
        <w:spacing w:after="0" w:line="185"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Our recycling operations process for sale certain recyclable materials, including fibers, aluminum and glass, all of which are subject to significant price fluctuations. The majority of the recyclables that we process for sale are fibers, including old corrugated cardboard (“OCC”), and old newsprint (“ONP”). We enter into commodity price derivatives in an effort to mitigate some of the variability in cash flows from the sales of fibers at floating prices. As of December 31, 2003, the past three years’ year-over-year changes in the quarterly average market prices for OCC ranged from a decrease of as much as 66% to an increase of as much as 131%. The same comparisons for ONP have ranged from a decrease of as much as 48% to an increase of as much as 64%. These fluctuations can affect future operating income and cash flows.</w:t>
      </w:r>
    </w:p>
    <w:p>
      <w:pPr>
        <w:spacing w:after="0" w:line="153" w:lineRule="exact"/>
        <w:rPr>
          <w:sz w:val="20"/>
          <w:szCs w:val="20"/>
          <w:color w:val="auto"/>
        </w:rPr>
      </w:pPr>
    </w:p>
    <w:p>
      <w:pPr>
        <w:ind w:right="300" w:firstLine="215"/>
        <w:spacing w:after="0" w:line="297" w:lineRule="auto"/>
        <w:rPr>
          <w:sz w:val="20"/>
          <w:szCs w:val="20"/>
          <w:color w:val="auto"/>
        </w:rPr>
      </w:pPr>
      <w:r>
        <w:rPr>
          <w:rFonts w:ascii="Arial" w:cs="Arial" w:eastAsia="Arial" w:hAnsi="Arial"/>
          <w:sz w:val="16"/>
          <w:szCs w:val="16"/>
          <w:color w:val="auto"/>
        </w:rPr>
        <w:t>Additionally, there may be significant price fluctuations in the price of methane gas, electricity and other energy related products that are marketed and sold by our landfill gas recovery, waste-to-energy and independent power production plant operations. Our landfill gas recovery and waste-to-energy operations generally enter into long-term sales agreements. Therefore, market fluctuations do not have a significant effect on these operations in the short-term. However, revenues from our independent power production plants can be effected by price fluctuations. As of December 31, 2003, the previous two years’ year-over-year changes in the average quarterly electricity prices ranged from increases of as much as 7% to decreases of as much as 39%.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uncertainties relating to pending litigation and investigations</w:t>
      </w:r>
    </w:p>
    <w:p>
      <w:pPr>
        <w:spacing w:after="0" w:line="185"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We and some of our subsidiaries are also currently involved in civil litigation and governmental proceedings relating to the conduct of our business. The timing of the final resolutions to these matters is uncertain. Additionally, the possible outcomes or resolutions to these matters could include judgments against us or settlements, either of which could require substantial payments by us, adversely affecting our liquidity.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Intense competition could reduce our profitability</w:t>
      </w:r>
    </w:p>
    <w:p>
      <w:pPr>
        <w:spacing w:after="0" w:line="198"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encounter intense competition from governmental, quasi-governmental and private sources in all aspects of our operations. In North America, the industry consists of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and tax-exempt financing are available to them. Also, such governmental units may attempt to impose flow control or other restrictions that would give them a competitive advantage. In addition, competitors may reduce their prices to expand sales volume or to win competitively bid contracts.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Efforts by labor unions to organize our employees could divert management’s attention and increase our operating expenses</w:t>
      </w:r>
    </w:p>
    <w:p>
      <w:pPr>
        <w:spacing w:after="0" w:line="185"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Labor unions constantly make attempts to organize our employees, and these efforts will likely continue in the future. Certain groups of our employees have chosen to be represented by unions, and we have negotiated collective bargaining agreements with some of the groups. Additional groups of employees may seek union representation in the future, and the negotiation of collective bargaining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any labor disruptions, our operating expenses could increase significantly, which could adversely affect our financial condition, results of operations and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fuel costs could affect our operating expenses</w:t>
      </w:r>
    </w:p>
    <w:p>
      <w:pPr>
        <w:spacing w:after="0" w:line="185"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The price and supply of fuel is unpredictable and fluctuates based on events outside our control, including geopolitical developments, supply and demand for oil and gas, actions by OPEC and other oil and gas producers, war and unrest in oil producing countries, regional production patterns and environmental concerns. Fuel is needed to run our collection and transfer trucks, and any price escalations or reductions in the supply could increase our operating expenses and have a negative impact on our consolidated financial condition, results of operations and cash flows. We have implemented a fuel surcharge to partially offset increased fuel costs. However, we are not always able to pass through all of the increased fuel costs due to the terms of certain customers’ contracts.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relating to general economic conditions</w:t>
      </w:r>
    </w:p>
    <w:p>
      <w:pPr>
        <w:spacing w:after="0" w:line="198"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face risks related to general economic and market conditions, including the potential impact of the status of the economy and interest rate fluctuations on our business. We also face risks related to other adverse external economic conditions, such as the ability of our insurers to timely meet their commitments and the effect that significant claims or litigation against insurance companies may have on such ability. Any negative general economic conditions could materially adversely affect our financial condition, results of operations and cash flows.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w:t>
      </w:r>
    </w:p>
    <w:p>
      <w:pPr>
        <w:spacing w:after="0" w:line="198"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currently expect to meet our anticipated cash needs for capital expenditures, acquisitions and other cash expenditures with our cash flows from operations and, to the extent necessary, additional financings. However, our Board of Directors approved a stock repurchase program pursuant to which we may, at management’s discretion, repurchase up to $1 billion of our common stock in 2004. Our Board of Directors also initiated a quarterly dividend, which resulted in the declaration of an $0.1875 per share dividend in each of the first two quarters of 2004. If our cash flows from operations are less than is currently expected, or our capital expenditures or acquisitions increase, we may elect to incur more indebtedness or decrease share repurchase activity. However, there can be no assurances that we will be able to obtain additional financings on acceptable terms. In these circumstances, we would likely use our revolving credit facilities to meet our cash needs.</w:t>
      </w:r>
    </w:p>
    <w:p>
      <w:pPr>
        <w:spacing w:after="0" w:line="149" w:lineRule="exact"/>
        <w:rPr>
          <w:sz w:val="20"/>
          <w:szCs w:val="20"/>
          <w:color w:val="auto"/>
        </w:rPr>
      </w:pPr>
    </w:p>
    <w:p>
      <w:pPr>
        <w:ind w:right="260" w:firstLine="225"/>
        <w:spacing w:after="0" w:line="257" w:lineRule="auto"/>
        <w:rPr>
          <w:sz w:val="20"/>
          <w:szCs w:val="20"/>
          <w:color w:val="auto"/>
        </w:rPr>
      </w:pPr>
      <w:r>
        <w:rPr>
          <w:rFonts w:ascii="Arial" w:cs="Arial" w:eastAsia="Arial" w:hAnsi="Arial"/>
          <w:sz w:val="18"/>
          <w:szCs w:val="18"/>
          <w:color w:val="auto"/>
        </w:rPr>
        <w:t>Our credit facilities require us to comply with certain financial ratios. If our cash flows are less than expected, our capital requirements are more than expected or we incur additional indebtedness, we may not be in compliance with the ratios. This would result in a default under our credit facilities. If we were unable to obtain waivers or amendments to the credit facilities, the lenders could choose to declare all outstanding borrowings immediately due and payable, which we may not be able to pay in full. Default under our credit agreements or unavailability of this capital source could have a material adverse effect on our ability to meet our borrowing and bonding needs.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possible errors or problems upon implementation of new information technology systems</w:t>
      </w:r>
    </w:p>
    <w:p>
      <w:pPr>
        <w:spacing w:after="0" w:line="198"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Upon implementation of new information technology systems, we may experience problems that could adversely affect, or even temporarily disrupt, all or a portion of our operations until resolved.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adverse impacts on our results of operations as a result of adopting new accounting standards or interpretations</w:t>
      </w:r>
    </w:p>
    <w:p>
      <w:pPr>
        <w:spacing w:after="0" w:line="185"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Our implementation of and compliance with changes in accounting rules, including new accounting rules and interpretations, could adversely affect our operating results or cause unanticipated fluctuations in our operating results in future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Effect of Certain Anti-Takeover Provisions</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Certain provisions of our Restated Certificate of Incorporation and Bylaws may make it more difficult for a third party to acquire us in a transaction that is not approved by our Board of Directors. For example, our Board of Directors has the power to issue up to 10,000,000 shares of our preferred stock in one or more series, and to fix the rights and preferences of any series, without further authorization by the holders of our common stock. This provision is designed to permit us to develop our businesses and foster our long-term growth without the disruption caused by the threat of a takeover that our Board of Directors does not think is in the best interests of our stockholders. Also, this provision may discourage a third party from making a tender offer or otherwise attempting to gain control of us even though the attempt might be beneficial economically to our stockholders.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202"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We are the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electric utilities and governmental entities. During 2003, none of our customers accounted for more than 1% of our operating revenue. We employed approximately 51,700 people as of December 31, 2003.</w:t>
      </w:r>
    </w:p>
    <w:p>
      <w:pPr>
        <w:spacing w:after="0" w:line="114"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Our parent company was incorporated in Oklahoma in 1987 under the name “USA Waste Services, Inc.” and was reincorporated as a Delaware company in 1995. In a 1998 merger, Waste Management, Inc. became a 100% owned subsidiary and changed its name to Waste Management Holdings, Inc. At the same time, our parent company changed its name to Waste Management, Inc. 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124"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Our revenues were approximately $11.3 billion, $11.1 billion and $11.6 billion for the years ended December 31, 2001, 2002 and 2003, respectively. Our net income for those years was $503 million, $822 million and $630 million, respectively. Our revenues and net income for the three months ended March 31, 2004 were $2.9 billion and $152 million, respectively.</w:t>
      </w:r>
    </w:p>
    <w:p>
      <w:pPr>
        <w:spacing w:after="0" w:line="154"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Our goals are operational excellence and financial strength, which we seek by concentrating on (i) providing excellent customer service, (ii) lowering costs, (iii) increasing cash flow and (iv) maintaining our credit ratings at investment grade. We focus and continue to make progress on the following key initiatives:</w:t>
      </w:r>
    </w:p>
    <w:p>
      <w:pPr>
        <w:spacing w:after="0" w:line="181" w:lineRule="exact"/>
        <w:rPr>
          <w:sz w:val="20"/>
          <w:szCs w:val="20"/>
          <w:color w:val="auto"/>
        </w:rPr>
      </w:pPr>
    </w:p>
    <w:p>
      <w:pPr>
        <w:ind w:left="460" w:right="620" w:hanging="177"/>
        <w:spacing w:after="0" w:line="34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Asset Utilization </w:t>
      </w:r>
      <w:r>
        <w:rPr>
          <w:rFonts w:ascii="Arial" w:cs="Arial" w:eastAsia="Arial" w:hAnsi="Arial"/>
          <w:sz w:val="16"/>
          <w:szCs w:val="16"/>
          <w:color w:val="auto"/>
        </w:rPr>
        <w:t>– Implementing and updating integrated local business strategies for our operations, including collection, transfer and disposal</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waste-to-energy plants), to achieve benefits of integrated operations and to improve our overall utilization of our asset base;</w:t>
      </w:r>
    </w:p>
    <w:p>
      <w:pPr>
        <w:spacing w:after="0" w:line="123" w:lineRule="exact"/>
        <w:rPr>
          <w:rFonts w:ascii="Arial" w:cs="Arial" w:eastAsia="Arial" w:hAnsi="Arial"/>
          <w:sz w:val="16"/>
          <w:szCs w:val="16"/>
          <w:color w:val="auto"/>
        </w:rPr>
      </w:pPr>
    </w:p>
    <w:p>
      <w:pPr>
        <w:ind w:left="460" w:hanging="1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Service Excellence </w:t>
      </w:r>
      <w:r>
        <w:rPr>
          <w:rFonts w:ascii="Arial" w:cs="Arial" w:eastAsia="Arial" w:hAnsi="Arial"/>
          <w:sz w:val="18"/>
          <w:szCs w:val="18"/>
          <w:color w:val="auto"/>
        </w:rPr>
        <w:t>– Designing and implementing new ways to better meet our customers’ requirements;</w:t>
      </w:r>
    </w:p>
    <w:p>
      <w:pPr>
        <w:spacing w:after="0" w:line="225" w:lineRule="exact"/>
        <w:rPr>
          <w:rFonts w:ascii="Arial" w:cs="Arial" w:eastAsia="Arial" w:hAnsi="Arial"/>
          <w:sz w:val="18"/>
          <w:szCs w:val="18"/>
          <w:color w:val="auto"/>
        </w:rPr>
      </w:pPr>
    </w:p>
    <w:p>
      <w:pPr>
        <w:ind w:left="460" w:right="200" w:hanging="177"/>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Economies of Scale and Cost Efficiencies </w:t>
      </w:r>
      <w:r>
        <w:rPr>
          <w:rFonts w:ascii="Arial" w:cs="Arial" w:eastAsia="Arial" w:hAnsi="Arial"/>
          <w:sz w:val="18"/>
          <w:szCs w:val="18"/>
          <w:color w:val="auto"/>
        </w:rPr>
        <w:t>– Continuing to implement a procurement and sourcing process that leverages our size and total purchasing</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realize savings through consolidation and reduction of the number of suppliers;</w:t>
      </w:r>
    </w:p>
    <w:p>
      <w:pPr>
        <w:spacing w:after="0" w:line="170" w:lineRule="exact"/>
        <w:rPr>
          <w:rFonts w:ascii="Arial" w:cs="Arial" w:eastAsia="Arial" w:hAnsi="Arial"/>
          <w:sz w:val="18"/>
          <w:szCs w:val="18"/>
          <w:color w:val="auto"/>
        </w:rPr>
      </w:pPr>
    </w:p>
    <w:p>
      <w:pPr>
        <w:ind w:left="460" w:hanging="17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Price/Revenue Management </w:t>
      </w:r>
      <w:r>
        <w:rPr>
          <w:rFonts w:ascii="Arial" w:cs="Arial" w:eastAsia="Arial" w:hAnsi="Arial"/>
          <w:sz w:val="17"/>
          <w:szCs w:val="17"/>
          <w:color w:val="auto"/>
        </w:rPr>
        <w:t>– Improving our pricing analysis capabilities, and developing and implementing new revenue management systems;</w:t>
      </w:r>
    </w:p>
    <w:p>
      <w:pPr>
        <w:spacing w:after="0" w:line="236" w:lineRule="exact"/>
        <w:rPr>
          <w:rFonts w:ascii="Arial" w:cs="Arial" w:eastAsia="Arial" w:hAnsi="Arial"/>
          <w:sz w:val="17"/>
          <w:szCs w:val="17"/>
          <w:color w:val="auto"/>
        </w:rPr>
      </w:pPr>
    </w:p>
    <w:p>
      <w:pPr>
        <w:ind w:left="460" w:right="120" w:hanging="177"/>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Sales Force Effectiveness </w:t>
      </w:r>
      <w:r>
        <w:rPr>
          <w:rFonts w:ascii="Arial" w:cs="Arial" w:eastAsia="Arial" w:hAnsi="Arial"/>
          <w:sz w:val="18"/>
          <w:szCs w:val="18"/>
          <w:color w:val="auto"/>
        </w:rPr>
        <w:t>– Providing tools, leadership and incentives throughout our organization designed to enable and encourage our sales force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its effectiveness and increase revenue;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hanging="177"/>
        <w:spacing w:after="0" w:line="31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Shareholder Value – </w:t>
      </w:r>
      <w:r>
        <w:rPr>
          <w:rFonts w:ascii="Arial" w:cs="Arial" w:eastAsia="Arial" w:hAnsi="Arial"/>
          <w:sz w:val="16"/>
          <w:szCs w:val="16"/>
          <w:color w:val="auto"/>
        </w:rPr>
        <w:t>Enhancing shareholder value through share repurchases, increased cash dividends, emphasizing earnings and cash flow growth,</w:t>
      </w:r>
      <w:r>
        <w:rPr>
          <w:rFonts w:ascii="Arial" w:cs="Arial" w:eastAsia="Arial" w:hAnsi="Arial"/>
          <w:sz w:val="16"/>
          <w:szCs w:val="16"/>
          <w:i w:val="1"/>
          <w:iCs w:val="1"/>
          <w:color w:val="auto"/>
        </w:rPr>
        <w:t xml:space="preserve"> </w:t>
      </w:r>
      <w:r>
        <w:rPr>
          <w:rFonts w:ascii="Arial" w:cs="Arial" w:eastAsia="Arial" w:hAnsi="Arial"/>
          <w:sz w:val="16"/>
          <w:szCs w:val="16"/>
          <w:color w:val="auto"/>
        </w:rPr>
        <w:t>and maintaining a strong, liquid and flexible financial condition. We strive to maintain close relationships with shareholders, banks, bondholders, credit rating agencies, surety companies and regulators to ensure adequate access to a variety of capital markets and funding sources.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We generally will not receive any proceeds from offering and issuing the shares covered by this prospectus, other than the businesses or properties we acquire. However, in situations where we issue warrants or options to purchase common stock in connection with an acquisition, and such warrants or options are later exercised by the holder of the warrant or option, we will use the proceeds we receive for general corporate purposes.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STOCKHOLDERS</w:t>
      </w:r>
    </w:p>
    <w:p>
      <w:pPr>
        <w:spacing w:after="0" w:line="189"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may allow individuals or entities who have received or will receive the shares covered hereby to use this prospectus to cover the resale of such shares. The selling stockholders may act independently of us in making decisions with respect to the timing, manner and size of each sale. The selling stockholders may sell the shares being offered hereby: (i) on the New York Stock Exchange, or otherwise at prices and at terms then prevailing or at prices related to the then current market price; or (ii) in private sales at negotiated prices directly or through a broker or brokers, who may act as agent or as principal or by a combination of such methods of sale. The selling stockholders and any underwriter, dealer or agent who participate in the distribution of the shares may be deemed to be “underwriters” under the Securities Act, and any discount, commission or concession received by such persons might be deemed to be an underwriting discount or commission under the Securities Act. We may agree to indemnify the selling stockholders against certain liabilities arising under the Securities Act.</w:t>
      </w:r>
    </w:p>
    <w:p>
      <w:pPr>
        <w:spacing w:after="0" w:line="165" w:lineRule="exact"/>
        <w:rPr>
          <w:sz w:val="20"/>
          <w:szCs w:val="20"/>
          <w:color w:val="auto"/>
        </w:rPr>
      </w:pPr>
    </w:p>
    <w:p>
      <w:pPr>
        <w:ind w:firstLine="215"/>
        <w:spacing w:after="0" w:line="290" w:lineRule="auto"/>
        <w:rPr>
          <w:sz w:val="20"/>
          <w:szCs w:val="20"/>
          <w:color w:val="auto"/>
        </w:rPr>
      </w:pPr>
      <w:r>
        <w:rPr>
          <w:rFonts w:ascii="Arial" w:cs="Arial" w:eastAsia="Arial" w:hAnsi="Arial"/>
          <w:sz w:val="16"/>
          <w:szCs w:val="16"/>
          <w:color w:val="auto"/>
        </w:rPr>
        <w:t>Any broker-dealer participating in such transactions as an agent may receive commissions from the selling stockholders (and, if acting as agent for the purchaser of such shares, from such purchaser). Usual and customary brokerage fees may be paid by the selling stockholders. Broker-dealers may agree with the selling stockholders to sell a specified number of shares at a stipulated price per share, and, to the extent such a broker-dealer is unable to do so acting as agent for the selling stockholders, to purchase as principal any unsold shares at the price required to fulfill the broker-dealer commitment to the selling stockholders. Broker-dealers who acquire shares as a principal may thereafter resell such shares from time to time in transactions (which may involve crosses and block transactions and which may involve sales to and through other broker-dealers, including transactions of the nature described above) in the over-the-counter market, in negotiated transactions or by a combination of such methods of sale or otherwise at market prices prevailing at the time of sale or at negotiated prices, and in connection with such resales may pay to or receive from the purchasers of such shares commissions computed as described above.</w:t>
      </w:r>
    </w:p>
    <w:p>
      <w:pPr>
        <w:spacing w:after="0" w:line="126" w:lineRule="exact"/>
        <w:rPr>
          <w:sz w:val="20"/>
          <w:szCs w:val="20"/>
          <w:color w:val="auto"/>
        </w:rPr>
      </w:pPr>
    </w:p>
    <w:p>
      <w:pPr>
        <w:ind w:right="380" w:firstLine="222"/>
        <w:spacing w:after="0" w:line="259" w:lineRule="auto"/>
        <w:rPr>
          <w:sz w:val="20"/>
          <w:szCs w:val="20"/>
          <w:color w:val="auto"/>
        </w:rPr>
      </w:pPr>
      <w:r>
        <w:rPr>
          <w:rFonts w:ascii="Arial" w:cs="Arial" w:eastAsia="Arial" w:hAnsi="Arial"/>
          <w:sz w:val="18"/>
          <w:szCs w:val="18"/>
          <w:color w:val="auto"/>
        </w:rPr>
        <w:t>The selling stockholders may indemnify any broker-dealer that participates in transactions involving the sale of the shares against certain liabilities, including liabilities arising under the Securities Act. Any commissions paid or any discounts or concessions allowed to any such broker-dealers, and any profits received on the resale of such shares, may be deemed to be underwriting discounts and commissions under the Securities Act if any such broker-dealers purchase the shares as a principal.</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02"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We are authorized to issue 1,500,000,000 shares of common stock, of which 580,172,954 shares were outstanding at May 21, 2004. We are also authorized to issue 10,000,000 shares of preferred stock, none of which were outstanding on that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receive dividends until we satisfy our obligations to any preferred stockholders.</w:t>
      </w:r>
    </w:p>
    <w:p>
      <w:pPr>
        <w:spacing w:after="0" w:line="143"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 each other matter we may ask stockholders to vote 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stockholders do not have cumulative voting rights. Accordingly, the holders of a majority of shares voting for the election of directors can elect all of the directors standing for election.</w:t>
      </w:r>
    </w:p>
    <w:p>
      <w:pPr>
        <w:spacing w:after="0" w:line="14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and sale, validly issued, fully paid and non-assessable.</w:t>
      </w:r>
    </w:p>
    <w:p>
      <w:pPr>
        <w:spacing w:after="0" w:line="130"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remaining after we pay our creditors and any preferred stockholders.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“WMI.”</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the common stock is Mellon Investor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2" w:lineRule="exact"/>
        <w:rPr>
          <w:sz w:val="20"/>
          <w:szCs w:val="20"/>
          <w:color w:val="auto"/>
        </w:rPr>
      </w:pPr>
    </w:p>
    <w:p>
      <w:pPr>
        <w:ind w:right="260" w:firstLine="222"/>
        <w:spacing w:after="0" w:line="297"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a dissolution of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189" w:lineRule="exact"/>
        <w:rPr>
          <w:sz w:val="20"/>
          <w:szCs w:val="20"/>
          <w:color w:val="auto"/>
        </w:rPr>
      </w:pPr>
    </w:p>
    <w:p>
      <w:pPr>
        <w:ind w:right="180" w:firstLine="215"/>
        <w:spacing w:after="0" w:line="264"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 and Certain Provisions of the Restated Certificate of Incorporation</w:t>
      </w:r>
    </w:p>
    <w:p>
      <w:pPr>
        <w:spacing w:after="0" w:line="202" w:lineRule="exact"/>
        <w:rPr>
          <w:sz w:val="20"/>
          <w:szCs w:val="20"/>
          <w:color w:val="auto"/>
        </w:rPr>
      </w:pPr>
    </w:p>
    <w:p>
      <w:pPr>
        <w:ind w:right="220" w:firstLine="222"/>
        <w:spacing w:after="0" w:line="342" w:lineRule="auto"/>
        <w:rPr>
          <w:sz w:val="20"/>
          <w:szCs w:val="20"/>
          <w:color w:val="auto"/>
        </w:rPr>
      </w:pPr>
      <w:r>
        <w:rPr>
          <w:rFonts w:ascii="Arial" w:cs="Arial" w:eastAsia="Arial" w:hAnsi="Arial"/>
          <w:sz w:val="16"/>
          <w:szCs w:val="16"/>
          <w:color w:val="auto"/>
        </w:rPr>
        <w:t>We are a Delaware corporation and are governed by the Delaware General Corporation Law, in addition to our Certificate of Incorporation, as amended and restated and Bylaws, as amended, certain provisions of which are summarized below. You should read the actual provisions of these documents.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203 of the Delaware General Corporation Law</w:t>
      </w:r>
    </w:p>
    <w:p>
      <w:pPr>
        <w:spacing w:after="0" w:line="185"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181" w:lineRule="exact"/>
        <w:rPr>
          <w:sz w:val="20"/>
          <w:szCs w:val="20"/>
          <w:color w:val="auto"/>
        </w:rPr>
      </w:pPr>
    </w:p>
    <w:p>
      <w:pPr>
        <w:ind w:left="460" w:right="60" w:hanging="177"/>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prior to such date, the corporation’s board of directors approved either the business combination or the transaction in which the stockholder became an Interested Stockholder; or</w:t>
      </w:r>
    </w:p>
    <w:p>
      <w:pPr>
        <w:spacing w:after="0" w:line="170" w:lineRule="exact"/>
        <w:rPr>
          <w:rFonts w:ascii="Arial" w:cs="Arial" w:eastAsia="Arial" w:hAnsi="Arial"/>
          <w:sz w:val="18"/>
          <w:szCs w:val="18"/>
          <w:color w:val="auto"/>
        </w:rPr>
      </w:pPr>
    </w:p>
    <w:p>
      <w:pPr>
        <w:ind w:left="460" w:right="220" w:hanging="177"/>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14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Section 203 defines the term “business combination” to include mergers, asset sales and other transactions resulting in a financial benefit to the Interested Stockholder.</w:t>
      </w:r>
    </w:p>
    <w:p>
      <w:pPr>
        <w:spacing w:after="0" w:line="143"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Waste Management, even if such an event would be favorable to the interests of our stockholders. Our stockholders, by adopting an amendment to the Certificate of Incorporation, may elect not to be governed by Section 203. Such an election would be effective 12 months after its adoption.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of Liability and Indemnification of Officers and Directors</w:t>
      </w:r>
    </w:p>
    <w:p>
      <w:pPr>
        <w:spacing w:after="0" w:line="185" w:lineRule="exact"/>
        <w:rPr>
          <w:sz w:val="20"/>
          <w:szCs w:val="20"/>
          <w:color w:val="auto"/>
        </w:rPr>
      </w:pPr>
    </w:p>
    <w:p>
      <w:pPr>
        <w:jc w:val="both"/>
        <w:ind w:right="280" w:firstLine="225"/>
        <w:spacing w:after="0" w:line="264" w:lineRule="auto"/>
        <w:rPr>
          <w:sz w:val="20"/>
          <w:szCs w:val="20"/>
          <w:color w:val="auto"/>
        </w:rPr>
      </w:pPr>
      <w:r>
        <w:rPr>
          <w:rFonts w:ascii="Arial" w:cs="Arial" w:eastAsia="Arial" w:hAnsi="Arial"/>
          <w:sz w:val="18"/>
          <w:szCs w:val="18"/>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154"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of the company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148"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13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controlling persons pursuant to the foregoing provisions, we have been informed that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 the opinion of the SEC such indemnification is against public policy as expressed in the Securities Act and is therefore unenforceable.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John S. Tsai, our Vice President and Assistant General Counsel – Corporate and Securities will issue an opinion about the legality of the shares offered by this prospectus.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02"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consolidated financial statements and schedule of Waste Management, Inc. appearing in Waste Management, Inc.’s Annual Report on Form 10-K as of December 31, 2003 and 2002 and for each of the two years in the period ended December 31, 2003, have been audited by Ernst &amp; Young LLP, independent auditors, as set forth in their reports thereon included therein and incorporated herein by reference. Such consolidated financial statements and schedule are incorporated herein by reference in reliance upon such reports given on the authority of such firm as experts in accounting and auditing.</w:t>
      </w:r>
    </w:p>
    <w:p>
      <w:pPr>
        <w:spacing w:after="0" w:line="114"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The audited consolidated financial statements of Waste Management, Inc. for the year ended December 31, 2001 appearing in Waste Management, Inc.’s Annual Report on Form 10-K for the year ended December 31, 2003 incorporated by reference in this prospectus have been audited by Arthur Andersen LLP, independent public accountants, as set forth in their report. The consent of Arthur Andersen LLP to the inclusion of their report in this prospectus is omitted pursuant to Rule 437a of the Securities Act. Because Arthur Andersen LLP has not consented to the inclusion of their report in this prospectus, you will not be able to recover against Arthur Andersen LLP under Section 11 of the Securities Act for any untrue statements of a material fact contained in the financial statements audited by Arthur Andersen LLP or any omissions to state a material fact required to be stated therein.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TO FIND MORE INFORMATION</w:t>
      </w:r>
    </w:p>
    <w:p>
      <w:pPr>
        <w:spacing w:after="0" w:line="202" w:lineRule="exact"/>
        <w:rPr>
          <w:sz w:val="20"/>
          <w:szCs w:val="20"/>
          <w:color w:val="auto"/>
        </w:rPr>
      </w:pPr>
    </w:p>
    <w:p>
      <w:pPr>
        <w:ind w:right="40" w:firstLine="222"/>
        <w:spacing w:after="0" w:line="342" w:lineRule="auto"/>
        <w:rPr>
          <w:sz w:val="20"/>
          <w:szCs w:val="20"/>
          <w:color w:val="auto"/>
        </w:rPr>
      </w:pPr>
      <w:r>
        <w:rPr>
          <w:rFonts w:ascii="Arial" w:cs="Arial" w:eastAsia="Arial" w:hAnsi="Arial"/>
          <w:sz w:val="16"/>
          <w:szCs w:val="16"/>
          <w:color w:val="auto"/>
        </w:rPr>
        <w:t>We are subject to the information requirements of the Securities Exchange Act of 1934, and in accordance therewith we file reports, proxy and information statements and other information with the SEC. You can inspect and copy these reports, proxy and information statements and other information at:</w:t>
      </w:r>
    </w:p>
    <w:p>
      <w:pPr>
        <w:spacing w:after="0" w:line="124" w:lineRule="exact"/>
        <w:rPr>
          <w:sz w:val="20"/>
          <w:szCs w:val="20"/>
          <w:color w:val="auto"/>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public reference facilities maintained by the SEC at 450 Fifth Street, N.W., Washington DC 20549, and</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regional offices of the SEC located at:</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500 West Madison Street, Suite 1400, Chicago, Illinois 60661, and</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233 Broadway, New York, New York 10279.</w:t>
      </w:r>
    </w:p>
    <w:p>
      <w:pPr>
        <w:spacing w:after="0" w:line="225" w:lineRule="exact"/>
        <w:rPr>
          <w:sz w:val="20"/>
          <w:szCs w:val="20"/>
          <w:color w:val="auto"/>
        </w:rPr>
      </w:pPr>
    </w:p>
    <w:p>
      <w:pPr>
        <w:jc w:val="both"/>
        <w:ind w:right="40" w:firstLine="218"/>
        <w:spacing w:after="0" w:line="286" w:lineRule="auto"/>
        <w:rPr>
          <w:sz w:val="20"/>
          <w:szCs w:val="20"/>
          <w:color w:val="auto"/>
        </w:rPr>
      </w:pPr>
      <w:r>
        <w:rPr>
          <w:rFonts w:ascii="Arial" w:cs="Arial" w:eastAsia="Arial" w:hAnsi="Arial"/>
          <w:sz w:val="17"/>
          <w:szCs w:val="17"/>
          <w:color w:val="auto"/>
        </w:rPr>
        <w:t xml:space="preserve">You also can obtain copies of these materials from the Public Reference Section of the SEC at 450 Fifth Street, N.W., Washington, DC 20549 at prescribed rates. You may obtain information regarding the operation of the public reference facilities by calling the SEC at 1-800-SEC-0330. You can obtain electronic filings made through the Electronic Data Gathering, Analysis and Retrieval System at the SEC’s web site, </w:t>
      </w:r>
      <w:r>
        <w:rPr>
          <w:rFonts w:ascii="Arial" w:cs="Arial" w:eastAsia="Arial" w:hAnsi="Arial"/>
          <w:sz w:val="17"/>
          <w:szCs w:val="17"/>
          <w:i w:val="1"/>
          <w:iCs w:val="1"/>
          <w:color w:val="auto"/>
        </w:rPr>
        <w:t>http://www.sec.gov.</w:t>
      </w:r>
    </w:p>
    <w:p>
      <w:pPr>
        <w:spacing w:after="0" w:line="125"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In addition, you can inspect material filed by us at the offices of the New York Stock Exchange, 20 Broad Street, New York, New York 10005, on which shares of our common stock are listed.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22"/>
        <w:spacing w:after="0" w:line="342" w:lineRule="auto"/>
        <w:rPr>
          <w:sz w:val="20"/>
          <w:szCs w:val="20"/>
          <w:color w:val="auto"/>
        </w:rPr>
      </w:pPr>
      <w:r>
        <w:rPr>
          <w:rFonts w:ascii="Arial" w:cs="Arial" w:eastAsia="Arial" w:hAnsi="Arial"/>
          <w:sz w:val="16"/>
          <w:szCs w:val="16"/>
          <w:color w:val="auto"/>
        </w:rPr>
        <w:t>We are incorporating by reference in this prospectus some information we file with the SEC, which means that we are disclosing important information to you by referring you to those documents. Specifically, we incorporate by reference the documents set forth below that we have previously filed with the SEC:</w:t>
      </w:r>
    </w:p>
    <w:p>
      <w:pPr>
        <w:sectPr>
          <w:pgSz w:w="11900" w:h="16838" w:orient="portrait"/>
          <w:cols w:equalWidth="0" w:num="1">
            <w:col w:w="11380"/>
          </w:cols>
          <w:pgMar w:left="240" w:top="419" w:right="279" w:bottom="1440" w:gutter="0" w:footer="0" w:header="0"/>
        </w:sectPr>
      </w:pP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 Filings (File No. 1-12154)</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Period/Date</w:t>
      </w:r>
    </w:p>
    <w:p>
      <w:pPr>
        <w:spacing w:after="0" w:line="31" w:lineRule="exact"/>
        <w:rPr>
          <w:sz w:val="20"/>
          <w:szCs w:val="20"/>
          <w:color w:val="auto"/>
        </w:rPr>
      </w:pPr>
    </w:p>
    <w:p>
      <w:pPr>
        <w:sectPr>
          <w:pgSz w:w="11900" w:h="16838" w:orient="portrait"/>
          <w:cols w:equalWidth="0" w:num="2">
            <w:col w:w="4660" w:space="720"/>
            <w:col w:w="6000"/>
          </w:cols>
          <w:pgMar w:left="240" w:top="419" w:right="27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Annual Report on Form 10-K</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Current Reports on Form 8-K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Year ended December 31, 2003</w:t>
      </w:r>
    </w:p>
    <w:p>
      <w:pPr>
        <w:spacing w:after="0"/>
        <w:rPr>
          <w:sz w:val="20"/>
          <w:szCs w:val="20"/>
          <w:color w:val="auto"/>
        </w:rPr>
      </w:pPr>
      <w:r>
        <w:rPr>
          <w:rFonts w:ascii="Arial" w:cs="Arial" w:eastAsia="Arial" w:hAnsi="Arial"/>
          <w:sz w:val="18"/>
          <w:szCs w:val="18"/>
          <w:color w:val="auto"/>
        </w:rPr>
        <w:t>Quarter ended March 31, 2004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Dated March 3, 2004; March 5, 2004; March 9, 2004; March 19, 2004; April 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2004 and April 26, 2004</w:t>
      </w:r>
    </w:p>
    <w:p>
      <w:pPr>
        <w:spacing w:after="0" w:line="170" w:lineRule="exact"/>
        <w:rPr>
          <w:sz w:val="20"/>
          <w:szCs w:val="20"/>
          <w:color w:val="auto"/>
        </w:rPr>
      </w:pPr>
    </w:p>
    <w:p>
      <w:pPr>
        <w:sectPr>
          <w:pgSz w:w="11900" w:h="16838" w:orient="portrait"/>
          <w:cols w:equalWidth="0" w:num="2">
            <w:col w:w="4660" w:space="720"/>
            <w:col w:w="6000"/>
          </w:cols>
          <w:pgMar w:left="240" w:top="419" w:right="279" w:bottom="1440" w:gutter="0" w:footer="0" w:header="0"/>
          <w:type w:val="continuous"/>
        </w:sectPr>
      </w:pPr>
    </w:p>
    <w:p>
      <w:pPr>
        <w:ind w:right="640" w:firstLine="222"/>
        <w:spacing w:after="0" w:line="277" w:lineRule="auto"/>
        <w:rPr>
          <w:sz w:val="20"/>
          <w:szCs w:val="20"/>
          <w:color w:val="auto"/>
        </w:rPr>
      </w:pPr>
      <w:r>
        <w:rPr>
          <w:rFonts w:ascii="Arial" w:cs="Arial" w:eastAsia="Arial" w:hAnsi="Arial"/>
          <w:sz w:val="18"/>
          <w:szCs w:val="18"/>
          <w:color w:val="auto"/>
        </w:rPr>
        <w:t>We also incorporate the description of our common stock contained in the registration statement on Form 8-A filed on July 1, 1993, including any amendments or reports that have been filed to update the description.</w:t>
      </w:r>
    </w:p>
    <w:p>
      <w:pPr>
        <w:spacing w:after="0" w:line="130"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documents we have filed with the SEC pursuant to Sections 13(a), 13(c), 14 or 15(d) of the Exchange Act after the date of this prospectus and before the termination of the offering made by this prospectus are also incorporated by reference into this prospectus.</w:t>
      </w:r>
    </w:p>
    <w:p>
      <w:pPr>
        <w:spacing w:after="0" w:line="143"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This prospectus, which is a part of a registration statement, does not contain all of the information found in the registration statement. You should refer to the registration statement, including its exhibits and schedules, for further information.</w:t>
      </w:r>
    </w:p>
    <w:p>
      <w:pPr>
        <w:spacing w:after="0" w:line="130" w:lineRule="exact"/>
        <w:rPr>
          <w:sz w:val="20"/>
          <w:szCs w:val="20"/>
          <w:color w:val="auto"/>
        </w:rPr>
      </w:pPr>
    </w:p>
    <w:p>
      <w:pPr>
        <w:ind w:right="580" w:firstLine="218"/>
        <w:spacing w:after="0" w:line="308" w:lineRule="auto"/>
        <w:rPr>
          <w:sz w:val="20"/>
          <w:szCs w:val="20"/>
          <w:color w:val="auto"/>
        </w:rPr>
      </w:pPr>
      <w:r>
        <w:rPr>
          <w:rFonts w:ascii="Arial" w:cs="Arial" w:eastAsia="Arial" w:hAnsi="Arial"/>
          <w:sz w:val="17"/>
          <w:szCs w:val="17"/>
          <w:color w:val="auto"/>
        </w:rPr>
        <w:t>You may request a copy of this information, the registration statement, and the SEC filings at no cost, by writing or telephoning us at the following address: Waste Management, Inc. 1001 Fannin Street, Suite 4000 Houston, Texas 77002; (713) 512-6200; Attn: Corporate Secretary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20,000,000 Shares</w:t>
      </w: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39"/>
          <w:szCs w:val="39"/>
          <w:b w:val="1"/>
          <w:bCs w:val="1"/>
          <w:color w:val="auto"/>
        </w:rPr>
        <w:t>Waste Management, Inc.</w:t>
      </w:r>
    </w:p>
    <w:p>
      <w:pPr>
        <w:spacing w:after="0" w:line="315"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1238250</wp:posOffset>
            </wp:positionV>
            <wp:extent cx="1895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183515</wp:posOffset>
            </wp:positionV>
            <wp:extent cx="1783715" cy="917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71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120"/>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175260</wp:posOffset>
            </wp:positionV>
            <wp:extent cx="1895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5060"/>
        <w:spacing w:after="0"/>
        <w:tabs>
          <w:tab w:leader="none" w:pos="5900" w:val="left"/>
        </w:tabs>
        <w:rPr>
          <w:sz w:val="20"/>
          <w:szCs w:val="20"/>
          <w:color w:val="auto"/>
        </w:rPr>
      </w:pPr>
      <w:r>
        <w:rPr>
          <w:rFonts w:ascii="Arial" w:cs="Arial" w:eastAsia="Arial" w:hAnsi="Arial"/>
          <w:sz w:val="18"/>
          <w:szCs w:val="18"/>
          <w:color w:val="auto"/>
        </w:rPr>
        <w:t>_______</w:t>
        <w:tab/>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right="2900" w:firstLine="2910"/>
        <w:spacing w:after="0" w:line="456" w:lineRule="auto"/>
        <w:rPr>
          <w:sz w:val="20"/>
          <w:szCs w:val="20"/>
          <w:color w:val="auto"/>
        </w:rPr>
      </w:pPr>
      <w:r>
        <w:rPr>
          <w:rFonts w:ascii="Arial" w:cs="Arial" w:eastAsia="Arial" w:hAnsi="Arial"/>
          <w:sz w:val="18"/>
          <w:szCs w:val="18"/>
          <w:b w:val="1"/>
          <w:bCs w:val="1"/>
          <w:color w:val="auto"/>
        </w:rPr>
        <w:t>INFORMATION REQUIRED IN THE REGISTRATION STATEMENT ITEM 20. Indemnification of Directors and Officers.</w:t>
      </w:r>
    </w:p>
    <w:p>
      <w:pPr>
        <w:spacing w:after="0" w:line="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Company’s Certificate of Incorporation provides that the Company’s directors are not liable to the Company or its stockholders for monetary damages for breach of their fiduciary duty, subject to the described exceptions specified by Delaware law.</w:t>
      </w:r>
    </w:p>
    <w:p>
      <w:pPr>
        <w:spacing w:after="0" w:line="166"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Section 145 of the Delaware General Corporation Law grants to the Company the power to indemnify each officer and director of the Company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the Company provide for indemnification of each officer and director of the Company to the fullest extent permitted by Delaware law.</w:t>
      </w:r>
    </w:p>
    <w:p>
      <w:pPr>
        <w:spacing w:after="0" w:line="148"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Section 145 of the Delaware General Corporation Law also empowers the Company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The Company has purchased and maintains a directors’ and officers’ liability policy for such purposes.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200" w:lineRule="exact"/>
        <w:rPr>
          <w:sz w:val="20"/>
          <w:szCs w:val="20"/>
          <w:color w:val="auto"/>
        </w:rPr>
      </w:pPr>
    </w:p>
    <w:p>
      <w:pPr>
        <w:spacing w:after="0" w:line="218" w:lineRule="exact"/>
        <w:rPr>
          <w:sz w:val="20"/>
          <w:szCs w:val="20"/>
          <w:color w:val="auto"/>
        </w:rPr>
      </w:pPr>
    </w:p>
    <w:p>
      <w:pPr>
        <w:ind w:left="3960" w:right="2080" w:hanging="656"/>
        <w:spacing w:after="0" w:line="277" w:lineRule="auto"/>
        <w:tabs>
          <w:tab w:leader="none" w:pos="3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Certificate of Incorporation (Incorporated by reference to Exhibit 3.1 to Form 10-Q for the quarter ended June 30, 2002).</w:t>
      </w:r>
    </w:p>
    <w:p>
      <w:pPr>
        <w:spacing w:after="0" w:line="170" w:lineRule="exact"/>
        <w:rPr>
          <w:sz w:val="20"/>
          <w:szCs w:val="20"/>
          <w:color w:val="auto"/>
        </w:rPr>
      </w:pPr>
    </w:p>
    <w:p>
      <w:pPr>
        <w:ind w:left="3960" w:right="2160" w:hanging="656"/>
        <w:spacing w:after="0" w:line="277" w:lineRule="auto"/>
        <w:tabs>
          <w:tab w:leader="none" w:pos="3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Bylaws (Incorporated by reference to Exhibit 3.2 to Form 10-Q for the quarter ended June 30, 2002).</w:t>
      </w:r>
    </w:p>
    <w:p>
      <w:pPr>
        <w:spacing w:after="0" w:line="170" w:lineRule="exact"/>
        <w:rPr>
          <w:sz w:val="20"/>
          <w:szCs w:val="20"/>
          <w:color w:val="auto"/>
        </w:rPr>
      </w:pPr>
    </w:p>
    <w:p>
      <w:pPr>
        <w:ind w:left="3300"/>
        <w:spacing w:after="0"/>
        <w:tabs>
          <w:tab w:leader="none" w:pos="3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 Opinion of John S. Tsai.</w:t>
      </w:r>
    </w:p>
    <w:p>
      <w:pPr>
        <w:spacing w:after="0" w:line="225" w:lineRule="exact"/>
        <w:rPr>
          <w:sz w:val="20"/>
          <w:szCs w:val="20"/>
          <w:color w:val="auto"/>
        </w:rPr>
      </w:pPr>
    </w:p>
    <w:p>
      <w:pPr>
        <w:ind w:left="3200"/>
        <w:spacing w:after="0"/>
        <w:tabs>
          <w:tab w:leader="none" w:pos="39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 Consent of John S. Tsai (contained in Exhibit 5.1).</w:t>
      </w:r>
    </w:p>
    <w:p>
      <w:pPr>
        <w:spacing w:after="0" w:line="225" w:lineRule="exact"/>
        <w:rPr>
          <w:sz w:val="20"/>
          <w:szCs w:val="20"/>
          <w:color w:val="auto"/>
        </w:rPr>
      </w:pPr>
    </w:p>
    <w:p>
      <w:pPr>
        <w:ind w:left="3200"/>
        <w:spacing w:after="0"/>
        <w:tabs>
          <w:tab w:leader="none" w:pos="39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 Consent of Ernst &amp; Young LLP.</w:t>
      </w:r>
    </w:p>
    <w:p>
      <w:pPr>
        <w:spacing w:after="0" w:line="225" w:lineRule="exact"/>
        <w:rPr>
          <w:sz w:val="20"/>
          <w:szCs w:val="20"/>
          <w:color w:val="auto"/>
        </w:rPr>
      </w:pPr>
    </w:p>
    <w:p>
      <w:pPr>
        <w:ind w:left="3200"/>
        <w:spacing w:after="0"/>
        <w:tabs>
          <w:tab w:leader="none" w:pos="39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 Statement Concerning Consent of Arthur Andersen LLP.</w:t>
      </w:r>
    </w:p>
    <w:p>
      <w:pPr>
        <w:spacing w:after="0" w:line="225" w:lineRule="exact"/>
        <w:rPr>
          <w:sz w:val="20"/>
          <w:szCs w:val="20"/>
          <w:color w:val="auto"/>
        </w:rPr>
      </w:pPr>
    </w:p>
    <w:p>
      <w:pPr>
        <w:ind w:left="5580" w:right="3720" w:hanging="2241"/>
        <w:spacing w:after="0" w:line="481" w:lineRule="auto"/>
        <w:tabs>
          <w:tab w:leader="none" w:pos="3952" w:val="left"/>
        </w:tabs>
        <w:numPr>
          <w:ilvl w:val="0"/>
          <w:numId w:val="7"/>
        </w:numPr>
        <w:rPr>
          <w:rFonts w:ascii="Arial" w:cs="Arial" w:eastAsia="Arial" w:hAnsi="Arial"/>
          <w:sz w:val="18"/>
          <w:szCs w:val="18"/>
          <w:color w:val="auto"/>
        </w:rPr>
      </w:pPr>
      <w:r>
        <w:rPr>
          <w:rFonts w:ascii="Arial" w:cs="Arial" w:eastAsia="Arial" w:hAnsi="Arial"/>
          <w:sz w:val="18"/>
          <w:szCs w:val="18"/>
          <w:color w:val="auto"/>
        </w:rPr>
        <w:t>— Power of Attorney (included on Signature Page).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202" w:lineRule="exact"/>
        <w:rPr>
          <w:sz w:val="20"/>
          <w:szCs w:val="20"/>
          <w:color w:val="auto"/>
        </w:rPr>
      </w:pPr>
    </w:p>
    <w:p>
      <w:pPr>
        <w:ind w:left="480" w:hanging="24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84" w:lineRule="exact"/>
        <w:rPr>
          <w:rFonts w:ascii="Arial" w:cs="Arial" w:eastAsia="Arial" w:hAnsi="Arial"/>
          <w:sz w:val="18"/>
          <w:szCs w:val="18"/>
          <w:color w:val="auto"/>
        </w:rPr>
      </w:pPr>
    </w:p>
    <w:p>
      <w:pPr>
        <w:ind w:left="840" w:hanging="265"/>
        <w:spacing w:after="0"/>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84"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198" w:lineRule="exact"/>
        <w:rPr>
          <w:sz w:val="20"/>
          <w:szCs w:val="20"/>
          <w:color w:val="auto"/>
        </w:rPr>
      </w:pPr>
    </w:p>
    <w:p>
      <w:pPr>
        <w:jc w:val="center"/>
        <w:ind w:left="360" w:firstLine="215"/>
        <w:spacing w:after="0" w:line="342" w:lineRule="auto"/>
        <w:tabs>
          <w:tab w:leader="none" w:pos="85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83" w:lineRule="exact"/>
        <w:rPr>
          <w:rFonts w:ascii="Arial" w:cs="Arial" w:eastAsia="Arial" w:hAnsi="Arial"/>
          <w:sz w:val="16"/>
          <w:szCs w:val="16"/>
          <w:color w:val="auto"/>
        </w:rPr>
      </w:pPr>
    </w:p>
    <w:p>
      <w:pPr>
        <w:ind w:left="360" w:right="140" w:firstLine="21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0" w:lineRule="exact"/>
        <w:rPr>
          <w:sz w:val="20"/>
          <w:szCs w:val="20"/>
          <w:color w:val="auto"/>
        </w:rPr>
      </w:pPr>
    </w:p>
    <w:p>
      <w:pPr>
        <w:jc w:val="both"/>
        <w:ind w:left="360" w:right="160" w:firstLine="215"/>
        <w:spacing w:after="0" w:line="264"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8"/>
          <w:szCs w:val="18"/>
          <w:color w:val="auto"/>
        </w:rPr>
      </w:pPr>
    </w:p>
    <w:p>
      <w:pPr>
        <w:ind w:left="360" w:right="20" w:firstLine="215"/>
        <w:spacing w:after="0" w:line="277"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29" w:lineRule="exact"/>
        <w:rPr>
          <w:rFonts w:ascii="Arial" w:cs="Arial" w:eastAsia="Arial" w:hAnsi="Arial"/>
          <w:sz w:val="18"/>
          <w:szCs w:val="18"/>
          <w:color w:val="auto"/>
        </w:rPr>
      </w:pPr>
    </w:p>
    <w:p>
      <w:pPr>
        <w:ind w:right="180" w:firstLine="233"/>
        <w:spacing w:after="0" w:line="257" w:lineRule="auto"/>
        <w:tabs>
          <w:tab w:leader="none" w:pos="4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47" w:lineRule="exact"/>
        <w:rPr>
          <w:rFonts w:ascii="Arial" w:cs="Arial" w:eastAsia="Arial" w:hAnsi="Arial"/>
          <w:sz w:val="18"/>
          <w:szCs w:val="18"/>
          <w:color w:val="auto"/>
        </w:rPr>
      </w:pPr>
    </w:p>
    <w:p>
      <w:pPr>
        <w:ind w:right="180" w:firstLine="233"/>
        <w:spacing w:after="0" w:line="291" w:lineRule="auto"/>
        <w:tabs>
          <w:tab w:leader="none" w:pos="47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0" w:lineRule="exact"/>
        <w:rPr>
          <w:rFonts w:ascii="Arial" w:cs="Arial" w:eastAsia="Arial" w:hAnsi="Arial"/>
          <w:sz w:val="16"/>
          <w:szCs w:val="16"/>
          <w:color w:val="auto"/>
        </w:rPr>
      </w:pPr>
    </w:p>
    <w:p>
      <w:pPr>
        <w:ind w:right="220" w:firstLine="233"/>
        <w:spacing w:after="0" w:line="342" w:lineRule="auto"/>
        <w:tabs>
          <w:tab w:leader="none" w:pos="47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equally prompt means. This includes information contained in documents filed subsequent to the effective date of the registrations statement through the date of responding to the request.</w:t>
      </w:r>
    </w:p>
    <w:p>
      <w:pPr>
        <w:spacing w:after="0" w:line="143" w:lineRule="exact"/>
        <w:rPr>
          <w:sz w:val="20"/>
          <w:szCs w:val="20"/>
          <w:color w:val="auto"/>
        </w:rPr>
      </w:pPr>
    </w:p>
    <w:p>
      <w:pPr>
        <w:ind w:right="440" w:firstLine="233"/>
        <w:spacing w:after="0" w:line="308" w:lineRule="auto"/>
        <w:tabs>
          <w:tab w:leader="none" w:pos="46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06" w:lineRule="exact"/>
        <w:rPr>
          <w:rFonts w:ascii="Arial" w:cs="Arial" w:eastAsia="Arial" w:hAnsi="Arial"/>
          <w:sz w:val="17"/>
          <w:szCs w:val="17"/>
          <w:color w:val="auto"/>
        </w:rPr>
      </w:pPr>
    </w:p>
    <w:p>
      <w:pPr>
        <w:jc w:val="both"/>
        <w:ind w:firstLine="233"/>
        <w:spacing w:after="0" w:line="259" w:lineRule="auto"/>
        <w:tabs>
          <w:tab w:leader="none" w:pos="4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prior to any public reoffering of the securities registered hereunder through use of a prospectus which is part of this registration statement, by any person or party who is deemed to be an underwriter within the meaning of Rule 145(c),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46" w:lineRule="exact"/>
        <w:rPr>
          <w:rFonts w:ascii="Arial" w:cs="Arial" w:eastAsia="Arial" w:hAnsi="Arial"/>
          <w:sz w:val="18"/>
          <w:szCs w:val="18"/>
          <w:color w:val="auto"/>
        </w:rPr>
      </w:pPr>
    </w:p>
    <w:p>
      <w:pPr>
        <w:ind w:right="120" w:firstLine="233"/>
        <w:spacing w:after="0" w:line="276" w:lineRule="auto"/>
        <w:tabs>
          <w:tab w:leader="none" w:pos="47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undersigned registrant undertakes that every prospectus that (i) is filed pursuant to the immediately preceding paragraph, or (ii) purports to meet the requirements of section 10(a)(3) of the Securities Act and is used in connection with an offering of securities subject to Rule 415, will be filed as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80" w:firstLine="225"/>
        <w:spacing w:after="0" w:line="280"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Houston, State of Texas, on the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2004.</w:t>
      </w:r>
    </w:p>
    <w:p>
      <w:pPr>
        <w:spacing w:after="0" w:line="21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720" w:type="dxa"/>
            <w:vAlign w:val="bottom"/>
            <w:gridSpan w:val="2"/>
          </w:tcPr>
          <w:p>
            <w:pPr>
              <w:spacing w:after="0"/>
              <w:rPr>
                <w:sz w:val="20"/>
                <w:szCs w:val="20"/>
                <w:color w:val="auto"/>
              </w:rPr>
            </w:pPr>
            <w:r>
              <w:rPr>
                <w:rFonts w:ascii="Arial" w:cs="Arial" w:eastAsia="Arial" w:hAnsi="Arial"/>
                <w:sz w:val="18"/>
                <w:szCs w:val="18"/>
                <w:color w:val="auto"/>
              </w:rPr>
              <w:t>/s/ David P. Steiner</w:t>
            </w:r>
          </w:p>
        </w:tc>
      </w:tr>
      <w:tr>
        <w:trPr>
          <w:trHeight w:val="95"/>
        </w:trPr>
        <w:tc>
          <w:tcPr>
            <w:tcW w:w="62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30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1720" w:type="dxa"/>
            <w:vAlign w:val="bottom"/>
            <w:gridSpan w:val="2"/>
          </w:tcPr>
          <w:p>
            <w:pPr>
              <w:spacing w:after="0"/>
              <w:rPr>
                <w:sz w:val="20"/>
                <w:szCs w:val="20"/>
                <w:color w:val="auto"/>
              </w:rPr>
            </w:pPr>
            <w:r>
              <w:rPr>
                <w:rFonts w:ascii="Arial" w:cs="Arial" w:eastAsia="Arial" w:hAnsi="Arial"/>
                <w:sz w:val="18"/>
                <w:szCs w:val="18"/>
                <w:color w:val="auto"/>
              </w:rPr>
              <w:t>David P. Steiner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1720" w:type="dxa"/>
            <w:vAlign w:val="bottom"/>
            <w:gridSpan w:val="2"/>
          </w:tcPr>
          <w:p>
            <w:pPr>
              <w:spacing w:after="0"/>
              <w:rPr>
                <w:sz w:val="20"/>
                <w:szCs w:val="20"/>
                <w:color w:val="auto"/>
              </w:rPr>
            </w:pPr>
            <w:r>
              <w:rPr>
                <w:rFonts w:ascii="Arial" w:cs="Arial" w:eastAsia="Arial" w:hAnsi="Arial"/>
                <w:sz w:val="18"/>
                <w:szCs w:val="18"/>
                <w:color w:val="auto"/>
                <w:w w:val="92"/>
              </w:rPr>
              <w:t>Chief Executive Officer</w:t>
            </w:r>
          </w:p>
        </w:tc>
      </w:tr>
    </w:tbl>
    <w:p>
      <w:pPr>
        <w:spacing w:after="0" w:line="157"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each person whose signature appears below constitutes and appoints David P. Steiner and Rick L</w:t>
      </w:r>
      <w:r>
        <w:rPr>
          <w:rFonts w:ascii="Arial" w:cs="Arial" w:eastAsia="Arial" w:hAnsi="Arial"/>
          <w:sz w:val="17"/>
          <w:szCs w:val="17"/>
          <w:b w:val="1"/>
          <w:bCs w:val="1"/>
          <w:color w:val="auto"/>
        </w:rPr>
        <w:t xml:space="preserve"> </w:t>
      </w:r>
      <w:r>
        <w:rPr>
          <w:rFonts w:ascii="Arial" w:cs="Arial" w:eastAsia="Arial" w:hAnsi="Arial"/>
          <w:sz w:val="17"/>
          <w:szCs w:val="17"/>
          <w:color w:val="auto"/>
        </w:rPr>
        <w:t>Wittenbraker, and each of them, his true and lawful attorneys-in-fact and agents, with full power of substitution and resubstitution for him and in his name, place and stead, in any and all capacities, to sign, execute and file this registration statement under the Securities Act and any and all amendments (including, without limitation, post-effective amendments and any amendment or amendments or additional registration statements filed pursuant to Rule 462 under the Securities Act increasing the amount of securities for which registration is being sought) to this registration statement, and to file the same, with all exhibits thereto, and all other documents necessary or advisable to comply with the applicable state securities laws, and to file the same, together with other documents in connection therewith, with the appropriate state securities authorities,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55"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580" w:type="dxa"/>
            <w:vAlign w:val="bottom"/>
          </w:tcPr>
          <w:p>
            <w:pPr>
              <w:spacing w:after="0"/>
              <w:rPr>
                <w:sz w:val="16"/>
                <w:szCs w:val="16"/>
                <w:color w:val="auto"/>
              </w:rPr>
            </w:pPr>
          </w:p>
        </w:tc>
        <w:tc>
          <w:tcPr>
            <w:tcW w:w="492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560" w:type="dxa"/>
            <w:vAlign w:val="bottom"/>
          </w:tcPr>
          <w:p>
            <w:pPr>
              <w:spacing w:after="0"/>
              <w:rPr>
                <w:sz w:val="16"/>
                <w:szCs w:val="16"/>
                <w:color w:val="auto"/>
              </w:rPr>
            </w:pPr>
          </w:p>
        </w:tc>
        <w:tc>
          <w:tcPr>
            <w:tcW w:w="1240" w:type="dxa"/>
            <w:vAlign w:val="bottom"/>
          </w:tcPr>
          <w:p>
            <w:pPr>
              <w:ind w:left="4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3"/>
        </w:trPr>
        <w:tc>
          <w:tcPr>
            <w:tcW w:w="41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492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120" w:type="dxa"/>
            <w:vAlign w:val="bottom"/>
          </w:tcPr>
          <w:p>
            <w:pPr>
              <w:jc w:val="center"/>
              <w:spacing w:after="0"/>
              <w:rPr>
                <w:sz w:val="20"/>
                <w:szCs w:val="20"/>
                <w:color w:val="auto"/>
              </w:rPr>
            </w:pPr>
            <w:r>
              <w:rPr>
                <w:rFonts w:ascii="Arial" w:cs="Arial" w:eastAsia="Arial" w:hAnsi="Arial"/>
                <w:sz w:val="18"/>
                <w:szCs w:val="18"/>
                <w:color w:val="auto"/>
                <w:w w:val="89"/>
              </w:rPr>
              <w:t>/s/ David P, Steiner</w:t>
            </w:r>
          </w:p>
        </w:tc>
        <w:tc>
          <w:tcPr>
            <w:tcW w:w="58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Chief Executive Officer and</w:t>
            </w:r>
          </w:p>
        </w:tc>
        <w:tc>
          <w:tcPr>
            <w:tcW w:w="1800" w:type="dxa"/>
            <w:vAlign w:val="bottom"/>
            <w:gridSpan w:val="2"/>
          </w:tcPr>
          <w:p>
            <w:pPr>
              <w:ind w:left="560"/>
              <w:spacing w:after="0"/>
              <w:rPr>
                <w:sz w:val="20"/>
                <w:szCs w:val="20"/>
                <w:color w:val="auto"/>
              </w:rPr>
            </w:pPr>
            <w:r>
              <w:rPr>
                <w:rFonts w:ascii="Arial" w:cs="Arial" w:eastAsia="Arial" w:hAnsi="Arial"/>
                <w:sz w:val="18"/>
                <w:szCs w:val="18"/>
                <w:color w:val="auto"/>
              </w:rPr>
              <w:t>May 25, 2004</w:t>
            </w:r>
          </w:p>
        </w:tc>
        <w:tc>
          <w:tcPr>
            <w:tcW w:w="0" w:type="dxa"/>
            <w:vAlign w:val="bottom"/>
          </w:tcPr>
          <w:p>
            <w:pPr>
              <w:spacing w:after="0"/>
              <w:rPr>
                <w:sz w:val="1"/>
                <w:szCs w:val="1"/>
                <w:color w:val="auto"/>
              </w:rPr>
            </w:pPr>
          </w:p>
        </w:tc>
      </w:tr>
      <w:tr>
        <w:trPr>
          <w:trHeight w:val="109"/>
        </w:trPr>
        <w:tc>
          <w:tcPr>
            <w:tcW w:w="41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9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5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0"/>
              </w:rPr>
              <w:t>David P. Steiner</w:t>
            </w:r>
          </w:p>
        </w:tc>
        <w:tc>
          <w:tcPr>
            <w:tcW w:w="580" w:type="dxa"/>
            <w:vAlign w:val="bottom"/>
          </w:tcPr>
          <w:p>
            <w:pPr>
              <w:spacing w:after="0"/>
              <w:rPr>
                <w:sz w:val="7"/>
                <w:szCs w:val="7"/>
                <w:color w:val="auto"/>
              </w:rPr>
            </w:pPr>
          </w:p>
        </w:tc>
        <w:tc>
          <w:tcPr>
            <w:tcW w:w="49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2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90"/>
              </w:rPr>
              <w:t>/s/ Robert G. Simpson</w:t>
            </w:r>
          </w:p>
        </w:tc>
        <w:tc>
          <w:tcPr>
            <w:tcW w:w="58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0"/>
              </w:rPr>
              <w:t>Senior Vice President and</w:t>
            </w:r>
          </w:p>
        </w:tc>
        <w:tc>
          <w:tcPr>
            <w:tcW w:w="1800" w:type="dxa"/>
            <w:vAlign w:val="bottom"/>
            <w:gridSpan w:val="2"/>
          </w:tcPr>
          <w:p>
            <w:pPr>
              <w:ind w:left="560"/>
              <w:spacing w:after="0"/>
              <w:rPr>
                <w:sz w:val="20"/>
                <w:szCs w:val="20"/>
                <w:color w:val="auto"/>
              </w:rPr>
            </w:pPr>
            <w:r>
              <w:rPr>
                <w:rFonts w:ascii="Arial" w:cs="Arial" w:eastAsia="Arial" w:hAnsi="Arial"/>
                <w:sz w:val="18"/>
                <w:szCs w:val="18"/>
                <w:color w:val="auto"/>
              </w:rPr>
              <w:t>May 25, 2004</w:t>
            </w:r>
          </w:p>
        </w:tc>
        <w:tc>
          <w:tcPr>
            <w:tcW w:w="0" w:type="dxa"/>
            <w:vAlign w:val="bottom"/>
          </w:tcPr>
          <w:p>
            <w:pPr>
              <w:spacing w:after="0"/>
              <w:rPr>
                <w:sz w:val="1"/>
                <w:szCs w:val="1"/>
                <w:color w:val="auto"/>
              </w:rPr>
            </w:pPr>
          </w:p>
        </w:tc>
      </w:tr>
      <w:tr>
        <w:trPr>
          <w:trHeight w:val="109"/>
        </w:trPr>
        <w:tc>
          <w:tcPr>
            <w:tcW w:w="41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920" w:type="dxa"/>
            <w:vAlign w:val="bottom"/>
            <w:vMerge w:val="restart"/>
          </w:tcPr>
          <w:p>
            <w:pPr>
              <w:jc w:val="center"/>
              <w:spacing w:after="0"/>
              <w:rPr>
                <w:sz w:val="20"/>
                <w:szCs w:val="20"/>
                <w:color w:val="auto"/>
              </w:rPr>
            </w:pPr>
            <w:r>
              <w:rPr>
                <w:rFonts w:ascii="Arial" w:cs="Arial" w:eastAsia="Arial" w:hAnsi="Arial"/>
                <w:sz w:val="18"/>
                <w:szCs w:val="18"/>
                <w:color w:val="auto"/>
                <w:w w:val="94"/>
              </w:rPr>
              <w:t>Chief Financial Officer</w:t>
            </w:r>
          </w:p>
        </w:tc>
        <w:tc>
          <w:tcPr>
            <w:tcW w:w="5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0"/>
              </w:rPr>
              <w:t>Robert G. Simpson</w:t>
            </w:r>
          </w:p>
        </w:tc>
        <w:tc>
          <w:tcPr>
            <w:tcW w:w="580" w:type="dxa"/>
            <w:vAlign w:val="bottom"/>
          </w:tcPr>
          <w:p>
            <w:pPr>
              <w:spacing w:after="0"/>
              <w:rPr>
                <w:sz w:val="7"/>
                <w:szCs w:val="7"/>
                <w:color w:val="auto"/>
              </w:rPr>
            </w:pPr>
          </w:p>
        </w:tc>
        <w:tc>
          <w:tcPr>
            <w:tcW w:w="49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580" w:type="dxa"/>
            <w:vAlign w:val="bottom"/>
          </w:tcPr>
          <w:p>
            <w:pPr>
              <w:spacing w:after="0"/>
              <w:rPr>
                <w:sz w:val="16"/>
                <w:szCs w:val="16"/>
                <w:color w:val="auto"/>
              </w:rPr>
            </w:pPr>
          </w:p>
        </w:tc>
        <w:tc>
          <w:tcPr>
            <w:tcW w:w="492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560" w:type="dxa"/>
            <w:vAlign w:val="bottom"/>
          </w:tcPr>
          <w:p>
            <w:pPr>
              <w:spacing w:after="0"/>
              <w:rPr>
                <w:sz w:val="16"/>
                <w:szCs w:val="16"/>
                <w:color w:val="auto"/>
              </w:rPr>
            </w:pPr>
          </w:p>
        </w:tc>
        <w:tc>
          <w:tcPr>
            <w:tcW w:w="1240" w:type="dxa"/>
            <w:vAlign w:val="bottom"/>
          </w:tcPr>
          <w:p>
            <w:pPr>
              <w:ind w:left="4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66"/>
        </w:trPr>
        <w:tc>
          <w:tcPr>
            <w:tcW w:w="41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492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120" w:type="dxa"/>
            <w:vAlign w:val="bottom"/>
          </w:tcPr>
          <w:p>
            <w:pPr>
              <w:jc w:val="center"/>
              <w:spacing w:after="0"/>
              <w:rPr>
                <w:sz w:val="20"/>
                <w:szCs w:val="20"/>
                <w:color w:val="auto"/>
              </w:rPr>
            </w:pPr>
            <w:r>
              <w:rPr>
                <w:rFonts w:ascii="Arial" w:cs="Arial" w:eastAsia="Arial" w:hAnsi="Arial"/>
                <w:sz w:val="18"/>
                <w:szCs w:val="18"/>
                <w:color w:val="auto"/>
                <w:w w:val="90"/>
              </w:rPr>
              <w:t>/s/ Greg A. Robertson</w:t>
            </w:r>
          </w:p>
        </w:tc>
        <w:tc>
          <w:tcPr>
            <w:tcW w:w="580" w:type="dxa"/>
            <w:vAlign w:val="bottom"/>
          </w:tcPr>
          <w:p>
            <w:pPr>
              <w:spacing w:after="0"/>
              <w:rPr>
                <w:sz w:val="22"/>
                <w:szCs w:val="22"/>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0"/>
              </w:rPr>
              <w:t>Vice President and Chief</w:t>
            </w:r>
          </w:p>
        </w:tc>
        <w:tc>
          <w:tcPr>
            <w:tcW w:w="1800" w:type="dxa"/>
            <w:vAlign w:val="bottom"/>
            <w:gridSpan w:val="2"/>
          </w:tcPr>
          <w:p>
            <w:pPr>
              <w:ind w:left="560"/>
              <w:spacing w:after="0"/>
              <w:rPr>
                <w:sz w:val="20"/>
                <w:szCs w:val="20"/>
                <w:color w:val="auto"/>
              </w:rPr>
            </w:pPr>
            <w:r>
              <w:rPr>
                <w:rFonts w:ascii="Arial" w:cs="Arial" w:eastAsia="Arial" w:hAnsi="Arial"/>
                <w:sz w:val="18"/>
                <w:szCs w:val="18"/>
                <w:color w:val="auto"/>
              </w:rPr>
              <w:t>May 25, 2004</w:t>
            </w:r>
          </w:p>
        </w:tc>
        <w:tc>
          <w:tcPr>
            <w:tcW w:w="0" w:type="dxa"/>
            <w:vAlign w:val="bottom"/>
          </w:tcPr>
          <w:p>
            <w:pPr>
              <w:spacing w:after="0"/>
              <w:rPr>
                <w:sz w:val="1"/>
                <w:szCs w:val="1"/>
                <w:color w:val="auto"/>
              </w:rPr>
            </w:pPr>
          </w:p>
        </w:tc>
      </w:tr>
      <w:tr>
        <w:trPr>
          <w:trHeight w:val="109"/>
        </w:trPr>
        <w:tc>
          <w:tcPr>
            <w:tcW w:w="41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920" w:type="dxa"/>
            <w:vAlign w:val="bottom"/>
            <w:vMerge w:val="restart"/>
          </w:tcPr>
          <w:p>
            <w:pPr>
              <w:jc w:val="center"/>
              <w:spacing w:after="0"/>
              <w:rPr>
                <w:sz w:val="20"/>
                <w:szCs w:val="20"/>
                <w:color w:val="auto"/>
              </w:rPr>
            </w:pPr>
            <w:r>
              <w:rPr>
                <w:rFonts w:ascii="Arial" w:cs="Arial" w:eastAsia="Arial" w:hAnsi="Arial"/>
                <w:sz w:val="18"/>
                <w:szCs w:val="18"/>
                <w:color w:val="auto"/>
                <w:w w:val="95"/>
              </w:rPr>
              <w:t>Accounting Officer</w:t>
            </w:r>
          </w:p>
        </w:tc>
        <w:tc>
          <w:tcPr>
            <w:tcW w:w="5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1"/>
              </w:rPr>
              <w:t>Greg A. Robertson</w:t>
            </w:r>
          </w:p>
        </w:tc>
        <w:tc>
          <w:tcPr>
            <w:tcW w:w="580" w:type="dxa"/>
            <w:vAlign w:val="bottom"/>
          </w:tcPr>
          <w:p>
            <w:pPr>
              <w:spacing w:after="0"/>
              <w:rPr>
                <w:sz w:val="7"/>
                <w:szCs w:val="7"/>
                <w:color w:val="auto"/>
              </w:rPr>
            </w:pPr>
          </w:p>
        </w:tc>
        <w:tc>
          <w:tcPr>
            <w:tcW w:w="49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2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3"/>
              </w:rPr>
              <w:t>/s/ A. Maurice Myers</w:t>
            </w:r>
          </w:p>
        </w:tc>
        <w:tc>
          <w:tcPr>
            <w:tcW w:w="5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1"/>
              </w:rPr>
              <w:t>Chairman of the Board and Director</w:t>
            </w:r>
          </w:p>
        </w:tc>
        <w:tc>
          <w:tcPr>
            <w:tcW w:w="1800" w:type="dxa"/>
            <w:vAlign w:val="bottom"/>
            <w:gridSpan w:val="2"/>
          </w:tcPr>
          <w:p>
            <w:pPr>
              <w:ind w:left="560"/>
              <w:spacing w:after="0"/>
              <w:rPr>
                <w:sz w:val="20"/>
                <w:szCs w:val="20"/>
                <w:color w:val="auto"/>
              </w:rPr>
            </w:pPr>
            <w:r>
              <w:rPr>
                <w:rFonts w:ascii="Arial" w:cs="Arial" w:eastAsia="Arial" w:hAnsi="Arial"/>
                <w:sz w:val="18"/>
                <w:szCs w:val="18"/>
                <w:color w:val="auto"/>
              </w:rPr>
              <w:t>May 25, 2004</w:t>
            </w:r>
          </w:p>
        </w:tc>
        <w:tc>
          <w:tcPr>
            <w:tcW w:w="0" w:type="dxa"/>
            <w:vAlign w:val="bottom"/>
          </w:tcPr>
          <w:p>
            <w:pPr>
              <w:spacing w:after="0"/>
              <w:rPr>
                <w:sz w:val="1"/>
                <w:szCs w:val="1"/>
                <w:color w:val="auto"/>
              </w:rPr>
            </w:pPr>
          </w:p>
        </w:tc>
      </w:tr>
      <w:tr>
        <w:trPr>
          <w:trHeight w:val="95"/>
        </w:trPr>
        <w:tc>
          <w:tcPr>
            <w:tcW w:w="41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4120" w:type="dxa"/>
            <w:vAlign w:val="bottom"/>
          </w:tcPr>
          <w:p>
            <w:pPr>
              <w:jc w:val="center"/>
              <w:spacing w:after="0"/>
              <w:rPr>
                <w:sz w:val="20"/>
                <w:szCs w:val="20"/>
                <w:color w:val="auto"/>
              </w:rPr>
            </w:pPr>
            <w:r>
              <w:rPr>
                <w:rFonts w:ascii="Arial" w:cs="Arial" w:eastAsia="Arial" w:hAnsi="Arial"/>
                <w:sz w:val="18"/>
                <w:szCs w:val="18"/>
                <w:color w:val="auto"/>
                <w:w w:val="94"/>
              </w:rPr>
              <w:t>A. Maurice Myers</w:t>
            </w:r>
          </w:p>
        </w:tc>
        <w:tc>
          <w:tcPr>
            <w:tcW w:w="580" w:type="dxa"/>
            <w:vAlign w:val="bottom"/>
          </w:tcPr>
          <w:p>
            <w:pPr>
              <w:spacing w:after="0"/>
              <w:rPr>
                <w:sz w:val="24"/>
                <w:szCs w:val="24"/>
                <w:color w:val="auto"/>
              </w:rPr>
            </w:pPr>
          </w:p>
        </w:tc>
        <w:tc>
          <w:tcPr>
            <w:tcW w:w="49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1800" w:type="dxa"/>
            <w:vAlign w:val="bottom"/>
            <w:gridSpan w:val="2"/>
            <w:vMerge w:val="restart"/>
          </w:tcPr>
          <w:p>
            <w:pPr>
              <w:ind w:left="560"/>
              <w:spacing w:after="0"/>
              <w:rPr>
                <w:sz w:val="20"/>
                <w:szCs w:val="20"/>
                <w:color w:val="auto"/>
              </w:rPr>
            </w:pPr>
            <w:r>
              <w:rPr>
                <w:rFonts w:ascii="Arial" w:cs="Arial" w:eastAsia="Arial" w:hAnsi="Arial"/>
                <w:sz w:val="18"/>
                <w:szCs w:val="18"/>
                <w:color w:val="auto"/>
              </w:rPr>
              <w:t>May 25, 2004</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20" w:type="dxa"/>
            <w:vAlign w:val="bottom"/>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1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4120" w:type="dxa"/>
            <w:vAlign w:val="bottom"/>
          </w:tcPr>
          <w:p>
            <w:pPr>
              <w:jc w:val="center"/>
              <w:spacing w:after="0"/>
              <w:rPr>
                <w:sz w:val="20"/>
                <w:szCs w:val="20"/>
                <w:color w:val="auto"/>
              </w:rPr>
            </w:pPr>
            <w:r>
              <w:rPr>
                <w:rFonts w:ascii="Arial" w:cs="Arial" w:eastAsia="Arial" w:hAnsi="Arial"/>
                <w:sz w:val="18"/>
                <w:szCs w:val="18"/>
                <w:color w:val="auto"/>
                <w:w w:val="88"/>
              </w:rPr>
              <w:t>Pastora San Juan Cafferty</w:t>
            </w:r>
          </w:p>
        </w:tc>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1"/>
              </w:rPr>
              <w:t>/s/ Frank M. Clark, Jr.</w:t>
            </w:r>
          </w:p>
        </w:tc>
        <w:tc>
          <w:tcPr>
            <w:tcW w:w="5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00" w:type="dxa"/>
            <w:vAlign w:val="bottom"/>
            <w:gridSpan w:val="2"/>
          </w:tcPr>
          <w:p>
            <w:pPr>
              <w:ind w:left="560"/>
              <w:spacing w:after="0"/>
              <w:rPr>
                <w:sz w:val="20"/>
                <w:szCs w:val="20"/>
                <w:color w:val="auto"/>
              </w:rPr>
            </w:pPr>
            <w:r>
              <w:rPr>
                <w:rFonts w:ascii="Arial" w:cs="Arial" w:eastAsia="Arial" w:hAnsi="Arial"/>
                <w:sz w:val="18"/>
                <w:szCs w:val="18"/>
                <w:color w:val="auto"/>
              </w:rPr>
              <w:t>May 25, 2004</w:t>
            </w:r>
          </w:p>
        </w:tc>
        <w:tc>
          <w:tcPr>
            <w:tcW w:w="0" w:type="dxa"/>
            <w:vAlign w:val="bottom"/>
          </w:tcPr>
          <w:p>
            <w:pPr>
              <w:spacing w:after="0"/>
              <w:rPr>
                <w:sz w:val="1"/>
                <w:szCs w:val="1"/>
                <w:color w:val="auto"/>
              </w:rPr>
            </w:pPr>
          </w:p>
        </w:tc>
      </w:tr>
      <w:tr>
        <w:trPr>
          <w:trHeight w:val="95"/>
        </w:trPr>
        <w:tc>
          <w:tcPr>
            <w:tcW w:w="41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4120" w:type="dxa"/>
            <w:vAlign w:val="bottom"/>
          </w:tcPr>
          <w:p>
            <w:pPr>
              <w:jc w:val="center"/>
              <w:spacing w:after="0"/>
              <w:rPr>
                <w:sz w:val="20"/>
                <w:szCs w:val="20"/>
                <w:color w:val="auto"/>
              </w:rPr>
            </w:pPr>
            <w:r>
              <w:rPr>
                <w:rFonts w:ascii="Arial" w:cs="Arial" w:eastAsia="Arial" w:hAnsi="Arial"/>
                <w:sz w:val="18"/>
                <w:szCs w:val="18"/>
                <w:color w:val="auto"/>
                <w:w w:val="93"/>
              </w:rPr>
              <w:t>Frank M. Clark, Jr.</w:t>
            </w:r>
          </w:p>
        </w:tc>
        <w:tc>
          <w:tcPr>
            <w:tcW w:w="580" w:type="dxa"/>
            <w:vAlign w:val="bottom"/>
          </w:tcPr>
          <w:p>
            <w:pPr>
              <w:spacing w:after="0"/>
              <w:rPr>
                <w:sz w:val="24"/>
                <w:szCs w:val="24"/>
                <w:color w:val="auto"/>
              </w:rPr>
            </w:pPr>
          </w:p>
        </w:tc>
        <w:tc>
          <w:tcPr>
            <w:tcW w:w="49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1800" w:type="dxa"/>
            <w:vAlign w:val="bottom"/>
            <w:gridSpan w:val="2"/>
            <w:vMerge w:val="restart"/>
          </w:tcPr>
          <w:p>
            <w:pPr>
              <w:ind w:left="560"/>
              <w:spacing w:after="0"/>
              <w:rPr>
                <w:sz w:val="20"/>
                <w:szCs w:val="20"/>
                <w:color w:val="auto"/>
              </w:rPr>
            </w:pPr>
            <w:r>
              <w:rPr>
                <w:rFonts w:ascii="Arial" w:cs="Arial" w:eastAsia="Arial" w:hAnsi="Arial"/>
                <w:sz w:val="18"/>
                <w:szCs w:val="18"/>
                <w:color w:val="auto"/>
              </w:rPr>
              <w:t>May 25, 2004</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20" w:type="dxa"/>
            <w:vAlign w:val="bottom"/>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1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4120" w:type="dxa"/>
            <w:vAlign w:val="bottom"/>
          </w:tcPr>
          <w:p>
            <w:pPr>
              <w:jc w:val="center"/>
              <w:spacing w:after="0"/>
              <w:rPr>
                <w:sz w:val="20"/>
                <w:szCs w:val="20"/>
                <w:color w:val="auto"/>
              </w:rPr>
            </w:pPr>
            <w:r>
              <w:rPr>
                <w:rFonts w:ascii="Arial" w:cs="Arial" w:eastAsia="Arial" w:hAnsi="Arial"/>
                <w:sz w:val="18"/>
                <w:szCs w:val="18"/>
                <w:color w:val="auto"/>
                <w:w w:val="95"/>
              </w:rPr>
              <w:t>Robert S. Miller</w:t>
            </w:r>
          </w:p>
        </w:tc>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88"/>
              </w:rPr>
              <w:t>/s/ John C. Pope</w:t>
            </w:r>
          </w:p>
        </w:tc>
        <w:tc>
          <w:tcPr>
            <w:tcW w:w="5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00" w:type="dxa"/>
            <w:vAlign w:val="bottom"/>
            <w:gridSpan w:val="2"/>
          </w:tcPr>
          <w:p>
            <w:pPr>
              <w:ind w:left="560"/>
              <w:spacing w:after="0"/>
              <w:rPr>
                <w:sz w:val="20"/>
                <w:szCs w:val="20"/>
                <w:color w:val="auto"/>
              </w:rPr>
            </w:pPr>
            <w:r>
              <w:rPr>
                <w:rFonts w:ascii="Arial" w:cs="Arial" w:eastAsia="Arial" w:hAnsi="Arial"/>
                <w:sz w:val="18"/>
                <w:szCs w:val="18"/>
                <w:color w:val="auto"/>
              </w:rPr>
              <w:t>May 25, 2004</w:t>
            </w:r>
          </w:p>
        </w:tc>
        <w:tc>
          <w:tcPr>
            <w:tcW w:w="0" w:type="dxa"/>
            <w:vAlign w:val="bottom"/>
          </w:tcPr>
          <w:p>
            <w:pPr>
              <w:spacing w:after="0"/>
              <w:rPr>
                <w:sz w:val="1"/>
                <w:szCs w:val="1"/>
                <w:color w:val="auto"/>
              </w:rPr>
            </w:pPr>
          </w:p>
        </w:tc>
      </w:tr>
      <w:tr>
        <w:trPr>
          <w:trHeight w:val="95"/>
        </w:trPr>
        <w:tc>
          <w:tcPr>
            <w:tcW w:w="41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4120" w:type="dxa"/>
            <w:vAlign w:val="bottom"/>
          </w:tcPr>
          <w:p>
            <w:pPr>
              <w:jc w:val="center"/>
              <w:spacing w:after="0"/>
              <w:rPr>
                <w:sz w:val="20"/>
                <w:szCs w:val="20"/>
                <w:color w:val="auto"/>
              </w:rPr>
            </w:pPr>
            <w:r>
              <w:rPr>
                <w:rFonts w:ascii="Arial" w:cs="Arial" w:eastAsia="Arial" w:hAnsi="Arial"/>
                <w:sz w:val="18"/>
                <w:szCs w:val="18"/>
                <w:color w:val="auto"/>
                <w:w w:val="86"/>
              </w:rPr>
              <w:t>John C. Pope</w:t>
            </w:r>
          </w:p>
        </w:tc>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89"/>
              </w:rPr>
              <w:t>/s/ W. Robert Reum</w:t>
            </w:r>
          </w:p>
        </w:tc>
        <w:tc>
          <w:tcPr>
            <w:tcW w:w="5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00" w:type="dxa"/>
            <w:vAlign w:val="bottom"/>
            <w:gridSpan w:val="2"/>
          </w:tcPr>
          <w:p>
            <w:pPr>
              <w:ind w:left="560"/>
              <w:spacing w:after="0"/>
              <w:rPr>
                <w:sz w:val="20"/>
                <w:szCs w:val="20"/>
                <w:color w:val="auto"/>
              </w:rPr>
            </w:pPr>
            <w:r>
              <w:rPr>
                <w:rFonts w:ascii="Arial" w:cs="Arial" w:eastAsia="Arial" w:hAnsi="Arial"/>
                <w:sz w:val="18"/>
                <w:szCs w:val="18"/>
                <w:color w:val="auto"/>
              </w:rPr>
              <w:t>May 25, 2004</w:t>
            </w:r>
          </w:p>
        </w:tc>
        <w:tc>
          <w:tcPr>
            <w:tcW w:w="0" w:type="dxa"/>
            <w:vAlign w:val="bottom"/>
          </w:tcPr>
          <w:p>
            <w:pPr>
              <w:spacing w:after="0"/>
              <w:rPr>
                <w:sz w:val="1"/>
                <w:szCs w:val="1"/>
                <w:color w:val="auto"/>
              </w:rPr>
            </w:pPr>
          </w:p>
        </w:tc>
      </w:tr>
      <w:tr>
        <w:trPr>
          <w:trHeight w:val="95"/>
        </w:trPr>
        <w:tc>
          <w:tcPr>
            <w:tcW w:w="41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4120" w:type="dxa"/>
            <w:vAlign w:val="bottom"/>
          </w:tcPr>
          <w:p>
            <w:pPr>
              <w:jc w:val="center"/>
              <w:spacing w:after="0"/>
              <w:rPr>
                <w:sz w:val="20"/>
                <w:szCs w:val="20"/>
                <w:color w:val="auto"/>
              </w:rPr>
            </w:pPr>
            <w:r>
              <w:rPr>
                <w:rFonts w:ascii="Arial" w:cs="Arial" w:eastAsia="Arial" w:hAnsi="Arial"/>
                <w:sz w:val="18"/>
                <w:szCs w:val="18"/>
                <w:color w:val="auto"/>
                <w:w w:val="90"/>
              </w:rPr>
              <w:t>W. Robert Reum</w:t>
            </w:r>
          </w:p>
        </w:tc>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0"/>
              </w:rPr>
              <w:t>/s/ Steven G. Rothmeier</w:t>
            </w:r>
          </w:p>
        </w:tc>
        <w:tc>
          <w:tcPr>
            <w:tcW w:w="5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00" w:type="dxa"/>
            <w:vAlign w:val="bottom"/>
            <w:gridSpan w:val="2"/>
          </w:tcPr>
          <w:p>
            <w:pPr>
              <w:ind w:left="560"/>
              <w:spacing w:after="0"/>
              <w:rPr>
                <w:sz w:val="20"/>
                <w:szCs w:val="20"/>
                <w:color w:val="auto"/>
              </w:rPr>
            </w:pPr>
            <w:r>
              <w:rPr>
                <w:rFonts w:ascii="Arial" w:cs="Arial" w:eastAsia="Arial" w:hAnsi="Arial"/>
                <w:sz w:val="18"/>
                <w:szCs w:val="18"/>
                <w:color w:val="auto"/>
              </w:rPr>
              <w:t>May 25, 2004</w:t>
            </w:r>
          </w:p>
        </w:tc>
        <w:tc>
          <w:tcPr>
            <w:tcW w:w="0" w:type="dxa"/>
            <w:vAlign w:val="bottom"/>
          </w:tcPr>
          <w:p>
            <w:pPr>
              <w:spacing w:after="0"/>
              <w:rPr>
                <w:sz w:val="1"/>
                <w:szCs w:val="1"/>
                <w:color w:val="auto"/>
              </w:rPr>
            </w:pPr>
          </w:p>
        </w:tc>
      </w:tr>
      <w:tr>
        <w:trPr>
          <w:trHeight w:val="95"/>
        </w:trPr>
        <w:tc>
          <w:tcPr>
            <w:tcW w:w="41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4120" w:type="dxa"/>
            <w:vAlign w:val="bottom"/>
          </w:tcPr>
          <w:p>
            <w:pPr>
              <w:jc w:val="center"/>
              <w:spacing w:after="0"/>
              <w:rPr>
                <w:sz w:val="20"/>
                <w:szCs w:val="20"/>
                <w:color w:val="auto"/>
              </w:rPr>
            </w:pPr>
            <w:r>
              <w:rPr>
                <w:rFonts w:ascii="Arial" w:cs="Arial" w:eastAsia="Arial" w:hAnsi="Arial"/>
                <w:sz w:val="18"/>
                <w:szCs w:val="18"/>
                <w:color w:val="auto"/>
                <w:w w:val="89"/>
              </w:rPr>
              <w:t>Steven G. Rothmeier</w:t>
            </w:r>
          </w:p>
        </w:tc>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0"/>
              </w:rPr>
              <w:t>/s/ Carl W. Vogt</w:t>
            </w:r>
          </w:p>
        </w:tc>
        <w:tc>
          <w:tcPr>
            <w:tcW w:w="5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00" w:type="dxa"/>
            <w:vAlign w:val="bottom"/>
            <w:gridSpan w:val="2"/>
          </w:tcPr>
          <w:p>
            <w:pPr>
              <w:ind w:left="560"/>
              <w:spacing w:after="0"/>
              <w:rPr>
                <w:sz w:val="20"/>
                <w:szCs w:val="20"/>
                <w:color w:val="auto"/>
              </w:rPr>
            </w:pPr>
            <w:r>
              <w:rPr>
                <w:rFonts w:ascii="Arial" w:cs="Arial" w:eastAsia="Arial" w:hAnsi="Arial"/>
                <w:sz w:val="18"/>
                <w:szCs w:val="18"/>
                <w:color w:val="auto"/>
              </w:rPr>
              <w:t>May 25, 2004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6155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Carl W. Vogt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940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r>
      <w:tr>
        <w:trPr>
          <w:trHeight w:val="539"/>
        </w:trPr>
        <w:tc>
          <w:tcPr>
            <w:tcW w:w="1480" w:type="dxa"/>
            <w:vAlign w:val="bottom"/>
          </w:tcPr>
          <w:p>
            <w:pPr>
              <w:spacing w:after="0"/>
              <w:rPr>
                <w:sz w:val="20"/>
                <w:szCs w:val="20"/>
                <w:color w:val="auto"/>
              </w:rPr>
            </w:pPr>
            <w:r>
              <w:rPr>
                <w:rFonts w:ascii="Arial" w:cs="Arial" w:eastAsia="Arial" w:hAnsi="Arial"/>
                <w:sz w:val="14"/>
                <w:szCs w:val="14"/>
                <w:b w:val="1"/>
                <w:bCs w:val="1"/>
                <w:color w:val="auto"/>
              </w:rPr>
              <w:t>Exhibit Number</w:t>
            </w:r>
          </w:p>
        </w:tc>
        <w:tc>
          <w:tcPr>
            <w:tcW w:w="9400" w:type="dxa"/>
            <w:vAlign w:val="bottom"/>
          </w:tcPr>
          <w:p>
            <w:pPr>
              <w:ind w:left="480"/>
              <w:spacing w:after="0"/>
              <w:rPr>
                <w:sz w:val="20"/>
                <w:szCs w:val="20"/>
                <w:color w:val="auto"/>
              </w:rPr>
            </w:pPr>
            <w:r>
              <w:rPr>
                <w:rFonts w:ascii="Arial" w:cs="Arial" w:eastAsia="Arial" w:hAnsi="Arial"/>
                <w:sz w:val="14"/>
                <w:szCs w:val="14"/>
                <w:b w:val="1"/>
                <w:bCs w:val="1"/>
                <w:color w:val="auto"/>
              </w:rPr>
              <w:t>Exhibit Description</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3.1</w:t>
            </w:r>
          </w:p>
        </w:tc>
        <w:tc>
          <w:tcPr>
            <w:tcW w:w="9400" w:type="dxa"/>
            <w:vAlign w:val="bottom"/>
          </w:tcPr>
          <w:p>
            <w:pPr>
              <w:ind w:left="480"/>
              <w:spacing w:after="0"/>
              <w:rPr>
                <w:sz w:val="20"/>
                <w:szCs w:val="20"/>
                <w:color w:val="auto"/>
              </w:rPr>
            </w:pPr>
            <w:r>
              <w:rPr>
                <w:rFonts w:ascii="Arial" w:cs="Arial" w:eastAsia="Arial" w:hAnsi="Arial"/>
                <w:sz w:val="18"/>
                <w:szCs w:val="18"/>
                <w:color w:val="auto"/>
                <w:w w:val="91"/>
              </w:rPr>
              <w:t>— Certificate of Incorporation (Incorporated by reference to Exhibit 3.1 to Form 10-Q for the quarter ended June 30, 2002).</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3.2</w:t>
            </w:r>
          </w:p>
        </w:tc>
        <w:tc>
          <w:tcPr>
            <w:tcW w:w="9400" w:type="dxa"/>
            <w:vAlign w:val="bottom"/>
          </w:tcPr>
          <w:p>
            <w:pPr>
              <w:ind w:left="480"/>
              <w:spacing w:after="0"/>
              <w:rPr>
                <w:sz w:val="20"/>
                <w:szCs w:val="20"/>
                <w:color w:val="auto"/>
              </w:rPr>
            </w:pPr>
            <w:r>
              <w:rPr>
                <w:rFonts w:ascii="Arial" w:cs="Arial" w:eastAsia="Arial" w:hAnsi="Arial"/>
                <w:sz w:val="18"/>
                <w:szCs w:val="18"/>
                <w:color w:val="auto"/>
              </w:rPr>
              <w:t>— Bylaws (Incorporated by reference to Exhibit 3.2 to Form 10-Q for the quarter ended June 30, 2002).</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5.1</w:t>
            </w:r>
          </w:p>
        </w:tc>
        <w:tc>
          <w:tcPr>
            <w:tcW w:w="9400" w:type="dxa"/>
            <w:vAlign w:val="bottom"/>
          </w:tcPr>
          <w:p>
            <w:pPr>
              <w:ind w:left="480"/>
              <w:spacing w:after="0"/>
              <w:rPr>
                <w:sz w:val="20"/>
                <w:szCs w:val="20"/>
                <w:color w:val="auto"/>
              </w:rPr>
            </w:pPr>
            <w:r>
              <w:rPr>
                <w:rFonts w:ascii="Arial" w:cs="Arial" w:eastAsia="Arial" w:hAnsi="Arial"/>
                <w:sz w:val="18"/>
                <w:szCs w:val="18"/>
                <w:color w:val="auto"/>
              </w:rPr>
              <w:t>— Opinion of John S. Tsai.</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23.1</w:t>
            </w:r>
          </w:p>
        </w:tc>
        <w:tc>
          <w:tcPr>
            <w:tcW w:w="9400" w:type="dxa"/>
            <w:vAlign w:val="bottom"/>
          </w:tcPr>
          <w:p>
            <w:pPr>
              <w:ind w:left="480"/>
              <w:spacing w:after="0"/>
              <w:rPr>
                <w:sz w:val="20"/>
                <w:szCs w:val="20"/>
                <w:color w:val="auto"/>
              </w:rPr>
            </w:pPr>
            <w:r>
              <w:rPr>
                <w:rFonts w:ascii="Arial" w:cs="Arial" w:eastAsia="Arial" w:hAnsi="Arial"/>
                <w:sz w:val="18"/>
                <w:szCs w:val="18"/>
                <w:color w:val="auto"/>
              </w:rPr>
              <w:t>— Consent of John S. Tsai (contained in Exhibit 5.1).</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23.2</w:t>
            </w:r>
          </w:p>
        </w:tc>
        <w:tc>
          <w:tcPr>
            <w:tcW w:w="9400" w:type="dxa"/>
            <w:vAlign w:val="bottom"/>
          </w:tcPr>
          <w:p>
            <w:pPr>
              <w:ind w:left="480"/>
              <w:spacing w:after="0"/>
              <w:rPr>
                <w:sz w:val="20"/>
                <w:szCs w:val="20"/>
                <w:color w:val="auto"/>
              </w:rPr>
            </w:pPr>
            <w:r>
              <w:rPr>
                <w:rFonts w:ascii="Arial" w:cs="Arial" w:eastAsia="Arial" w:hAnsi="Arial"/>
                <w:sz w:val="18"/>
                <w:szCs w:val="18"/>
                <w:color w:val="auto"/>
              </w:rPr>
              <w:t>— Consent of Ernst &amp; Young LLP.</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23.3</w:t>
            </w:r>
          </w:p>
        </w:tc>
        <w:tc>
          <w:tcPr>
            <w:tcW w:w="9400" w:type="dxa"/>
            <w:vAlign w:val="bottom"/>
          </w:tcPr>
          <w:p>
            <w:pPr>
              <w:ind w:left="480"/>
              <w:spacing w:after="0"/>
              <w:rPr>
                <w:sz w:val="20"/>
                <w:szCs w:val="20"/>
                <w:color w:val="auto"/>
              </w:rPr>
            </w:pPr>
            <w:r>
              <w:rPr>
                <w:rFonts w:ascii="Arial" w:cs="Arial" w:eastAsia="Arial" w:hAnsi="Arial"/>
                <w:sz w:val="18"/>
                <w:szCs w:val="18"/>
                <w:color w:val="auto"/>
              </w:rPr>
              <w:t>— Statement Concerning Consent of Arthur Andersen LLP.</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24</w:t>
            </w:r>
          </w:p>
        </w:tc>
        <w:tc>
          <w:tcPr>
            <w:tcW w:w="9400" w:type="dxa"/>
            <w:vAlign w:val="bottom"/>
          </w:tcPr>
          <w:p>
            <w:pPr>
              <w:ind w:left="480"/>
              <w:spacing w:after="0"/>
              <w:rPr>
                <w:sz w:val="20"/>
                <w:szCs w:val="20"/>
                <w:color w:val="auto"/>
              </w:rPr>
            </w:pPr>
            <w:r>
              <w:rPr>
                <w:rFonts w:ascii="Arial" w:cs="Arial" w:eastAsia="Arial" w:hAnsi="Arial"/>
                <w:sz w:val="18"/>
                <w:szCs w:val="18"/>
                <w:color w:val="auto"/>
              </w:rPr>
              <w:t>— Power of Attorney (included on Signature Page).</w:t>
            </w:r>
          </w:p>
        </w:tc>
      </w:tr>
    </w:tbl>
    <w:p>
      <w:pPr>
        <w:sectPr>
          <w:pgSz w:w="11900" w:h="16838" w:orient="portrait"/>
          <w:cols w:equalWidth="0" w:num="1">
            <w:col w:w="10880"/>
          </w:cols>
          <w:pgMar w:left="240" w:top="419" w:right="77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5.1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 LOGO]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25,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85"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I am Vice President and Assistant General Counsel – Corporate &amp; Securities for Waste Management, Inc., a Delaware corporation (the “Company”), and have acted as such in connection with the filing of Post-Effective Amendment No. 1 to the Registration Statement on Form S-4 (File No. 333-32805, as amended, the “Registration Statement”) with respect to the registration of the offer and sale of 20,000,000 shares (the “Shares”) of the Common Stock, $.01 par value (the “Common Stock”), of the Company.</w:t>
      </w:r>
    </w:p>
    <w:p>
      <w:pPr>
        <w:spacing w:after="0" w:line="146"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I have made such inquiries and examined such documents as I have considered necessary or appropriate for purposes of giving the opinions hereinafter set forth, including the examination of executed or conformed counterparts, or copies certified or otherwise proved to our satisfaction, of the following:</w:t>
      </w:r>
    </w:p>
    <w:p>
      <w:pPr>
        <w:spacing w:after="0" w:line="124" w:lineRule="exact"/>
        <w:rPr>
          <w:sz w:val="20"/>
          <w:szCs w:val="20"/>
          <w:color w:val="auto"/>
        </w:rPr>
      </w:pPr>
    </w:p>
    <w:p>
      <w:pPr>
        <w:ind w:left="460" w:hanging="314"/>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Certificate of Incorporation of the Company, as amended or restated;</w:t>
      </w:r>
    </w:p>
    <w:p>
      <w:pPr>
        <w:spacing w:after="0" w:line="225" w:lineRule="exact"/>
        <w:rPr>
          <w:rFonts w:ascii="Arial" w:cs="Arial" w:eastAsia="Arial" w:hAnsi="Arial"/>
          <w:sz w:val="18"/>
          <w:szCs w:val="18"/>
          <w:color w:val="auto"/>
        </w:rPr>
      </w:pPr>
    </w:p>
    <w:p>
      <w:pPr>
        <w:ind w:left="460" w:hanging="324"/>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Bylaws of the Company, as amended or restated; and</w:t>
      </w:r>
    </w:p>
    <w:p>
      <w:pPr>
        <w:spacing w:after="0" w:line="225" w:lineRule="exact"/>
        <w:rPr>
          <w:rFonts w:ascii="Arial" w:cs="Arial" w:eastAsia="Arial" w:hAnsi="Arial"/>
          <w:sz w:val="18"/>
          <w:szCs w:val="18"/>
          <w:color w:val="auto"/>
        </w:rPr>
      </w:pPr>
    </w:p>
    <w:p>
      <w:pPr>
        <w:ind w:left="460" w:hanging="314"/>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Registration Statement including the related prospectus and other attachments.</w:t>
      </w:r>
    </w:p>
    <w:p>
      <w:pPr>
        <w:spacing w:after="0" w:line="225"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 have assumed the genuineness and authenticity of all signatures on all original documents, the authenticity of all documents submitted to me as originals, the conformity to originals of all documents submitted to me as copies and the due authorization, execution, delivery or recordation of all documents where due authorization, execution or recordation are prerequisites to the effectiveness thereof.</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Based upon the foregoing, and having due regard for such legal considerations as I deem relevant, I am of the opinion that: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the Company is a corporation duly organized, validly existing and in good standing under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ind w:left="460" w:hanging="334"/>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Shares proposed to be issued by the Company pursuant to the Registration Statement will be, when so issued in accordance with due authorization by the board of directors of the Company, legally issued, fully paid and non-assessable.</w:t>
      </w:r>
    </w:p>
    <w:p>
      <w:pPr>
        <w:spacing w:after="0" w:line="170" w:lineRule="exact"/>
        <w:rPr>
          <w:sz w:val="20"/>
          <w:szCs w:val="20"/>
          <w:color w:val="auto"/>
        </w:rPr>
      </w:pPr>
    </w:p>
    <w:p>
      <w:pPr>
        <w:jc w:val="both"/>
        <w:ind w:right="580" w:firstLine="225"/>
        <w:spacing w:after="0" w:line="264" w:lineRule="auto"/>
        <w:rPr>
          <w:sz w:val="20"/>
          <w:szCs w:val="20"/>
          <w:color w:val="auto"/>
        </w:rPr>
      </w:pPr>
      <w:r>
        <w:rPr>
          <w:rFonts w:ascii="Arial" w:cs="Arial" w:eastAsia="Arial" w:hAnsi="Arial"/>
          <w:sz w:val="18"/>
          <w:szCs w:val="18"/>
          <w:color w:val="auto"/>
        </w:rPr>
        <w:t>I hereby consent to the filing of this opinion with the Securities and Exchange Commission as an exhibit to the Registration Statement and to the statements made regarding me and to the use of my name under the heading “Legal Matters” in the prospectus constituting a part of the Registration Statement.</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S. Tsai</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Tsai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Vice President and Assistant General</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Counsel – Corporate &amp; Securities</w:t>
      </w:r>
    </w:p>
    <w:p>
      <w:pPr>
        <w:sectPr>
          <w:pgSz w:w="11900" w:h="16838" w:orient="portrait"/>
          <w:cols w:equalWidth="0" w:num="1">
            <w:col w:w="11260"/>
          </w:cols>
          <w:pgMar w:left="240" w:top="935" w:right="3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23.2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reference to our firm under the caption “Experts” in the Post-Effective Amendment No. 1 to the Registration Statement (Form S-4 No. 333-32805) of Waste Management, Inc. and to the incorporation by reference therein of our reports dated February 10, 2004, with respect to the consolidated financial statements and schedule of Waste Management, Inc. included in its Annual Report (Form 10-K) for the year ended December 31, 2003, filed with the Securities and Exchange Commission.</w:t>
      </w:r>
    </w:p>
    <w:p>
      <w:pPr>
        <w:spacing w:after="0" w:line="3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ectPr>
          <w:pgSz w:w="11900" w:h="16838" w:orient="portrait"/>
          <w:cols w:equalWidth="0" w:num="1">
            <w:col w:w="11420"/>
          </w:cols>
          <w:pgMar w:left="240" w:top="93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Houston, Texas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May 25, 2004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4480"/>
        <w:spacing w:after="0"/>
        <w:rPr>
          <w:sz w:val="20"/>
          <w:szCs w:val="20"/>
          <w:color w:val="auto"/>
        </w:rPr>
      </w:pPr>
      <w:r>
        <w:rPr>
          <w:rFonts w:ascii="Arial" w:cs="Arial" w:eastAsia="Arial" w:hAnsi="Arial"/>
          <w:sz w:val="16"/>
          <w:szCs w:val="16"/>
          <w:color w:val="auto"/>
        </w:rPr>
        <w:t>Ernst &amp; Young LLP</w:t>
      </w:r>
    </w:p>
    <w:p>
      <w:pPr>
        <w:sectPr>
          <w:pgSz w:w="11900" w:h="16838" w:orient="portrait"/>
          <w:cols w:equalWidth="0" w:num="2">
            <w:col w:w="4780" w:space="720"/>
            <w:col w:w="5920"/>
          </w:cols>
          <w:pgMar w:left="240" w:top="931" w:right="23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23.3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EXPLANATION CONCERNING ABSENCE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CURRENT WRITTEN CONSENT OF ARTHUR ANDERSEN LLP</w:t>
      </w:r>
    </w:p>
    <w:p>
      <w:pPr>
        <w:spacing w:after="0" w:line="17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On March 25, 2002, Waste Management, Inc. (the “Company”) announced that it had appointed Ernst &amp; Young LLP to replace Arthur Andersen LLP (“Arthur Andersen”) as its independent public accountants. Representatives of Arthur Andersen are not available to provide an updated written consent required for the incorporation by reference of Arthur Andersen’s audit report with respect to the Company’s financial statements as of December 31, 2001 and for the year then ended included in the Company’s Annual Report on Form 10-K for its fiscal year ended December 31, 2003 into this Registration Statement on Form S-4. Because, after reasonable effort, the Company is unable to obtain Arthur Andersen’s written consent to such incorporation by reference of their report, Rule 437a under the Securities Act of 1933, as amended (the “Securities Act”) permits the Company to omit Arthur Andersen’s updated written consent from this filing.</w:t>
      </w:r>
    </w:p>
    <w:p>
      <w:pPr>
        <w:spacing w:after="0" w:line="149"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Section 11(a) of the Securities Act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such registration statement (unless it is proved that at the time of such acquisition such person knew of such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such registration statement, report or valuation which purports to have been prepared or certified by the accountant.</w:t>
      </w:r>
    </w:p>
    <w:p>
      <w:pPr>
        <w:spacing w:after="0" w:line="151" w:lineRule="exact"/>
        <w:rPr>
          <w:sz w:val="20"/>
          <w:szCs w:val="20"/>
          <w:color w:val="auto"/>
        </w:rPr>
      </w:pPr>
    </w:p>
    <w:p>
      <w:pPr>
        <w:ind w:right="60" w:firstLine="215"/>
        <w:spacing w:after="0" w:line="279" w:lineRule="auto"/>
        <w:rPr>
          <w:sz w:val="20"/>
          <w:szCs w:val="20"/>
          <w:color w:val="auto"/>
        </w:rPr>
      </w:pPr>
      <w:r>
        <w:rPr>
          <w:rFonts w:ascii="Arial" w:cs="Arial" w:eastAsia="Arial" w:hAnsi="Arial"/>
          <w:sz w:val="17"/>
          <w:szCs w:val="17"/>
          <w:color w:val="auto"/>
        </w:rPr>
        <w:t>As noted above, Arthur Andersen has not consented to the incorporation by reference of its audit report contained in the Company’s Annual Report on Form 10-K for its fiscal year ended December 31, 2003 into this Registration Statement on Form S-4. As a result, with respect to this Registration Statement on Form S-4, the Company’s investors may not be able to recover against Arthur Andersen under Section 11(a) of the Securities Act or the lack of a currently dated consent may limit the time in which any liability under Section 11(a) could be asserted against Arthur Andersen.</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lvl w:ilvl="1">
      <w:lvlJc w:val="left"/>
      <w:lvlText w:val="•"/>
      <w:numFmt w:val="bullet"/>
      <w:start w:val="1"/>
    </w:lvl>
  </w:abstractNum>
  <w:abstractNum w:abstractNumId="6">
    <w:nsid w:val="216231B"/>
    <w:multiLevelType w:val="hybridMultilevel"/>
    <w:lvl w:ilvl="0">
      <w:lvlJc w:val="left"/>
      <w:lvlText w:val="%1"/>
      <w:numFmt w:val="decimal"/>
      <w:start w:val="24"/>
    </w:lvl>
  </w:abstractNum>
  <w:abstractNum w:abstractNumId="7">
    <w:nsid w:val="1F16E9E8"/>
    <w:multiLevelType w:val="hybridMultilevel"/>
    <w:lvl w:ilvl="0">
      <w:lvlJc w:val="left"/>
      <w:lvlText w:val="(%1)"/>
      <w:numFmt w:val="lowerLetter"/>
      <w:start w:val="1"/>
    </w:lvl>
    <w:lvl w:ilvl="1">
      <w:lvlJc w:val="left"/>
      <w:lvlText w:val="(%2)"/>
      <w:numFmt w:val="decimal"/>
      <w:start w:val="1"/>
    </w:lvl>
  </w:abstractNum>
  <w:abstractNum w:abstractNumId="8">
    <w:nsid w:val="1190CDE7"/>
    <w:multiLevelType w:val="hybridMultilevel"/>
    <w:lvl w:ilvl="0">
      <w:lvlJc w:val="left"/>
      <w:lvlText w:val="(%1)"/>
      <w:numFmt w:val="lowerRoman"/>
      <w:start w:val="2"/>
    </w:lvl>
  </w:abstractNum>
  <w:abstractNum w:abstractNumId="9">
    <w:nsid w:val="66EF438D"/>
    <w:multiLevelType w:val="hybridMultilevel"/>
    <w:lvl w:ilvl="0">
      <w:lvlJc w:val="left"/>
      <w:lvlText w:val="%1"/>
      <w:numFmt w:val="lowerLetter"/>
      <w:start w:val="1"/>
    </w:lvl>
    <w:lvl w:ilvl="1">
      <w:lvlJc w:val="left"/>
      <w:lvlText w:val="(%2)"/>
      <w:numFmt w:val="decimal"/>
      <w:start w:val="2"/>
    </w:lvl>
  </w:abstractNum>
  <w:abstractNum w:abstractNumId="10">
    <w:nsid w:val="140E0F76"/>
    <w:multiLevelType w:val="hybridMultilevel"/>
    <w:lvl w:ilvl="0">
      <w:lvlJc w:val="left"/>
      <w:lvlText w:val="(%1)"/>
      <w:numFmt w:val="lowerLetter"/>
      <w:start w:val="2"/>
    </w:lvl>
    <w:lvl w:ilvl="1">
      <w:lvlJc w:val="left"/>
      <w:lvlText w:val="%2"/>
      <w:numFmt w:val="decimal"/>
      <w:start w:val="1"/>
    </w:lvl>
  </w:abstractNum>
  <w:abstractNum w:abstractNumId="11">
    <w:nsid w:val="3352255A"/>
    <w:multiLevelType w:val="hybridMultilevel"/>
    <w:lvl w:ilvl="0">
      <w:lvlJc w:val="left"/>
      <w:lvlText w:val="(%1)"/>
      <w:numFmt w:val="lowerLetter"/>
      <w:start w:val="5"/>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2019-12-20T04:06:51Z</dcterms:created>
  <dcterms:modified xsi:type="dcterms:W3CDTF">2019-12-20T04:06:51Z</dcterms:modified>
</cp:coreProperties>
</file>