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74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74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3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 Duane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06" w:lineRule="exact"/>
        <w:rPr>
          <w:sz w:val="24"/>
          <w:szCs w:val="24"/>
          <w:color w:val="auto"/>
        </w:rPr>
      </w:pPr>
    </w:p>
    <w:p>
      <w:pPr>
        <w:sectPr>
          <w:pgSz w:w="11900" w:h="16838" w:orient="portrait"/>
          <w:cols w:equalWidth="0" w:num="3">
            <w:col w:w="3360" w:space="720"/>
            <w:col w:w="3380" w:space="597"/>
            <w:col w:w="3463"/>
          </w:cols>
          <w:pgMar w:left="240" w:top="226" w:right="139" w:bottom="337"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TX</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02/27/2012</w:t>
            </w:r>
          </w:p>
        </w:tc>
        <w:tc>
          <w:tcPr>
            <w:tcW w:w="11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99"/>
              </w:rPr>
              <w:t>02/27/2012</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0000FF"/>
                <w:w w:val="88"/>
              </w:rPr>
              <w:t>6,625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19.61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92,174.6028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02/27/2012</w:t>
            </w:r>
          </w:p>
        </w:tc>
        <w:tc>
          <w:tcPr>
            <w:tcW w:w="11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99"/>
              </w:rPr>
              <w:t>02/27/2012</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85"/>
              </w:rPr>
              <w:t>S</w:t>
            </w:r>
          </w:p>
        </w:tc>
        <w:tc>
          <w:tcPr>
            <w:tcW w:w="72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0000FF"/>
                <w:w w:val="88"/>
              </w:rPr>
              <w:t>4,461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ind w:left="4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35.4</w:t>
            </w:r>
          </w:p>
        </w:tc>
        <w:tc>
          <w:tcPr>
            <w:tcW w:w="1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87,713.6028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02/27/2012</w:t>
            </w:r>
          </w:p>
        </w:tc>
        <w:tc>
          <w:tcPr>
            <w:tcW w:w="11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99"/>
              </w:rPr>
              <w:t>02/27/2012</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85"/>
              </w:rPr>
              <w:t>S</w:t>
            </w:r>
          </w:p>
        </w:tc>
        <w:tc>
          <w:tcPr>
            <w:tcW w:w="720" w:type="dxa"/>
            <w:vAlign w:val="bottom"/>
            <w:tcBorders>
              <w:bottom w:val="single" w:sz="8" w:color="2C2C2C"/>
            </w:tcBorders>
          </w:tcPr>
          <w:p>
            <w:pPr>
              <w:jc w:val="center"/>
              <w:ind w:left="89"/>
              <w:spacing w:after="0"/>
              <w:rPr>
                <w:sz w:val="20"/>
                <w:szCs w:val="20"/>
                <w:color w:val="auto"/>
              </w:rPr>
            </w:pPr>
            <w:r>
              <w:rPr>
                <w:rFonts w:ascii="Arial" w:cs="Arial" w:eastAsia="Arial" w:hAnsi="Arial"/>
                <w:sz w:val="18"/>
                <w:szCs w:val="18"/>
                <w:color w:val="0000FF"/>
                <w:w w:val="87"/>
              </w:rPr>
              <w:t>23,322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35.4163</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64,391.6028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7"/>
              </w:rPr>
              <w:t>381.2791</w:t>
            </w:r>
          </w:p>
        </w:tc>
        <w:tc>
          <w:tcPr>
            <w:tcW w:w="280" w:type="dxa"/>
            <w:vAlign w:val="bottom"/>
          </w:tcPr>
          <w:p>
            <w:pPr>
              <w:spacing w:after="0"/>
              <w:rPr>
                <w:sz w:val="18"/>
                <w:szCs w:val="18"/>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125</w:t>
            </w:r>
          </w:p>
        </w:tc>
        <w:tc>
          <w:tcPr>
            <w:tcW w:w="280" w:type="dxa"/>
            <w:vAlign w:val="bottom"/>
          </w:tcPr>
          <w:p>
            <w:pPr>
              <w:spacing w:after="0"/>
              <w:rPr>
                <w:sz w:val="22"/>
                <w:szCs w:val="22"/>
                <w:color w:val="auto"/>
              </w:rPr>
            </w:pPr>
          </w:p>
        </w:tc>
        <w:tc>
          <w:tcPr>
            <w:tcW w:w="700" w:type="dxa"/>
            <w:vAlign w:val="bottom"/>
            <w:vMerge w:val="restart"/>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6"/>
              </w:rPr>
              <w:t>185</w:t>
            </w:r>
          </w:p>
        </w:tc>
        <w:tc>
          <w:tcPr>
            <w:tcW w:w="280" w:type="dxa"/>
            <w:vAlign w:val="bottom"/>
          </w:tcPr>
          <w:p>
            <w:pPr>
              <w:spacing w:after="0"/>
              <w:rPr>
                <w:sz w:val="18"/>
                <w:szCs w:val="18"/>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Wife's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1"/>
          </w:tcPr>
          <w:p>
            <w:pPr>
              <w:jc w:val="center"/>
              <w:ind w:left="3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60" w:type="dxa"/>
            <w:vAlign w:val="bottom"/>
          </w:tcPr>
          <w:p>
            <w:pPr>
              <w:spacing w:after="0"/>
              <w:rPr>
                <w:sz w:val="17"/>
                <w:szCs w:val="17"/>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0000FF"/>
              </w:rPr>
              <w:t>02/27/2012</w:t>
            </w:r>
          </w:p>
        </w:tc>
        <w:tc>
          <w:tcPr>
            <w:tcW w:w="1200" w:type="dxa"/>
            <w:vAlign w:val="bottom"/>
          </w:tcPr>
          <w:p>
            <w:pPr>
              <w:ind w:left="320"/>
              <w:spacing w:after="0"/>
              <w:rPr>
                <w:sz w:val="20"/>
                <w:szCs w:val="20"/>
                <w:color w:val="auto"/>
              </w:rPr>
            </w:pPr>
            <w:r>
              <w:rPr>
                <w:rFonts w:ascii="Arial" w:cs="Arial" w:eastAsia="Arial" w:hAnsi="Arial"/>
                <w:sz w:val="14"/>
                <w:szCs w:val="14"/>
                <w:color w:val="0000FF"/>
              </w:rPr>
              <w:t>02/27/2012</w:t>
            </w:r>
          </w:p>
        </w:tc>
        <w:tc>
          <w:tcPr>
            <w:tcW w:w="8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6,625</w:t>
            </w:r>
          </w:p>
        </w:tc>
        <w:tc>
          <w:tcPr>
            <w:tcW w:w="840" w:type="dxa"/>
            <w:vAlign w:val="bottom"/>
            <w:gridSpan w:val="2"/>
          </w:tcPr>
          <w:p>
            <w:pPr>
              <w:jc w:val="right"/>
              <w:ind w:right="316"/>
              <w:spacing w:after="0"/>
              <w:rPr>
                <w:sz w:val="20"/>
                <w:szCs w:val="20"/>
                <w:color w:val="auto"/>
              </w:rPr>
            </w:pPr>
            <w:r>
              <w:rPr>
                <w:rFonts w:ascii="Arial" w:cs="Arial" w:eastAsia="Arial" w:hAnsi="Arial"/>
                <w:sz w:val="11"/>
                <w:szCs w:val="11"/>
                <w:color w:val="008000"/>
              </w:rPr>
              <w:t>(1)</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03/06/2013</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6,625</w:t>
            </w:r>
          </w:p>
        </w:tc>
        <w:tc>
          <w:tcPr>
            <w:tcW w:w="140" w:type="dxa"/>
            <w:vAlign w:val="bottom"/>
          </w:tcPr>
          <w:p>
            <w:pPr>
              <w:spacing w:after="0"/>
              <w:rPr>
                <w:sz w:val="17"/>
                <w:szCs w:val="17"/>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19.61</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11,375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to cover option cost and taxes.</w:t>
      </w:r>
    </w:p>
    <w:p>
      <w:pPr>
        <w:spacing w:after="0" w:line="41"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$35.40 to $35.45. The price reported above reflects the weighted average sale price. The reporting person hereby undertakes to provide upon request to the SEC staff, the issuer or a security holder of the issuer full information regarding the numer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02/29/2012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364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2019-12-18T08:30:08Z</dcterms:created>
  <dcterms:modified xsi:type="dcterms:W3CDTF">2019-12-18T08:30:08Z</dcterms:modified>
</cp:coreProperties>
</file>