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Guarantor:</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Maturity:</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Settlement: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May 5, 2014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May 5, 2014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September 28, 2012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333-184157</w:t>
      </w:r>
    </w:p>
    <w:p>
      <w:pPr>
        <w:spacing w:after="0" w:line="207" w:lineRule="exact"/>
        <w:rPr>
          <w:sz w:val="24"/>
          <w:szCs w:val="24"/>
          <w:color w:val="auto"/>
        </w:rPr>
      </w:pPr>
    </w:p>
    <w:p>
      <w:pPr>
        <w:jc w:val="center"/>
        <w:ind w:right="4060"/>
        <w:spacing w:after="0"/>
        <w:rPr>
          <w:sz w:val="20"/>
          <w:szCs w:val="20"/>
          <w:color w:val="auto"/>
        </w:rPr>
      </w:pPr>
      <w:r>
        <w:rPr>
          <w:rFonts w:ascii="Arial" w:cs="Arial" w:eastAsia="Arial" w:hAnsi="Arial"/>
          <w:sz w:val="18"/>
          <w:szCs w:val="18"/>
          <w:b w:val="1"/>
          <w:bCs w:val="1"/>
          <w:color w:val="auto"/>
        </w:rPr>
        <w:t>Final Pricing Term Sheet</w:t>
      </w:r>
    </w:p>
    <w:p>
      <w:pPr>
        <w:spacing w:after="0" w:line="27" w:lineRule="exact"/>
        <w:rPr>
          <w:sz w:val="24"/>
          <w:szCs w:val="24"/>
          <w:color w:val="auto"/>
        </w:rPr>
      </w:pPr>
    </w:p>
    <w:p>
      <w:pPr>
        <w:jc w:val="center"/>
        <w:ind w:right="4060"/>
        <w:spacing w:after="0"/>
        <w:rPr>
          <w:sz w:val="20"/>
          <w:szCs w:val="20"/>
          <w:color w:val="auto"/>
        </w:rPr>
      </w:pPr>
      <w:r>
        <w:rPr>
          <w:rFonts w:ascii="Arial" w:cs="Arial" w:eastAsia="Arial" w:hAnsi="Arial"/>
          <w:sz w:val="16"/>
          <w:szCs w:val="16"/>
          <w:b w:val="1"/>
          <w:bCs w:val="1"/>
          <w:color w:val="auto"/>
        </w:rPr>
        <w:t>$350,000,000 3.50% Senior Notes due 2024</w:t>
      </w:r>
    </w:p>
    <w:p>
      <w:pPr>
        <w:spacing w:after="0" w:line="261"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Waste Management, Inc.</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Waste Management Holdings, Inc.</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$350,000,000</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May 15, 2024</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3.500%</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99.748% of face amount</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0.65%</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2.75% due February 15, 2024</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92 basis points</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101-6+ / 2.61%</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3.530%</w:t>
      </w:r>
    </w:p>
    <w:p>
      <w:pPr>
        <w:spacing w:after="0" w:line="77" w:lineRule="exact"/>
        <w:rPr>
          <w:sz w:val="24"/>
          <w:szCs w:val="24"/>
          <w:color w:val="auto"/>
        </w:rPr>
      </w:pPr>
    </w:p>
    <w:p>
      <w:pPr>
        <w:ind w:left="1980" w:right="100"/>
        <w:spacing w:after="0" w:line="277" w:lineRule="auto"/>
        <w:rPr>
          <w:sz w:val="20"/>
          <w:szCs w:val="20"/>
          <w:color w:val="auto"/>
        </w:rPr>
      </w:pPr>
      <w:r>
        <w:rPr>
          <w:rFonts w:ascii="Arial" w:cs="Arial" w:eastAsia="Arial" w:hAnsi="Arial"/>
          <w:sz w:val="18"/>
          <w:szCs w:val="18"/>
          <w:color w:val="auto"/>
        </w:rPr>
        <w:t>Semi-annually on May 15 and November 15, commencing on November 15, 2014.</w:t>
      </w:r>
    </w:p>
    <w:p>
      <w:pPr>
        <w:spacing w:after="0" w:line="22" w:lineRule="exact"/>
        <w:rPr>
          <w:sz w:val="24"/>
          <w:szCs w:val="24"/>
          <w:color w:val="auto"/>
        </w:rPr>
      </w:pPr>
    </w:p>
    <w:p>
      <w:pPr>
        <w:ind w:left="1980" w:right="40"/>
        <w:spacing w:after="0" w:line="271" w:lineRule="auto"/>
        <w:rPr>
          <w:sz w:val="20"/>
          <w:szCs w:val="20"/>
          <w:color w:val="auto"/>
        </w:rPr>
      </w:pPr>
      <w:r>
        <w:rPr>
          <w:rFonts w:ascii="Arial" w:cs="Arial" w:eastAsia="Arial" w:hAnsi="Arial"/>
          <w:sz w:val="17"/>
          <w:szCs w:val="17"/>
          <w:color w:val="auto"/>
        </w:rPr>
        <w:t>The Notes are redeemable at any time prior to February 15, 2024 (three months prior to the maturity date), in whole or from time to time in part, at the option of the Company, at a make whole redemption price using the applicable Treasury rate plus 15 basis points (as defined and described in further detail in the Prospectus Supplement). Redeemable on or after February 15, 2024 (three months prior to the maturity date), in whole or from time to time in part, at the option of the Company, at a price of 100% plus accrued interest.</w:t>
      </w:r>
    </w:p>
    <w:p>
      <w:pPr>
        <w:spacing w:after="0" w:line="30"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May 5, 2014</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T+3; May 8, 2014</w:t>
      </w:r>
    </w:p>
    <w:p>
      <w:pPr>
        <w:spacing w:after="0" w:line="7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94106LAZ2 /US94106LAZ22</w:t>
      </w:r>
    </w:p>
    <w:p>
      <w:pPr>
        <w:sectPr>
          <w:pgSz w:w="11900" w:h="16838" w:orient="portrait"/>
          <w:cols w:equalWidth="0" w:num="2">
            <w:col w:w="3360" w:space="720"/>
            <w:col w:w="734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Denominations/Increments:</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Arial" w:cs="Arial" w:eastAsia="Arial" w:hAnsi="Arial"/>
          <w:sz w:val="16"/>
          <w:szCs w:val="16"/>
          <w:color w:val="auto"/>
        </w:rPr>
        <w:t>$2,000/$1,000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5340" w:space="720"/>
            <w:col w:w="5140"/>
          </w:cols>
          <w:pgMar w:left="240" w:top="274" w:right="459" w:bottom="1440" w:gutter="0" w:footer="0" w:header="0"/>
        </w:sectPr>
      </w:pPr>
    </w:p>
    <w:p>
      <w:pPr>
        <w:spacing w:after="0"/>
        <w:rPr>
          <w:sz w:val="20"/>
          <w:szCs w:val="20"/>
          <w:color w:val="auto"/>
        </w:rPr>
      </w:pPr>
      <w:r>
        <w:rPr>
          <w:rFonts w:ascii="Arial" w:cs="Arial" w:eastAsia="Arial" w:hAnsi="Arial"/>
          <w:sz w:val="16"/>
          <w:szCs w:val="16"/>
          <w:color w:val="auto"/>
        </w:rPr>
        <w:t>Joint Book-Running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76" w:lineRule="exact"/>
        <w:rPr>
          <w:sz w:val="20"/>
          <w:szCs w:val="20"/>
          <w:color w:val="auto"/>
        </w:rPr>
      </w:pPr>
    </w:p>
    <w:p>
      <w:pPr>
        <w:sectPr>
          <w:pgSz w:w="11900" w:h="16838" w:orient="portrait"/>
          <w:cols w:equalWidth="0" w:num="2">
            <w:col w:w="5340" w:space="720"/>
            <w:col w:w="5140"/>
          </w:cols>
          <w:pgMar w:left="2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Blaylock Beal Van,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76" w:lineRule="exact"/>
        <w:rPr>
          <w:sz w:val="20"/>
          <w:szCs w:val="20"/>
          <w:color w:val="auto"/>
        </w:rPr>
      </w:pPr>
    </w:p>
    <w:p>
      <w:pPr>
        <w:sectPr>
          <w:pgSz w:w="11900" w:h="16838" w:orient="portrait"/>
          <w:cols w:equalWidth="0" w:num="2">
            <w:col w:w="5340" w:space="720"/>
            <w:col w:w="5140"/>
          </w:cols>
          <w:pgMar w:left="2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Baa3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200" w:lineRule="exact"/>
        <w:rPr>
          <w:sz w:val="20"/>
          <w:szCs w:val="20"/>
          <w:color w:val="auto"/>
        </w:rPr>
      </w:pPr>
    </w:p>
    <w:p>
      <w:pPr>
        <w:sectPr>
          <w:pgSz w:w="11900" w:h="16838" w:orient="portrait"/>
          <w:cols w:equalWidth="0" w:num="2">
            <w:col w:w="5340" w:space="720"/>
            <w:col w:w="5140"/>
          </w:cols>
          <w:pgMar w:left="240" w:top="274" w:right="4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Deutsche Bank Securities Inc. toll-free at (800) 503-4611; (2) J.P. Morgan Securities Inc. collect at (212) 834-4533; or (3) RBS Securities Inc. toll-free at (866) 884-2071. 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200"/>
      </w:cols>
      <w:pgMar w:left="240" w:top="27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2019-12-20T21:37:38Z</dcterms:created>
  <dcterms:modified xsi:type="dcterms:W3CDTF">2019-12-20T21:37:38Z</dcterms:modified>
</cp:coreProperties>
</file>