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216535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11, 2006</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Delaware</w:t>
            </w:r>
          </w:p>
        </w:tc>
        <w:tc>
          <w:tcPr>
            <w:tcW w:w="34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1-12154</w:t>
            </w:r>
          </w:p>
        </w:tc>
        <w:tc>
          <w:tcPr>
            <w:tcW w:w="34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73-1309529</w:t>
            </w:r>
          </w:p>
        </w:tc>
      </w:tr>
      <w:tr>
        <w:trPr>
          <w:trHeight w:val="238"/>
        </w:trPr>
        <w:tc>
          <w:tcPr>
            <w:tcW w:w="40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0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1001 Fannin, Suite 4000 Houston, Texas</w:t>
            </w:r>
          </w:p>
        </w:tc>
        <w:tc>
          <w:tcPr>
            <w:tcW w:w="3420" w:type="dxa"/>
            <w:vAlign w:val="bottom"/>
          </w:tcPr>
          <w:p>
            <w:pPr>
              <w:spacing w:after="0"/>
              <w:rPr>
                <w:sz w:val="24"/>
                <w:szCs w:val="24"/>
                <w:color w:val="auto"/>
              </w:rPr>
            </w:pPr>
          </w:p>
        </w:tc>
        <w:tc>
          <w:tcPr>
            <w:tcW w:w="3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77002</w:t>
            </w:r>
          </w:p>
        </w:tc>
      </w:tr>
      <w:tr>
        <w:trPr>
          <w:trHeight w:val="238"/>
        </w:trPr>
        <w:tc>
          <w:tcPr>
            <w:tcW w:w="40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20" w:type="dxa"/>
            <w:vAlign w:val="bottom"/>
          </w:tcPr>
          <w:p>
            <w:pPr>
              <w:spacing w:after="0"/>
              <w:rPr>
                <w:sz w:val="20"/>
                <w:szCs w:val="20"/>
                <w:color w:val="auto"/>
              </w:rPr>
            </w:pPr>
          </w:p>
        </w:tc>
        <w:tc>
          <w:tcPr>
            <w:tcW w:w="34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200025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pacing w:after="0" w:line="222"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1.01 Entry into a Material Definitive Agreement</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9.01. Financial Statements and Exhibits.</w:t>
        </w:r>
      </w:hyperlink>
    </w:p>
    <w:p>
      <w:pPr>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Exhibit Index</w:t>
        </w:r>
      </w:hyperlink>
    </w:p>
    <w:p>
      <w:pPr>
        <w:spacing w:after="0"/>
        <w:rPr>
          <w:sz w:val="20"/>
          <w:szCs w:val="20"/>
          <w:color w:val="auto"/>
        </w:rPr>
      </w:pPr>
      <w:r>
        <w:rPr>
          <w:rFonts w:ascii="Times New Roman" w:cs="Times New Roman" w:eastAsia="Times New Roman" w:hAnsi="Times New Roman"/>
          <w:sz w:val="22"/>
          <w:szCs w:val="22"/>
          <w:u w:val="single" w:color="auto"/>
          <w:color w:val="0000EE"/>
        </w:rPr>
        <w:t>Employment Agreement - Mark A. Weidman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80" w:firstLine="225"/>
        <w:spacing w:after="0" w:line="266" w:lineRule="auto"/>
        <w:rPr>
          <w:sz w:val="20"/>
          <w:szCs w:val="20"/>
          <w:color w:val="auto"/>
        </w:rPr>
      </w:pPr>
      <w:r>
        <w:rPr>
          <w:rFonts w:ascii="Times New Roman" w:cs="Times New Roman" w:eastAsia="Times New Roman" w:hAnsi="Times New Roman"/>
          <w:sz w:val="18"/>
          <w:szCs w:val="18"/>
          <w:color w:val="auto"/>
        </w:rPr>
        <w:t>On May 11, 2006, Wheelabrator Technologies Inc., a wholly-owned subsidiary of Waste Management, Inc. (the “Company”), entered into an employment agreement with Mark A. Weidman, President of Wheelabrator, effective as of October 30, 2005. The Company announced in March of this year that Mr. Weidman had been named President of Wheelabrator after serving as Vice President of Operations at Wheelabrator for five years.</w:t>
      </w:r>
    </w:p>
    <w:p>
      <w:pPr>
        <w:spacing w:after="0" w:line="68" w:lineRule="exact"/>
        <w:rPr>
          <w:sz w:val="20"/>
          <w:szCs w:val="20"/>
          <w:color w:val="auto"/>
        </w:rPr>
      </w:pPr>
    </w:p>
    <w:p>
      <w:pPr>
        <w:ind w:right="40" w:firstLine="222"/>
        <w:spacing w:after="0" w:line="269" w:lineRule="auto"/>
        <w:rPr>
          <w:sz w:val="20"/>
          <w:szCs w:val="20"/>
          <w:color w:val="auto"/>
        </w:rPr>
      </w:pPr>
      <w:r>
        <w:rPr>
          <w:rFonts w:ascii="Times New Roman" w:cs="Times New Roman" w:eastAsia="Times New Roman" w:hAnsi="Times New Roman"/>
          <w:sz w:val="17"/>
          <w:szCs w:val="17"/>
          <w:color w:val="auto"/>
        </w:rPr>
        <w:t>The agreement is for a term of two years, and automatically renews for successive one-year periods thereafter. During the employment period, Mr. Weidman shall be paid a minimum base salary of $290,000 per year and shall be entitled to a bonus in accordance with the Company’s incentive compensation plan. Mr. Weidman shall have a target annual bonus of 60% of his base salary, although his actual bonus may range from 0 — 120% of his base salary, depending on the achievement of certain personal and corporate performance goals. Additionally, Mr. Weidman shall be entitled to certain perquisites, including an annual automobile allowance, financial planning services, social organization initiation fees and dues and an annual physical examination.</w:t>
      </w:r>
    </w:p>
    <w:p>
      <w:pPr>
        <w:spacing w:after="0" w:line="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Mr. Weidman shall also be entitled to participate in or receive benefits under any and all plans and programs made available to executive employees of the Company generally.</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event of the termination of Mr. Weidman’s employment by the Company, he will be entitled to certain severance payments. Specifically, if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Weidman is terminated without cause, in addition to the benefits all employees receive, including all accrued but unpaid base salary and payments under applicable Company plans, policies and arrangements, Mr. Weidman generally is entitled to cash payments equal to two times his base salary and target bonus; continuation of all health and welfare plan benefits for him and his family for the lesser of two years, his death or until he becomes covered by a subsequent employer; and a pro-rated bonus payment for the year in which he is terminated. In the event Mr. Weidman is terminated without cause or leaves the Company for good reason in connection with a change in control, he generally is entitled to the same benefits that he would receive as described for a termination without cause, except that his cash payment will be three times his base salary and target bonus, benefits will continue for a period of three years and he will receive 100% of the maximum bonus available, pro rated to the date of termination. In accordance with the Company’s Executive Severance Policy, Mr. Weidman’s agreement provides that if the present value of severance benefits payable under his agreement would exceed 2.99 times the sum of his then current base salary and bonus (the “maximum severance amount”), the payments to Mr. Weidman will be reduced to an amount not to exceed the maximum severance amount. In the event Mr. Weidman’s employment is terminated by reason of death or total disability, he generally will receive all amounts accrued but unpaid at the date of termination, a pro rated bonus payment and any benefits to which he is entitled pursuant to the plans, policies and arrangements of the Company in accordance with their terms.</w:t>
      </w:r>
    </w:p>
    <w:p>
      <w:pPr>
        <w:spacing w:after="0" w:line="85"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Mr. Weidman’s agreement also contains certain restrictive covenants, including covenants not to compete or solicit Company customers or employees for a period of two years after the termination of his employment, and a covenant not to disparage the Company.</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terms “cause,” “good reason,” and “total disability” are all defined in Mr. Weidman’s employment agreement, which is attached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Employment Agreement between Wheelabrator Technologies Inc. and Mark A. Weidman dated May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2006</w:t>
            </w:r>
          </w:p>
        </w:tc>
        <w:tc>
          <w:tcPr>
            <w:tcW w:w="63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Rick L Wittenbraker</w:t>
            </w:r>
          </w:p>
        </w:tc>
        <w:tc>
          <w:tcPr>
            <w:tcW w:w="1680" w:type="dxa"/>
            <w:vAlign w:val="bottom"/>
          </w:tcPr>
          <w:p>
            <w:pPr>
              <w:spacing w:after="0"/>
              <w:rPr>
                <w:sz w:val="24"/>
                <w:szCs w:val="24"/>
                <w:color w:val="auto"/>
              </w:rPr>
            </w:pPr>
          </w:p>
        </w:tc>
      </w:tr>
      <w:tr>
        <w:trPr>
          <w:trHeight w:val="191"/>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L Wittenbraker,</w:t>
            </w:r>
          </w:p>
        </w:tc>
        <w:tc>
          <w:tcPr>
            <w:tcW w:w="1680" w:type="dxa"/>
            <w:vAlign w:val="bottom"/>
          </w:tcPr>
          <w:p>
            <w:pPr>
              <w:spacing w:after="0"/>
              <w:rPr>
                <w:sz w:val="16"/>
                <w:szCs w:val="16"/>
                <w:color w:val="auto"/>
              </w:rPr>
            </w:pPr>
          </w:p>
        </w:tc>
      </w:tr>
      <w:tr>
        <w:trPr>
          <w:trHeight w:val="234"/>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8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 Agreement between Wheelabrator Technologies Inc. and Mark A. Weidman, dated May 11, 2006.</w:t>
            </w:r>
          </w:p>
        </w:tc>
      </w:tr>
    </w:tbl>
    <w:p>
      <w:pPr>
        <w:sectPr>
          <w:pgSz w:w="11900" w:h="16838" w:orient="portrait"/>
          <w:cols w:equalWidth="0" w:num="1">
            <w:col w:w="11420"/>
          </w:cols>
          <w:pgMar w:left="240" w:top="415"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121" w:lineRule="exact"/>
        <w:rPr>
          <w:sz w:val="20"/>
          <w:szCs w:val="20"/>
          <w:color w:val="auto"/>
        </w:rPr>
      </w:pPr>
    </w:p>
    <w:p>
      <w:pPr>
        <w:ind w:right="240" w:firstLine="222"/>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is made and entered into on this 11th day of May 2006, but as effective as of the date set forth herein, by and between Wheelabrator Technologies, Inc. and Mark A. Weidman (the “Executive”). The Company is an indirect subsidiary of Waste Management, Inc. (“WMI”). Wheelabrator Technologies, Inc. and all of its subsidiaries collectively shall be referred to herein as “the Company.”</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 Employment.</w:t>
      </w:r>
    </w:p>
    <w:p>
      <w:pPr>
        <w:spacing w:after="0" w:line="121" w:lineRule="exact"/>
        <w:rPr>
          <w:sz w:val="20"/>
          <w:szCs w:val="20"/>
          <w:color w:val="auto"/>
        </w:rPr>
      </w:pPr>
    </w:p>
    <w:p>
      <w:pPr>
        <w:ind w:right="380" w:firstLine="222"/>
        <w:spacing w:after="0" w:line="282" w:lineRule="auto"/>
        <w:rPr>
          <w:sz w:val="20"/>
          <w:szCs w:val="20"/>
          <w:color w:val="auto"/>
        </w:rPr>
      </w:pPr>
      <w:r>
        <w:rPr>
          <w:rFonts w:ascii="Times New Roman" w:cs="Times New Roman" w:eastAsia="Times New Roman" w:hAnsi="Times New Roman"/>
          <w:sz w:val="18"/>
          <w:szCs w:val="18"/>
          <w:color w:val="auto"/>
        </w:rPr>
        <w:t>The Company shall employ Executive, and Executive shall be employed by the Company upon the terms and subject to the conditions set forth in this Agreement.</w:t>
      </w:r>
    </w:p>
    <w:p>
      <w:pPr>
        <w:spacing w:after="0" w:line="54"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Executive acknowledges and represents that, any and all prior employment agreements, including without limitation certain Employment Agreement between he and WMI dated August 1, 2003, is terminated, and that any and all obligations of WMI and/or the Company created thereunder, whether express or implied, are null and void and of no further force or effect, and that the only rights, obligations and duties between the Company and Executive are those expressly set forth in this Agreement.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2. Term of Employment.</w:t>
      </w:r>
    </w:p>
    <w:p>
      <w:pPr>
        <w:spacing w:after="0" w:line="121" w:lineRule="exact"/>
        <w:rPr>
          <w:sz w:val="20"/>
          <w:szCs w:val="20"/>
          <w:color w:val="auto"/>
        </w:rPr>
      </w:pPr>
    </w:p>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The period of Executive’s employment under this Agreement shall commence on March 3, 2006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3. Duties and Responsibilities.</w:t>
      </w:r>
    </w:p>
    <w:p>
      <w:pPr>
        <w:spacing w:after="0" w:line="121" w:lineRule="exact"/>
        <w:rPr>
          <w:sz w:val="20"/>
          <w:szCs w:val="20"/>
          <w:color w:val="auto"/>
        </w:rPr>
      </w:pPr>
    </w:p>
    <w:p>
      <w:pPr>
        <w:jc w:val="both"/>
        <w:ind w:right="220" w:firstLine="233"/>
        <w:spacing w:after="0" w:line="261" w:lineRule="auto"/>
        <w:tabs>
          <w:tab w:leader="none" w:pos="4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serve as the President of Wheelabrator Technologies, Inc. In such capacity, Executive shall perform such duties and have the power, authority, and functions commensurate with such position in similarly-sized public companies, and have and possess such other authority and functions set forth by the sole director of the Company and as may be assigned to Executive from time to time by the Chief Executive Officer of WMI (in any such case, hereinafter referred to as the “Chief Executive Officer”), the President of WMI, or the Chief Financial Officer of WMI.</w:t>
      </w:r>
    </w:p>
    <w:p>
      <w:pPr>
        <w:spacing w:after="0" w:line="71" w:lineRule="exact"/>
        <w:rPr>
          <w:rFonts w:ascii="Times New Roman" w:cs="Times New Roman" w:eastAsia="Times New Roman" w:hAnsi="Times New Roman"/>
          <w:sz w:val="18"/>
          <w:szCs w:val="18"/>
          <w:b w:val="1"/>
          <w:bCs w:val="1"/>
          <w:color w:val="auto"/>
        </w:rPr>
      </w:pPr>
    </w:p>
    <w:p>
      <w:pPr>
        <w:ind w:right="60" w:firstLine="233"/>
        <w:spacing w:after="0" w:line="258" w:lineRule="auto"/>
        <w:tabs>
          <w:tab w:leader="none" w:pos="49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of Directors of WMI, serve on boards of other for profit entities, provided such activities do not materially interfere with the performance of his duties hereunder (however, the Board does not typically 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officers to serve on more than one public company board at a time).</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 Compensation and Benefits.</w:t>
      </w:r>
    </w:p>
    <w:p>
      <w:pPr>
        <w:spacing w:after="0" w:line="117" w:lineRule="exact"/>
        <w:rPr>
          <w:sz w:val="20"/>
          <w:szCs w:val="20"/>
          <w:color w:val="auto"/>
        </w:rPr>
      </w:pPr>
    </w:p>
    <w:p>
      <w:pPr>
        <w:ind w:right="80" w:firstLine="233"/>
        <w:spacing w:after="0" w:line="268" w:lineRule="auto"/>
        <w:tabs>
          <w:tab w:leader="none" w:pos="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During the Employment Period, the Company shall pay Executive a base salary at the annual rate of Two Hundred Ninety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($290,000.00)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62" w:lineRule="exact"/>
        <w:rPr>
          <w:rFonts w:ascii="Times New Roman" w:cs="Times New Roman" w:eastAsia="Times New Roman" w:hAnsi="Times New Roman"/>
          <w:sz w:val="18"/>
          <w:szCs w:val="18"/>
          <w:b w:val="1"/>
          <w:bCs w:val="1"/>
          <w:color w:val="auto"/>
        </w:rPr>
      </w:pPr>
    </w:p>
    <w:p>
      <w:pPr>
        <w:ind w:right="60" w:firstLine="233"/>
        <w:spacing w:after="0" w:line="254" w:lineRule="auto"/>
        <w:tabs>
          <w:tab w:leader="none" w:pos="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During the Employment Period, Executive will be entitled to participate in an annual incentive compensation plan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by the Compensation Committee of the Board from time to time. The Executive’s target annual bonus will be sixty percent (60%) of his Base Salary in effect for such year (the “Target Bonus”), and his actual annual bonus may range from 0% to 120% of Base Salary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Executive’s annual bonus for service performed during calendar year 2006 will be prorated between the time spent as Vice-President, Operations for the Company (using the applicable financial and operational performance objectives, salary, and target bonus) and the time spent as President of the Company. The annual bonus for calendar year 2006 will be paid in 2007, if earned, at the same time as similarly situated executive employees of WMI receive or would otherwise receive their bonuses, subject to the terms of the annual incentive program generally applicable to similarly situated employees.</w:t>
      </w:r>
    </w:p>
    <w:p>
      <w:pPr>
        <w:spacing w:after="0" w:line="78" w:lineRule="exact"/>
        <w:rPr>
          <w:rFonts w:ascii="Times New Roman" w:cs="Times New Roman" w:eastAsia="Times New Roman" w:hAnsi="Times New Roman"/>
          <w:sz w:val="18"/>
          <w:szCs w:val="18"/>
          <w:b w:val="1"/>
          <w:bCs w:val="1"/>
          <w:color w:val="auto"/>
        </w:rPr>
      </w:pPr>
    </w:p>
    <w:p>
      <w:pPr>
        <w:ind w:firstLine="233"/>
        <w:spacing w:after="0" w:line="257" w:lineRule="auto"/>
        <w:tabs>
          <w:tab w:leader="none" w:pos="47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 Plans and Vacation. </w:t>
      </w:r>
      <w:r>
        <w:rPr>
          <w:rFonts w:ascii="Times New Roman" w:cs="Times New Roman" w:eastAsia="Times New Roman" w:hAnsi="Times New Roman"/>
          <w:sz w:val="18"/>
          <w:szCs w:val="18"/>
          <w:color w:val="auto"/>
        </w:rPr>
        <w:t>Subject to the terms of such plans, Executive shall be eligible to participate in or receive benefits under any pension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Neither the Company or WMI shall be obligated to institute, maintain, or refrain from changing, amending, or discontinuing any benefit plan, or perquisite, so long as such changes are similarly applicable to similarly situated employees generally. During the Employment Period, Executive shall be entitled to vacation each year in accordance with the Company’s policies in effect from time to time, but in no event less than four (4) weeks paid vacation per calendar year.</w:t>
      </w:r>
    </w:p>
    <w:p>
      <w:pPr>
        <w:spacing w:after="0" w:line="74" w:lineRule="exact"/>
        <w:rPr>
          <w:rFonts w:ascii="Times New Roman" w:cs="Times New Roman" w:eastAsia="Times New Roman" w:hAnsi="Times New Roman"/>
          <w:sz w:val="18"/>
          <w:szCs w:val="18"/>
          <w:b w:val="1"/>
          <w:bCs w:val="1"/>
          <w:color w:val="auto"/>
        </w:rPr>
      </w:pPr>
    </w:p>
    <w:p>
      <w:pPr>
        <w:ind w:right="20" w:firstLine="233"/>
        <w:spacing w:after="0" w:line="286" w:lineRule="auto"/>
        <w:tabs>
          <w:tab w:leader="none" w:pos="49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 </w:t>
      </w:r>
      <w:r>
        <w:rPr>
          <w:rFonts w:ascii="Times New Roman" w:cs="Times New Roman" w:eastAsia="Times New Roman" w:hAnsi="Times New Roman"/>
          <w:sz w:val="18"/>
          <w:szCs w:val="18"/>
          <w:color w:val="auto"/>
        </w:rPr>
        <w:t>The Company shall promptly reimburse Executive for the ordinary and necessary business expenses incurred by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performance of the duties hereunder in accordance with the Company’s customary practices applicable to its executive officers.</w:t>
      </w:r>
    </w:p>
    <w:p>
      <w:pPr>
        <w:spacing w:after="0" w:line="46" w:lineRule="exact"/>
        <w:rPr>
          <w:rFonts w:ascii="Times New Roman" w:cs="Times New Roman" w:eastAsia="Times New Roman" w:hAnsi="Times New Roman"/>
          <w:sz w:val="18"/>
          <w:szCs w:val="18"/>
          <w:b w:val="1"/>
          <w:bCs w:val="1"/>
          <w:color w:val="auto"/>
        </w:rPr>
      </w:pPr>
    </w:p>
    <w:p>
      <w:pPr>
        <w:ind w:right="660" w:firstLine="233"/>
        <w:spacing w:after="0" w:line="286" w:lineRule="auto"/>
        <w:tabs>
          <w:tab w:leader="none" w:pos="47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Perquisites. </w:t>
      </w:r>
      <w:r>
        <w:rPr>
          <w:rFonts w:ascii="Times New Roman" w:cs="Times New Roman" w:eastAsia="Times New Roman" w:hAnsi="Times New Roman"/>
          <w:sz w:val="18"/>
          <w:szCs w:val="18"/>
          <w:color w:val="auto"/>
        </w:rPr>
        <w:t>Executive shall be entitled to all perquisites provided to Senior Vice Presidents of WMI as approved by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of Directors of WMI, and as they may exist from time to time, including the following:</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9" w:name="page10"/>
    <w:bookmarkEnd w:id="9"/>
    <w:p>
      <w:pPr>
        <w:ind w:left="600" w:right="320" w:hanging="436"/>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67" w:lineRule="exact"/>
        <w:rPr>
          <w:rFonts w:ascii="Times New Roman" w:cs="Times New Roman" w:eastAsia="Times New Roman" w:hAnsi="Times New Roman"/>
          <w:sz w:val="18"/>
          <w:szCs w:val="18"/>
          <w:color w:val="auto"/>
        </w:rPr>
      </w:pPr>
    </w:p>
    <w:p>
      <w:pPr>
        <w:ind w:left="600" w:hanging="436"/>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services at actual cost, and not to exceed Fifteen Thousand Dollars ($15,000.00) annually;</w:t>
      </w:r>
    </w:p>
    <w:p>
      <w:pPr>
        <w:spacing w:after="0" w:line="130" w:lineRule="exact"/>
        <w:rPr>
          <w:rFonts w:ascii="Times New Roman" w:cs="Times New Roman" w:eastAsia="Times New Roman" w:hAnsi="Times New Roman"/>
          <w:sz w:val="18"/>
          <w:szCs w:val="18"/>
          <w:color w:val="auto"/>
        </w:rPr>
      </w:pPr>
    </w:p>
    <w:p>
      <w:pPr>
        <w:ind w:left="600" w:right="20" w:hanging="436"/>
        <w:spacing w:after="0" w:line="266"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one-time financial planning services at actual cost, not to exceed $20,000, for services in preparation for voluntary retirement (for such purposes voluntary retirement means retirement from the Company after attainment of both (x) the age of 55 and (y) a sum of years of services with the Company plus age equal to 65 or greater);</w:t>
      </w:r>
    </w:p>
    <w:p>
      <w:pPr>
        <w:spacing w:after="0" w:line="81" w:lineRule="exact"/>
        <w:rPr>
          <w:rFonts w:ascii="Times New Roman" w:cs="Times New Roman" w:eastAsia="Times New Roman" w:hAnsi="Times New Roman"/>
          <w:sz w:val="18"/>
          <w:szCs w:val="18"/>
          <w:color w:val="auto"/>
        </w:rPr>
      </w:pPr>
    </w:p>
    <w:p>
      <w:pPr>
        <w:ind w:left="600" w:right="120" w:hanging="436"/>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67" w:lineRule="exact"/>
        <w:rPr>
          <w:rFonts w:ascii="Times New Roman" w:cs="Times New Roman" w:eastAsia="Times New Roman" w:hAnsi="Times New Roman"/>
          <w:sz w:val="18"/>
          <w:szCs w:val="18"/>
          <w:color w:val="auto"/>
        </w:rPr>
      </w:pPr>
    </w:p>
    <w:p>
      <w:pPr>
        <w:ind w:left="600" w:hanging="436"/>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physical examination on a program designated by the Company.</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5. Termination of Employment.</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420" w:hanging="247"/>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Executive’s employment hereunder shall terminate upon Executive’s death.</w:t>
      </w:r>
    </w:p>
    <w:p>
      <w:pPr>
        <w:spacing w:after="0" w:line="117" w:lineRule="exact"/>
        <w:rPr>
          <w:rFonts w:ascii="Times New Roman" w:cs="Times New Roman" w:eastAsia="Times New Roman" w:hAnsi="Times New Roman"/>
          <w:sz w:val="18"/>
          <w:szCs w:val="18"/>
          <w:b w:val="1"/>
          <w:bCs w:val="1"/>
          <w:color w:val="auto"/>
        </w:rPr>
      </w:pPr>
    </w:p>
    <w:p>
      <w:pPr>
        <w:jc w:val="both"/>
        <w:ind w:left="-60" w:right="60" w:firstLine="233"/>
        <w:spacing w:after="0" w:line="259" w:lineRule="auto"/>
        <w:tabs>
          <w:tab w:leader="none" w:pos="42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Total Disability. </w:t>
      </w:r>
      <w:r>
        <w:rPr>
          <w:rFonts w:ascii="Times New Roman" w:cs="Times New Roman" w:eastAsia="Times New Roman" w:hAnsi="Times New Roman"/>
          <w:sz w:val="18"/>
          <w:szCs w:val="18"/>
          <w:color w:val="auto"/>
        </w:rPr>
        <w:t>The Company may terminate Executive’s employment hereunder upon Executive becoming “Totally Disabled.”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w:t>
      </w:r>
    </w:p>
    <w:p>
      <w:pPr>
        <w:spacing w:after="0" w:line="71" w:lineRule="exact"/>
        <w:rPr>
          <w:rFonts w:ascii="Times New Roman" w:cs="Times New Roman" w:eastAsia="Times New Roman" w:hAnsi="Times New Roman"/>
          <w:sz w:val="18"/>
          <w:szCs w:val="18"/>
          <w:b w:val="1"/>
          <w:bCs w:val="1"/>
          <w:color w:val="auto"/>
        </w:rPr>
      </w:pPr>
    </w:p>
    <w:p>
      <w:pPr>
        <w:ind w:left="-60" w:right="40" w:firstLine="233"/>
        <w:spacing w:after="0" w:line="286" w:lineRule="auto"/>
        <w:tabs>
          <w:tab w:leader="none" w:pos="40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the Company for Cause. </w:t>
      </w:r>
      <w:r>
        <w:rPr>
          <w:rFonts w:ascii="Times New Roman" w:cs="Times New Roman" w:eastAsia="Times New Roman" w:hAnsi="Times New Roman"/>
          <w:sz w:val="18"/>
          <w:szCs w:val="18"/>
          <w:color w:val="auto"/>
        </w:rPr>
        <w:t>The Company may terminate Executive’s employment hereunder for “Cause” at any time after providing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Termination for Cause to Executive.</w:t>
      </w:r>
    </w:p>
    <w:p>
      <w:pPr>
        <w:spacing w:after="0" w:line="50" w:lineRule="exact"/>
        <w:rPr>
          <w:rFonts w:ascii="Times New Roman" w:cs="Times New Roman" w:eastAsia="Times New Roman" w:hAnsi="Times New Roman"/>
          <w:sz w:val="18"/>
          <w:szCs w:val="18"/>
          <w:b w:val="1"/>
          <w:bCs w:val="1"/>
          <w:color w:val="auto"/>
        </w:rPr>
      </w:pPr>
    </w:p>
    <w:p>
      <w:pPr>
        <w:ind w:left="600" w:hanging="436"/>
        <w:spacing w:after="0" w:line="266"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1" w:right="299"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8"/>
          <w:szCs w:val="18"/>
          <w:color w:val="auto"/>
        </w:rPr>
        <w:t>of Executive’s sickness, illness or injury) and Executive fails to cure such nonperformance within ten (10) days of receipt of said written notice;</w:t>
      </w:r>
    </w:p>
    <w:p>
      <w:pPr>
        <w:spacing w:after="0" w:line="27" w:lineRule="exact"/>
        <w:rPr>
          <w:sz w:val="20"/>
          <w:szCs w:val="20"/>
          <w:color w:val="auto"/>
        </w:rPr>
      </w:pPr>
    </w:p>
    <w:p>
      <w:pPr>
        <w:ind w:left="940" w:hanging="290"/>
        <w:spacing w:after="0"/>
        <w:tabs>
          <w:tab w:leader="none" w:pos="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 of any statutory or common law duty of loyalty to the Company; (C) has been convicted of, or pleaded </w:t>
      </w:r>
      <w:r>
        <w:rPr>
          <w:rFonts w:ascii="Times New Roman" w:cs="Times New Roman" w:eastAsia="Times New Roman" w:hAnsi="Times New Roman"/>
          <w:sz w:val="18"/>
          <w:szCs w:val="18"/>
          <w:i w:val="1"/>
          <w:iCs w:val="1"/>
          <w:color w:val="auto"/>
        </w:rPr>
        <w:t>nolo contendre</w:t>
      </w:r>
      <w:r>
        <w:rPr>
          <w:rFonts w:ascii="Times New Roman" w:cs="Times New Roman" w:eastAsia="Times New Roman" w:hAnsi="Times New Roman"/>
          <w:sz w:val="18"/>
          <w:szCs w:val="18"/>
          <w:color w:val="auto"/>
        </w:rPr>
        <w:t xml:space="preserve"> to, any felony;</w:t>
      </w:r>
    </w:p>
    <w:p>
      <w:pPr>
        <w:spacing w:after="0" w:line="9" w:lineRule="exact"/>
        <w:rPr>
          <w:rFonts w:ascii="Times New Roman" w:cs="Times New Roman" w:eastAsia="Times New Roman" w:hAnsi="Times New Roman"/>
          <w:sz w:val="18"/>
          <w:szCs w:val="18"/>
          <w:color w:val="auto"/>
        </w:rPr>
      </w:pPr>
    </w:p>
    <w:p>
      <w:pPr>
        <w:jc w:val="both"/>
        <w:ind w:left="640" w:firstLine="10"/>
        <w:spacing w:after="0" w:line="254" w:lineRule="auto"/>
        <w:tabs>
          <w:tab w:leader="none" w:pos="93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willfully or intentionally caused material injury to the Company, its property, or its assets; (E) disclosed to unauthorized person(s) proprietary or confidential information of the Company; (F) any material violation or a repeated and willful violation of Company policies or procedures, including but not limited to, the Company’s or WMI’s Code of Business Conduct and Ethics (or any successor policy or policies) then in effect; or (G) breach of any of the covenants set forth in Section 10 hereof.</w:t>
      </w:r>
    </w:p>
    <w:p>
      <w:pPr>
        <w:spacing w:after="0" w:line="91" w:lineRule="exact"/>
        <w:rPr>
          <w:rFonts w:ascii="Times New Roman" w:cs="Times New Roman" w:eastAsia="Times New Roman" w:hAnsi="Times New Roman"/>
          <w:sz w:val="18"/>
          <w:szCs w:val="18"/>
          <w:color w:val="auto"/>
        </w:rPr>
      </w:pPr>
    </w:p>
    <w:p>
      <w:pPr>
        <w:ind w:left="640" w:right="40" w:hanging="436"/>
        <w:spacing w:after="0" w:line="266" w:lineRule="auto"/>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w:t>
      </w:r>
    </w:p>
    <w:p>
      <w:pPr>
        <w:spacing w:after="0" w:line="64" w:lineRule="exact"/>
        <w:rPr>
          <w:rFonts w:ascii="Times New Roman" w:cs="Times New Roman" w:eastAsia="Times New Roman" w:hAnsi="Times New Roman"/>
          <w:sz w:val="18"/>
          <w:szCs w:val="18"/>
          <w:color w:val="auto"/>
        </w:rPr>
      </w:pPr>
    </w:p>
    <w:p>
      <w:pPr>
        <w:ind w:left="-20" w:right="280" w:firstLine="233"/>
        <w:spacing w:after="0" w:line="286" w:lineRule="auto"/>
        <w:tabs>
          <w:tab w:leader="none" w:pos="46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Termination by Executive. </w:t>
      </w:r>
      <w:r>
        <w:rPr>
          <w:rFonts w:ascii="Times New Roman" w:cs="Times New Roman" w:eastAsia="Times New Roman" w:hAnsi="Times New Roman"/>
          <w:sz w:val="18"/>
          <w:szCs w:val="18"/>
          <w:color w:val="auto"/>
        </w:rPr>
        <w:t>Executive may terminate his employment hereunder with or without Good Reason at any time upon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w:t>
      </w:r>
    </w:p>
    <w:p>
      <w:pPr>
        <w:spacing w:after="0" w:line="51" w:lineRule="exact"/>
        <w:rPr>
          <w:sz w:val="20"/>
          <w:szCs w:val="20"/>
          <w:color w:val="auto"/>
        </w:rPr>
      </w:pPr>
    </w:p>
    <w:p>
      <w:pPr>
        <w:ind w:left="640" w:right="40" w:hanging="436"/>
        <w:spacing w:after="0" w:line="25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the equivalent of a Senior Vice-President of WMI or such other successor entity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or WMI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then business office location.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1" w:right="259" w:bottom="1440" w:gutter="0" w:footer="0" w:header="0"/>
        </w:sectPr>
      </w:pPr>
    </w:p>
    <w:bookmarkStart w:id="11" w:name="page12"/>
    <w:bookmarkEnd w:id="11"/>
    <w:p>
      <w:pPr>
        <w:ind w:left="660" w:right="20" w:hanging="436"/>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77" w:lineRule="exact"/>
        <w:rPr>
          <w:sz w:val="20"/>
          <w:szCs w:val="20"/>
          <w:color w:val="auto"/>
        </w:rPr>
      </w:pPr>
    </w:p>
    <w:p>
      <w:pPr>
        <w:ind w:right="400" w:firstLine="233"/>
        <w:spacing w:after="0" w:line="286" w:lineRule="auto"/>
        <w:tabs>
          <w:tab w:leader="none" w:pos="46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the Company without Cause. </w:t>
      </w:r>
      <w:r>
        <w:rPr>
          <w:rFonts w:ascii="Times New Roman" w:cs="Times New Roman" w:eastAsia="Times New Roman" w:hAnsi="Times New Roman"/>
          <w:sz w:val="18"/>
          <w:szCs w:val="18"/>
          <w:color w:val="auto"/>
        </w:rPr>
        <w:t>The Company may terminate Executive’s employment hereunder without Cause at any time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Executive.</w:t>
      </w:r>
    </w:p>
    <w:p>
      <w:pPr>
        <w:spacing w:after="0" w:line="46" w:lineRule="exact"/>
        <w:rPr>
          <w:rFonts w:ascii="Times New Roman" w:cs="Times New Roman" w:eastAsia="Times New Roman" w:hAnsi="Times New Roman"/>
          <w:sz w:val="18"/>
          <w:szCs w:val="18"/>
          <w:b w:val="1"/>
          <w:bCs w:val="1"/>
          <w:color w:val="auto"/>
        </w:rPr>
      </w:pPr>
    </w:p>
    <w:p>
      <w:pPr>
        <w:ind w:right="380" w:firstLine="233"/>
        <w:spacing w:after="0" w:line="286" w:lineRule="auto"/>
        <w:tabs>
          <w:tab w:leader="none" w:pos="45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Termination. </w:t>
      </w:r>
      <w:r>
        <w:rPr>
          <w:rFonts w:ascii="Times New Roman" w:cs="Times New Roman" w:eastAsia="Times New Roman" w:hAnsi="Times New Roman"/>
          <w:sz w:val="18"/>
          <w:szCs w:val="18"/>
          <w:color w:val="auto"/>
        </w:rPr>
        <w:t>Upon any termination of employment for any reason, Executive shall immediately resign from all Board memberships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positions with the Company or any of its subsidiaries held by him at such time.</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6. Compensation Following Termination of Employment.</w:t>
      </w:r>
    </w:p>
    <w:p>
      <w:pPr>
        <w:spacing w:after="0" w:line="121" w:lineRule="exact"/>
        <w:rPr>
          <w:sz w:val="20"/>
          <w:szCs w:val="20"/>
          <w:color w:val="auto"/>
        </w:rPr>
      </w:pPr>
    </w:p>
    <w:p>
      <w:pPr>
        <w:ind w:right="320" w:firstLine="225"/>
        <w:spacing w:after="0" w:line="266" w:lineRule="auto"/>
        <w:rPr>
          <w:sz w:val="20"/>
          <w:szCs w:val="20"/>
          <w:color w:val="auto"/>
        </w:rPr>
      </w:pPr>
      <w:r>
        <w:rPr>
          <w:rFonts w:ascii="Times New Roman" w:cs="Times New Roman" w:eastAsia="Times New Roman" w:hAnsi="Times New Roman"/>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23, as applicable to the form of termination:</w:t>
      </w:r>
    </w:p>
    <w:p>
      <w:pPr>
        <w:spacing w:after="0" w:line="64" w:lineRule="exact"/>
        <w:rPr>
          <w:sz w:val="20"/>
          <w:szCs w:val="20"/>
          <w:color w:val="auto"/>
        </w:rPr>
      </w:pPr>
    </w:p>
    <w:p>
      <w:pPr>
        <w:ind w:right="120" w:firstLine="233"/>
        <w:spacing w:after="0" w:line="286" w:lineRule="auto"/>
        <w:tabs>
          <w:tab w:leader="none" w:pos="47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Reason of Death. </w:t>
      </w:r>
      <w:r>
        <w:rPr>
          <w:rFonts w:ascii="Times New Roman" w:cs="Times New Roman" w:eastAsia="Times New Roman" w:hAnsi="Times New Roman"/>
          <w:sz w:val="18"/>
          <w:szCs w:val="18"/>
          <w:color w:val="auto"/>
        </w:rPr>
        <w:t>In the event that Executive’s employment is terminated by reason of Executive’s death, the Company shall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amounts to Executive’s beneficiary or estate:</w:t>
      </w:r>
    </w:p>
    <w:p>
      <w:pPr>
        <w:spacing w:after="0" w:line="50" w:lineRule="exact"/>
        <w:rPr>
          <w:rFonts w:ascii="Times New Roman" w:cs="Times New Roman" w:eastAsia="Times New Roman" w:hAnsi="Times New Roman"/>
          <w:sz w:val="18"/>
          <w:szCs w:val="18"/>
          <w:b w:val="1"/>
          <w:bCs w:val="1"/>
          <w:color w:val="auto"/>
        </w:rPr>
      </w:pPr>
    </w:p>
    <w:p>
      <w:pPr>
        <w:ind w:left="660" w:right="20" w:hanging="436"/>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85" w:lineRule="exact"/>
        <w:rPr>
          <w:rFonts w:ascii="Times New Roman" w:cs="Times New Roman" w:eastAsia="Times New Roman" w:hAnsi="Times New Roman"/>
          <w:sz w:val="18"/>
          <w:szCs w:val="18"/>
          <w:color w:val="auto"/>
        </w:rPr>
      </w:pPr>
    </w:p>
    <w:p>
      <w:pPr>
        <w:ind w:left="660" w:hanging="436"/>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4(c) hereof), as determined and paid in accordance with the terms of such plans, policies and arrangements.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ind w:left="-60" w:right="160" w:firstLine="233"/>
        <w:spacing w:after="0" w:line="286" w:lineRule="auto"/>
        <w:tabs>
          <w:tab w:leader="none" w:pos="42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Reason of Total Disability. </w:t>
      </w:r>
      <w:r>
        <w:rPr>
          <w:rFonts w:ascii="Times New Roman" w:cs="Times New Roman" w:eastAsia="Times New Roman" w:hAnsi="Times New Roman"/>
          <w:sz w:val="18"/>
          <w:szCs w:val="18"/>
          <w:color w:val="auto"/>
        </w:rPr>
        <w:t>In the event that Executive’s employment is terminated by the Company by reason of Executive’s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(as determined in accordance with Section 5(b)), the Company shall pay the following amounts to Executive:</w:t>
      </w:r>
    </w:p>
    <w:p>
      <w:pPr>
        <w:spacing w:after="0" w:line="50" w:lineRule="exact"/>
        <w:rPr>
          <w:rFonts w:ascii="Times New Roman" w:cs="Times New Roman" w:eastAsia="Times New Roman" w:hAnsi="Times New Roman"/>
          <w:sz w:val="18"/>
          <w:szCs w:val="18"/>
          <w:b w:val="1"/>
          <w:bCs w:val="1"/>
          <w:color w:val="auto"/>
        </w:rPr>
      </w:pPr>
    </w:p>
    <w:p>
      <w:pPr>
        <w:jc w:val="both"/>
        <w:ind w:left="600" w:right="300" w:hanging="436"/>
        <w:spacing w:after="0" w:line="261" w:lineRule="auto"/>
        <w:tabs>
          <w:tab w:leader="none" w:pos="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WMI for the year in which Executive is terminated, and to the extent not otherwise paid to the Executive.</w:t>
      </w:r>
    </w:p>
    <w:p>
      <w:pPr>
        <w:spacing w:after="0" w:line="85" w:lineRule="exact"/>
        <w:rPr>
          <w:rFonts w:ascii="Times New Roman" w:cs="Times New Roman" w:eastAsia="Times New Roman" w:hAnsi="Times New Roman"/>
          <w:sz w:val="18"/>
          <w:szCs w:val="18"/>
          <w:color w:val="auto"/>
        </w:rPr>
      </w:pPr>
    </w:p>
    <w:p>
      <w:pPr>
        <w:ind w:left="600" w:hanging="436"/>
        <w:spacing w:after="0" w:line="282" w:lineRule="auto"/>
        <w:tabs>
          <w:tab w:leader="none" w:pos="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4(c) hereof) shall be determined and paid in accordance with the terms of such plans, policies and arrangements.</w:t>
      </w:r>
    </w:p>
    <w:p>
      <w:pPr>
        <w:spacing w:after="0" w:line="49" w:lineRule="exact"/>
        <w:rPr>
          <w:rFonts w:ascii="Times New Roman" w:cs="Times New Roman" w:eastAsia="Times New Roman" w:hAnsi="Times New Roman"/>
          <w:sz w:val="18"/>
          <w:szCs w:val="18"/>
          <w:color w:val="auto"/>
        </w:rPr>
      </w:pPr>
    </w:p>
    <w:p>
      <w:pPr>
        <w:ind w:left="-60" w:right="360" w:firstLine="233"/>
        <w:spacing w:after="0" w:line="286" w:lineRule="auto"/>
        <w:tabs>
          <w:tab w:leader="none" w:pos="407"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In the event that Executive’s employment is terminated by the Company for Cause, the Company shall pay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to Executive:</w:t>
      </w:r>
    </w:p>
    <w:p>
      <w:pPr>
        <w:spacing w:after="0" w:line="51" w:lineRule="exact"/>
        <w:rPr>
          <w:sz w:val="20"/>
          <w:szCs w:val="20"/>
          <w:color w:val="auto"/>
        </w:rPr>
      </w:pPr>
    </w:p>
    <w:p>
      <w:pPr>
        <w:ind w:left="600" w:right="300" w:hanging="436"/>
        <w:spacing w:after="0" w:line="282"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67" w:lineRule="exact"/>
        <w:rPr>
          <w:rFonts w:ascii="Times New Roman" w:cs="Times New Roman" w:eastAsia="Times New Roman" w:hAnsi="Times New Roman"/>
          <w:sz w:val="18"/>
          <w:szCs w:val="18"/>
          <w:color w:val="auto"/>
        </w:rPr>
      </w:pPr>
    </w:p>
    <w:p>
      <w:pPr>
        <w:ind w:left="600" w:right="60" w:hanging="436"/>
        <w:spacing w:after="0" w:line="282"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49" w:lineRule="exact"/>
        <w:rPr>
          <w:rFonts w:ascii="Times New Roman" w:cs="Times New Roman" w:eastAsia="Times New Roman" w:hAnsi="Times New Roman"/>
          <w:sz w:val="18"/>
          <w:szCs w:val="18"/>
          <w:color w:val="auto"/>
        </w:rPr>
      </w:pPr>
    </w:p>
    <w:p>
      <w:pPr>
        <w:ind w:left="-60" w:firstLine="233"/>
        <w:spacing w:after="0" w:line="286" w:lineRule="auto"/>
        <w:tabs>
          <w:tab w:leader="none" w:pos="427"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Termination by Executive. </w:t>
      </w:r>
      <w:r>
        <w:rPr>
          <w:rFonts w:ascii="Times New Roman" w:cs="Times New Roman" w:eastAsia="Times New Roman" w:hAnsi="Times New Roman"/>
          <w:sz w:val="18"/>
          <w:szCs w:val="18"/>
          <w:color w:val="auto"/>
        </w:rPr>
        <w:t>In the event that Executive voluntarily terminates employment other than for Good Reason,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the following amounts to Executive:</w:t>
      </w:r>
    </w:p>
    <w:p>
      <w:pPr>
        <w:spacing w:after="0" w:line="51" w:lineRule="exact"/>
        <w:rPr>
          <w:sz w:val="20"/>
          <w:szCs w:val="20"/>
          <w:color w:val="auto"/>
        </w:rPr>
      </w:pPr>
    </w:p>
    <w:p>
      <w:pPr>
        <w:ind w:left="600" w:right="300" w:hanging="436"/>
        <w:spacing w:after="0" w:line="282"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67" w:lineRule="exact"/>
        <w:rPr>
          <w:rFonts w:ascii="Times New Roman" w:cs="Times New Roman" w:eastAsia="Times New Roman" w:hAnsi="Times New Roman"/>
          <w:sz w:val="18"/>
          <w:szCs w:val="18"/>
          <w:color w:val="auto"/>
        </w:rPr>
      </w:pPr>
    </w:p>
    <w:p>
      <w:pPr>
        <w:ind w:left="600" w:right="60" w:hanging="436"/>
        <w:spacing w:after="0" w:line="282"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27" w:right="279" w:bottom="1440" w:gutter="0" w:footer="0" w:header="0"/>
        </w:sectPr>
      </w:pPr>
    </w:p>
    <w:bookmarkStart w:id="13" w:name="page14"/>
    <w:bookmarkEnd w:id="13"/>
    <w:p>
      <w:pPr>
        <w:ind w:left="-20" w:right="180" w:firstLine="233"/>
        <w:spacing w:after="0" w:line="262" w:lineRule="auto"/>
        <w:tabs>
          <w:tab w:leader="none" w:pos="447"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the Company Without Cause Outside a Change in Control Period; Termination by Executive for Good Reason Outside a Change in Control Period. </w:t>
      </w:r>
      <w:r>
        <w:rPr>
          <w:rFonts w:ascii="Times New Roman" w:cs="Times New Roman" w:eastAsia="Times New Roman" w:hAnsi="Times New Roman"/>
          <w:sz w:val="18"/>
          <w:szCs w:val="18"/>
          <w:color w:val="auto"/>
        </w:rPr>
        <w:t>In the event that Executive’s employment is terminated by the Company outside a Change in Control Period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72" w:lineRule="exact"/>
        <w:rPr>
          <w:rFonts w:ascii="Times New Roman" w:cs="Times New Roman" w:eastAsia="Times New Roman" w:hAnsi="Times New Roman"/>
          <w:sz w:val="18"/>
          <w:szCs w:val="18"/>
          <w:b w:val="1"/>
          <w:bCs w:val="1"/>
          <w:color w:val="auto"/>
        </w:rPr>
      </w:pPr>
    </w:p>
    <w:p>
      <w:pPr>
        <w:ind w:left="640" w:right="320" w:hanging="436"/>
        <w:spacing w:after="0" w:line="282" w:lineRule="auto"/>
        <w:tabs>
          <w:tab w:leader="none" w:pos="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67" w:lineRule="exact"/>
        <w:rPr>
          <w:rFonts w:ascii="Times New Roman" w:cs="Times New Roman" w:eastAsia="Times New Roman" w:hAnsi="Times New Roman"/>
          <w:sz w:val="18"/>
          <w:szCs w:val="18"/>
          <w:color w:val="auto"/>
        </w:rPr>
      </w:pPr>
    </w:p>
    <w:p>
      <w:pPr>
        <w:ind w:left="640" w:right="700" w:hanging="436"/>
        <w:spacing w:after="0" w:line="282"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67" w:lineRule="exact"/>
        <w:rPr>
          <w:rFonts w:ascii="Times New Roman" w:cs="Times New Roman" w:eastAsia="Times New Roman" w:hAnsi="Times New Roman"/>
          <w:sz w:val="18"/>
          <w:szCs w:val="18"/>
          <w:color w:val="auto"/>
        </w:rPr>
      </w:pPr>
    </w:p>
    <w:p>
      <w:pPr>
        <w:jc w:val="both"/>
        <w:ind w:left="640" w:right="100" w:hanging="436"/>
        <w:spacing w:after="0" w:line="261"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85" w:lineRule="exact"/>
        <w:rPr>
          <w:rFonts w:ascii="Times New Roman" w:cs="Times New Roman" w:eastAsia="Times New Roman" w:hAnsi="Times New Roman"/>
          <w:sz w:val="18"/>
          <w:szCs w:val="18"/>
          <w:color w:val="auto"/>
        </w:rPr>
      </w:pPr>
    </w:p>
    <w:p>
      <w:pPr>
        <w:ind w:left="640" w:hanging="436"/>
        <w:spacing w:after="0" w:line="254"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94" w:lineRule="exact"/>
        <w:rPr>
          <w:rFonts w:ascii="Times New Roman" w:cs="Times New Roman" w:eastAsia="Times New Roman" w:hAnsi="Times New Roman"/>
          <w:sz w:val="18"/>
          <w:szCs w:val="18"/>
          <w:color w:val="auto"/>
        </w:rPr>
      </w:pPr>
    </w:p>
    <w:p>
      <w:pPr>
        <w:ind w:left="640" w:hanging="436"/>
        <w:spacing w:after="0" w:line="266"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27" w:right="259" w:bottom="1440" w:gutter="0" w:footer="0" w:header="0"/>
        </w:sectPr>
      </w:pPr>
    </w:p>
    <w:bookmarkStart w:id="14" w:name="page15"/>
    <w:bookmarkEnd w:id="14"/>
    <w:p>
      <w:pPr>
        <w:ind w:left="-40" w:right="20" w:firstLine="233"/>
        <w:spacing w:after="0" w:line="268" w:lineRule="auto"/>
        <w:tabs>
          <w:tab w:leader="none" w:pos="41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Suspension and Refund of Termination Benefits for Subsequently Discovered Cause. </w:t>
      </w:r>
      <w:r>
        <w:rPr>
          <w:rFonts w:ascii="Times New Roman" w:cs="Times New Roman" w:eastAsia="Times New Roman" w:hAnsi="Times New Roman"/>
          <w:sz w:val="18"/>
          <w:szCs w:val="18"/>
          <w:color w:val="auto"/>
        </w:rPr>
        <w:t>Notwithstanding any provision of this Agreement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66" w:lineRule="exact"/>
        <w:rPr>
          <w:rFonts w:ascii="Times New Roman" w:cs="Times New Roman" w:eastAsia="Times New Roman" w:hAnsi="Times New Roman"/>
          <w:sz w:val="18"/>
          <w:szCs w:val="18"/>
          <w:b w:val="1"/>
          <w:bCs w:val="1"/>
          <w:color w:val="auto"/>
        </w:rPr>
      </w:pPr>
    </w:p>
    <w:p>
      <w:pPr>
        <w:ind w:left="620" w:right="40" w:hanging="436"/>
        <w:spacing w:after="0" w:line="282" w:lineRule="auto"/>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WMI may elect to cancel any and all payments of any benefits otherwise due Executive, but not yet paid, under this Agreement or otherwise; and</w:t>
      </w:r>
    </w:p>
    <w:p>
      <w:pPr>
        <w:spacing w:after="0" w:line="67" w:lineRule="exact"/>
        <w:rPr>
          <w:rFonts w:ascii="Times New Roman" w:cs="Times New Roman" w:eastAsia="Times New Roman" w:hAnsi="Times New Roman"/>
          <w:sz w:val="18"/>
          <w:szCs w:val="18"/>
          <w:color w:val="auto"/>
        </w:rPr>
      </w:pPr>
    </w:p>
    <w:p>
      <w:pPr>
        <w:ind w:left="620" w:right="240" w:hanging="436"/>
        <w:spacing w:after="0" w:line="282" w:lineRule="auto"/>
        <w:tabs>
          <w:tab w:leader="none" w:pos="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refund to the Company and/or WMI any amounts, plus interest, previously paid by Company to Executive pursuant to Subsections 6(e)(iii), 6(e)(iv) or 6(e)(v).</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7. Resignation by Executive for Good Reason or Termination by Company Without Cause During a Change in Control Period.</w:t>
      </w:r>
    </w:p>
    <w:p>
      <w:pPr>
        <w:spacing w:after="0" w:line="117" w:lineRule="exact"/>
        <w:rPr>
          <w:sz w:val="20"/>
          <w:szCs w:val="20"/>
          <w:color w:val="auto"/>
        </w:rPr>
      </w:pPr>
    </w:p>
    <w:p>
      <w:pPr>
        <w:ind w:left="-40" w:firstLine="233"/>
        <w:spacing w:after="0" w:line="262" w:lineRule="auto"/>
        <w:tabs>
          <w:tab w:leader="none" w:pos="44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Terminations During a Change in Control Period. </w:t>
      </w:r>
      <w:r>
        <w:rPr>
          <w:rFonts w:ascii="Times New Roman" w:cs="Times New Roman" w:eastAsia="Times New Roman" w:hAnsi="Times New Roman"/>
          <w:sz w:val="18"/>
          <w:szCs w:val="18"/>
          <w:color w:val="auto"/>
        </w:rPr>
        <w:t>Subject to potential reduction as may be required by Section 23, in the event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occurs and (x) Executive terminates his employment for 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72" w:lineRule="exact"/>
        <w:rPr>
          <w:rFonts w:ascii="Times New Roman" w:cs="Times New Roman" w:eastAsia="Times New Roman" w:hAnsi="Times New Roman"/>
          <w:sz w:val="18"/>
          <w:szCs w:val="18"/>
          <w:b w:val="1"/>
          <w:bCs w:val="1"/>
          <w:color w:val="auto"/>
        </w:rPr>
      </w:pPr>
    </w:p>
    <w:p>
      <w:pPr>
        <w:ind w:left="620" w:right="640" w:hanging="436"/>
        <w:spacing w:after="0" w:line="266" w:lineRule="auto"/>
        <w:tabs>
          <w:tab w:leader="none" w:pos="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81" w:lineRule="exact"/>
        <w:rPr>
          <w:rFonts w:ascii="Times New Roman" w:cs="Times New Roman" w:eastAsia="Times New Roman" w:hAnsi="Times New Roman"/>
          <w:sz w:val="18"/>
          <w:szCs w:val="18"/>
          <w:color w:val="auto"/>
        </w:rPr>
      </w:pPr>
    </w:p>
    <w:p>
      <w:pPr>
        <w:ind w:left="620" w:hanging="436"/>
        <w:spacing w:after="0" w:line="256" w:lineRule="auto"/>
        <w:tabs>
          <w:tab w:leader="none" w:pos="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75" w:lineRule="exact"/>
        <w:rPr>
          <w:rFonts w:ascii="Times New Roman" w:cs="Times New Roman" w:eastAsia="Times New Roman" w:hAnsi="Times New Roman"/>
          <w:sz w:val="18"/>
          <w:szCs w:val="18"/>
          <w:color w:val="auto"/>
        </w:rPr>
      </w:pPr>
    </w:p>
    <w:p>
      <w:pPr>
        <w:ind w:left="460" w:hanging="267"/>
        <w:spacing w:after="0"/>
        <w:tabs>
          <w:tab w:leader="none" w:pos="46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620" w:right="540" w:hanging="436"/>
        <w:spacing w:after="0" w:line="28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“Change in Control” means the first to occur on or after the date on which this Agreement is first signed, the occurrence of any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27" w:right="259" w:bottom="1440" w:gutter="0" w:footer="0" w:header="0"/>
        </w:sectPr>
      </w:pPr>
    </w:p>
    <w:bookmarkStart w:id="15" w:name="page16"/>
    <w:bookmarkEnd w:id="15"/>
    <w:p>
      <w:pPr>
        <w:ind w:left="212"/>
        <w:spacing w:after="0"/>
        <w:rPr>
          <w:sz w:val="20"/>
          <w:szCs w:val="20"/>
          <w:color w:val="auto"/>
        </w:rPr>
      </w:pPr>
      <w:r>
        <w:rPr>
          <w:rFonts w:ascii="Times New Roman" w:cs="Times New Roman" w:eastAsia="Times New Roman" w:hAnsi="Times New Roman"/>
          <w:sz w:val="18"/>
          <w:szCs w:val="18"/>
          <w:color w:val="auto"/>
        </w:rPr>
        <w:t>the following events:</w:t>
      </w:r>
    </w:p>
    <w:p>
      <w:pPr>
        <w:spacing w:after="0" w:line="117" w:lineRule="exact"/>
        <w:rPr>
          <w:sz w:val="20"/>
          <w:szCs w:val="20"/>
          <w:color w:val="auto"/>
        </w:rPr>
      </w:pPr>
    </w:p>
    <w:p>
      <w:pPr>
        <w:ind w:left="232" w:right="380" w:hanging="4"/>
        <w:spacing w:after="0" w:line="282" w:lineRule="auto"/>
        <w:tabs>
          <w:tab w:leader="none" w:pos="52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directly or indirectly, of securities of WMI representing twenty-five percent (25%) or more of the combined voting power of WMI’s then outstanding voting securities;</w:t>
      </w:r>
    </w:p>
    <w:p>
      <w:pPr>
        <w:spacing w:after="0" w:line="53" w:lineRule="exact"/>
        <w:rPr>
          <w:rFonts w:ascii="Times New Roman" w:cs="Times New Roman" w:eastAsia="Times New Roman" w:hAnsi="Times New Roman"/>
          <w:sz w:val="18"/>
          <w:szCs w:val="18"/>
          <w:color w:val="auto"/>
        </w:rPr>
      </w:pPr>
    </w:p>
    <w:p>
      <w:pPr>
        <w:ind w:left="232" w:hanging="4"/>
        <w:spacing w:after="0" w:line="256" w:lineRule="auto"/>
        <w:tabs>
          <w:tab w:leader="none" w:pos="5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on the Commencement Date, constitute the Board of Directors of WMI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79" w:lineRule="exact"/>
        <w:rPr>
          <w:rFonts w:ascii="Times New Roman" w:cs="Times New Roman" w:eastAsia="Times New Roman" w:hAnsi="Times New Roman"/>
          <w:sz w:val="18"/>
          <w:szCs w:val="18"/>
          <w:color w:val="auto"/>
        </w:rPr>
      </w:pPr>
    </w:p>
    <w:p>
      <w:pPr>
        <w:ind w:left="232" w:right="80" w:hanging="4"/>
        <w:spacing w:after="0" w:line="255" w:lineRule="auto"/>
        <w:tabs>
          <w:tab w:leader="none" w:pos="5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consummated merger or consolidation of the Company pursuant to which no securities of the Company are owned by WMI or its direct or indirect subsidiaries, or a merger or consolidation of WMI or any direct or indirect subsidiary of WMI (other than the Company) with any other corporation, other than (1) a merger or consolidation which would result in the voting securities of WMI outstanding immediately prior thereto continuing to represent (either by remaining outstanding or by being converted into voting securities of the surviving or parent entity) more than fifty percent (50%) of the combined voting power of the voting securities of WMI or such surviving or parent entity outstanding immediately after such merger or consolidation or (2) a merger or consolidation effected to implement a recapitalization of WMI (or similar transaction) in which no Person, directly or indirectly, acquired twenty-five percent (25%) or more of the combined voting power of the WMI’s then outstanding securities; or</w:t>
      </w:r>
    </w:p>
    <w:p>
      <w:pPr>
        <w:spacing w:after="0" w:line="81" w:lineRule="exact"/>
        <w:rPr>
          <w:rFonts w:ascii="Times New Roman" w:cs="Times New Roman" w:eastAsia="Times New Roman" w:hAnsi="Times New Roman"/>
          <w:sz w:val="18"/>
          <w:szCs w:val="18"/>
          <w:color w:val="auto"/>
        </w:rPr>
      </w:pPr>
    </w:p>
    <w:p>
      <w:pPr>
        <w:ind w:left="232" w:right="120" w:hanging="4"/>
        <w:spacing w:after="0" w:line="258" w:lineRule="auto"/>
        <w:tabs>
          <w:tab w:leader="none" w:pos="52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WMI approve a plan of complete liquidation of the Company or WMI or there is consummated an agreement for the sale or disposition by the Company of all or substantially all of the Company’s or WMI’s assets (or any transaction having a similar effect), other than a sale or disposition by the Company or WMI of all or substantially all of the Company’s or WMI’s assets to an entity, at least fifty percent (50%) of the combined voting power of the voting securities of which are owned by stockholders of the Company and/or WMI in substantially the same proportions as their ownership of the Company and/or WMI immediately prior to such sale.</w:t>
      </w:r>
    </w:p>
    <w:p>
      <w:pPr>
        <w:spacing w:after="0" w:line="7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“Beneficial Owner” shall have the meaning set forth in Rule 13d-3 under the Exchange Act;</w:t>
      </w:r>
    </w:p>
    <w:p>
      <w:pPr>
        <w:spacing w:after="0" w:line="130"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“Change in Control Period” means the period</w:t>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16" w:name="page17"/>
    <w:bookmarkEnd w:id="16"/>
    <w:p>
      <w:pPr>
        <w:ind w:left="372" w:right="40"/>
        <w:spacing w:after="0" w:line="282" w:lineRule="auto"/>
        <w:rPr>
          <w:sz w:val="20"/>
          <w:szCs w:val="20"/>
          <w:color w:val="auto"/>
        </w:rPr>
      </w:pPr>
      <w:r>
        <w:rPr>
          <w:rFonts w:ascii="Times New Roman" w:cs="Times New Roman" w:eastAsia="Times New Roman" w:hAnsi="Times New Roman"/>
          <w:sz w:val="18"/>
          <w:szCs w:val="18"/>
          <w:color w:val="auto"/>
        </w:rPr>
        <w:t>commencing on the date occurring six months immediately prior to the date on which a Change in Control occurs and ending on the second anniversary of the date on which a Change in Control occurs.</w:t>
      </w:r>
    </w:p>
    <w:p>
      <w:pPr>
        <w:spacing w:after="0" w:line="67" w:lineRule="exact"/>
        <w:rPr>
          <w:sz w:val="20"/>
          <w:szCs w:val="20"/>
          <w:color w:val="auto"/>
        </w:rPr>
      </w:pPr>
    </w:p>
    <w:p>
      <w:pPr>
        <w:ind w:left="372" w:hanging="372"/>
        <w:spacing w:after="0"/>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“Exchange Act’ means the Securities and Exchange Act of 1934, as amended from time to time;</w:t>
      </w:r>
    </w:p>
    <w:p>
      <w:pPr>
        <w:spacing w:after="0" w:line="130" w:lineRule="exact"/>
        <w:rPr>
          <w:rFonts w:ascii="Times New Roman" w:cs="Times New Roman" w:eastAsia="Times New Roman" w:hAnsi="Times New Roman"/>
          <w:sz w:val="18"/>
          <w:szCs w:val="18"/>
          <w:color w:val="auto"/>
        </w:rPr>
      </w:pPr>
    </w:p>
    <w:p>
      <w:pPr>
        <w:ind w:left="372" w:hanging="372"/>
        <w:spacing w:after="0" w:line="258" w:lineRule="auto"/>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“Person” shall have the meaning set forth in Section 3(a)(9) of the Exchange Act, as modified and used in Sections 13(d) and 14(d) thereof, except that such term shall not include (1) the Company or WMI, (2) a trustee or other fiduciary holding securities under an employee benefit plan of the Company or WMI, (3) an employee benefit plan of the Company or WMI, (4) an underwriter temporarily holding securities pursuant to an offering of such securities or (5) a corporation owned, directly or indirectly, by the stockholders of WMI in substantially the same proportions as their ownership of shares of common stock of WMI.</w:t>
      </w:r>
    </w:p>
    <w:p>
      <w:pPr>
        <w:spacing w:after="0" w:line="89" w:lineRule="exact"/>
        <w:rPr>
          <w:rFonts w:ascii="Times New Roman" w:cs="Times New Roman" w:eastAsia="Times New Roman" w:hAnsi="Times New Roman"/>
          <w:sz w:val="18"/>
          <w:szCs w:val="18"/>
          <w:color w:val="auto"/>
        </w:rPr>
      </w:pPr>
    </w:p>
    <w:p>
      <w:pPr>
        <w:ind w:left="372" w:right="20" w:hanging="372"/>
        <w:spacing w:after="0" w:line="258" w:lineRule="auto"/>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WMI, the Company and their respective subsidiaries, affiliates and related parties from any and all causes of action which Executive at that time had or may have had against the Company, WMI or any related party (excluding any claim for indemnity under this Agreement, any claim under state workers’ compensation or unemployment laws, or any claim under COBRA).</w:t>
      </w:r>
    </w:p>
    <w:p>
      <w:pPr>
        <w:spacing w:after="0" w:line="71" w:lineRule="exact"/>
        <w:rPr>
          <w:rFonts w:ascii="Times New Roman" w:cs="Times New Roman" w:eastAsia="Times New Roman" w:hAnsi="Times New Roman"/>
          <w:sz w:val="18"/>
          <w:szCs w:val="18"/>
          <w:color w:val="auto"/>
        </w:rPr>
      </w:pPr>
    </w:p>
    <w:p>
      <w:pPr>
        <w:jc w:val="both"/>
        <w:ind w:left="-8" w:right="60" w:firstLine="233"/>
        <w:spacing w:after="0" w:line="268" w:lineRule="auto"/>
        <w:tabs>
          <w:tab w:leader="none" w:pos="397"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Other Benefits or Compensation. </w:t>
      </w:r>
      <w:r>
        <w:rPr>
          <w:rFonts w:ascii="Times New Roman" w:cs="Times New Roman" w:eastAsia="Times New Roman" w:hAnsi="Times New Roman"/>
          <w:sz w:val="18"/>
          <w:szCs w:val="18"/>
          <w:color w:val="auto"/>
        </w:rPr>
        <w:t>Except as may be provided under this Agreement, or under the terms of any incentive compensation,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62" w:lineRule="exact"/>
        <w:rPr>
          <w:rFonts w:ascii="Times New Roman" w:cs="Times New Roman" w:eastAsia="Times New Roman" w:hAnsi="Times New Roman"/>
          <w:sz w:val="18"/>
          <w:szCs w:val="18"/>
          <w:b w:val="1"/>
          <w:bCs w:val="1"/>
          <w:color w:val="auto"/>
        </w:rPr>
      </w:pPr>
    </w:p>
    <w:p>
      <w:pPr>
        <w:ind w:left="-8" w:right="20" w:firstLine="233"/>
        <w:spacing w:after="0" w:line="259" w:lineRule="auto"/>
        <w:tabs>
          <w:tab w:leader="none" w:pos="397"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Mitigation; No Set-Off. </w:t>
      </w:r>
      <w:r>
        <w:rPr>
          <w:rFonts w:ascii="Times New Roman" w:cs="Times New Roman" w:eastAsia="Times New Roman" w:hAnsi="Times New Roman"/>
          <w:sz w:val="18"/>
          <w:szCs w:val="18"/>
          <w:color w:val="auto"/>
        </w:rPr>
        <w:t>In the event of any termination of employment hereunder, Executive shall be under no obligation to seek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79" w:lineRule="exact"/>
        <w:rPr>
          <w:rFonts w:ascii="Times New Roman" w:cs="Times New Roman" w:eastAsia="Times New Roman" w:hAnsi="Times New Roman"/>
          <w:sz w:val="18"/>
          <w:szCs w:val="18"/>
          <w:b w:val="1"/>
          <w:bCs w:val="1"/>
          <w:color w:val="auto"/>
        </w:rPr>
      </w:pPr>
    </w:p>
    <w:p>
      <w:pPr>
        <w:ind w:left="492" w:hanging="267"/>
        <w:spacing w:after="0"/>
        <w:tabs>
          <w:tab w:leader="none" w:pos="492"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8" w:right="280" w:firstLine="233"/>
        <w:spacing w:after="0" w:line="286" w:lineRule="auto"/>
        <w:tabs>
          <w:tab w:leader="none" w:pos="47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Property</w:t>
      </w:r>
      <w:r>
        <w:rPr>
          <w:rFonts w:ascii="Times New Roman" w:cs="Times New Roman" w:eastAsia="Times New Roman" w:hAnsi="Times New Roman"/>
          <w:sz w:val="18"/>
          <w:szCs w:val="18"/>
          <w:color w:val="auto"/>
        </w:rPr>
        <w:t>. All written materials, records, data, and other documents prepared or possessed by Executive during Executive’s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are the Company’s property. All information, ideas, concepts, improvements, discoveries, and</w:t>
      </w:r>
    </w:p>
    <w:p>
      <w:pPr>
        <w:spacing w:after="0" w:line="1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1" w:right="27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t>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76" w:lineRule="exact"/>
        <w:rPr>
          <w:sz w:val="20"/>
          <w:szCs w:val="20"/>
          <w:color w:val="auto"/>
        </w:rPr>
      </w:pPr>
    </w:p>
    <w:p>
      <w:pPr>
        <w:ind w:right="200" w:firstLine="233"/>
        <w:spacing w:after="0" w:line="268" w:lineRule="auto"/>
        <w:tabs>
          <w:tab w:leader="none" w:pos="49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Non-Disclosure</w:t>
      </w:r>
      <w:r>
        <w:rPr>
          <w:rFonts w:ascii="Times New Roman" w:cs="Times New Roman" w:eastAsia="Times New Roman" w:hAnsi="Times New Roman"/>
          <w:sz w:val="18"/>
          <w:szCs w:val="18"/>
          <w:color w:val="auto"/>
        </w:rPr>
        <w:t>. Executive acknowledges that the business of the Company and WMI is highly competitive and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WMI have each provided and will continue to provide Executive with access to “Confidential Information” relating to the business of the Company, WMI and their respective affiliates.</w:t>
      </w:r>
    </w:p>
    <w:p>
      <w:pPr>
        <w:spacing w:after="0" w:line="67" w:lineRule="exact"/>
        <w:rPr>
          <w:sz w:val="20"/>
          <w:szCs w:val="20"/>
          <w:color w:val="auto"/>
        </w:rPr>
      </w:pPr>
    </w:p>
    <w:p>
      <w:pPr>
        <w:ind w:right="20" w:firstLine="225"/>
        <w:spacing w:after="0" w:line="252" w:lineRule="auto"/>
        <w:rPr>
          <w:sz w:val="20"/>
          <w:szCs w:val="20"/>
          <w:color w:val="auto"/>
        </w:rPr>
      </w:pPr>
      <w:r>
        <w:rPr>
          <w:rFonts w:ascii="Times New Roman" w:cs="Times New Roman" w:eastAsia="Times New Roman" w:hAnsi="Times New Roman"/>
          <w:sz w:val="18"/>
          <w:szCs w:val="18"/>
          <w:color w:val="auto"/>
        </w:rPr>
        <w:t>For purposes of this Agreement, “Confidential Information” means and includes the Company’s and WMI’s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and/or WMI’s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and/or WMI;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the Company and/or WMI in the pursuit of its business will not cause the information to lose its protected status under this Agreement. Executive acknowledges that this Confidential Information constitutes a valuable, special, and unique asset used by WMI, the Company and their respective affiliates in their businesses to obtain a competitive advantage over their competitors. Executive further acknowledges that protection of such Confidential Information against unauthorized disclosure and use is of critical importance to WMI, the Company their respective affiliates in maintaining their competitive positions.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ind w:right="460" w:firstLine="225"/>
        <w:spacing w:after="0" w:line="282" w:lineRule="auto"/>
        <w:rPr>
          <w:sz w:val="20"/>
          <w:szCs w:val="20"/>
          <w:color w:val="auto"/>
        </w:rPr>
      </w:pPr>
      <w:r>
        <w:rPr>
          <w:rFonts w:ascii="Times New Roman" w:cs="Times New Roman" w:eastAsia="Times New Roman" w:hAnsi="Times New Roman"/>
          <w:sz w:val="18"/>
          <w:szCs w:val="18"/>
          <w:color w:val="auto"/>
        </w:rPr>
        <w:t>Executive has and will continue to have access to, or knowledge of, Confidential Information of third parties, such as actual and potential customers, suppliers, partners, joint venturers, investors, financing sources, and the like, of WMI, the Company and their respective affiliates.</w:t>
      </w:r>
    </w:p>
    <w:p>
      <w:pPr>
        <w:spacing w:after="0" w:line="54" w:lineRule="exact"/>
        <w:rPr>
          <w:sz w:val="20"/>
          <w:szCs w:val="20"/>
          <w:color w:val="auto"/>
        </w:rPr>
      </w:pPr>
    </w:p>
    <w:p>
      <w:pPr>
        <w:ind w:right="180" w:firstLine="222"/>
        <w:spacing w:after="0" w:line="258" w:lineRule="auto"/>
        <w:rPr>
          <w:sz w:val="20"/>
          <w:szCs w:val="20"/>
          <w:color w:val="auto"/>
        </w:rPr>
      </w:pPr>
      <w:r>
        <w:rPr>
          <w:rFonts w:ascii="Times New Roman" w:cs="Times New Roman" w:eastAsia="Times New Roman" w:hAnsi="Times New Roman"/>
          <w:sz w:val="18"/>
          <w:szCs w:val="18"/>
          <w:color w:val="auto"/>
        </w:rPr>
        <w:t>The Company also agrees to provide Executive with one or more of the following: access to Confidential Information; specialized training regarding the Company’s and/or WMI’s methodologies and business strategies, and/or support in the development of goodwill such as introductions, information and reimbursement of customer development expenses consistent with the Company’s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76"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68" w:lineRule="exact"/>
        <w:rPr>
          <w:sz w:val="20"/>
          <w:szCs w:val="20"/>
          <w:color w:val="auto"/>
        </w:rPr>
      </w:pPr>
    </w:p>
    <w:p>
      <w:pPr>
        <w:ind w:right="160" w:firstLine="233"/>
        <w:spacing w:after="0" w:line="255" w:lineRule="auto"/>
        <w:tabs>
          <w:tab w:leader="none" w:pos="47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Unfair Competition Restrictions</w:t>
      </w:r>
      <w:r>
        <w:rPr>
          <w:rFonts w:ascii="Times New Roman" w:cs="Times New Roman" w:eastAsia="Times New Roman" w:hAnsi="Times New Roman"/>
          <w:sz w:val="18"/>
          <w:szCs w:val="18"/>
          <w:color w:val="auto"/>
        </w:rPr>
        <w:t>. The Company and WMI agree to and shall provide Executive with immediate access to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Ancillary to the rights provided to Executive following employment termination, the Company’s and WMI’s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w:t>
      </w:r>
    </w:p>
    <w:p>
      <w:pPr>
        <w:spacing w:after="0" w:line="8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18"/>
          <w:szCs w:val="18"/>
          <w:color w:val="auto"/>
        </w:rPr>
        <w:t>Engage in, or assist any person, entity, or business engaged in, the selling or providing of products or services that would displace the products or services that (i) the Company and WMI are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8"/>
          <w:szCs w:val="18"/>
          <w:color w:val="auto"/>
        </w:rPr>
        <w:t>solid waste, hazardous or other waste, including the operation of waste-to-energy facilities.</w:t>
      </w:r>
    </w:p>
    <w:p>
      <w:pPr>
        <w:spacing w:after="0" w:line="117"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and WMI have provided to Executive.</w:t>
      </w:r>
    </w:p>
    <w:p>
      <w:pPr>
        <w:spacing w:after="0" w:line="72" w:lineRule="exact"/>
        <w:rPr>
          <w:sz w:val="20"/>
          <w:szCs w:val="20"/>
          <w:color w:val="auto"/>
        </w:rPr>
      </w:pPr>
    </w:p>
    <w:p>
      <w:pPr>
        <w:ind w:right="100" w:firstLine="215"/>
        <w:spacing w:after="0" w:line="274" w:lineRule="auto"/>
        <w:rPr>
          <w:sz w:val="20"/>
          <w:szCs w:val="20"/>
          <w:color w:val="auto"/>
        </w:rPr>
      </w:pPr>
      <w:r>
        <w:rPr>
          <w:rFonts w:ascii="Times New Roman" w:cs="Times New Roman" w:eastAsia="Times New Roman" w:hAnsi="Times New Roman"/>
          <w:sz w:val="17"/>
          <w:szCs w:val="17"/>
          <w:color w:val="auto"/>
        </w:rPr>
        <w:t>A failure to comply with the foregoing restrictions will create a presumption that Executive is engaging in unfair competition. Executive agrees that this Section defining unfair competition with the Company and/or WMI does not prevent Executive from using and offering the skills that Executive possessed prior to receiving access to Confidential Information, confidential training, and knowledge from the Company and WMI.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to be no material threat to the legitimate business interests of the Company or WMI.</w:t>
      </w:r>
    </w:p>
    <w:p>
      <w:pPr>
        <w:spacing w:after="0" w:line="61" w:lineRule="exact"/>
        <w:rPr>
          <w:sz w:val="20"/>
          <w:szCs w:val="20"/>
          <w:color w:val="auto"/>
        </w:rPr>
      </w:pPr>
    </w:p>
    <w:p>
      <w:pPr>
        <w:ind w:right="360" w:firstLine="233"/>
        <w:spacing w:after="0" w:line="263" w:lineRule="auto"/>
        <w:tabs>
          <w:tab w:leader="none" w:pos="49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of Customers</w:t>
      </w:r>
      <w:r>
        <w:rPr>
          <w:rFonts w:ascii="Times New Roman" w:cs="Times New Roman" w:eastAsia="Times New Roman" w:hAnsi="Times New Roman"/>
          <w:sz w:val="18"/>
          <w:szCs w:val="18"/>
          <w:color w:val="auto"/>
        </w:rPr>
        <w:t>. For a period of two (2) years following the termination of employment for any reason, Executive will not call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or solicit competing business from customers of the Company, WMI or their respective affiliates whom Executive, within the previous twelve</w:t>
      </w:r>
    </w:p>
    <w:p>
      <w:pPr>
        <w:ind w:right="460" w:firstLine="8"/>
        <w:spacing w:after="0" w:line="261" w:lineRule="auto"/>
        <w:tabs>
          <w:tab w:leader="none" w:pos="3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 had or made contact with, or (ii) had access to information and files about, or induce or encourage any such customer or other source of ongoing business to stop doing business with the Company and/or WMI.</w:t>
      </w:r>
    </w:p>
    <w:p>
      <w:pPr>
        <w:spacing w:after="0" w:line="67" w:lineRule="exact"/>
        <w:rPr>
          <w:rFonts w:ascii="Times New Roman" w:cs="Times New Roman" w:eastAsia="Times New Roman" w:hAnsi="Times New Roman"/>
          <w:sz w:val="18"/>
          <w:szCs w:val="18"/>
          <w:color w:val="auto"/>
        </w:rPr>
      </w:pPr>
    </w:p>
    <w:p>
      <w:pPr>
        <w:ind w:right="180" w:firstLine="233"/>
        <w:spacing w:after="0" w:line="262" w:lineRule="auto"/>
        <w:tabs>
          <w:tab w:leader="none" w:pos="47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 of Employees</w:t>
      </w:r>
      <w:r>
        <w:rPr>
          <w:rFonts w:ascii="Times New Roman" w:cs="Times New Roman" w:eastAsia="Times New Roman" w:hAnsi="Times New Roman"/>
          <w:sz w:val="18"/>
          <w:szCs w:val="18"/>
          <w:color w:val="auto"/>
        </w:rPr>
        <w:t>. During Executive’s employment, and for a period of two (2) years following the termination of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Executive will not, either directly or indirectly, call on, solicit, encourage, or induce any other employee or officer of the Company, WMI or their respective affiliates whom Executive had contact with, knowledge of, or association within the course of employment with the Company to terminate his employment, and will not assist any other person or entity in such a solicitation.</w:t>
      </w:r>
    </w:p>
    <w:p>
      <w:pPr>
        <w:spacing w:after="0" w:line="68" w:lineRule="exact"/>
        <w:rPr>
          <w:rFonts w:ascii="Times New Roman" w:cs="Times New Roman" w:eastAsia="Times New Roman" w:hAnsi="Times New Roman"/>
          <w:sz w:val="18"/>
          <w:szCs w:val="18"/>
          <w:b w:val="1"/>
          <w:bCs w:val="1"/>
          <w:color w:val="auto"/>
        </w:rPr>
      </w:pPr>
    </w:p>
    <w:p>
      <w:pPr>
        <w:ind w:right="80" w:firstLine="233"/>
        <w:spacing w:after="0" w:line="262" w:lineRule="auto"/>
        <w:tabs>
          <w:tab w:leader="none" w:pos="45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Non-Disparagement. </w:t>
      </w:r>
      <w:r>
        <w:rPr>
          <w:rFonts w:ascii="Times New Roman" w:cs="Times New Roman" w:eastAsia="Times New Roman" w:hAnsi="Times New Roman"/>
          <w:sz w:val="18"/>
          <w:szCs w:val="18"/>
          <w:color w:val="auto"/>
        </w:rPr>
        <w:t>Executive covenants and agrees that Executive shall not engage in any pattern of conduct that involves the making or publishing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WMI, their respective managements, or of the management of any corporations affiliated with WMI.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ind w:left="240"/>
        <w:spacing w:after="0"/>
        <w:rPr>
          <w:sz w:val="20"/>
          <w:szCs w:val="20"/>
          <w:color w:val="auto"/>
        </w:rPr>
      </w:pPr>
      <w:r>
        <w:rPr>
          <w:rFonts w:ascii="Times New Roman" w:cs="Times New Roman" w:eastAsia="Times New Roman" w:hAnsi="Times New Roman"/>
          <w:sz w:val="18"/>
          <w:szCs w:val="18"/>
          <w:b w:val="1"/>
          <w:bCs w:val="1"/>
          <w:color w:val="auto"/>
        </w:rPr>
        <w:t>11. Enforcement of Covenants.</w:t>
      </w:r>
    </w:p>
    <w:p>
      <w:pPr>
        <w:spacing w:after="0" w:line="117" w:lineRule="exact"/>
        <w:rPr>
          <w:sz w:val="20"/>
          <w:szCs w:val="20"/>
          <w:color w:val="auto"/>
        </w:rPr>
      </w:pPr>
    </w:p>
    <w:p>
      <w:pPr>
        <w:ind w:right="40" w:firstLine="233"/>
        <w:spacing w:after="0" w:line="268" w:lineRule="auto"/>
        <w:tabs>
          <w:tab w:leader="none" w:pos="47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and Forfeiture of Compensation. </w:t>
      </w:r>
      <w:r>
        <w:rPr>
          <w:rFonts w:ascii="Times New Roman" w:cs="Times New Roman" w:eastAsia="Times New Roman" w:hAnsi="Times New Roman"/>
          <w:sz w:val="18"/>
          <w:szCs w:val="18"/>
          <w:color w:val="auto"/>
        </w:rPr>
        <w:t>Executive agrees that any breach by Executive of any of the covenants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62" w:lineRule="exact"/>
        <w:rPr>
          <w:rFonts w:ascii="Times New Roman" w:cs="Times New Roman" w:eastAsia="Times New Roman" w:hAnsi="Times New Roman"/>
          <w:sz w:val="18"/>
          <w:szCs w:val="18"/>
          <w:b w:val="1"/>
          <w:bCs w:val="1"/>
          <w:color w:val="auto"/>
        </w:rPr>
      </w:pPr>
    </w:p>
    <w:p>
      <w:pPr>
        <w:ind w:firstLine="233"/>
        <w:spacing w:after="0" w:line="256" w:lineRule="auto"/>
        <w:tabs>
          <w:tab w:leader="none" w:pos="49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Injunction</w:t>
      </w:r>
      <w:r>
        <w:rPr>
          <w:rFonts w:ascii="Times New Roman" w:cs="Times New Roman" w:eastAsia="Times New Roman" w:hAnsi="Times New Roman"/>
          <w:sz w:val="18"/>
          <w:szCs w:val="18"/>
          <w:color w:val="auto"/>
        </w:rPr>
        <w:t>. Executive acknowledges that a breach of the covenants set forth in Section 10 hereof will cause irreparable damage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WMI with respect to which the Company’s or WMI’s remedy at law for damages will be inadequate. Therefore, in the event of breach or anticipatory breach of the covenants set forth in this section by Executive, Executive, the Company and WMI agree that the Company and/or WMI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attorney’s fees, incurred by the Company and/or WMI to enforce the covenants set forth in this section.</w:t>
      </w:r>
    </w:p>
    <w:p>
      <w:pPr>
        <w:spacing w:after="0" w:line="75" w:lineRule="exact"/>
        <w:rPr>
          <w:rFonts w:ascii="Times New Roman" w:cs="Times New Roman" w:eastAsia="Times New Roman" w:hAnsi="Times New Roman"/>
          <w:sz w:val="18"/>
          <w:szCs w:val="18"/>
          <w:b w:val="1"/>
          <w:bCs w:val="1"/>
          <w:color w:val="auto"/>
        </w:rPr>
      </w:pPr>
    </w:p>
    <w:p>
      <w:pPr>
        <w:ind w:firstLine="233"/>
        <w:spacing w:after="0" w:line="255" w:lineRule="auto"/>
        <w:tabs>
          <w:tab w:leader="none" w:pos="47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Separability of Covenants. </w:t>
      </w:r>
      <w:r>
        <w:rPr>
          <w:rFonts w:ascii="Times New Roman" w:cs="Times New Roman" w:eastAsia="Times New Roman" w:hAnsi="Times New Roman"/>
          <w:sz w:val="18"/>
          <w:szCs w:val="18"/>
          <w:color w:val="auto"/>
        </w:rPr>
        <w:t>The covenants contained in Section 10 hereof constitute a series of separate but ancillary covenants, one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 Indemnification.</w:t>
      </w:r>
    </w:p>
    <w:p>
      <w:pPr>
        <w:spacing w:after="0" w:line="121" w:lineRule="exact"/>
        <w:rPr>
          <w:sz w:val="20"/>
          <w:szCs w:val="20"/>
          <w:color w:val="auto"/>
        </w:rPr>
      </w:pPr>
    </w:p>
    <w:p>
      <w:pPr>
        <w:ind w:right="100" w:firstLine="222"/>
        <w:spacing w:after="0" w:line="261" w:lineRule="auto"/>
        <w:rPr>
          <w:sz w:val="20"/>
          <w:szCs w:val="20"/>
          <w:color w:val="auto"/>
        </w:rPr>
      </w:pPr>
      <w:r>
        <w:rPr>
          <w:rFonts w:ascii="Times New Roman" w:cs="Times New Roman" w:eastAsia="Times New Roman" w:hAnsi="Times New Roman"/>
          <w:sz w:val="18"/>
          <w:szCs w:val="18"/>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13. Arbitration.</w:t>
      </w:r>
    </w:p>
    <w:p>
      <w:pPr>
        <w:spacing w:after="0" w:line="121" w:lineRule="exact"/>
        <w:rPr>
          <w:sz w:val="20"/>
          <w:szCs w:val="20"/>
          <w:color w:val="auto"/>
        </w:rPr>
      </w:pPr>
    </w:p>
    <w:p>
      <w:pPr>
        <w:ind w:right="120" w:firstLine="225"/>
        <w:spacing w:after="0" w:line="254" w:lineRule="auto"/>
        <w:rPr>
          <w:sz w:val="20"/>
          <w:szCs w:val="20"/>
          <w:color w:val="auto"/>
        </w:rPr>
      </w:pPr>
      <w:r>
        <w:rPr>
          <w:rFonts w:ascii="Times New Roman" w:cs="Times New Roman" w:eastAsia="Times New Roman" w:hAnsi="Times New Roman"/>
          <w:sz w:val="18"/>
          <w:szCs w:val="18"/>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14. Disputes and Payment of Attorney’s Fees.</w:t>
      </w:r>
    </w:p>
    <w:p>
      <w:pPr>
        <w:spacing w:after="0" w:line="121" w:lineRule="exact"/>
        <w:rPr>
          <w:sz w:val="20"/>
          <w:szCs w:val="20"/>
          <w:color w:val="auto"/>
        </w:rPr>
      </w:pPr>
    </w:p>
    <w:p>
      <w:pPr>
        <w:ind w:right="140" w:firstLine="225"/>
        <w:spacing w:after="0" w:line="255" w:lineRule="auto"/>
        <w:rPr>
          <w:sz w:val="20"/>
          <w:szCs w:val="20"/>
          <w:color w:val="auto"/>
        </w:rPr>
      </w:pPr>
      <w:r>
        <w:rPr>
          <w:rFonts w:ascii="Times New Roman" w:cs="Times New Roman" w:eastAsia="Times New Roman" w:hAnsi="Times New Roman"/>
          <w:sz w:val="18"/>
          <w:szCs w:val="18"/>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15. Requirement of Timely Payments.</w:t>
      </w:r>
    </w:p>
    <w:p>
      <w:pPr>
        <w:spacing w:after="0" w:line="121" w:lineRule="exact"/>
        <w:rPr>
          <w:sz w:val="20"/>
          <w:szCs w:val="20"/>
          <w:color w:val="auto"/>
        </w:rPr>
      </w:pPr>
    </w:p>
    <w:p>
      <w:pPr>
        <w:ind w:right="220" w:firstLine="225"/>
        <w:spacing w:after="0" w:line="266" w:lineRule="auto"/>
        <w:rPr>
          <w:sz w:val="20"/>
          <w:szCs w:val="20"/>
          <w:color w:val="auto"/>
        </w:rPr>
      </w:pPr>
      <w:r>
        <w:rPr>
          <w:rFonts w:ascii="Times New Roman" w:cs="Times New Roman" w:eastAsia="Times New Roman" w:hAnsi="Times New Roman"/>
          <w:sz w:val="18"/>
          <w:szCs w:val="18"/>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ind w:right="200"/>
        <w:spacing w:after="0" w:line="266" w:lineRule="auto"/>
        <w:rPr>
          <w:sz w:val="20"/>
          <w:szCs w:val="20"/>
          <w:color w:val="auto"/>
        </w:rPr>
      </w:pPr>
      <w:r>
        <w:rPr>
          <w:rFonts w:ascii="Times New Roman" w:cs="Times New Roman" w:eastAsia="Times New Roman" w:hAnsi="Times New Roman"/>
          <w:sz w:val="18"/>
          <w:szCs w:val="18"/>
          <w:color w:val="auto"/>
        </w:rPr>
        <w:t>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16. Withholding of Taxes.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may withhold from any compensation and benefits payable under this Agreement all applicable federal, state, local, or other taxes.</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 Source of Payments.</w:t>
      </w:r>
    </w:p>
    <w:p>
      <w:pPr>
        <w:spacing w:after="0" w:line="121" w:lineRule="exact"/>
        <w:rPr>
          <w:sz w:val="20"/>
          <w:szCs w:val="20"/>
          <w:color w:val="auto"/>
        </w:rPr>
      </w:pPr>
    </w:p>
    <w:p>
      <w:pPr>
        <w:ind w:right="40" w:firstLine="215"/>
        <w:spacing w:after="0" w:line="258" w:lineRule="auto"/>
        <w:rPr>
          <w:sz w:val="20"/>
          <w:szCs w:val="20"/>
          <w:color w:val="auto"/>
        </w:rPr>
      </w:pPr>
      <w:r>
        <w:rPr>
          <w:rFonts w:ascii="Times New Roman" w:cs="Times New Roman" w:eastAsia="Times New Roman" w:hAnsi="Times New Roman"/>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18. Assignment.</w:t>
      </w:r>
    </w:p>
    <w:p>
      <w:pPr>
        <w:spacing w:after="0" w:line="121"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19. Entire Agreement; Amendment.</w:t>
      </w:r>
    </w:p>
    <w:p>
      <w:pPr>
        <w:spacing w:after="0" w:line="121" w:lineRule="exact"/>
        <w:rPr>
          <w:sz w:val="20"/>
          <w:szCs w:val="20"/>
          <w:color w:val="auto"/>
        </w:rPr>
      </w:pPr>
    </w:p>
    <w:p>
      <w:pPr>
        <w:jc w:val="both"/>
        <w:ind w:right="140" w:firstLine="222"/>
        <w:spacing w:after="0" w:line="266" w:lineRule="auto"/>
        <w:rPr>
          <w:sz w:val="20"/>
          <w:szCs w:val="20"/>
          <w:color w:val="auto"/>
        </w:rPr>
      </w:pPr>
      <w:r>
        <w:rPr>
          <w:rFonts w:ascii="Times New Roman" w:cs="Times New Roman" w:eastAsia="Times New Roman" w:hAnsi="Times New Roman"/>
          <w:sz w:val="18"/>
          <w:szCs w:val="18"/>
          <w:color w:val="auto"/>
        </w:rPr>
        <w:t>This Agreement shall supersede any and all existing oral or written agreements, representations, or warranties between Executive, the Company, WMI or any their respective subsidiaries or affiliated entities relating to the terms of Executive’s employment. It may not be amended except by a written agreement signed by both the Executive and the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8"/>
          <w:szCs w:val="18"/>
          <w:b w:val="1"/>
          <w:bCs w:val="1"/>
          <w:color w:val="auto"/>
        </w:rPr>
        <w:t>20. Governing Law.</w:t>
      </w:r>
    </w:p>
    <w:p>
      <w:pPr>
        <w:spacing w:after="0" w:line="121" w:lineRule="exact"/>
        <w:rPr>
          <w:sz w:val="20"/>
          <w:szCs w:val="20"/>
          <w:color w:val="auto"/>
        </w:rPr>
      </w:pPr>
    </w:p>
    <w:p>
      <w:pPr>
        <w:ind w:right="60" w:firstLine="222"/>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21. Notices.</w:t>
      </w:r>
    </w:p>
    <w:p>
      <w:pPr>
        <w:spacing w:after="0" w:line="121" w:lineRule="exact"/>
        <w:rPr>
          <w:sz w:val="20"/>
          <w:szCs w:val="20"/>
          <w:color w:val="auto"/>
        </w:rPr>
      </w:pPr>
    </w:p>
    <w:p>
      <w:pPr>
        <w:ind w:right="20" w:firstLine="215"/>
        <w:spacing w:after="0" w:line="266" w:lineRule="auto"/>
        <w:rPr>
          <w:sz w:val="20"/>
          <w:szCs w:val="20"/>
          <w:color w:val="auto"/>
        </w:rPr>
      </w:pPr>
      <w:r>
        <w:rPr>
          <w:rFonts w:ascii="Times New Roman" w:cs="Times New Roman" w:eastAsia="Times New Roman" w:hAnsi="Times New Roman"/>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80"/>
          </w:cols>
          <w:pgMar w:left="240" w:top="927" w:right="279" w:bottom="1440" w:gutter="0" w:footer="0" w:header="0"/>
        </w:sectPr>
      </w:pPr>
    </w:p>
    <w:p>
      <w:pPr>
        <w:spacing w:after="0" w:line="17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Wheelabrator Technologies,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Sole Director</w:t>
      </w:r>
    </w:p>
    <w:p>
      <w:pPr>
        <w:spacing w:after="0" w:line="200" w:lineRule="exact"/>
        <w:rPr>
          <w:sz w:val="20"/>
          <w:szCs w:val="20"/>
          <w:color w:val="auto"/>
        </w:rPr>
      </w:pPr>
    </w:p>
    <w:p>
      <w:pPr>
        <w:sectPr>
          <w:pgSz w:w="11900" w:h="16838" w:orient="portrait"/>
          <w:cols w:equalWidth="0" w:num="2">
            <w:col w:w="5300" w:space="720"/>
            <w:col w:w="5360"/>
          </w:cols>
          <w:pgMar w:left="240" w:top="927" w:right="279" w:bottom="1440" w:gutter="0" w:footer="0" w:header="0"/>
          <w:type w:val="continuous"/>
        </w:sectPr>
      </w:pPr>
    </w:p>
    <w:p>
      <w:pPr>
        <w:spacing w:after="0" w:line="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 the address for Executive set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below.</w:t>
      </w:r>
    </w:p>
    <w:p>
      <w:pPr>
        <w:spacing w:after="0" w:line="95" w:lineRule="exact"/>
        <w:rPr>
          <w:sz w:val="20"/>
          <w:szCs w:val="20"/>
          <w:color w:val="auto"/>
        </w:rPr>
      </w:pPr>
    </w:p>
    <w:p>
      <w:pPr>
        <w:sectPr>
          <w:pgSz w:w="11900" w:h="16838" w:orient="portrait"/>
          <w:cols w:equalWidth="0" w:num="2">
            <w:col w:w="5300" w:space="720"/>
            <w:col w:w="5360"/>
          </w:cols>
          <w:pgMar w:left="240" w:top="927" w:right="27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b w:val="1"/>
          <w:bCs w:val="1"/>
          <w:color w:val="auto"/>
        </w:rPr>
        <w:t>22. Miscellaneous.</w:t>
      </w:r>
    </w:p>
    <w:p>
      <w:pPr>
        <w:spacing w:after="0" w:line="117" w:lineRule="exact"/>
        <w:rPr>
          <w:sz w:val="20"/>
          <w:szCs w:val="20"/>
          <w:color w:val="auto"/>
        </w:rPr>
      </w:pPr>
    </w:p>
    <w:p>
      <w:pPr>
        <w:ind w:right="20" w:firstLine="233"/>
        <w:spacing w:after="0" w:line="286" w:lineRule="auto"/>
        <w:tabs>
          <w:tab w:leader="none" w:pos="477"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failure of a party to insist upon strict adherence to any term of this Agreement on any occasion shall not be considered a waiver thereof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deprive that party of the right thereafter to insist upon strict adherence to that term or any other term of this Agreement.</w:t>
      </w:r>
    </w:p>
    <w:p>
      <w:pPr>
        <w:spacing w:after="0" w:line="46" w:lineRule="exact"/>
        <w:rPr>
          <w:rFonts w:ascii="Times New Roman" w:cs="Times New Roman" w:eastAsia="Times New Roman" w:hAnsi="Times New Roman"/>
          <w:sz w:val="18"/>
          <w:szCs w:val="18"/>
          <w:b w:val="1"/>
          <w:bCs w:val="1"/>
          <w:color w:val="auto"/>
        </w:rPr>
      </w:pPr>
    </w:p>
    <w:p>
      <w:pPr>
        <w:ind w:right="180" w:firstLine="233"/>
        <w:spacing w:after="0" w:line="268" w:lineRule="auto"/>
        <w:tabs>
          <w:tab w:leader="none" w:pos="49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Separability. </w:t>
      </w:r>
      <w:r>
        <w:rPr>
          <w:rFonts w:ascii="Times New Roman" w:cs="Times New Roman" w:eastAsia="Times New Roman" w:hAnsi="Times New Roman"/>
          <w:sz w:val="18"/>
          <w:szCs w:val="18"/>
          <w:color w:val="auto"/>
        </w:rPr>
        <w:t>Subject to Section 11 hereof, if any term or provision of this Agreement is declared illegal or unenforceable by any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and cannot be modified to be enforceable, such term or provision shall immediately become null and void, leaving the remainder of this Agreement in full force and effect.</w:t>
      </w:r>
    </w:p>
    <w:p>
      <w:pPr>
        <w:spacing w:after="0" w:line="62" w:lineRule="exact"/>
        <w:rPr>
          <w:rFonts w:ascii="Times New Roman" w:cs="Times New Roman" w:eastAsia="Times New Roman" w:hAnsi="Times New Roman"/>
          <w:sz w:val="18"/>
          <w:szCs w:val="18"/>
          <w:b w:val="1"/>
          <w:bCs w:val="1"/>
          <w:color w:val="auto"/>
        </w:rPr>
      </w:pPr>
    </w:p>
    <w:p>
      <w:pPr>
        <w:ind w:left="480" w:hanging="247"/>
        <w:spacing w:after="0"/>
        <w:tabs>
          <w:tab w:leader="none" w:pos="4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Section headings are used herein for convenience of reference only and shall not affect the meaning of any provision of this Agreement.</w:t>
      </w:r>
    </w:p>
    <w:p>
      <w:pPr>
        <w:spacing w:after="0" w:line="117" w:lineRule="exact"/>
        <w:rPr>
          <w:rFonts w:ascii="Times New Roman" w:cs="Times New Roman" w:eastAsia="Times New Roman" w:hAnsi="Times New Roman"/>
          <w:sz w:val="18"/>
          <w:szCs w:val="18"/>
          <w:b w:val="1"/>
          <w:bCs w:val="1"/>
          <w:color w:val="auto"/>
        </w:rPr>
      </w:pPr>
    </w:p>
    <w:p>
      <w:pPr>
        <w:ind w:left="500" w:hanging="267"/>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Rules of Construction. </w:t>
      </w:r>
      <w:r>
        <w:rPr>
          <w:rFonts w:ascii="Times New Roman" w:cs="Times New Roman" w:eastAsia="Times New Roman" w:hAnsi="Times New Roman"/>
          <w:sz w:val="18"/>
          <w:szCs w:val="18"/>
          <w:color w:val="auto"/>
        </w:rPr>
        <w:t>Whenever the context so requires, the use of the singular shall be deemed to include the plural and vice versa.</w:t>
      </w:r>
    </w:p>
    <w:p>
      <w:pPr>
        <w:spacing w:after="0" w:line="117" w:lineRule="exact"/>
        <w:rPr>
          <w:rFonts w:ascii="Times New Roman" w:cs="Times New Roman" w:eastAsia="Times New Roman" w:hAnsi="Times New Roman"/>
          <w:sz w:val="18"/>
          <w:szCs w:val="18"/>
          <w:b w:val="1"/>
          <w:bCs w:val="1"/>
          <w:color w:val="auto"/>
        </w:rPr>
      </w:pPr>
    </w:p>
    <w:p>
      <w:pPr>
        <w:ind w:firstLine="233"/>
        <w:spacing w:after="0" w:line="286" w:lineRule="auto"/>
        <w:tabs>
          <w:tab w:leader="none" w:pos="47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so executed shall be deemed to be an original,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will together constitute but one Agreement.</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23. Potential Limitation on Severance Benefits.</w:t>
      </w:r>
    </w:p>
    <w:p>
      <w:pPr>
        <w:spacing w:after="0" w:line="117" w:lineRule="exact"/>
        <w:rPr>
          <w:sz w:val="20"/>
          <w:szCs w:val="20"/>
          <w:color w:val="auto"/>
        </w:rPr>
      </w:pPr>
    </w:p>
    <w:p>
      <w:pPr>
        <w:ind w:right="700" w:firstLine="233"/>
        <w:spacing w:after="0" w:line="286" w:lineRule="auto"/>
        <w:tabs>
          <w:tab w:leader="none" w:pos="4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Maximum Severance Amount. </w:t>
      </w:r>
      <w:r>
        <w:rPr>
          <w:rFonts w:ascii="Times New Roman" w:cs="Times New Roman" w:eastAsia="Times New Roman" w:hAnsi="Times New Roman"/>
          <w:sz w:val="18"/>
          <w:szCs w:val="18"/>
          <w:color w:val="auto"/>
        </w:rPr>
        <w:t>Notwithstanding any provision in this Agreement to the contrary, in the event of a qualifying termination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under Section</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type w:val="continuous"/>
        </w:sectPr>
      </w:pPr>
    </w:p>
    <w:bookmarkStart w:id="24" w:name="page25"/>
    <w:bookmarkEnd w:id="24"/>
    <w:p>
      <w:pPr>
        <w:ind w:right="160"/>
        <w:spacing w:after="0" w:line="256" w:lineRule="auto"/>
        <w:rPr>
          <w:sz w:val="20"/>
          <w:szCs w:val="20"/>
          <w:color w:val="auto"/>
        </w:rPr>
      </w:pPr>
      <w:r>
        <w:rPr>
          <w:rFonts w:ascii="Times New Roman" w:cs="Times New Roman" w:eastAsia="Times New Roman" w:hAnsi="Times New Roman"/>
          <w:sz w:val="18"/>
          <w:szCs w:val="18"/>
          <w:color w:val="auto"/>
        </w:rPr>
        <w:t>6(e) or Section 7 of this Agreement it is determined by the Company that the present value of payments or distributions by the Company, WMI or their respective subsidiaries or affiliated entities to or for the benefit of the Executive (whether paid or provided pursuant to the terms of this Agreement or otherwise) (“Severance Benefits”) would exceed 2.99 times the sum of the Executive’s then current base salary and target bonus (the “Maximum Severance Amount”), then the aggregate present value of the Severance Benefits provided to the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76" w:lineRule="exact"/>
        <w:rPr>
          <w:sz w:val="20"/>
          <w:szCs w:val="20"/>
          <w:color w:val="auto"/>
        </w:rPr>
      </w:pPr>
    </w:p>
    <w:p>
      <w:pPr>
        <w:ind w:firstLine="233"/>
        <w:spacing w:after="0" w:line="253" w:lineRule="auto"/>
        <w:tabs>
          <w:tab w:leader="none" w:pos="49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Calculation of Maximum Severance Amount. </w:t>
      </w:r>
      <w:r>
        <w:rPr>
          <w:rFonts w:ascii="Times New Roman" w:cs="Times New Roman" w:eastAsia="Times New Roman" w:hAnsi="Times New Roman"/>
          <w:sz w:val="18"/>
          <w:szCs w:val="18"/>
          <w:color w:val="auto"/>
        </w:rPr>
        <w:t>For purposes of determining the Maximum Severance Amount under this Section 23,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the calculation of the Maximum Severance Amount will include: (i) cash amounts payable by the Company or WMI in the event of termination of Executive’s employment; and (ii) the present value of benefits or perquisites provided for periods after termination of employment (but excluding benefits or perquisites provided to employees generally). The calculation of the Maximum Severance Amount will not include the following benefits: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w:t>
      </w:r>
    </w:p>
    <w:p>
      <w:pPr>
        <w:spacing w:after="0" w:line="3"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that the Board or any committee thereof determines in good faith to be a reasonable settlement of any claim made against the Company.</w:t>
      </w:r>
    </w:p>
    <w:p>
      <w:pPr>
        <w:spacing w:after="0" w:line="94" w:lineRule="exact"/>
        <w:rPr>
          <w:rFonts w:ascii="Times New Roman" w:cs="Times New Roman" w:eastAsia="Times New Roman" w:hAnsi="Times New Roman"/>
          <w:sz w:val="18"/>
          <w:szCs w:val="18"/>
          <w:color w:val="auto"/>
        </w:rPr>
      </w:pPr>
    </w:p>
    <w:p>
      <w:pPr>
        <w:ind w:firstLine="233"/>
        <w:spacing w:after="0" w:line="254" w:lineRule="auto"/>
        <w:tabs>
          <w:tab w:leader="none" w:pos="47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Possible Further Reduction. </w:t>
      </w:r>
      <w:r>
        <w:rPr>
          <w:rFonts w:ascii="Times New Roman" w:cs="Times New Roman" w:eastAsia="Times New Roman" w:hAnsi="Times New Roman"/>
          <w:sz w:val="18"/>
          <w:szCs w:val="18"/>
          <w:color w:val="auto"/>
        </w:rPr>
        <w:t>Following application of Section 23(b), in the event that the payment of the remaining Severance Benefits to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payment or benefit received in connection with a Change in Control or the termination of Executive’s employment), would be subject (in whole or part), to any excise tax imposed under section 4999 of the Code (the “Excise Tax”), then the cash portion of the Severance Benefits shall first be further reduced, and the non-cash Severance Benefits shall thereafter be further reduced, to the extent necessary so that no portion of the Severance Benefits is subject to the Excise Tax, but only if (i) the net amount of the Severance Benefits to be received by Executive, as so additionally reduced by this Section 23(c) (and after subtracting the net amount of federal, state and local income taxes on such additionally reduced Severance Benefits and after taking into account the phase out of itemized deductions and personal exemptions attributable to such additionally reduced Severance Benefits) is greater than or equal to</w:t>
      </w:r>
    </w:p>
    <w:p>
      <w:pPr>
        <w:spacing w:after="0" w:line="1" w:lineRule="exact"/>
        <w:rPr>
          <w:rFonts w:ascii="Times New Roman" w:cs="Times New Roman" w:eastAsia="Times New Roman" w:hAnsi="Times New Roman"/>
          <w:sz w:val="18"/>
          <w:szCs w:val="18"/>
          <w:b w:val="1"/>
          <w:bCs w:val="1"/>
          <w:color w:val="auto"/>
        </w:rPr>
      </w:pPr>
    </w:p>
    <w:p>
      <w:pPr>
        <w:ind w:right="220" w:firstLine="8"/>
        <w:spacing w:after="0" w:line="254"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amount of the Severance Benefits to be received by Executive without such additional reduction (but after subtracting the net amount of federal, state and local income taxes on such Severance Benefits and the amount of Excise Tax to which Executive would be subject in respect of such unreduced Severance Benefits and after taking into account the phase out of itemized deductions and personal exemptions attributable to such unreduced Severance Benefits ); provided, however,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5" w:name="page26"/>
    <w:bookmarkEnd w:id="25"/>
    <w:p>
      <w:pPr>
        <w:ind w:right="400"/>
        <w:spacing w:after="0" w:line="282" w:lineRule="auto"/>
        <w:rPr>
          <w:sz w:val="20"/>
          <w:szCs w:val="20"/>
          <w:color w:val="auto"/>
        </w:rPr>
      </w:pPr>
      <w:r>
        <w:rPr>
          <w:rFonts w:ascii="Times New Roman" w:cs="Times New Roman" w:eastAsia="Times New Roman" w:hAnsi="Times New Roman"/>
          <w:sz w:val="18"/>
          <w:szCs w:val="18"/>
          <w:color w:val="auto"/>
        </w:rPr>
        <w:t>that Executive may elect to have the non-cash portion of the Severance Benefits reduced (or eliminated) prior to any reduction of the cash portion of the Severance Benefits.</w:t>
      </w:r>
    </w:p>
    <w:p>
      <w:pPr>
        <w:spacing w:after="0" w:line="50" w:lineRule="exact"/>
        <w:rPr>
          <w:sz w:val="20"/>
          <w:szCs w:val="20"/>
          <w:color w:val="auto"/>
        </w:rPr>
      </w:pPr>
    </w:p>
    <w:p>
      <w:pPr>
        <w:ind w:firstLine="233"/>
        <w:spacing w:after="0" w:line="254" w:lineRule="auto"/>
        <w:tabs>
          <w:tab w:leader="none" w:pos="49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Calculation of Excise Tax. </w:t>
      </w:r>
      <w:r>
        <w:rPr>
          <w:rFonts w:ascii="Times New Roman" w:cs="Times New Roman" w:eastAsia="Times New Roman" w:hAnsi="Times New Roman"/>
          <w:sz w:val="18"/>
          <w:szCs w:val="18"/>
          <w:color w:val="auto"/>
        </w:rPr>
        <w:t>For purposes of determining whether and the extent to which portions of the Severance Benefits will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Excise Tax, (i) no portion of the Severance Benefits the receipt or enjoyment of which Executive shall have waived at such time and in such manner as not to constitute a “payment” within the meaning of section 280G(b) of the Code shall be taken into account, (ii) no portion of the Severance Benefits shall be taken into account which, in the opinion of tax counsel (“Tax Counsel”) who is reasonably acceptable to Executive and selected by the accounting firm (the “Auditor”) which was, immediately prior to the Change in Control, WMI’s independent auditor, does not constitute a “parachute payment” within the meaning of section 280G(b)(2) of the Code (including by reason of section 280G(b)(4)(A) of the Code) and, in calculating the Excise Tax, no portion of such Severance Benefits shall be taken into account which, in the opinion of Tax Counsel,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Severance Benefits shall be determined by the Auditor in accordance with the principles of sections 280G(d)(3) and (4) of the Code.</w:t>
      </w:r>
    </w:p>
    <w:p>
      <w:pPr>
        <w:spacing w:after="0" w:line="78" w:lineRule="exact"/>
        <w:rPr>
          <w:rFonts w:ascii="Times New Roman" w:cs="Times New Roman" w:eastAsia="Times New Roman" w:hAnsi="Times New Roman"/>
          <w:sz w:val="18"/>
          <w:szCs w:val="18"/>
          <w:b w:val="1"/>
          <w:bCs w:val="1"/>
          <w:color w:val="auto"/>
        </w:rPr>
      </w:pPr>
    </w:p>
    <w:p>
      <w:pPr>
        <w:ind w:right="340" w:firstLine="233"/>
        <w:spacing w:after="0" w:line="286" w:lineRule="auto"/>
        <w:tabs>
          <w:tab w:leader="none" w:pos="47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Determination of Present Value. </w:t>
      </w:r>
      <w:r>
        <w:rPr>
          <w:rFonts w:ascii="Times New Roman" w:cs="Times New Roman" w:eastAsia="Times New Roman" w:hAnsi="Times New Roman"/>
          <w:sz w:val="18"/>
          <w:szCs w:val="18"/>
          <w:color w:val="auto"/>
        </w:rPr>
        <w:t>For purposes of this Section 23, the present value of Severance Benefits shall be determined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280G(d)(4) of the Code.</w:t>
      </w:r>
    </w:p>
    <w:p>
      <w:pPr>
        <w:spacing w:after="0" w:line="47" w:lineRule="exact"/>
        <w:rPr>
          <w:sz w:val="20"/>
          <w:szCs w:val="20"/>
          <w:color w:val="auto"/>
        </w:rPr>
      </w:pPr>
    </w:p>
    <w:p>
      <w:pPr>
        <w:ind w:right="20" w:firstLine="233"/>
        <w:spacing w:after="0" w:line="268" w:lineRule="auto"/>
        <w:tabs>
          <w:tab w:leader="none" w:pos="49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Code Section 409A. </w:t>
      </w:r>
      <w:r>
        <w:rPr>
          <w:rFonts w:ascii="Times New Roman" w:cs="Times New Roman" w:eastAsia="Times New Roman" w:hAnsi="Times New Roman"/>
          <w:sz w:val="18"/>
          <w:szCs w:val="18"/>
          <w:color w:val="auto"/>
        </w:rPr>
        <w:t>It is the intention of the Company and Executive that his Agreement not result in an unfavorable tax consequences to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409A of the Code. Accordingly, Executive consents to any amendment of this Agreement as the Company may reasonably make in furtherance of such intention, and the Company shall promptly provide, or make available to, Executive a copy of such amendment.</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6" w:name="page27"/>
    <w:bookmarkEnd w:id="26"/>
    <w:p>
      <w:pPr>
        <w:ind w:left="220"/>
        <w:spacing w:after="0"/>
        <w:rPr>
          <w:sz w:val="20"/>
          <w:szCs w:val="20"/>
          <w:color w:val="auto"/>
        </w:rPr>
      </w:pPr>
      <w:r>
        <w:rPr>
          <w:rFonts w:ascii="Times New Roman" w:cs="Times New Roman" w:eastAsia="Times New Roman" w:hAnsi="Times New Roman"/>
          <w:sz w:val="17"/>
          <w:szCs w:val="17"/>
          <w:color w:val="auto"/>
        </w:rPr>
        <w:t>IN WITNESS WHEREOF, this Agreement is EXECUTED as of the date first set forth above and effective as set forth therein.</w:t>
      </w:r>
    </w:p>
    <w:p>
      <w:pPr>
        <w:sectPr>
          <w:pgSz w:w="11900" w:h="16838" w:orient="portrait"/>
          <w:cols w:equalWidth="0" w:num="1">
            <w:col w:w="10199"/>
          </w:cols>
          <w:pgMar w:left="260" w:top="931"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Mark A. Weidman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3129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Weidman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280035</wp:posOffset>
            </wp:positionV>
            <wp:extent cx="31299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WHEELABRATOR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32416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Linda Smith</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Vice President &amp;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(“WMI”)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Jimmy LaValley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32416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Jimmy LaValley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Senior Vice President &amp; Chief</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People Officer</w:t>
      </w:r>
    </w:p>
    <w:p>
      <w:pPr>
        <w:spacing w:after="0" w:line="200" w:lineRule="exact"/>
        <w:rPr>
          <w:sz w:val="20"/>
          <w:szCs w:val="20"/>
          <w:color w:val="auto"/>
        </w:rPr>
      </w:pPr>
    </w:p>
    <w:p>
      <w:pPr>
        <w:sectPr>
          <w:pgSz w:w="11900" w:h="16838" w:orient="portrait"/>
          <w:cols w:equalWidth="0" w:num="2">
            <w:col w:w="5200" w:space="720"/>
            <w:col w:w="4279"/>
          </w:cols>
          <w:pgMar w:left="260" w:top="931" w:right="1440" w:bottom="1440" w:gutter="0" w:footer="0" w:header="0"/>
          <w:type w:val="continuous"/>
        </w:sectPr>
      </w:pP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0199"/>
      </w:cols>
      <w:pgMar w:left="260" w:top="9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1)"/>
      <w:numFmt w:val="lowerLetter"/>
      <w:start w:val="1"/>
    </w:lvl>
  </w:abstractNum>
  <w:abstractNum w:abstractNumId="2">
    <w:nsid w:val="54E49EB4"/>
    <w:multiLevelType w:val="hybridMultilevel"/>
    <w:lvl w:ilvl="0">
      <w:lvlJc w:val="left"/>
      <w:lvlText w:val="(%1)"/>
      <w:numFmt w:val="lowerLetter"/>
      <w:start w:val="1"/>
    </w:lvl>
  </w:abstractNum>
  <w:abstractNum w:abstractNumId="3">
    <w:nsid w:val="71F32454"/>
    <w:multiLevelType w:val="hybridMultilevel"/>
    <w:lvl w:ilvl="0">
      <w:lvlJc w:val="left"/>
      <w:lvlText w:val="(%1)"/>
      <w:numFmt w:val="lowerRoman"/>
      <w:start w:val="1"/>
    </w:lvl>
  </w:abstractNum>
  <w:abstractNum w:abstractNumId="4">
    <w:nsid w:val="2CA88611"/>
    <w:multiLevelType w:val="hybridMultilevel"/>
    <w:lvl w:ilvl="0">
      <w:lvlJc w:val="left"/>
      <w:lvlText w:val="(%1)"/>
      <w:numFmt w:val="lowerLetter"/>
      <w:start w:val="1"/>
    </w:lvl>
    <w:lvl w:ilvl="1">
      <w:lvlJc w:val="left"/>
      <w:lvlText w:val="%2"/>
      <w:numFmt w:val="lowerLetter"/>
      <w:start w:val="1"/>
    </w:lvl>
  </w:abstractNum>
  <w:abstractNum w:abstractNumId="5">
    <w:nsid w:val="836C40E"/>
    <w:multiLevelType w:val="hybridMultilevel"/>
    <w:lvl w:ilvl="0">
      <w:lvlJc w:val="left"/>
      <w:lvlText w:val="(%1)"/>
      <w:numFmt w:val="lowerLetter"/>
      <w:start w:val="9"/>
    </w:lvl>
    <w:lvl w:ilvl="1">
      <w:lvlJc w:val="left"/>
      <w:lvlText w:val="%2"/>
      <w:numFmt w:val="lowerLetter"/>
      <w:start w:val="1"/>
    </w:lvl>
  </w:abstractNum>
  <w:abstractNum w:abstractNumId="6">
    <w:nsid w:val="2901D8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7">
    <w:nsid w:val="3A95F87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8">
    <w:nsid w:val="813864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
    <w:nsid w:val="1E7FF521"/>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10">
    <w:nsid w:val="7C3DBD3D"/>
    <w:multiLevelType w:val="hybridMultilevel"/>
    <w:lvl w:ilvl="0">
      <w:lvlJc w:val="left"/>
      <w:lvlText w:val="(%1)"/>
      <w:numFmt w:val="lowerRoman"/>
      <w:start w:val="1"/>
    </w:lvl>
  </w:abstractNum>
  <w:abstractNum w:abstractNumId="11">
    <w:nsid w:val="737B8DDC"/>
    <w:multiLevelType w:val="hybridMultilevel"/>
    <w:lvl w:ilvl="0">
      <w:lvlJc w:val="left"/>
      <w:lvlText w:val="(%1)"/>
      <w:numFmt w:val="lowerRoman"/>
      <w:start w:val="2"/>
    </w:lvl>
  </w:abstractNum>
  <w:abstractNum w:abstractNumId="12">
    <w:nsid w:val="6CEAF087"/>
    <w:multiLevelType w:val="hybridMultilevel"/>
    <w:lvl w:ilvl="0">
      <w:lvlJc w:val="left"/>
      <w:lvlText w:val="(%1)"/>
      <w:numFmt w:val="lowerLetter"/>
      <w:start w:val="5"/>
    </w:lvl>
  </w:abstractNum>
  <w:abstractNum w:abstractNumId="13">
    <w:nsid w:val="22221A70"/>
    <w:multiLevelType w:val="hybridMultilevel"/>
    <w:lvl w:ilvl="0">
      <w:lvlJc w:val="left"/>
      <w:lvlText w:val="%1"/>
      <w:numFmt w:val="lowerRoman"/>
      <w:start w:val="1"/>
    </w:lvl>
    <w:lvl w:ilvl="1">
      <w:lvlJc w:val="left"/>
      <w:lvlText w:val="(%2)"/>
      <w:numFmt w:val="lowerLetter"/>
      <w:start w:val="1"/>
    </w:lvl>
  </w:abstractNum>
  <w:abstractNum w:abstractNumId="14">
    <w:nsid w:val="4516DDE9"/>
    <w:multiLevelType w:val="hybridMultilevel"/>
    <w:lvl w:ilvl="0">
      <w:lvlJc w:val="left"/>
      <w:lvlText w:val="%1"/>
      <w:numFmt w:val="lowerRoman"/>
      <w:start w:val="1"/>
    </w:lvl>
    <w:lvl w:ilvl="1">
      <w:lvlJc w:val="left"/>
      <w:lvlText w:val="(%2)"/>
      <w:numFmt w:val="lowerLetter"/>
      <w:start w:val="9"/>
    </w:lvl>
  </w:abstractNum>
  <w:abstractNum w:abstractNumId="15">
    <w:nsid w:val="3006C83E"/>
    <w:multiLevelType w:val="hybridMultilevel"/>
    <w:lvl w:ilvl="0">
      <w:lvlJc w:val="left"/>
      <w:lvlText w:val="%1"/>
      <w:numFmt w:val="lowerRoman"/>
      <w:start w:val="1"/>
    </w:lvl>
    <w:lvl w:ilvl="1">
      <w:lvlJc w:val="left"/>
      <w:lvlText w:val="(%2)"/>
      <w:numFmt w:val="lowerLetter"/>
      <w:start w:val="35"/>
    </w:lvl>
  </w:abstractNum>
  <w:abstractNum w:abstractNumId="16">
    <w:nsid w:val="614FD4A1"/>
    <w:multiLevelType w:val="hybridMultilevel"/>
    <w:lvl w:ilvl="0">
      <w:lvlJc w:val="left"/>
      <w:lvlText w:val="%1"/>
      <w:numFmt w:val="lowerRoman"/>
      <w:start w:val="1"/>
    </w:lvl>
    <w:lvl w:ilvl="1">
      <w:lvlJc w:val="left"/>
      <w:lvlText w:val="(%2)"/>
      <w:numFmt w:val="lowerLetter"/>
      <w:start w:val="2"/>
    </w:lvl>
  </w:abstractNum>
  <w:abstractNum w:abstractNumId="17">
    <w:nsid w:val="419AC241"/>
    <w:multiLevelType w:val="hybridMultilevel"/>
    <w:lvl w:ilvl="0">
      <w:lvlJc w:val="left"/>
      <w:lvlText w:val="%1"/>
      <w:numFmt w:val="lowerRoman"/>
      <w:start w:val="1"/>
    </w:lvl>
    <w:lvl w:ilvl="1">
      <w:lvlJc w:val="left"/>
      <w:lvlText w:val="(%2)"/>
      <w:numFmt w:val="lowerLetter"/>
      <w:start w:val="9"/>
    </w:lvl>
  </w:abstractNum>
  <w:abstractNum w:abstractNumId="18">
    <w:nsid w:val="5577F8E1"/>
    <w:multiLevelType w:val="hybridMultilevel"/>
    <w:lvl w:ilvl="0">
      <w:lvlJc w:val="left"/>
      <w:lvlText w:val="%1"/>
      <w:numFmt w:val="lowerRoman"/>
      <w:start w:val="1"/>
    </w:lvl>
    <w:lvl w:ilvl="1">
      <w:lvlJc w:val="left"/>
      <w:lvlText w:val="(%2)"/>
      <w:numFmt w:val="lowerLetter"/>
      <w:start w:val="35"/>
    </w:lvl>
  </w:abstractNum>
  <w:abstractNum w:abstractNumId="19">
    <w:nsid w:val="440BADFC"/>
    <w:multiLevelType w:val="hybridMultilevel"/>
    <w:lvl w:ilvl="0">
      <w:lvlJc w:val="left"/>
      <w:lvlText w:val="%1"/>
      <w:numFmt w:val="lowerRoman"/>
      <w:start w:val="1"/>
    </w:lvl>
    <w:lvl w:ilvl="1">
      <w:lvlJc w:val="left"/>
      <w:lvlText w:val="(%2)"/>
      <w:numFmt w:val="lowerLetter"/>
      <w:start w:val="3"/>
    </w:lvl>
  </w:abstractNum>
  <w:abstractNum w:abstractNumId="20">
    <w:nsid w:val="5072367"/>
    <w:multiLevelType w:val="hybridMultilevel"/>
    <w:lvl w:ilvl="0">
      <w:lvlJc w:val="left"/>
      <w:lvlText w:val="(%1)"/>
      <w:numFmt w:val="lowerRoman"/>
      <w:start w:val="1"/>
    </w:lvl>
    <w:lvl w:ilvl="1">
      <w:lvlJc w:val="left"/>
      <w:lvlText w:val="(%2)"/>
      <w:numFmt w:val="lowerLetter"/>
      <w:start w:val="4"/>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lowerRoman"/>
      <w:start w:val="1"/>
    </w:lvl>
    <w:lvl w:ilvl="1">
      <w:lvlJc w:val="left"/>
      <w:lvlText w:val="(%2)"/>
      <w:numFmt w:val="lowerLetter"/>
      <w:start w:val="5"/>
    </w:lvl>
  </w:abstractNum>
  <w:abstractNum w:abstractNumId="23">
    <w:nsid w:val="7724C67E"/>
    <w:multiLevelType w:val="hybridMultilevel"/>
    <w:lvl w:ilvl="0">
      <w:lvlJc w:val="left"/>
      <w:lvlText w:val="%1"/>
      <w:numFmt w:val="lowerRoman"/>
      <w:start w:val="1"/>
    </w:lvl>
    <w:lvl w:ilvl="1">
      <w:lvlJc w:val="left"/>
      <w:lvlText w:val="(%2)"/>
      <w:numFmt w:val="lowerLetter"/>
      <w:start w:val="9"/>
    </w:lvl>
  </w:abstractNum>
  <w:abstractNum w:abstractNumId="24">
    <w:nsid w:val="5C482A97"/>
    <w:multiLevelType w:val="hybridMultilevel"/>
    <w:lvl w:ilvl="0">
      <w:lvlJc w:val="left"/>
      <w:lvlText w:val="%1"/>
      <w:numFmt w:val="lowerRoman"/>
      <w:start w:val="1"/>
    </w:lvl>
    <w:lvl w:ilvl="1">
      <w:lvlJc w:val="left"/>
      <w:lvlText w:val="(%2)"/>
      <w:numFmt w:val="lowerLetter"/>
      <w:start w:val="35"/>
    </w:lvl>
  </w:abstractNum>
  <w:abstractNum w:abstractNumId="25">
    <w:nsid w:val="2463B9EA"/>
    <w:multiLevelType w:val="hybridMultilevel"/>
    <w:lvl w:ilvl="0">
      <w:lvlJc w:val="left"/>
      <w:lvlText w:val="%1"/>
      <w:numFmt w:val="lowerRoman"/>
      <w:start w:val="1"/>
    </w:lvl>
    <w:lvl w:ilvl="1">
      <w:lvlJc w:val="left"/>
      <w:lvlText w:val="(%2)"/>
      <w:numFmt w:val="lowerLetter"/>
      <w:start w:val="61"/>
    </w:lvl>
  </w:abstractNum>
  <w:abstractNum w:abstractNumId="26">
    <w:nsid w:val="5E884ADC"/>
    <w:multiLevelType w:val="hybridMultilevel"/>
    <w:lvl w:ilvl="0">
      <w:lvlJc w:val="left"/>
      <w:lvlText w:val="(%1)"/>
      <w:numFmt w:val="lowerRoman"/>
      <w:start w:val="4"/>
    </w:lvl>
    <w:lvl w:ilvl="1">
      <w:lvlJc w:val="left"/>
      <w:lvlText w:val="%2"/>
      <w:numFmt w:val="lowerLetter"/>
      <w:start w:val="1"/>
    </w:lvl>
  </w:abstractNum>
  <w:abstractNum w:abstractNumId="27">
    <w:nsid w:val="51EAD36B"/>
    <w:multiLevelType w:val="hybridMultilevel"/>
    <w:lvl w:ilvl="0">
      <w:lvlJc w:val="left"/>
      <w:lvlText w:val="%1"/>
      <w:numFmt w:val="lowerRoman"/>
      <w:start w:val="1"/>
    </w:lvl>
    <w:lvl w:ilvl="1">
      <w:lvlJc w:val="left"/>
      <w:lvlText w:val="(%2)"/>
      <w:numFmt w:val="lowerLetter"/>
      <w:start w:val="6"/>
    </w:lvl>
  </w:abstractNum>
  <w:abstractNum w:abstractNumId="28">
    <w:nsid w:val="2D517796"/>
    <w:multiLevelType w:val="hybridMultilevel"/>
    <w:lvl w:ilvl="0">
      <w:lvlJc w:val="left"/>
      <w:lvlText w:val="%1"/>
      <w:numFmt w:val="lowerRoman"/>
      <w:start w:val="1"/>
    </w:lvl>
    <w:lvl w:ilvl="1">
      <w:lvlJc w:val="left"/>
      <w:lvlText w:val="(%2)"/>
      <w:numFmt w:val="lowerLetter"/>
      <w:start w:val="9"/>
    </w:lvl>
  </w:abstractNum>
  <w:abstractNum w:abstractNumId="29">
    <w:nsid w:val="580BD78F"/>
    <w:multiLevelType w:val="hybridMultilevel"/>
    <w:lvl w:ilvl="0">
      <w:lvlJc w:val="left"/>
      <w:lvlText w:val="%1"/>
      <w:numFmt w:val="lowerRoman"/>
      <w:start w:val="1"/>
    </w:lvl>
    <w:lvl w:ilvl="1">
      <w:lvlJc w:val="left"/>
      <w:lvlText w:val="(%2)"/>
      <w:numFmt w:val="lowerLetter"/>
      <w:start w:val="35"/>
    </w:lvl>
  </w:abstractNum>
  <w:abstractNum w:abstractNumId="30">
    <w:nsid w:val="153EA438"/>
    <w:multiLevelType w:val="hybridMultilevel"/>
    <w:lvl w:ilvl="0">
      <w:lvlJc w:val="left"/>
      <w:lvlText w:val="%1"/>
      <w:numFmt w:val="lowerRoman"/>
      <w:start w:val="1"/>
    </w:lvl>
    <w:lvl w:ilvl="1">
      <w:lvlJc w:val="left"/>
      <w:lvlText w:val="(%2)"/>
      <w:numFmt w:val="lowerLetter"/>
      <w:start w:val="1"/>
    </w:lvl>
  </w:abstractNum>
  <w:abstractNum w:abstractNumId="31">
    <w:nsid w:val="3855585C"/>
    <w:multiLevelType w:val="hybridMultilevel"/>
    <w:lvl w:ilvl="0">
      <w:lvlJc w:val="left"/>
      <w:lvlText w:val="%1"/>
      <w:numFmt w:val="lowerRoman"/>
      <w:start w:val="1"/>
    </w:lvl>
    <w:lvl w:ilvl="1">
      <w:lvlJc w:val="left"/>
      <w:lvlText w:val="(%2)"/>
      <w:numFmt w:val="lowerLetter"/>
      <w:start w:val="9"/>
    </w:lvl>
  </w:abstractNum>
  <w:abstractNum w:abstractNumId="32">
    <w:nsid w:val="70A64E2A"/>
    <w:multiLevelType w:val="hybridMultilevel"/>
    <w:lvl w:ilvl="0">
      <w:lvlJc w:val="left"/>
      <w:lvlText w:val="%1"/>
      <w:numFmt w:val="lowerRoman"/>
      <w:start w:val="1"/>
    </w:lvl>
    <w:lvl w:ilvl="1">
      <w:lvlJc w:val="left"/>
      <w:lvlText w:val="(%2)"/>
      <w:numFmt w:val="lowerLetter"/>
      <w:start w:val="35"/>
    </w:lvl>
  </w:abstractNum>
  <w:abstractNum w:abstractNumId="33">
    <w:nsid w:val="6A2342EC"/>
    <w:multiLevelType w:val="hybridMultilevel"/>
    <w:lvl w:ilvl="0">
      <w:lvlJc w:val="left"/>
      <w:lvlText w:val="%1"/>
      <w:numFmt w:val="lowerRoman"/>
      <w:start w:val="1"/>
    </w:lvl>
    <w:lvl w:ilvl="1">
      <w:lvlJc w:val="left"/>
      <w:lvlText w:val="(%2)"/>
      <w:numFmt w:val="lowerLetter"/>
      <w:start w:val="2"/>
    </w:lvl>
  </w:abstractNum>
  <w:abstractNum w:abstractNumId="34">
    <w:nsid w:val="2A487CB0"/>
    <w:multiLevelType w:val="hybridMultilevel"/>
    <w:lvl w:ilvl="0">
      <w:lvlJc w:val="left"/>
      <w:lvlText w:val="(%1)"/>
      <w:numFmt w:val="lowerRoman"/>
      <w:start w:val="1"/>
    </w:lvl>
  </w:abstractNum>
  <w:abstractNum w:abstractNumId="35">
    <w:nsid w:val="1D4ED43B"/>
    <w:multiLevelType w:val="hybridMultilevel"/>
    <w:lvl w:ilvl="0">
      <w:lvlJc w:val="left"/>
      <w:lvlText w:val="%1"/>
      <w:numFmt w:val="lowerRoman"/>
      <w:start w:val="1"/>
    </w:lvl>
    <w:lvl w:ilvl="1">
      <w:lvlJc w:val="left"/>
      <w:lvlText w:val="(%2)"/>
      <w:numFmt w:val="upperLetter"/>
      <w:start w:val="1"/>
    </w:lvl>
  </w:abstractNum>
  <w:abstractNum w:abstractNumId="36">
    <w:nsid w:val="725A06FB"/>
    <w:multiLevelType w:val="hybridMultilevel"/>
    <w:lvl w:ilvl="0">
      <w:lvlJc w:val="left"/>
      <w:lvlText w:val="(%1)"/>
      <w:numFmt w:val="lowerRoman"/>
      <w:start w:val="2"/>
    </w:lvl>
    <w:lvl w:ilvl="1">
      <w:lvlJc w:val="left"/>
      <w:lvlText w:val="%2"/>
      <w:numFmt w:val="upperLetter"/>
      <w:start w:val="1"/>
    </w:lvl>
  </w:abstractNum>
  <w:abstractNum w:abstractNumId="37">
    <w:nsid w:val="2CD89A32"/>
    <w:multiLevelType w:val="hybridMultilevel"/>
    <w:lvl w:ilvl="0">
      <w:lvlJc w:val="left"/>
      <w:lvlText w:val="(%1)"/>
      <w:numFmt w:val="lowerRoman"/>
      <w:start w:val="4"/>
    </w:lvl>
    <w:lvl w:ilvl="1">
      <w:lvlJc w:val="left"/>
      <w:lvlText w:val="%2."/>
      <w:numFmt w:val="decimal"/>
      <w:start w:val="8"/>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lowerLetter"/>
      <w:start w:val="3"/>
    </w:lvl>
  </w:abstractNum>
  <w:abstractNum w:abstractNumId="41">
    <w:nsid w:val="542289EC"/>
    <w:multiLevelType w:val="hybridMultilevel"/>
    <w:lvl w:ilvl="0">
      <w:lvlJc w:val="left"/>
      <w:lvlText w:val="%1"/>
      <w:numFmt w:val="decimal"/>
      <w:start w:val="1"/>
    </w:lvl>
    <w:lvl w:ilvl="1">
      <w:lvlJc w:val="left"/>
      <w:lvlText w:val="(%2)"/>
      <w:numFmt w:val="lowerLetter"/>
      <w:start w:val="4"/>
    </w:lvl>
  </w:abstractNum>
  <w:abstractNum w:abstractNumId="42">
    <w:nsid w:val="6DE91B18"/>
    <w:multiLevelType w:val="hybridMultilevel"/>
    <w:lvl w:ilvl="0">
      <w:lvlJc w:val="left"/>
      <w:lvlText w:val="(%1)"/>
      <w:numFmt w:val="decimal"/>
      <w:start w:val="12"/>
    </w:lvl>
    <w:lvl w:ilvl="1">
      <w:lvlJc w:val="left"/>
      <w:lvlText w:val="(%2)"/>
      <w:numFmt w:val="lowerLetter"/>
      <w:start w:val="5"/>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Roman"/>
      <w:start w:val="1"/>
    </w:lvl>
    <w:lvl w:ilvl="1">
      <w:lvlJc w:val="left"/>
      <w:lvlText w:val="(%2)"/>
      <w:numFmt w:val="lowerLetter"/>
      <w:start w:val="2"/>
    </w:lvl>
  </w:abstractNum>
  <w:abstractNum w:abstractNumId="47">
    <w:nsid w:val="579478FE"/>
    <w:multiLevelType w:val="hybridMultilevel"/>
    <w:lvl w:ilvl="0">
      <w:lvlJc w:val="left"/>
      <w:lvlText w:val="(%1)"/>
      <w:numFmt w:val="lowerRoman"/>
      <w:start w:val="8"/>
    </w:lvl>
    <w:lvl w:ilvl="1">
      <w:lvlJc w:val="left"/>
      <w:lvlText w:val="(%2)"/>
      <w:numFmt w:val="lowerLetter"/>
      <w:start w:val="3"/>
    </w:lvl>
  </w:abstractNum>
  <w:abstractNum w:abstractNumId="48">
    <w:nsid w:val="749ABB43"/>
    <w:multiLevelType w:val="hybridMultilevel"/>
    <w:lvl w:ilvl="0">
      <w:lvlJc w:val="left"/>
      <w:lvlText w:val="(%1)"/>
      <w:numFmt w:val="lowerRoman"/>
      <w:start w:val="2"/>
    </w:lvl>
    <w:lvl w:ilvl="1">
      <w:lvlJc w:val="left"/>
      <w:lvlText w:val="%2"/>
      <w:numFmt w:val="lowerLetter"/>
      <w:start w:val="1"/>
    </w:lvl>
  </w:abstractNum>
  <w:abstractNum w:abstractNumId="49">
    <w:nsid w:val="3DC240FB"/>
    <w:multiLevelType w:val="hybridMultilevel"/>
    <w:lvl w:ilvl="0">
      <w:lvlJc w:val="left"/>
      <w:lvlText w:val="(%1)"/>
      <w:numFmt w:val="lowerLetter"/>
      <w:start w:val="4"/>
    </w:lvl>
  </w:abstractNum>
  <w:abstractNum w:abstractNumId="50">
    <w:nsid w:val="1BA026FA"/>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2019-12-20T04:13:49Z</dcterms:created>
  <dcterms:modified xsi:type="dcterms:W3CDTF">2019-12-20T04:13:49Z</dcterms:modified>
</cp:coreProperties>
</file>