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Number 333-97697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PROSPECTUS SUPPLEMENT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 Prospectus dated November 20, 2002)</w:t>
      </w:r>
    </w:p>
    <w:p>
      <w:pPr>
        <w:spacing w:after="0" w:line="162"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2,347 SHARES</w:t>
      </w:r>
    </w:p>
    <w:p>
      <w:pPr>
        <w:spacing w:after="0" w:line="185"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66" w:lineRule="exact"/>
        <w:rPr>
          <w:sz w:val="20"/>
          <w:szCs w:val="20"/>
          <w:color w:val="auto"/>
        </w:rPr>
      </w:pPr>
    </w:p>
    <w:p>
      <w:pPr>
        <w:ind w:right="480" w:firstLine="225"/>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New York Stock Exchange under the trading symbol “WMI.” On June 29, 2004, the last reported sale price of the common stock on the New York Stock Exchange was $30.73 per share.</w:t>
      </w:r>
    </w:p>
    <w:p>
      <w:pPr>
        <w:spacing w:after="0" w:line="135" w:lineRule="exact"/>
        <w:rPr>
          <w:sz w:val="20"/>
          <w:szCs w:val="20"/>
          <w:color w:val="auto"/>
        </w:rPr>
      </w:pPr>
    </w:p>
    <w:p>
      <w:pPr>
        <w:ind w:right="160" w:firstLine="222"/>
        <w:spacing w:after="0" w:line="261" w:lineRule="auto"/>
        <w:rPr>
          <w:sz w:val="20"/>
          <w:szCs w:val="20"/>
          <w:color w:val="auto"/>
        </w:rPr>
      </w:pPr>
      <w:r>
        <w:rPr>
          <w:rFonts w:ascii="Times New Roman" w:cs="Times New Roman" w:eastAsia="Times New Roman" w:hAnsi="Times New Roman"/>
          <w:sz w:val="18"/>
          <w:szCs w:val="18"/>
          <w:color w:val="auto"/>
        </w:rPr>
        <w:t>We are issuing the shares directly to the warrant holder upon exercise by such holder of a currently outstanding warrant. The warrant, originally issued in August 1996, entitled the holder to purchase 20.000 shares of our common stock at a purchase price of $27.125 per share. Pursuant to the terms of the warrant, the holder exercised by net settlement, meaning we withheld the number of shares necessary to pay the exercise price upon exercise as payment for the shares. Therefore, we will not receive any proceeds from the sale of the shares.</w:t>
      </w:r>
    </w:p>
    <w:p>
      <w:pPr>
        <w:spacing w:after="0" w:line="136" w:lineRule="exact"/>
        <w:rPr>
          <w:sz w:val="20"/>
          <w:szCs w:val="20"/>
          <w:color w:val="auto"/>
        </w:rPr>
      </w:pPr>
    </w:p>
    <w:p>
      <w:pPr>
        <w:ind w:right="680" w:firstLine="225"/>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the common stock involves risks that are described in the “Risk Factors” section beginning on page 4 of the prospectus dated November 20, 2002.</w:t>
      </w:r>
    </w:p>
    <w:p>
      <w:pPr>
        <w:spacing w:after="0" w:line="114" w:lineRule="exact"/>
        <w:rPr>
          <w:sz w:val="20"/>
          <w:szCs w:val="20"/>
          <w:color w:val="auto"/>
        </w:rPr>
      </w:pPr>
    </w:p>
    <w:p>
      <w:pPr>
        <w:ind w:right="240" w:firstLine="225"/>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SUPPLEMENT. ANY REPRESENTATION TO THE CONTRARY IS A CRIMINAL OFFENSE.</w:t>
      </w:r>
    </w:p>
    <w:p>
      <w:pPr>
        <w:spacing w:after="0" w:line="1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We expect to deliver the shares against payment therefor in Houston, Texas on or about July 6, 2004.</w:t>
      </w:r>
    </w:p>
    <w:p>
      <w:pPr>
        <w:spacing w:after="0" w:line="18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Prospectus Supplement dated July 1, 2004</w:t>
      </w:r>
    </w:p>
    <w:sectPr>
      <w:pgSz w:w="11900" w:h="16838" w:orient="portrait"/>
      <w:cols w:equalWidth="0" w:num="1">
        <w:col w:w="11420"/>
      </w:cols>
      <w:pgMar w:left="240" w:top="63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2019-12-20T04:04:38Z</dcterms:created>
  <dcterms:modified xsi:type="dcterms:W3CDTF">2019-12-20T04:04:38Z</dcterms:modified>
</cp:coreProperties>
</file>