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194945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4" w:lineRule="exact"/>
        <w:rPr>
          <w:sz w:val="24"/>
          <w:szCs w:val="24"/>
          <w:color w:val="auto"/>
        </w:rPr>
      </w:pPr>
    </w:p>
    <w:p>
      <w:pPr>
        <w:ind w:left="520" w:right="1100" w:hanging="385"/>
        <w:spacing w:after="0" w:line="349"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AND EXCHANGE ACT OF 1934 </w:t>
      </w:r>
      <w:r>
        <w:rPr>
          <w:rFonts w:ascii="Arial" w:cs="Arial" w:eastAsia="Arial" w:hAnsi="Arial"/>
          <w:sz w:val="18"/>
          <w:szCs w:val="18"/>
          <w:b w:val="1"/>
          <w:bCs w:val="1"/>
          <w:color w:val="auto"/>
        </w:rPr>
        <w:t>For the fiscal year ended December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8" w:lineRule="exact"/>
        <w:rPr>
          <w:sz w:val="24"/>
          <w:szCs w:val="24"/>
          <w:color w:val="auto"/>
        </w:rPr>
      </w:pPr>
    </w:p>
    <w:p>
      <w:pPr>
        <w:ind w:left="520" w:hanging="385"/>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AND EXCHANGE ACT OF 1934</w:t>
      </w:r>
    </w:p>
    <w:p>
      <w:pPr>
        <w:sectPr>
          <w:pgSz w:w="11900" w:h="16838" w:orient="portrait"/>
          <w:cols w:equalWidth="0" w:num="1">
            <w:col w:w="10380"/>
          </w:cols>
          <w:pgMar w:left="760" w:top="665" w:right="759" w:bottom="1440" w:gutter="0" w:footer="0" w:header="0"/>
        </w:sectPr>
      </w:pP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2840" w:space="540"/>
            <w:col w:w="7000"/>
          </w:cols>
          <w:pgMar w:left="760" w:top="665" w:right="75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0380"/>
          </w:cols>
          <w:pgMar w:left="760" w:top="665" w:right="759" w:bottom="1440" w:gutter="0" w:footer="0" w:header="0"/>
          <w:type w:val="continuous"/>
        </w:sectPr>
      </w:pP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center"/>
              <w:ind w:right="608"/>
              <w:spacing w:after="0"/>
              <w:rPr>
                <w:sz w:val="20"/>
                <w:szCs w:val="20"/>
                <w:color w:val="auto"/>
              </w:rPr>
            </w:pPr>
            <w:r>
              <w:rPr>
                <w:rFonts w:ascii="Arial" w:cs="Arial" w:eastAsia="Arial" w:hAnsi="Arial"/>
                <w:sz w:val="14"/>
                <w:szCs w:val="14"/>
                <w:b w:val="1"/>
                <w:bCs w:val="1"/>
                <w:color w:val="auto"/>
                <w:w w:val="94"/>
              </w:rPr>
              <w:t>Delaware</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20" w:type="dxa"/>
            <w:vAlign w:val="bottom"/>
            <w:gridSpan w:val="2"/>
          </w:tcPr>
          <w:p>
            <w:pPr>
              <w:jc w:val="right"/>
              <w:ind w:right="184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40" w:type="dxa"/>
            <w:vAlign w:val="bottom"/>
            <w:gridSpan w:val="2"/>
          </w:tcPr>
          <w:p>
            <w:pPr>
              <w:jc w:val="center"/>
              <w:ind w:left="368"/>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jc w:val="center"/>
              <w:ind w:right="162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gridSpan w:val="2"/>
          </w:tcPr>
          <w:p>
            <w:pPr>
              <w:jc w:val="center"/>
              <w:ind w:left="388"/>
              <w:spacing w:after="0"/>
              <w:rPr>
                <w:sz w:val="20"/>
                <w:szCs w:val="20"/>
                <w:color w:val="auto"/>
              </w:rPr>
            </w:pPr>
            <w:r>
              <w:rPr>
                <w:rFonts w:ascii="Arial" w:cs="Arial" w:eastAsia="Arial" w:hAnsi="Arial"/>
                <w:sz w:val="14"/>
                <w:szCs w:val="14"/>
                <w:i w:val="1"/>
                <w:iCs w:val="1"/>
                <w:color w:val="auto"/>
                <w:w w:val="97"/>
              </w:rPr>
              <w:t>incorporation or organization)</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ind w:right="164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44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w w:val="93"/>
              </w:rPr>
              <w:t>1001 Fannin Street</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20" w:type="dxa"/>
            <w:vAlign w:val="bottom"/>
            <w:gridSpan w:val="2"/>
            <w:vMerge w:val="restart"/>
          </w:tcPr>
          <w:p>
            <w:pPr>
              <w:jc w:val="right"/>
              <w:ind w:right="200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2440" w:type="dxa"/>
            <w:vAlign w:val="bottom"/>
            <w:gridSpan w:val="2"/>
          </w:tcPr>
          <w:p>
            <w:pPr>
              <w:jc w:val="center"/>
              <w:ind w:left="38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980" w:type="dxa"/>
            <w:vAlign w:val="bottom"/>
            <w:gridSpan w:val="5"/>
          </w:tcPr>
          <w:p>
            <w:pPr>
              <w:jc w:val="center"/>
              <w:ind w:right="310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00" w:type="dxa"/>
            <w:vAlign w:val="bottom"/>
          </w:tcPr>
          <w:p>
            <w:pPr>
              <w:spacing w:after="0"/>
              <w:rPr>
                <w:sz w:val="15"/>
                <w:szCs w:val="15"/>
                <w:color w:val="auto"/>
              </w:rPr>
            </w:pPr>
          </w:p>
        </w:tc>
        <w:tc>
          <w:tcPr>
            <w:tcW w:w="2820" w:type="dxa"/>
            <w:vAlign w:val="bottom"/>
          </w:tcPr>
          <w:p>
            <w:pPr>
              <w:jc w:val="center"/>
              <w:ind w:right="1628"/>
              <w:spacing w:after="0"/>
              <w:rPr>
                <w:sz w:val="20"/>
                <w:szCs w:val="20"/>
                <w:color w:val="auto"/>
              </w:rPr>
            </w:pPr>
            <w:r>
              <w:rPr>
                <w:rFonts w:ascii="Arial" w:cs="Arial" w:eastAsia="Arial" w:hAnsi="Arial"/>
                <w:sz w:val="14"/>
                <w:szCs w:val="14"/>
                <w:i w:val="1"/>
                <w:iCs w:val="1"/>
                <w:color w:val="auto"/>
                <w:w w:val="95"/>
              </w:rPr>
              <w:t>(Zip code)</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540" w:type="dxa"/>
            <w:vAlign w:val="bottom"/>
            <w:gridSpan w:val="3"/>
          </w:tcPr>
          <w:p>
            <w:pPr>
              <w:jc w:val="center"/>
              <w:ind w:right="34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8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93"/>
              </w:rPr>
              <w:t>(713) 512-6200</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40" w:type="dxa"/>
            <w:vAlign w:val="bottom"/>
            <w:gridSpan w:val="4"/>
          </w:tcPr>
          <w:p>
            <w:pPr>
              <w:jc w:val="center"/>
              <w:ind w:left="8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2440" w:type="dxa"/>
            <w:vAlign w:val="bottom"/>
            <w:gridSpan w:val="2"/>
          </w:tcPr>
          <w:p>
            <w:pPr>
              <w:jc w:val="right"/>
              <w:ind w:right="1228"/>
              <w:spacing w:after="0"/>
              <w:rPr>
                <w:sz w:val="20"/>
                <w:szCs w:val="20"/>
                <w:color w:val="auto"/>
              </w:rPr>
            </w:pPr>
            <w:r>
              <w:rPr>
                <w:rFonts w:ascii="Arial" w:cs="Arial" w:eastAsia="Arial" w:hAnsi="Arial"/>
                <w:sz w:val="14"/>
                <w:szCs w:val="14"/>
                <w:b w:val="1"/>
                <w:bCs w:val="1"/>
                <w:color w:val="auto"/>
                <w:w w:val="89"/>
              </w:rPr>
              <w:t>Title of Each Class</w:t>
            </w:r>
          </w:p>
        </w:tc>
        <w:tc>
          <w:tcPr>
            <w:tcW w:w="1100" w:type="dxa"/>
            <w:vAlign w:val="bottom"/>
          </w:tcPr>
          <w:p>
            <w:pPr>
              <w:spacing w:after="0"/>
              <w:rPr>
                <w:sz w:val="18"/>
                <w:szCs w:val="18"/>
                <w:color w:val="auto"/>
              </w:rPr>
            </w:pPr>
          </w:p>
        </w:tc>
        <w:tc>
          <w:tcPr>
            <w:tcW w:w="24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2"/>
              </w:rPr>
              <w:t>Trading Symbol</w:t>
            </w: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vMerge w:val="restart"/>
          </w:tcPr>
          <w:p>
            <w:pPr>
              <w:jc w:val="right"/>
              <w:ind w:right="868"/>
              <w:spacing w:after="0"/>
              <w:rPr>
                <w:sz w:val="20"/>
                <w:szCs w:val="20"/>
                <w:color w:val="auto"/>
              </w:rPr>
            </w:pPr>
            <w:r>
              <w:rPr>
                <w:rFonts w:ascii="Arial" w:cs="Arial" w:eastAsia="Arial" w:hAnsi="Arial"/>
                <w:sz w:val="14"/>
                <w:szCs w:val="14"/>
                <w:color w:val="auto"/>
              </w:rPr>
              <w:t>value</w:t>
            </w:r>
          </w:p>
        </w:tc>
        <w:tc>
          <w:tcPr>
            <w:tcW w:w="1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40" w:type="dxa"/>
            <w:vAlign w:val="bottom"/>
            <w:gridSpan w:val="2"/>
          </w:tcPr>
          <w:p>
            <w:pPr>
              <w:jc w:val="right"/>
              <w:spacing w:after="0"/>
              <w:rPr>
                <w:sz w:val="20"/>
                <w:szCs w:val="20"/>
                <w:color w:val="auto"/>
              </w:rPr>
            </w:pPr>
            <w:r>
              <w:rPr>
                <w:rFonts w:ascii="Arial" w:cs="Arial" w:eastAsia="Arial" w:hAnsi="Arial"/>
                <w:sz w:val="14"/>
                <w:szCs w:val="14"/>
                <w:color w:val="auto"/>
              </w:rPr>
              <w:t>Common Stock, $0.01 par</w:t>
            </w:r>
          </w:p>
        </w:tc>
        <w:tc>
          <w:tcPr>
            <w:tcW w:w="13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gridSpan w:val="2"/>
          </w:tcPr>
          <w:p>
            <w:pPr>
              <w:jc w:val="center"/>
              <w:ind w:right="1460"/>
              <w:spacing w:after="0"/>
              <w:rPr>
                <w:sz w:val="20"/>
                <w:szCs w:val="20"/>
                <w:color w:val="auto"/>
              </w:rPr>
            </w:pPr>
            <w:r>
              <w:rPr>
                <w:rFonts w:ascii="Arial" w:cs="Arial" w:eastAsia="Arial" w:hAnsi="Arial"/>
                <w:sz w:val="14"/>
                <w:szCs w:val="14"/>
                <w:color w:val="auto"/>
              </w:rPr>
              <w:t>WM</w:t>
            </w:r>
          </w:p>
        </w:tc>
        <w:tc>
          <w:tcPr>
            <w:tcW w:w="100" w:type="dxa"/>
            <w:vAlign w:val="bottom"/>
          </w:tcPr>
          <w:p>
            <w:pPr>
              <w:spacing w:after="0"/>
              <w:rPr>
                <w:sz w:val="15"/>
                <w:szCs w:val="15"/>
                <w:color w:val="auto"/>
              </w:rPr>
            </w:pPr>
          </w:p>
        </w:tc>
        <w:tc>
          <w:tcPr>
            <w:tcW w:w="2820" w:type="dxa"/>
            <w:vAlign w:val="bottom"/>
          </w:tcPr>
          <w:p>
            <w:pPr>
              <w:ind w:left="64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40"/>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92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7"/>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00" w:type="dxa"/>
            <w:vAlign w:val="bottom"/>
          </w:tcPr>
          <w:p>
            <w:pPr>
              <w:spacing w:after="0"/>
              <w:rPr>
                <w:sz w:val="22"/>
                <w:szCs w:val="22"/>
                <w:color w:val="auto"/>
              </w:rPr>
            </w:pPr>
          </w:p>
        </w:tc>
        <w:tc>
          <w:tcPr>
            <w:tcW w:w="28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ind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firstLine="25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firstLine="259"/>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6"/>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2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174" w:lineRule="exact"/>
        <w:rPr>
          <w:sz w:val="24"/>
          <w:szCs w:val="24"/>
          <w:color w:val="auto"/>
        </w:rPr>
      </w:pPr>
    </w:p>
    <w:p>
      <w:pPr>
        <w:jc w:val="both"/>
        <w:ind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2019 was approximately $48.8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7, 2020 was 424,708,758 (excluding treasury shares of 205,573,703).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tcPr>
          <w:p>
            <w:pPr>
              <w:jc w:val="center"/>
              <w:ind w:right="2108"/>
              <w:spacing w:after="0"/>
              <w:rPr>
                <w:sz w:val="20"/>
                <w:szCs w:val="20"/>
                <w:color w:val="auto"/>
              </w:rPr>
            </w:pPr>
            <w:r>
              <w:rPr>
                <w:rFonts w:ascii="Arial" w:cs="Arial" w:eastAsia="Arial" w:hAnsi="Arial"/>
                <w:sz w:val="14"/>
                <w:szCs w:val="14"/>
                <w:b w:val="1"/>
                <w:bCs w:val="1"/>
                <w:color w:val="auto"/>
                <w:w w:val="90"/>
              </w:rPr>
              <w:t>Document</w:t>
            </w:r>
          </w:p>
        </w:tc>
        <w:tc>
          <w:tcPr>
            <w:tcW w:w="31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1"/>
              </w:rPr>
              <w:t>Incorporated as to</w:t>
            </w:r>
          </w:p>
        </w:tc>
      </w:tr>
      <w:tr>
        <w:trPr>
          <w:trHeight w:val="123"/>
        </w:trPr>
        <w:tc>
          <w:tcPr>
            <w:tcW w:w="2240" w:type="dxa"/>
            <w:vAlign w:val="bottom"/>
          </w:tcPr>
          <w:p>
            <w:pPr>
              <w:ind w:left="1860"/>
              <w:spacing w:after="0" w:line="123" w:lineRule="exact"/>
              <w:rPr>
                <w:sz w:val="20"/>
                <w:szCs w:val="20"/>
                <w:color w:val="auto"/>
              </w:rPr>
            </w:pPr>
            <w:r>
              <w:rPr>
                <w:rFonts w:ascii="Arial" w:cs="Arial" w:eastAsia="Arial" w:hAnsi="Arial"/>
                <w:sz w:val="14"/>
                <w:szCs w:val="14"/>
                <w:color w:val="auto"/>
              </w:rPr>
              <w:t>Proxy</w:t>
            </w: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Statement</w:t>
            </w:r>
          </w:p>
        </w:tc>
        <w:tc>
          <w:tcPr>
            <w:tcW w:w="442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Part III</w:t>
            </w:r>
          </w:p>
        </w:tc>
        <w:tc>
          <w:tcPr>
            <w:tcW w:w="1980" w:type="dxa"/>
            <w:vAlign w:val="bottom"/>
          </w:tcPr>
          <w:p>
            <w:pPr>
              <w:spacing w:after="0"/>
              <w:rPr>
                <w:sz w:val="10"/>
                <w:szCs w:val="10"/>
                <w:color w:val="auto"/>
              </w:rPr>
            </w:pPr>
          </w:p>
        </w:tc>
      </w:tr>
      <w:tr>
        <w:trPr>
          <w:trHeight w:val="182"/>
        </w:trPr>
        <w:tc>
          <w:tcPr>
            <w:tcW w:w="7280" w:type="dxa"/>
            <w:vAlign w:val="bottom"/>
            <w:gridSpan w:val="3"/>
          </w:tcPr>
          <w:p>
            <w:pPr>
              <w:jc w:val="center"/>
              <w:ind w:right="2108"/>
              <w:spacing w:after="0"/>
              <w:rPr>
                <w:sz w:val="20"/>
                <w:szCs w:val="20"/>
                <w:color w:val="auto"/>
              </w:rPr>
            </w:pPr>
            <w:r>
              <w:rPr>
                <w:rFonts w:ascii="Arial" w:cs="Arial" w:eastAsia="Arial" w:hAnsi="Arial"/>
                <w:sz w:val="14"/>
                <w:szCs w:val="14"/>
                <w:color w:val="auto"/>
                <w:w w:val="95"/>
              </w:rPr>
              <w:t>2020 Annual Meeting of Stockholders</w:t>
            </w: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82"/>
        </w:trPr>
        <w:tc>
          <w:tcPr>
            <w:tcW w:w="2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r>
      <w:tr>
        <w:trPr>
          <w:trHeight w:val="642"/>
        </w:trPr>
        <w:tc>
          <w:tcPr>
            <w:tcW w:w="2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0380"/>
          </w:cols>
          <w:pgMar w:left="760"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8"/>
          </w:tcPr>
          <w:p>
            <w:pPr>
              <w:ind w:left="6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12"/>
            <w:vMerge w:val="restart"/>
          </w:tcPr>
          <w:p>
            <w:pPr>
              <w:jc w:val="center"/>
              <w:ind w:right="35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60" w:type="dxa"/>
            <w:vAlign w:val="bottom"/>
            <w:gridSpan w:val="12"/>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8"/>
                <w:szCs w:val="18"/>
                <w:color w:val="auto"/>
              </w:rPr>
            </w:pPr>
          </w:p>
        </w:tc>
        <w:tc>
          <w:tcPr>
            <w:tcW w:w="3580" w:type="dxa"/>
            <w:vAlign w:val="bottom"/>
            <w:gridSpan w:val="1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Item 1A.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1B.</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570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2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640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354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2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Market for Registrant’s Common Equity, Related Stockholder Matters and Issuer Purchases of Equity</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w:t>
              </w:r>
            </w:hyperlink>
          </w:p>
        </w:tc>
        <w:tc>
          <w:tcPr>
            <w:tcW w:w="4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2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02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7.</w:t>
              </w:r>
            </w:hyperlink>
          </w:p>
        </w:tc>
        <w:tc>
          <w:tcPr>
            <w:tcW w:w="2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7A.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0"/>
          </w:tcPr>
          <w:p>
            <w:pPr>
              <w:spacing w:after="0"/>
              <w:rPr>
                <w:sz w:val="17"/>
                <w:szCs w:val="17"/>
                <w:color w:val="auto"/>
              </w:rPr>
            </w:pPr>
          </w:p>
        </w:tc>
        <w:tc>
          <w:tcPr>
            <w:tcW w:w="338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Item 9.</w:t>
              </w:r>
            </w:hyperlink>
          </w:p>
        </w:tc>
        <w:tc>
          <w:tcPr>
            <w:tcW w:w="2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Changes in and Disagreements with Accountants on Accounting and Financial Disclosure</w:t>
              </w:r>
            </w:hyperlink>
          </w:p>
        </w:tc>
        <w:tc>
          <w:tcPr>
            <w:tcW w:w="126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Item 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Controls and Procedures</w:t>
              </w:r>
            </w:hyperlink>
          </w:p>
        </w:tc>
        <w:tc>
          <w:tcPr>
            <w:tcW w:w="596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9B.</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gridSpan w:val="8"/>
          </w:tcPr>
          <w:p>
            <w:pPr>
              <w:jc w:val="cente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III</w:t>
              </w:r>
            </w:hyperlink>
          </w:p>
        </w:tc>
        <w:tc>
          <w:tcPr>
            <w:tcW w:w="35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10.</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11.</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12.</w:t>
              </w:r>
            </w:hyperlink>
          </w:p>
        </w:tc>
        <w:tc>
          <w:tcPr>
            <w:tcW w:w="7860" w:type="dxa"/>
            <w:vAlign w:val="bottom"/>
            <w:gridSpan w:val="30"/>
          </w:tcPr>
          <w:p>
            <w:pPr>
              <w:ind w:left="120"/>
              <w:spacing w:after="0" w:line="196"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Security Ownership of Certain Beneficial Owners and Management and Related 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13.</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14.</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Principal Accounting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4"/>
          </w:tcPr>
          <w:p>
            <w:pPr>
              <w:jc w:val="center"/>
              <w:ind w:right="3520"/>
              <w:spacing w:after="0" w:line="196" w:lineRule="exact"/>
              <w:rPr>
                <w:rFonts w:ascii="Arial" w:cs="Arial" w:eastAsia="Arial" w:hAnsi="Arial"/>
                <w:sz w:val="18"/>
                <w:szCs w:val="18"/>
                <w:b w:val="1"/>
                <w:bCs w:val="1"/>
                <w:color w:val="0000EE"/>
                <w:w w:val="98"/>
              </w:rPr>
            </w:pPr>
            <w:hyperlink w:anchor="page128">
              <w:r>
                <w:rPr>
                  <w:rFonts w:ascii="Arial" w:cs="Arial" w:eastAsia="Arial" w:hAnsi="Arial"/>
                  <w:sz w:val="18"/>
                  <w:szCs w:val="18"/>
                  <w:b w:val="1"/>
                  <w:bCs w:val="1"/>
                  <w:color w:val="0000EE"/>
                  <w:w w:val="98"/>
                </w:rPr>
                <w:t>PART IV</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Item 15.</w:t>
              </w:r>
            </w:hyperlink>
          </w:p>
        </w:tc>
        <w:tc>
          <w:tcPr>
            <w:tcW w:w="3640" w:type="dxa"/>
            <w:vAlign w:val="bottom"/>
            <w:gridSpan w:val="16"/>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Exhibits</w:t>
              </w:r>
            </w:hyperlink>
          </w:p>
        </w:tc>
        <w:tc>
          <w:tcPr>
            <w:tcW w:w="700" w:type="dxa"/>
            <w:vAlign w:val="bottom"/>
            <w:tcBorders>
              <w:top w:val="single" w:sz="8" w:color="0000EE"/>
            </w:tcBorders>
            <w:gridSpan w:val="6"/>
          </w:tcPr>
          <w:p>
            <w:pPr>
              <w:spacing w:after="0"/>
              <w:rPr>
                <w:sz w:val="17"/>
                <w:szCs w:val="17"/>
                <w:color w:val="auto"/>
              </w:rPr>
            </w:pPr>
          </w:p>
        </w:tc>
        <w:tc>
          <w:tcPr>
            <w:tcW w:w="352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180" w:type="dxa"/>
            <w:vAlign w:val="bottom"/>
            <w:gridSpan w:val="2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Item 16.</w:t>
              </w:r>
            </w:hyperlink>
          </w:p>
        </w:tc>
        <w:tc>
          <w:tcPr>
            <w:tcW w:w="7860" w:type="dxa"/>
            <w:vAlign w:val="bottom"/>
            <w:gridSpan w:val="30"/>
          </w:tcPr>
          <w:p>
            <w:pPr>
              <w:ind w:left="12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Form 10-K Summary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details on the financial position, results of operations and cash flows of WM, WM Holdings and their subsidiaries, see Note 22 to the Consolidated Financial Statements.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 During 2019, our largest customer represented less than 2% of annual revenues. We employed approximately 44,900 people as of December 31, 2019.</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own or operate 249 landfill sites, which is the largest network of landfills in North America. In order to make disposal more practical for larger urban markets, where the distance to landfills is typically farther, we manage 302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and metal. We provide cost-efficient, environmentally sound recycling programs for municipalities, businesses and households across the U.S. and Canada as well as other services that supplement our Solid Waste business.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We are enabling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execution of our strategy will deliver shareholder value and leadership in a dynamic industry. In addition, we intend to continue to return value to our stockholders through dividend payments and our common stock repurchase program. In December 2019, we announced that our Board of Directors expects to increase the quarterly dividend from $0.5125 to $0.545 per share for dividends declared in 2020, which is a 6.3% increase from the quarterly dividends we declared in 2019. This is an indication of our ability to generate strong and consistent cash flows and marks the 17th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5" w:lineRule="exact"/>
        <w:rPr>
          <w:sz w:val="20"/>
          <w:szCs w:val="20"/>
          <w:color w:val="auto"/>
        </w:rPr>
      </w:pPr>
    </w:p>
    <w:p>
      <w:pPr>
        <w:jc w:val="center"/>
        <w:ind w:right="8200"/>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See Note 20 to the Consolidated Financial Statements for additional information about our reportable segments. We also provide additional services that are not managed through our Solid Waste business, as described below. These operations are presented in this report as “Other.” The services we currently provide include collection, landfill (solid and hazardous waste landfills), transfer, recycling and resource recovery and other services, as described below.</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Collection. </w:t>
      </w:r>
      <w:r>
        <w:rPr>
          <w:rFonts w:ascii="Arial" w:cs="Arial" w:eastAsia="Arial" w:hAnsi="Arial"/>
          <w:sz w:val="17"/>
          <w:szCs w:val="17"/>
          <w:color w:val="auto"/>
        </w:rPr>
        <w:t>Our commitment to customers begins with a vast waste collection network. Collection involves picking up</w:t>
      </w:r>
      <w:r>
        <w:rPr>
          <w:rFonts w:ascii="Arial" w:cs="Arial" w:eastAsia="Arial" w:hAnsi="Arial"/>
          <w:sz w:val="17"/>
          <w:szCs w:val="17"/>
          <w:i w:val="1"/>
          <w:iCs w:val="1"/>
          <w:color w:val="auto"/>
        </w:rPr>
        <w:t xml:space="preserve"> </w:t>
      </w:r>
      <w:r>
        <w:rPr>
          <w:rFonts w:ascii="Arial" w:cs="Arial" w:eastAsia="Arial" w:hAnsi="Arial"/>
          <w:sz w:val="17"/>
          <w:szCs w:val="17"/>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66" w:lineRule="exact"/>
        <w:rPr>
          <w:sz w:val="20"/>
          <w:szCs w:val="20"/>
          <w:color w:val="auto"/>
        </w:rPr>
      </w:pPr>
    </w:p>
    <w:p>
      <w:pPr>
        <w:jc w:val="both"/>
        <w:ind w:left="680" w:hanging="320"/>
        <w:spacing w:after="0" w:line="271"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7"/>
          <w:szCs w:val="17"/>
          <w:color w:val="auto"/>
        </w:rPr>
      </w:pPr>
    </w:p>
    <w:p>
      <w:pPr>
        <w:jc w:val="both"/>
        <w:ind w:left="680" w:hanging="320"/>
        <w:spacing w:after="0" w:line="255"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10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9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Landfill. </w:t>
      </w:r>
      <w:r>
        <w:rPr>
          <w:rFonts w:ascii="Arial" w:cs="Arial" w:eastAsia="Arial" w:hAnsi="Arial"/>
          <w:sz w:val="17"/>
          <w:szCs w:val="17"/>
          <w:color w:val="auto"/>
        </w:rPr>
        <w:t>Landfills are the main depositories for solid waste in North America. As of December 31, 2019, we owned 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operated 244 solid waste landfills and five secure hazardous waste landfills, which represents the largest network of</w:t>
      </w:r>
    </w:p>
    <w:p>
      <w:pPr>
        <w:sectPr>
          <w:pgSz w:w="11900" w:h="16838" w:orient="portrait"/>
          <w:cols w:equalWidth="0" w:num="1">
            <w:col w:w="9060"/>
          </w:cols>
          <w:pgMar w:left="1420" w:top="611"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2019, we owned or operated 302 transfer stations in North America. We deposit waste at</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stations, as do other waste haulers. The solid waste is then consolidated and compacted to reduce the volume and increase the density of the waste and transported by transfer trucks or by rail to disposal sites.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businesses with an alternative to traditional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and support our strategic goals to extract more value from the materials we manage. We were the first major solid waste company to focus on residential single-stream recycling, which allows customers to mix recyclable paper, plastic and glass in one bin. Residential single-stream programs have greatly increased the recycling volumes. Single-stream recycling is possible through the use of various mechanized screens and optical sorting technologies. We have also been advancing the single-stream recycling programs for commercial applications. Recycling involves the separation of</w:t>
      </w:r>
    </w:p>
    <w:p>
      <w:pPr>
        <w:sectPr>
          <w:pgSz w:w="11900" w:h="16838" w:orient="portrait"/>
          <w:cols w:equalWidth="0" w:num="1">
            <w:col w:w="9060"/>
          </w:cols>
          <w:pgMar w:left="1420" w:top="611"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reusable materials from the waste stream for processing and resale or other disposition. Our recycling operations include the following:</w:t>
      </w:r>
    </w:p>
    <w:p>
      <w:pPr>
        <w:spacing w:after="0" w:line="170"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i w:val="1"/>
          <w:iCs w:val="1"/>
          <w:color w:val="auto"/>
        </w:rPr>
        <w:t xml:space="preserve">Materials processing — </w:t>
      </w:r>
      <w:r>
        <w:rPr>
          <w:rFonts w:ascii="Arial" w:cs="Arial" w:eastAsia="Arial" w:hAnsi="Arial"/>
          <w:sz w:val="17"/>
          <w:szCs w:val="17"/>
          <w:color w:val="auto"/>
        </w:rPr>
        <w:t>Through our collection operations, we collect recyclable materials from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and industrial customers and direct these materials to one of our MRFs for processing. As of December 31, 2019, we operated 103 MRFs where paper, cardboard, metals, plastics, glass, construction and demolition materials and other recycling commodities are recovered for resale or redirected for other purposes.</w:t>
      </w:r>
    </w:p>
    <w:p>
      <w:pPr>
        <w:spacing w:after="0" w:line="17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1"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Recycling brokerage services </w:t>
      </w:r>
      <w:r>
        <w:rPr>
          <w:rFonts w:ascii="Arial" w:cs="Arial" w:eastAsia="Arial" w:hAnsi="Arial"/>
          <w:sz w:val="18"/>
          <w:szCs w:val="18"/>
          <w:color w:val="auto"/>
        </w:rPr>
        <w:t>— We also provide recycling brokerage services, which involve managing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recyclable materials for third parties. The experience of our recycling operations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Some of the recyclable materials processed in our MRFs are purchased from various sources, including third parties and our own operations. The price we pay for recyclable materials is often referred to as a “rebate.” In some cases, rebates are based on fixed contractual rates or on defined minimum per-ton rates but are generally based upon the price we receive for sales of processed goods, market conditions and transportation costs. As a result, changes in commodity prices for recycled materials also significantly affect the rebates we pay to our suppliers and depending on the key terms of the agreement are recorded as either operating expenses or a reduction in operating revenues within our Consolidated Statements of Operations, subsequent to the adoption of Accounting Standards Update (“ASU”) 2014-09 on January 1, 2018. In recent years, we have been focused on revising our rebate structures to ensure that we cover our cost of handling and processing the materials and generate an acceptable margin on the materials we process and sell.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organization, which is managed by our Strategic Business Solutions (“WMSBS”) organization, works with customers whose locations span the U.S. and Canada. Our strategic accounts program provides centralized customer service, billing and management of accounts to streamline the administration of customers multiple locations’ waste management needs.</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Energy and Environmental Services (“EES”)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EES organization but reflected principally in our collection line of business and (iv) specialized disposal services for oil and gas exploration and production operations; revenues for this service are also reflected principally in our collection line of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organization.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2019, we had 124 landfill gas beneficial use</w:t>
      </w:r>
    </w:p>
    <w:p>
      <w:pPr>
        <w:sectPr>
          <w:pgSz w:w="11900" w:h="16838" w:orient="portrait"/>
          <w:cols w:equalWidth="0" w:num="1">
            <w:col w:w="9060"/>
          </w:cols>
          <w:pgMar w:left="1420" w:top="611"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projects producing commercial quantities of methane gas at owned or operated landfills. For 97 of these projects, the processed gas is used to fuel electricity generators. The electricity is then sold to public utilities, municipal utilities or power cooperatives. For 15 of these projects, the landfill gas is processed to pipeline-quality natural gas and then sold to natural gas suppliers. For 12 of these projects, the gas is used at the landfill or delivered by pipeline to industrial customers as a direct substitute for fossil fuels in industrial processes.</w:t>
      </w:r>
    </w:p>
    <w:p>
      <w:pPr>
        <w:spacing w:after="0" w:line="188"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program; the development, operation and marketing of plasma gasification facilities; operation of a landfill gas-to-liquid natural gas plant; and organic waste-to-fuel conversion technology. We also have expanded service offerings and solutions including fluorescent bulb and universal waste mail-back through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program; portable restroom servicing under the name Port-o-Let</w:t>
      </w:r>
      <w:r>
        <w:rPr>
          <w:rFonts w:ascii="Arial" w:cs="Arial" w:eastAsia="Arial" w:hAnsi="Arial"/>
          <w:sz w:val="27"/>
          <w:szCs w:val="27"/>
          <w:color w:val="auto"/>
          <w:vertAlign w:val="superscript"/>
        </w:rPr>
        <w:t>®</w:t>
      </w:r>
      <w:r>
        <w:rPr>
          <w:rFonts w:ascii="Arial" w:cs="Arial" w:eastAsia="Arial" w:hAnsi="Arial"/>
          <w:sz w:val="18"/>
          <w:szCs w:val="18"/>
          <w:color w:val="auto"/>
        </w:rPr>
        <w:t>; and street and parking lot sweeping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Areas impacted.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approximately 44,900 full-time employees, of which approximately 8,600 were employed in administrative and sales positions and the balance in operations. Approximately 8,400 of our employees are covered by collective bargaining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Surety bonds and insurance policies are supported by (i) a diverse group of third-party surety and insurance companies;</w:t>
      </w:r>
    </w:p>
    <w:p>
      <w:pPr>
        <w:spacing w:after="0" w:line="46" w:lineRule="exact"/>
        <w:rPr>
          <w:sz w:val="20"/>
          <w:szCs w:val="20"/>
          <w:color w:val="auto"/>
        </w:rPr>
      </w:pPr>
    </w:p>
    <w:p>
      <w:pPr>
        <w:jc w:val="both"/>
        <w:ind w:firstLine="9"/>
        <w:spacing w:after="0" w:line="254"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facilities established for that purpose.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carry a broad range of insurance coverages, including health and welfare, 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We use a wholly-owned insurance captive to insure the deductibles for our general liability, automobile liability and workers’ compensation claims programs. As of December 31, 2019, both our commercial General Liability Insurance Policy and our workers’ compensation insurance program carried self-insurance exposures of up to $5 million per incident. As of December 31, 2019, our automobile liability insurance program included a per-incident deductible of up to $10 million. We do not expect the impact of any known casualty, property, environmental or other contingency to have a material impact on our financial condition, results of operations or cash flows. Our estimated insurance liabilities as of December 31, 2019 are summarized in Note 11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 of violations.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is related, either directly or indirectly, to environmental protection measures, including compliance with federal, state, provincial and local rules. There are costs associated with siting, design, permitting, operations, monitoring, site maintenance, corrective actions, financial assurance, and facility closure and post-closure obligations. With acquisition, development or expansion of a waste management or disposal facility or transfer station, we must often spend considerable time, effort and money to obtain or maintain required permits and</w:t>
      </w:r>
    </w:p>
    <w:p>
      <w:pPr>
        <w:sectPr>
          <w:pgSz w:w="11900" w:h="16838" w:orient="portrait"/>
          <w:cols w:equalWidth="0" w:num="1">
            <w:col w:w="9060"/>
          </w:cols>
          <w:pgMar w:left="1420" w:top="611"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regulatory environment in which we operate is influenced by changes in leadership at the federal, state, provincial and local levels. The policies set forth under the current U.S. administration, for example, have included substantial changes to foreign trade policy and generally have been in favor of reducing regulation, including environmental regulation. We cannot predict what impact the current or future administrations will have on future regulations impacting our industry, especially given the number of rules currently in litigation, nor can we predict the timing of any such changes. Reduction of regulation may have a favorable impact on our operating costs, but the extensive environmental regulation applicable to landfills is a barrier to rapid entry that benefits our Company. Moreover, the risk reduction provided by stringent regulation is valuable to our customers and the communities we serve.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680" w:hanging="320"/>
        <w:spacing w:after="0" w:line="272"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69" w:lineRule="exact"/>
        <w:rPr>
          <w:rFonts w:ascii="Arial" w:cs="Arial" w:eastAsia="Arial" w:hAnsi="Arial"/>
          <w:sz w:val="17"/>
          <w:szCs w:val="17"/>
          <w:color w:val="auto"/>
        </w:rPr>
      </w:pPr>
    </w:p>
    <w:p>
      <w:pPr>
        <w:jc w:val="both"/>
        <w:ind w:left="680" w:hanging="320"/>
        <w:spacing w:after="0" w:line="267"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84" w:lineRule="exact"/>
        <w:rPr>
          <w:rFonts w:ascii="Arial" w:cs="Arial" w:eastAsia="Arial" w:hAnsi="Arial"/>
          <w:sz w:val="17"/>
          <w:szCs w:val="17"/>
          <w:color w:val="auto"/>
        </w:rPr>
      </w:pPr>
    </w:p>
    <w:p>
      <w:pPr>
        <w:jc w:val="both"/>
        <w:ind w:left="680" w:hanging="320"/>
        <w:spacing w:after="0" w:line="269"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Also, if a landfill or other facility discharges wastewater through a sewage system to a publicly-owned treatment works, the facility must comply with discharge limits imposed by the treatment works. Further,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ectPr>
          <w:pgSz w:w="11900" w:h="16838" w:orient="portrait"/>
          <w:cols w:equalWidth="0" w:num="1">
            <w:col w:w="9060"/>
          </w:cols>
          <w:pgMar w:left="1420" w:top="611"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80" w:hanging="320"/>
        <w:spacing w:after="0" w:line="288"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(“EG”) controlling landfill gases from new and existing large landfills. In January 2003, the EPA issued Maximum Achievable Control Technology (“MACT”) standards for municipal solid waste landfills subject to the NSPS and EG. In August 2016, the EPA issued two new rules that serve to update the 1996 NSPS and EG regulatory requirements. These NSPS, EG and MACT regulations impose performance standards to minimize air emissions from large municipal solid waste landfills, subject most of these landfills to certain operating permit requirements under Title V of the Clean Air Act and, in many instances, require installation of landfill gas collection and control systems to control emissions or to treat and utilize landfill gas on- or off-site.</w:t>
      </w:r>
    </w:p>
    <w:p>
      <w:pPr>
        <w:spacing w:after="0" w:line="61" w:lineRule="exact"/>
        <w:rPr>
          <w:rFonts w:ascii="Arial" w:cs="Arial" w:eastAsia="Arial" w:hAnsi="Arial"/>
          <w:sz w:val="16"/>
          <w:szCs w:val="16"/>
          <w:color w:val="auto"/>
        </w:rPr>
      </w:pPr>
    </w:p>
    <w:p>
      <w:pPr>
        <w:jc w:val="both"/>
        <w:ind w:left="680" w:hanging="320"/>
        <w:spacing w:after="0" w:line="270"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Occupational Safety and Health Act of 1970 (“OSHA”),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actively monitoring the following recent regulatory developments affecting our business:</w:t>
      </w:r>
    </w:p>
    <w:p>
      <w:pPr>
        <w:spacing w:after="0" w:line="117" w:lineRule="exact"/>
        <w:rPr>
          <w:sz w:val="20"/>
          <w:szCs w:val="20"/>
          <w:color w:val="auto"/>
        </w:rPr>
      </w:pPr>
    </w:p>
    <w:p>
      <w:pPr>
        <w:jc w:val="both"/>
        <w:ind w:left="680" w:hanging="320"/>
        <w:spacing w:after="0" w:line="289"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regard to regulatory developments under RCRA, the EPA published an advance notice of proposed rulemaking in December 2018 to consider whether to propose revisions to the municipal solid waste landfill criteria to support advances in liquids management. Although the notice does not reopen any existing regulations, we have been working closely with the EPA to ensure that the agency is aware of how future regulation could impact our industry. In July 2019, the EPA announced increases in the user fees accompanying the system that the agency uses to track hazardous waste shipments electronically. Later in 2019, the U.S. Department of Energy finalized a rule setting forth the fee that the agency will charge for the long-term storage and management of elemental mercury. Neither announcement is anticipated to adversely impact the Company’s hazardous business units, and we are working closely with both agencies to minimize risks more broadly to our industry.</w:t>
      </w:r>
    </w:p>
    <w:p>
      <w:pPr>
        <w:spacing w:after="0" w:line="58" w:lineRule="exact"/>
        <w:rPr>
          <w:rFonts w:ascii="Arial" w:cs="Arial" w:eastAsia="Arial" w:hAnsi="Arial"/>
          <w:sz w:val="16"/>
          <w:szCs w:val="16"/>
          <w:color w:val="auto"/>
        </w:rPr>
      </w:pPr>
    </w:p>
    <w:p>
      <w:pPr>
        <w:jc w:val="both"/>
        <w:ind w:left="680" w:hanging="320"/>
        <w:spacing w:after="0" w:line="268"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regard to regulatory requirements pertaining to greenhouse gas emissions, since 2014, decisions from the U.S Supreme Court and U.S. Court of Appeals for the D.C Circuit, as well as EPA policy memoranda, have significantly narrowed the applicability and scope of EPA permitting requirements for GHGs from stationary sources, including with respect to biogenic carbon dioxide (“CO2”) permitting. In 2016, the EPA proposed revisions to the Prevention of Significant Deterioration (“PSD”) and Title V Greenhouse Gas (“GHG”) permitting regulations establishing a significant emissions rate (“SER”) threshold, below which sources would not be required to implement additional control technologies for their GHG emissions. This SER threshold should prevent most of our operational changes, such as landfill expansions and beneficial gas recovery projects, from being subject to PSD or Title V permit requirements due to our GHG emissions – assuming the EPA classifies biogenic CO2 emissions from municipal solid waste and landfill gas as carbon neutral. The EPA has not yet finalized this rulemaking. The EPA also has not yet finalized its policy for addressing biogenic CO2 emissions from waste management; however, the EPA’s independent Science Advisory Board has recommended it treat waste-derived CO2 emissions as carbon neutral. These judicial and regulatory actions have reduced, and are expected to continue to reduce, the potential impact of the PSD and Title V GHG Tailoring Rule on our air permits, compliance and operating requirements.</w:t>
      </w:r>
    </w:p>
    <w:p>
      <w:pPr>
        <w:spacing w:after="0" w:line="7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Potential climate change, GHG regulatory, and corporate sustainability initiatives have influenced our business strategy to provide low-carbon services to our customers, and we increasingly view our ability to offer lower carbon services as a key component of our business growth. We continue to anticipate the needs of our customers, which include investing in and developing ever-more-advanced recycling and reuse technologies. If the U.S. were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to impose a carbon tax or other form of GHG regulation increasing demand for low-carbon service offerings in the future, the services we are developing will be increasingly valuable.</w:t>
      </w:r>
    </w:p>
    <w:p>
      <w:pPr>
        <w:spacing w:after="0" w:line="62" w:lineRule="exact"/>
        <w:rPr>
          <w:sz w:val="20"/>
          <w:szCs w:val="20"/>
          <w:color w:val="auto"/>
        </w:rPr>
      </w:pPr>
    </w:p>
    <w:p>
      <w:pPr>
        <w:jc w:val="both"/>
        <w:ind w:left="680" w:hanging="320"/>
        <w:spacing w:after="0" w:line="25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monitor periodic regulatory actions to increase the stringency of certain National Ambient Air Quality Standards (“NAAQS”) which could affect the cost, timeliness and availability of air permits for new and modified large municipal solid waste landfills and landfill gas-to-energy facilities. While we cannot predict the ultimate outcome of potential revisions to NAAQS, we do not believe that the such requirements will have a material adverse impact on our business as a whole.</w:t>
      </w:r>
    </w:p>
    <w:p>
      <w:pPr>
        <w:spacing w:after="0" w:line="80" w:lineRule="exact"/>
        <w:rPr>
          <w:rFonts w:ascii="Arial" w:cs="Arial" w:eastAsia="Arial" w:hAnsi="Arial"/>
          <w:sz w:val="18"/>
          <w:szCs w:val="18"/>
          <w:color w:val="auto"/>
        </w:rPr>
      </w:pPr>
    </w:p>
    <w:p>
      <w:pPr>
        <w:jc w:val="both"/>
        <w:ind w:left="680" w:hanging="320"/>
        <w:spacing w:after="0" w:line="26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2014, the EPA issued a final rule regulating the disposal and beneficial use of coal combustion residuals (“CCR”). This codification of the CCR rule provides utilities with a stable regulatory regime and encourages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These standards are consistent with our approach to handling CCR at our sites currently, and the new standards have provided a growth opportunity for the Company. States may impose standards more stringent than the federal program, and under the 2016 Water Infrastructure Improvements for the Nation Act, may receive approval to run permitting programs for CCR in their states. In 2018, the U.S. Court of Appeals for the D.C Circuit vacated significant portions of the 2014 final rule and remanded the rule to the EPA for further revision. Between August and December of 2019, the EPA published three proposed rules aimed at providing utilities with some flexibility in closing or retrofitting unlined storage ponds and in regulating onsite storage of CCR for beneficial reuse. The Company will continue to monitor these rules to evaluate opportunities to provide CCR disposal services.</w:t>
      </w:r>
    </w:p>
    <w:p>
      <w:pPr>
        <w:spacing w:after="0" w:line="75" w:lineRule="exact"/>
        <w:rPr>
          <w:rFonts w:ascii="Arial" w:cs="Arial" w:eastAsia="Arial" w:hAnsi="Arial"/>
          <w:sz w:val="17"/>
          <w:szCs w:val="17"/>
          <w:color w:val="auto"/>
        </w:rPr>
      </w:pPr>
    </w:p>
    <w:p>
      <w:pPr>
        <w:jc w:val="both"/>
        <w:ind w:left="680" w:hanging="320"/>
        <w:spacing w:after="0" w:line="287"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May 2016, the EPA established lifetime health advisories for certain per- and polyfluoroalkyl substances (“PFAS”), a group of man-made chemicals that have been manufactured and used globally since the 1940s in products such as textiles, fire suppressants, cookware, packaging and plastics. PFAS are typically very persistent in the environment and can be found in water, soil and air. Citing concerns about potential adverse human health effects from exposure to PFAS, the EPA announced its “PFAS Action Plan” in February 2019 and has taken various actions to address PFAS contamination. Meanwhile, an increasing number of states have enacted new drinking water, surface water and/or groundwater limits for various PFAS, which has led to a patchwork of PFAS standards across the U.S. The EPA has stated that it will increase its regulatory oversight of PFAS in 2020, with proposals anticipated that would establish drinking water standards, expanded authority for PFAS remediation, chemical release reporting obligations, and guidance on PFAS disposal. Compliance with new and proposed PFAS standards is anticipated to result in additional expense to the Company, but such standards are also anticipated to present potential business opportunities in the area of PFAS management, treatment and disposal.</w:t>
      </w:r>
    </w:p>
    <w:p>
      <w:pPr>
        <w:spacing w:after="0" w:line="60" w:lineRule="exact"/>
        <w:rPr>
          <w:rFonts w:ascii="Arial" w:cs="Arial" w:eastAsia="Arial" w:hAnsi="Arial"/>
          <w:sz w:val="16"/>
          <w:szCs w:val="16"/>
          <w:color w:val="auto"/>
        </w:rPr>
      </w:pPr>
    </w:p>
    <w:p>
      <w:pPr>
        <w:jc w:val="both"/>
        <w:ind w:left="680" w:hanging="320"/>
        <w:spacing w:after="0" w:line="26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August 2016, the EPA published two rules to update the 1996 standards with new requirements for landfill gas control and monitoring at both new municipal solid waste landfills (constructed or modified after July 17, 2014) as well as existing landfills (operating after November 8, 1987, and not modified after July 17, 2014). Working with our trade associations and other landfill owners and operators, we identified significant legal, technical and implementation concerns with the rules and together filed a judicial appeal of the rules while also filing administrative petitions asking that the EPA stay the rules and initiate a rulemaking process. We also alerted the EPA that its August 2016 rulemakings led to an inconsistent regulatory structure in which six separate overlapping and inconsistent sets of work practices now govern the disposal industry. In May 2017, the EPA granted our industry’s administrative petitions for reconsideration and rulemaking, signaling its intent to reconsider its 2016 rulemakings. However, the agency continues to move forward with two additional rulemaking packages (a federal plan to implement the 2016 rule for existing landfills and revisions to the existing MACT rule) that could lead to further regulatory confusion. We cannot predict the outcome of any of these ongoing rulemaking processes; however, we do not believe any such regulatory changes will have a material adverse impact on our business as a whole.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5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U.S. Supreme Court ruled that a flow control ordinance that gave preference to a local facility that was privately owned was unconstitutional, but in 2007, the Court ruled that an ordinance directing waste to a facility owned by the local government was constitutional.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take,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Recycling; Foreign Import and Export Regulations and Material Restrictions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Enforcement or implementation of foreign and domestic regulations can affect our ability to export products. A significant portion of the fiber that we market has historically been shipped to export markets across the globe, particularly China. In recent years, the Chinese government has announced bans on certain materials and begun to enforce extremely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restrictive quality and other requirements that have significantly reduced China’s import of recyclables. The Chinese government has also limited the flow of material into China by restricting the issuance of required import licenses, and the restriction on import licenses is expected to constrict further in 2020. In addition, changes to foreign trade policy and tariffs imposed by the current U.S. administration have resulted in China imposing new tariffs on the import of recyclables. It is currently anticipated that China will ban the import of recyclables completely in 2021. Many other markets, both domestic and foreign, have tightened their quality expectations and limited or restricted the import of certain recyclables as well.</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Such trade restrictions and tariffs have disrupted the global trade of recyclables, particularly fiber, creating excess supply and decreasing recyclable commodity prices. The heightened quality requirements have been difficult for the industry to achieve and have driven up operating costs. In particular, single-stream MRFs process a wide range of commingled materials and tend to receive a higher percentage of non-recyclables, which results in increased processing and residual disposal costs to achieve quality standards. As recyclable commodity prices have fallen and operating costs have increased, recyclers are seeking to pass cost increases through to customers. The resulting price increase for recycling services in communities and at businesses in the U.S. has resulted in some customers reducing or eliminating their recycling service. Industry trade organizations and government agencies are engaged in discussions to mitigate long-term impacts to recycling programs and the industry as a whole.</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past several years, we have been working with stakeholders to educate the public on the need to recycle properly. We are investing time and labor and working with customers to help improve quality and have seen improvement in the quality of material that we receive at our facilities. We have continued our focus on developing a sustainable recycling business model that meets customers’ environmental needs by passing through the increasing cost of processing and higher contamination rates, and these efforts had a positive impact on the operating results for our recycling business in 2019.</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With a heightened awareness of the global problems caused by plastic waste in the environment, an increasing number of cities across the country have passed ordinances banning certain types of plastics from sale or use. Over 800 pieces of legislation, approximately 50% of which are bans on plastic bags, have been introduced in the U.S. regulating plastics: 660 passed, including 585 city ordinances. Others include bans on the sale or use of plastic straws, polystyrene plastic and single use packaging. These bans have increased pressure by manufacturers on our recycling facilities to accept a broader array of materials in curbside recycling programs to alleviate public pressures to ban the sale of those materials. However, with no viable end markets for recycling these materials, we and other recyclers are working to educate and remind customers of the need for end market demand and economic viability to support sustainable recycling programs. With increased focus on responsible management of plastics, we have taken a proactive approach to collaborate with buyers to ensure environmental sustainability goals are prioritized in managing the product we sell.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of Oil and Gas Exploration, Production and Disposal</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EES organization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Natural Gas Vehicles and Infrastructure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As of December 31, 2019, we were operating 8,924 natural gas trucks and 145 natural gas fueling facilities; 25 of these fueling stations also serve the public, and in some cases our facilities serve the fleet of pre-approved third parties. Concerns have been raised about the potential for emissions from the fueling stations and infrastructure that serve natural gas-fueled vehicles.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Although current options for heavy-duty electric vehicles lack sufficient range and proven experience for our operations, requirements to transition to electric powered vehicles could increase our cost of vehicles and impair our investment in our natural gas fleet and infrastructure.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Renewable Fuel Production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invested, and continue to invest, in facilities to capture and treat renewable natural gas (“RNG”) from the Company’s landfills, and RNG from landfill biogas is a significant source of fuel for our natural gas collection vehicles. The Energy Policy Act of 2005 and Energy Independence and Security Act of 2007 authorize the Renewable Fuels Standards (“RFS”) program that promotes the production and use of renewable transportation fuels. The Company is an EPA-registered producer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renewable identification numbers (“RINs”), from renewable fuel producers. The market value for RINs is tied to renewable fuel volumes set by the EPA annually, and the final 2020 required volumes for cellulosic biofuel are 41% higher than in 2019. The EPA also is poised to initiate a rulemaking this year that would set required volume requirements for a three-year period from 2020 through 2022.</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Federal, State and Local Climate Change Initiatives; Sustainability</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 Despite the announcement that the U.S. has begun its formal withdrawal from the Paris Climate Accords, we have seen no reduction in customer demand for services aligned with their GHG reduction goals and strategies.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Consistent with our Company’s long-standing commitment to corporate sustainability and environmental stewardship, we have published our 2019 Sustainability Report, which is an update to our full length 2018 Sustainability Report, “Driving Change,” which details the GHG emissions reductions we have facilitated to date and our determination to expand these reductions in the future, as well as our commitment to help make the communities in which we live and work safe, resilient and sustainable. The information in this report can be found at our Company website but does not constitute a part of this Form 10-K. The Company actively participates in a number of sustainability reporting programs and frameworks, including the Dow Jones Sustainability Indices, where we are “Sector Leader” for Commercial Services, the CDP, where we are among “A List” companies, and the Sustainability Accounting Standards Board, on which we serve as a member of the Board’s advisory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are often identified by the words, “will,” “may,” “should,” “continue,” “anticipate,” “believe,” “expect,” “plan,” “forecast,” “project,” “estimate,” “intend” and words of a similar nature and generally include statements regarding:</w:t>
      </w:r>
    </w:p>
    <w:p>
      <w:pPr>
        <w:spacing w:after="0" w:line="187" w:lineRule="exact"/>
        <w:rPr>
          <w:sz w:val="20"/>
          <w:szCs w:val="20"/>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results of operations, including revenues, earnings or cash flows;</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estimates or assumptions relating to our operational or financial performance; or</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2020 and beyond and could cause actual results to be materially different from those that may be set forth in forward-looking statements made by the Company.</w:t>
      </w:r>
    </w:p>
    <w:p>
      <w:pPr>
        <w:spacing w:after="0" w:line="16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17" w:lineRule="exact"/>
        <w:rPr>
          <w:sz w:val="20"/>
          <w:szCs w:val="20"/>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117"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85"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optimization efforts.</w:t>
      </w:r>
    </w:p>
    <w:p>
      <w:pPr>
        <w:spacing w:after="0" w:line="117" w:lineRule="exact"/>
        <w:rPr>
          <w:rFonts w:ascii="Arial" w:cs="Arial" w:eastAsia="Arial" w:hAnsi="Arial"/>
          <w:sz w:val="18"/>
          <w:szCs w:val="18"/>
          <w:color w:val="auto"/>
        </w:rPr>
      </w:pPr>
    </w:p>
    <w:p>
      <w:pPr>
        <w:ind w:left="680" w:right="20" w:hanging="320"/>
        <w:spacing w:after="0" w:line="30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jc w:val="both"/>
        <w:ind w:left="680" w:hanging="320"/>
        <w:spacing w:after="0" w:line="286"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57" w:lineRule="exact"/>
        <w:rPr>
          <w:rFonts w:ascii="Arial" w:cs="Arial" w:eastAsia="Arial" w:hAnsi="Arial"/>
          <w:sz w:val="17"/>
          <w:szCs w:val="17"/>
          <w:color w:val="auto"/>
        </w:rPr>
      </w:pPr>
    </w:p>
    <w:p>
      <w:pPr>
        <w:jc w:val="both"/>
        <w:ind w:left="680" w:hanging="320"/>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62"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62" w:lineRule="exact"/>
        <w:rPr>
          <w:rFonts w:ascii="Arial" w:cs="Arial" w:eastAsia="Arial" w:hAnsi="Arial"/>
          <w:sz w:val="18"/>
          <w:szCs w:val="18"/>
          <w:color w:val="auto"/>
        </w:rPr>
      </w:pPr>
    </w:p>
    <w:p>
      <w:pPr>
        <w:ind w:left="680" w:right="20" w:hanging="320"/>
        <w:spacing w:after="0" w:line="30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38" w:lineRule="exact"/>
        <w:rPr>
          <w:rFonts w:ascii="Arial" w:cs="Arial" w:eastAsia="Arial" w:hAnsi="Arial"/>
          <w:sz w:val="17"/>
          <w:szCs w:val="17"/>
          <w:color w:val="auto"/>
        </w:rPr>
      </w:pPr>
    </w:p>
    <w:p>
      <w:pPr>
        <w:jc w:val="both"/>
        <w:ind w:left="680" w:hanging="320"/>
        <w:spacing w:after="0" w:line="286"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risks set forth above, implementation of our business strategy could also be affected by other factors beyond our control, such as increased competition, legal developments, government regulation, general economic conditions,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40"/>
        <w:spacing w:after="0" w:line="286" w:lineRule="auto"/>
        <w:rPr>
          <w:sz w:val="20"/>
          <w:szCs w:val="20"/>
          <w:color w:val="auto"/>
        </w:rPr>
      </w:pPr>
      <w:r>
        <w:rPr>
          <w:rFonts w:ascii="Arial" w:cs="Arial" w:eastAsia="Arial" w:hAnsi="Arial"/>
          <w:sz w:val="17"/>
          <w:szCs w:val="17"/>
          <w:b w:val="1"/>
          <w:bCs w:val="1"/>
          <w:i w:val="1"/>
          <w:iCs w:val="1"/>
          <w:color w:val="auto"/>
        </w:rPr>
        <w:t>Our planned acquisition of Advanced Disposal Services, Inc. (“Advanced Disposal”) may not occur at all, may not occur in the expected time frame or may involve the divestiture of certain businesses and assets, which may negatively affect the trading price of our common stock and our future business and financial results.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14, 2019, we entered into an Agreement and Plan of Merger pursuant to which, among other things and subject to the satisfaction or waiver of specified conditions, we agreed to acquire Advanced Disposal. If the acquisition is completed, Advanced Disposal will become an indirect wholly-owned subsidiary of WM. The consummation of the acquisition is not assured and is subject to certain conditions, including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w:t>
      </w:r>
    </w:p>
    <w:p>
      <w:pPr>
        <w:spacing w:after="0" w:line="1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planned acquisition of Advanced Disposal is subject to a number of risks and uncertainties, including general economic and capital markets conditions; the effects that the pending merger may have on us, Advanced Disposal and our respective businesses; inability to obtain required regulatory or government approvals or to obtain such approvals on satisfactory conditions; inability of Advanced Disposal to satisfy other closing conditions; the occurrence of any event, change or other circumstance that could give rise to the termination of the Agreement and Plan of Merger, several of which could require us to pay a termination fee of $150 million to Advanced Disposal; legal proceedings that may be instituted related to the proposed acquisition and the legal expenses and diversion of management’s attention that may be associated therewith; and unexpected costs, charges or expenses. If the planned acquisition of Advanced Disposal is not completed, if there are significant delays in completing the planned acquisition or if the planned acquisition involves an unexpected amount of required divestitures, it could negatively affect the trading price of our common stock and our future business and financial results.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Additionally, in May 2019, we issued senior notes with an aggregate principal amount of $3 billion that include a special mandatory redemption feature. This feature provides that if the acquisition of Advanced Disposal is not completed on or prior to July 14, 2020, or if, prior to such date, the Agreement and Plan of Merger is terminated for any reason, we will be required to redeem all of such outstanding notes equal to 101% of the aggregate principal amounts of such notes, plus accrued but unpaid interest. Our ability to pay the redemption price may be limited by our financial resources at the time and the terms of our debt instruments and other instruments and agreements. We may also be required to incur additional indebtedness and reduce availability under our $3.5 billion revolving credit facility to fund the redemption price. Any failure to pay the special mandatory redemption price of such notes when due would constitute an event of default with respect to the notes of such series and could have a material adverse effect on our business, results of operations and financial condition and the market prices of our securities. Further, if we redeem such series of notes pursuant to the special mandatory redemption feature, our investors may be dissatisfied that they did not obtain the return that they expected on their investment in those notes.</w:t>
      </w:r>
    </w:p>
    <w:p>
      <w:pPr>
        <w:spacing w:after="0" w:line="18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not realize the strategic benefits and cost synergies that are anticipated from the planned acquisition of Advanced Disposal.</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benefits that are expected to result from the planned acquisition of Advanced Disposal will depend, in part, on our ability to realize anticipated cost synergies. Our success in realizing these benefits and cost synergies, and the timing of this realization, depends on the successful integration of Advanced Disposal. There is a significant degree of difficulty and management distraction inherent in the process of integrating an acquisition of this size. The process of integrating operations could cause business interruption and distraction. Some members of our management may be required to devote considerable time to this integration process, which will decrease the time they will have to manage our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of Advanced Disposal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Advanced Disposal, which may exceed expectations and offset certain benefits.</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Compliance with existing or increased future regulations and/or enforcement of such regulations can restrict or change our operations, increase our operating costs or require us to make additional capital expenditures, and a decrease in regulation may lower barriers to entry for our competitors.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business,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64" w:lineRule="exact"/>
        <w:rPr>
          <w:sz w:val="20"/>
          <w:szCs w:val="20"/>
          <w:color w:val="auto"/>
        </w:rPr>
      </w:pPr>
    </w:p>
    <w:p>
      <w:pPr>
        <w:ind w:left="680" w:hanging="320"/>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17"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PFAS or other emerging contaminates, and other reasons.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sometimes contain conditions that limit our operations.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regulatory environment in which we operate is influenced by changes in leadership at the federal, state, provincial and local levels. The policies set forth under the current U.S. administration, for example, have included substantial changes to foreign trade policy and generally have been in favor of reducing regulation, including environmental regulation. We cannot predict what impact the current administration will have on future regulations impacting our industry, especially given the number of rules currently in litigation, nor can we predict the timing of any such changes. Reduction of regulation may have a favorable impact on our operating costs, but the extensive environmental regulation governing landfills is a substantial barrier to entry that benefits our Company. Moreover, the risk reduction provided by stringent regulation is valuable to our customers and the communities we serve. It is likely that some policies adopted by the current administration will benefit us and others will negatively affect us.</w:t>
      </w:r>
    </w:p>
    <w:p>
      <w:pPr>
        <w:spacing w:after="0" w:line="182"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Enforcement or implementation of foreign and domestic regulations can affect our ability to export products. A significant portion of the fiber that we market has historically been shipped to export markets across the globe, particularly China. In recent years, the Chinese government announced bans on certain materials and begun to enforce extremely restrictive quality and other requirements that have significantly reduced China’s import of recyclables. The Chinese government has also limited the flow of material into China by restricting the issuance of required import licenses and the restriction on import licenses is expected to constrict further in 2020. In addition, changes to foreign trade policy and tariffs imposed by the current U.S. administration have resulted in China imposing new tariffs on the import of recyclables. We anticipate China will ban the import of recyclables completely in 2021. Many other markets, both domestic and foreign, have tightened their quality expectations and limited or restricted the import of certain recyclables as well.</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Such trade restrictions and tariffs have disrupted the global trade of recyclables, particularly fiber, creating excess supply and decreasing recyclable commodity prices. We have been actively working to identify alternative markets for recycling commodities, but there may not be demand for all of the material we produce. The heightened quality requirements have been difficult for the industry to achieve and have driven up operating costs. In particular, single-stream MRFs process a wide range of commingled materials and tend to receive a higher percentage of non-recyclables, which results in increased processing and residual disposal costs to achieve quality standards. As recyclable commodity prices have fallen and operating costs have increased, we and other recyclers are seeking to pass cost increases through to customers. The resulting price increase for recycling services in communities and at businesses in the U.S. has resulted in some customers reducing or eliminating their recycling service.</w:t>
      </w:r>
    </w:p>
    <w:p>
      <w:pPr>
        <w:spacing w:after="0" w:line="1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Reductions in market prices for recycling commodities, and reduction in demand for recycling commodities and recycling services, have negatively impacted our operating income and cash flows in 2018 and 2019. The decline in market prices in 2019 and 2018 for recycling commodities resulted in a decrease in revenue of $248 million and $273 million, respectively. As we have increased the size of our recycling operations, we have also increased our exposure to commodity price fluctuations. Additionally, future regulation, tariffs or initiatives may result in further reduced demand or increased operating costs, which would cause the profitability of our recycling operations to decline.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EES organization. Demand for these services decreases when drilling activity slows due to depressed oil and gas prices, such as the low prices throughout the last few years. Any of the commodity prices to which we are subject may fluctuate substantially and without notice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Changes in regulations applicable to oil and gas exploration, production and disposal could adversely affect our EES organization.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EES organization provides specialized environmental management and disposal services for fluids used and wastes generated by customers engaged in oil and gas exploration and production, and these disposal services include the use of underground injection wells. Demand for these services is adversely affected if drilling activity slows due to regulation and industry conditions beyond our control, in addition to changes in oil and gas prices. There is heightened federal regulatory focus on emissions of methane that occur during drilling and transportation,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any new regulations regarding the treatment and disposal of wastes associated with exploration and production operations, including through the use of injection wells, could increase our costs to provide oilfield services and reduce our margins and revenue from such services. Conversely, any loosening of regulations regarding how such wastes are handled or disposed of could adversely impact demand for our EES services.</w:t>
      </w:r>
    </w:p>
    <w:p>
      <w:pPr>
        <w:spacing w:after="0" w:line="18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Changes to the regulatory framework related to renewable fuel standards could affect our financial performance in that sector as a renewable fuel producer.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acts as a renewable fuel producer in the RFS program enacted by Congress under the Energy Policy Act and Energy Independence and Security Act. Oil refiners and importers are required through the RFS program to blend specified volumes of renewable transportation fuels with gasoline or buy credits, referred to as RINs, from renewable fuel producers. The Company has invested, and continues to invest, in facilities that capture and convert landfill gas into renewable natural gas so that we can participate in the program. The value of the RINs associated with our landfill gas is set through a market established by the program. The EPA finalized a rule in December 2019 increasing refiners’ obligations to purchase renewable natural gas and other cellulosic biofuels under the RFS program for compliance year 2020. Unlike in prior years, however, market uncertainty stemming from the EPA’s administration of the RFS program led to a rapid decline in RIN values. We continue to advocate for the EPA to implement policies that ensure long-term stability for renewable transportation fuels as changes in the RFS market or the structure of the RFS program can and has reduced the value of renewable natural gas RINs and negatively impacted the financial performance of the facilities constructed to capture and treat the gas.</w:t>
      </w:r>
    </w:p>
    <w:p>
      <w:pPr>
        <w:spacing w:after="0" w:line="18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 banned from the landfill,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growing lines of businesses to service waste streams that do not go to landfills providing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6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With a heightened awareness of the global problems caused by plastic waste in the environment, an increasing number of cities across the country have passed ordinances banning certain types of plastics from sale or use. Over 800 pieces of</w:t>
      </w:r>
    </w:p>
    <w:p>
      <w:pPr>
        <w:sectPr>
          <w:pgSz w:w="11900" w:h="16838" w:orient="portrait"/>
          <w:cols w:equalWidth="0" w:num="1">
            <w:col w:w="9060"/>
          </w:cols>
          <w:pgMar w:left="1420" w:top="611"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legislation, approximately 50% of which are bans on plastic bags, have been introduced in the U.S. regulating plastics; 660 passed, including 585 city ordinances. Others include bans on the sale or use of plastic straws, polystyrene plastic and single use packaging. These bans have increased pressure by manufacturers on our recycling facilities to accept a broader array of materials in curbside recycling programs to alleviate public pressures to ban the sale of those materials. However, there are currently no viable end markets for recycling these materials and inclusion of such materials in our recycling stream increases contamination and operating costs and can negatively affect the results of our recycling operations.</w:t>
      </w:r>
    </w:p>
    <w:p>
      <w:pPr>
        <w:spacing w:after="0" w:line="165"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existing and proposed service offerings to customers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innovate our operations, improve the customer experience and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w:t>
      </w:r>
    </w:p>
    <w:p>
      <w:pPr>
        <w:sectPr>
          <w:pgSz w:w="11900" w:h="16838" w:orient="portrait"/>
          <w:cols w:equalWidth="0" w:num="1">
            <w:col w:w="9060"/>
          </w:cols>
          <w:pgMar w:left="1420" w:top="611"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 The risks of successor liability and emerging contaminants are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73" w:lineRule="exact"/>
        <w:rPr>
          <w:sz w:val="20"/>
          <w:szCs w:val="20"/>
          <w:color w:val="auto"/>
        </w:rPr>
      </w:pPr>
    </w:p>
    <w:p>
      <w:pPr>
        <w:jc w:val="both"/>
        <w:ind w:left="680" w:right="20" w:hanging="320"/>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73"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General economic conditions can directly and adversely affect our revenues and our income from operations margins.</w:t>
      </w:r>
    </w:p>
    <w:p>
      <w:pPr>
        <w:spacing w:after="0" w:line="2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such decrease in demand can negatively impact commodity prices and our operating income and cash flows.</w:t>
      </w:r>
    </w:p>
    <w:p>
      <w:pPr>
        <w:spacing w:after="0" w:line="19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which is difficult to quickly adjust to match shifting volume levels and vendor costs, and may not correlate with the Consumer Price Index or the waste industry.</w:t>
      </w:r>
    </w:p>
    <w:p>
      <w:pPr>
        <w:spacing w:after="0" w:line="158"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Weakness in the economy may expose us to credit risk of governmental entities and municipalities and other major customers, which could negatively impact our operating results.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2019, we had $669 million of tax-exempt bonds with term interest rate periods that expire within the next 12 months and $355 million of variable-rate tax-exempt bonds with interest rates reset on either a daily or a weekly basis. If market dynamics resulted in repricing of our tax-exempt bonds at significantly higher interest rates, we would incur increased interest expenses that may negatively affect our operating results and cash flows.</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expand existing permitted capacity of our landfills, which could decrease our revenue and increase our costs.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financial condition, results of operations and cash flows.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69"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North America;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 reduction in the existing cost differential between natural gas and diesel fuel could materially reduce</w:t>
      </w:r>
    </w:p>
    <w:p>
      <w:pPr>
        <w:sectPr>
          <w:pgSz w:w="11900" w:h="16838" w:orient="portrait"/>
          <w:cols w:equalWidth="0" w:num="1">
            <w:col w:w="9060"/>
          </w:cols>
          <w:pgMar w:left="1420" w:top="611"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benefits we anticipate from our investment in natural gas vehicles. Further, our fuel surcharge program is currently indexed to diesel fuel prices, and price fluctuations for natural gas may not effectively be recovered by this program.</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Although current options for heavy-duty electric vehicles lack sufficient range and proven experience for our operations, requirements to transition to electric powered vehicles could increase our cost of vehicles and impair our investment in our natural gas fleet and infrastructure</w:t>
      </w:r>
    </w:p>
    <w:p>
      <w:pPr>
        <w:spacing w:after="0" w:line="17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implementing a new enterprise resource planning system, and challenges with the implementation of the system may impact our business and operations.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in the process of a complex, multi-year implementation of a new enterprise resource planning (“ERP”) system. The ERP system implementation requires the integration of the new ERP system with multiple new and existing information systems and business processes and is designed to accurately maintain our books and records and provide information to our management team important to the operation of the business. Such an implementation is a major undertaking from a financial, management, and personnel perspective. The implementation of the ERP system may prove to be more difficult, costly, or time consuming than expected, and it is possible that the system will not yield the benefits anticipated. Any disruptions, delays or deficiencies in the design and implementation of our new ERP system could adversely affect our ability to produce timely and accurate financial statements or comply with applicable regulations, resulting in negative impacts on our business and operations and subject us to potential liability. Additionally, our implementation of the ERP system involves greater utilization of third-party “cloud” computing services in connection with our business operations. Problems faced by us or our third-party providers, including technological or business-related disruptions, as well as cybersecurity threats, could adversely impact our business, results of operations and financial condition for future periods.</w:t>
      </w:r>
    </w:p>
    <w:p>
      <w:pPr>
        <w:spacing w:after="0" w:line="16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 and expose us to increased liability.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Substantially all aspects of our business operations rely on digital technology. We use computers, mobile devices, social networking and other online platforms to connect with our employees and our customers. These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regularly the target of attempted cyber intrusions, and we must commit substantial resources to continuously monitor and further develop our networks and infrastructure to prevent, detect, and address the risk of unauthorized access, misuse, computer viruses and other events. Our preventative measures and incident response efforts may not be effective in all cases. The theft, destruction, loss, misappropriation, or release of sensitive and/or confidential information or intellectual property, or interference with our information technology systems or the technology systems of third parties on which we rely, could result in business disruption, direct financial loss, negative publicity, brand damage, alleged</w:t>
      </w:r>
    </w:p>
    <w:p>
      <w:pPr>
        <w:sectPr>
          <w:pgSz w:w="11900" w:h="16838" w:orient="portrait"/>
          <w:cols w:equalWidth="0" w:num="1">
            <w:col w:w="9060"/>
          </w:cols>
          <w:pgMar w:left="1420" w:top="611"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violation of privacy laws, loss of customers, potential regulatory enforcement or private litigation liability and competitive disadvantage.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Certain new technologies, such as use of autonomous vehicles, remote-controlled equipment and virtual reality,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65"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certain personally identifiable information and other sensitive information as integral parts of our business and in connection with providing services to our customers. We are subject to a variety of laws and regulations that govern the collection and use of such information obtained from individuals and businesses. These laws and regulations are inconsistent across jurisdictions and are subject to evolving interpretations. Government officials, regulators, privacy advocates and class action attorneys are increasingly scrutinizing how companies collect, process, use, store, share and transmit personal data. We must continually monitor the development and adoption of new and emerging laws and regulations, such as the California Consumer Privacy Act (“CCPA”) that took effect on January 1, 2020. The CCPA, among other things, contains new disclosure obligations for businesses that collect personal information about California residents and affords those individuals new rights relating to their personal information that can expand the scope of our potential liability. We must commit substantial time and resources toward compliance with the CCPA and similar laws and regulations, Any inability, or perceived inability, to adequately address privacy and data protection concerns, even if unfounded, or comply with applicable laws, regulations, policies, industry standards, contractual obligations, or other legal obligations, including at newly acquired companies, could subject us to regulatory enforcement, private litigation, public criticism, disrupt our operations, cause us to lose customers, result in additional costs and legal liability, damage our reputation, and otherwise harm our business.</w:t>
      </w:r>
    </w:p>
    <w:p>
      <w:pPr>
        <w:spacing w:after="0" w:line="38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future withdrawals could have a material adverse effect on results of operations or cash flows for a particular reporting period. See Notes 10 and 11 to the Consolidated Financial Statements for more information related to our participation in Multiemployer Pension Plans.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2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Providing environmental and waste management services, including constructing and operating landfills, transfer stations, MRFs and other disposal facilities, involves risks such as truck accidents, equipment defects, malfunctions and failures.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3"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accordance with U.S. Generally Accepted Accounting Principles (“GAAP”), we capitalize certain expenditures and advances relating to disposal site development, expansion projects, acquisitions, software development costs and other projects. Events that have in the past and may in the future lead to an impairment include, but are not limited to, shutting down a facility or operation or abandoning a development project or the denial of an expansion permit. Additionally,</w:t>
      </w:r>
    </w:p>
    <w:p>
      <w:pPr>
        <w:sectPr>
          <w:pgSz w:w="11900" w:h="16838" w:orient="portrait"/>
          <w:cols w:equalWidth="0" w:num="1">
            <w:col w:w="9060"/>
          </w:cols>
          <w:pgMar w:left="1420" w:top="611"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Additionally, we have $1.0 billion of debt as of December 31, 2019 that is exposed to changes in market interest rates within the next 12 months because of the impact of our tax-exempt bonds. If interest rates increase, our interest expense would also increase, lowering our net income and decreasing our cash flow.</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use our $3.5 billion revolving credit facility to meet our cash needs, to the extent available, until maturity in November 2024. As of December 31, 2019, we had no outstanding borrowings and $412 million of letters of credit issued and supported by the facility, leaving unused and available credit capacity of $3.1 billion.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7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impact of climate change, and the adoption of climate change legislation or regulations restricting emissions of “greenhouse gases,” could increase our costs to operate.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continue to assess the physical risks to our operations from the effects of climate change. 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the rolling power blackouts implemented in California in 2019 due to wildfire risks, can result in service disruptions and increase our costs to operate.</w:t>
      </w:r>
    </w:p>
    <w:p>
      <w:pPr>
        <w:sectPr>
          <w:pgSz w:w="11900" w:h="16838" w:orient="portrait"/>
          <w:cols w:equalWidth="0" w:num="1">
            <w:col w:w="9060"/>
          </w:cols>
          <w:pgMar w:left="1420" w:top="611" w:right="14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landfill operations emit methane, identified as a GHG. There are a number of legislative and regulatory efforts at the state, provincial, regional and federal levels to cap and/or curtail the emission of GHGs to ameliorate the effect of climate change. We continue to monitor these efforts and the potential impacts to our operations.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GHG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183"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The seasonal nature of our business, severe weather events resulting from climate change and event driven special projects cause our results to fluctuate, and prior performance is not necessarily indicative of our future results.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81"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are involved in governmental proceedings relating to the conduct of our business. We are also party to civil litigation. As a large company with operations across the U.S. and Canada, we are subject to various proceedings, lawsuits, disputes and claims arising in the ordinary course of our business.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64" w:lineRule="exact"/>
        <w:rPr>
          <w:sz w:val="20"/>
          <w:szCs w:val="20"/>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executive offices are in Houston, Texas, where we occupy approximately 345,000 square feet under leases expiring through 2020. We plan to relocate our principal executive offices within Houston, Texas during 2020. We also have administrative offices in Arizona, Connecticut, Illinois and India. We own or lease real property in most locations where we have operations or administrative functions. We have operations in all 50 states except Montana, the District of Columbia and throughout Canada.</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For more information, see Item 7.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included within this report.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Landfills owned or operated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Transfer stations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4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67" w:lineRule="exact"/>
        <w:rPr>
          <w:sz w:val="20"/>
          <w:szCs w:val="20"/>
          <w:color w:val="auto"/>
        </w:rPr>
      </w:pPr>
    </w:p>
    <w:p>
      <w:pPr>
        <w:ind w:left="340" w:right="20" w:hanging="331"/>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2019 and 2018, our landfills owned or operated consisted of total acreage of 159,080 and 157,369; permitted acreage of 42,992 and 42,730; and expansion acreage of 795 and 944, respectively. Total acreage includes</w:t>
      </w:r>
    </w:p>
    <w:p>
      <w:pPr>
        <w:sectPr>
          <w:pgSz w:w="11900" w:h="16838" w:orient="portrait"/>
          <w:cols w:equalWidth="0" w:num="1">
            <w:col w:w="9060"/>
          </w:cols>
          <w:pgMar w:left="1420" w:top="611"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 xml:space="preserve">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Critical Accounting Estimates and Assumptions </w:t>
      </w:r>
      <w:r>
        <w:rPr>
          <w:rFonts w:ascii="Arial" w:cs="Arial" w:eastAsia="Arial" w:hAnsi="Arial"/>
          <w:sz w:val="18"/>
          <w:szCs w:val="18"/>
          <w:color w:val="auto"/>
        </w:rPr>
        <w:t>included within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to the Consolidated Financial Statements included within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number of holders of record of our common stock on February 7, 2020 was 8,712.</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-8890</wp:posOffset>
            </wp:positionV>
            <wp:extent cx="5548630" cy="3404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863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12/31/14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12/31/15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12/31/19</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S&amp;P 500 Index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 In December 2019, we publicly confirmed that the Company has $1.32 billion remaining on its existing Board of Directors’ authorization for future share repurchases. During 2019, we repurchased an aggregate of $244 million of our common stock under accelerated share repurchase agreements and open market repurchases, which equated to 2.3 million shares with a weighted average price per share of $108.60. See Note 14 to the Consolidated Financial Statements for additional information.</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various factors including our net earnings, financial condition and cash required for future business plans, growth and acquisitions.</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below was derived from the audited Consolidated Financial Statements included within this report and in previous annual reports we filed with the SEC. This information should be read together with those Consolidated Financial Statements and the notes thereto. These historical results are not necessarily indicative of the results to be expected in the future.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2019(a)</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1"/>
              </w:rPr>
              <w:t>2018(a)</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2017(a)</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(In Millions, Except per Share Amounts)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15,455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14,914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14,485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w w:val="90"/>
              </w:rPr>
              <w:t>13,609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12,961</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1,670</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1,949</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Working capital (deficit) (b)</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3,065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(b)</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27,743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22,650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21,829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20,859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20,367</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13,498</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10,026</w:t>
            </w:r>
          </w:p>
        </w:tc>
        <w:tc>
          <w:tcPr>
            <w:tcW w:w="1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9,491</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9,310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Waste Management, Inc. stockholders’ equity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7,068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6,275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6,019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5,297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equity</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6,276</w:t>
            </w:r>
          </w:p>
        </w:tc>
        <w:tc>
          <w:tcPr>
            <w:tcW w:w="1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6,042</w:t>
            </w:r>
          </w:p>
        </w:tc>
        <w:tc>
          <w:tcPr>
            <w:tcW w:w="20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5,320</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7" w:lineRule="exact"/>
        <w:rPr>
          <w:sz w:val="20"/>
          <w:szCs w:val="20"/>
          <w:color w:val="auto"/>
        </w:rPr>
      </w:pPr>
    </w:p>
    <w:p>
      <w:pPr>
        <w:ind w:left="340" w:hanging="331"/>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more information see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disclosures associated with the impact of the adoption of new accounting standards on the comparability of this information, see Note 2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2019.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w:t>
      </w:r>
    </w:p>
    <w:p>
      <w:pPr>
        <w:sectPr>
          <w:pgSz w:w="11900" w:h="16838" w:orient="portrait"/>
          <w:cols w:equalWidth="0" w:num="1">
            <w:col w:w="9060"/>
          </w:cols>
          <w:pgMar w:left="1420" w:top="611"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services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starts. These factors generally correlate to volumes of waste generated and impact our revenue. Negative economic conditions, in addition to competitor actions, can make it more challenging to negotiate, renew or expand service contracts with acceptable margins and in addition, customers may reduce their service needs. We also encounter competition for acquisitions and growth opportunities. General economic factors and the market for consumer goods, in addition to regulatory developments, can also significantly impact commodity prices for the recyclable materials we sell. Our operating expenses are directly impacted by volume levels; as volume levels shift, due to economic and other factors, we must manage our network capacity and cost structure accordingly.</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2019, we have benefited from a generally favorable macro-economic environment, including steady spending by consumers and businesses, which have led to volume and gross margin growth. We experienced growth in our collection and disposal lines of business, particularly in the segments of our business driven by the consumer portion of the economy. Volume growth is also the result of proactive efforts taken to work with our customers as their needs expand to identify service upgrade opportunities. Overall in 2019, our landfill volumes were favorably impacted by growth in our municipal solid waste business, clean-up efforts from natural disasters in California during 2019 and event-driven projects. The portion of our business driven by the industrial segment of the economy, such as special waste, continues to show growth, although the pace of growth is starting to moderate as large industrial customers take a more cautious approach to awarding work for special projects. Additionally, we continued our focus on developing a sustainable recycling business model that meets customers’ environmental needs, but is also economically sustainable. Given pressures on the business from lower market values for recycled commodities and higher contamination fees, we have been working to improve its financial returns by driving a fee-based pricing model that addresses the cost of processing materials and the impact on our costs of contamination. These efforts provided significant value to our 2019 results, though that value was more than offset by continued declines in market prices for recycled commodities. We will continue to take steps necessary to improve long-term profitability of our recycling line of business.</w:t>
      </w:r>
    </w:p>
    <w:p>
      <w:pPr>
        <w:spacing w:after="0" w:line="18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Overall, the Company’s operations performed well in 2019. We expect the Company’s industry-leading asset network and strategic focuses on investing in people, technology and growth to drive continued growth in the year ahead.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Year Financial Results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2019, we continued to produce strong operating results from our collection and disposal business, driven by favorable market conditions and our focus on delivering an outstanding customer experience and continuous improvement. The Company continued its commitment to supporting both organic and inorganic growth during 2019, allocating $1,818 million of available cash to capital expenditures and $527 million to the acquisition of solid waste businesses, of which $6 million was recorded as cash flow from financing activities related to the timing of contingent consideration paid. We also allocated $1,124 million to our shareholders during 2019 through dividends and common stock repurchases.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items of our 2019 financial results include:</w:t>
      </w:r>
    </w:p>
    <w:p>
      <w:pPr>
        <w:spacing w:after="0" w:line="117" w:lineRule="exact"/>
        <w:rPr>
          <w:sz w:val="20"/>
          <w:szCs w:val="20"/>
          <w:color w:val="auto"/>
        </w:rPr>
      </w:pPr>
    </w:p>
    <w:p>
      <w:pPr>
        <w:jc w:val="both"/>
        <w:ind w:left="680" w:hanging="320"/>
        <w:spacing w:after="0" w:line="31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Revenues of $15,455 million for 2019 compared with $14,914 million in 2018, an increase of $541 million, or 3.6%. The increase is primarily attributable to (i) higher yield and volumes in our collection and disposal business and (ii) acquisitions, net of divestitures, partially offset by lower market prices for recycling commodities;</w:t>
      </w:r>
    </w:p>
    <w:p>
      <w:pPr>
        <w:spacing w:after="0" w:line="38" w:lineRule="exact"/>
        <w:rPr>
          <w:rFonts w:ascii="Arial" w:cs="Arial" w:eastAsia="Arial" w:hAnsi="Arial"/>
          <w:sz w:val="16"/>
          <w:szCs w:val="16"/>
          <w:color w:val="auto"/>
        </w:rPr>
      </w:pPr>
    </w:p>
    <w:p>
      <w:pPr>
        <w:jc w:val="both"/>
        <w:ind w:left="680" w:hanging="320"/>
        <w:spacing w:after="0" w:line="30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expenses of $9,496 million in 2019, or 61.4% of revenues, compared with $9,249 million, or 62.0% of revenues, in 2018. The $247 million increase is primarily attributable to higher volumes and cost inflation in the current year period, partially offset by (i) decreased cost of goods sold primarily due to lower market prices for recycling commodities and (ii) the favorable impact of a year-over-year increase in federal natural gas fuel credits;</w:t>
      </w:r>
    </w:p>
    <w:p>
      <w:pPr>
        <w:spacing w:after="0" w:line="46" w:lineRule="exact"/>
        <w:rPr>
          <w:rFonts w:ascii="Arial" w:cs="Arial" w:eastAsia="Arial" w:hAnsi="Arial"/>
          <w:sz w:val="16"/>
          <w:szCs w:val="16"/>
          <w:color w:val="auto"/>
        </w:rPr>
      </w:pPr>
    </w:p>
    <w:p>
      <w:pPr>
        <w:jc w:val="both"/>
        <w:ind w:left="680" w:right="20" w:hanging="320"/>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general and administrative expenses of $1,631 million in 2019, or 10.6% of revenues, compared with $1,453 million, or 9.7% of revenues, in 2018. This increase of $178 million is primarily attributable to (i) higher costs associated with planned investments in our people and technology; (ii) increased acquisition-related costs and (iii) litigation reserves;</w:t>
      </w:r>
    </w:p>
    <w:p>
      <w:pPr>
        <w:spacing w:after="0" w:line="78" w:lineRule="exact"/>
        <w:rPr>
          <w:rFonts w:ascii="Arial" w:cs="Arial" w:eastAsia="Arial" w:hAnsi="Arial"/>
          <w:sz w:val="18"/>
          <w:szCs w:val="18"/>
          <w:color w:val="auto"/>
        </w:rPr>
      </w:pPr>
    </w:p>
    <w:p>
      <w:pPr>
        <w:jc w:val="both"/>
        <w:ind w:left="680" w:hanging="320"/>
        <w:spacing w:after="0" w:line="272"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Income from operations of $2,706 million, or 17.5% of revenues, in 2019 compared with $2,789 million, or 18.7% of revenues, in 2018. Although 2019 benefited from strong operating results, primarily in our collection and disposal business, and the favorable impact of a year-over-year increase in federal natural gas fuel credits, cost inflation across various cost categories, costs associated with investments in our people and technology, acquisition-related costs and goodwill impairments drove a reduction in income from operations as compared with 2018. Additionally, 2018 was favorably impacted by net gains associated with the sale of certain collection and disposal operations and certain ancillary operations, partially offset by the impairment of a landfill;</w:t>
      </w:r>
    </w:p>
    <w:p>
      <w:pPr>
        <w:spacing w:after="0" w:line="69" w:lineRule="exact"/>
        <w:rPr>
          <w:rFonts w:ascii="Arial" w:cs="Arial" w:eastAsia="Arial" w:hAnsi="Arial"/>
          <w:sz w:val="17"/>
          <w:szCs w:val="17"/>
          <w:color w:val="auto"/>
        </w:rPr>
      </w:pPr>
    </w:p>
    <w:p>
      <w:pPr>
        <w:jc w:val="both"/>
        <w:ind w:left="680" w:hanging="320"/>
        <w:spacing w:after="0" w:line="272"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$1,670 million, or $3.91 per diluted share, compared with $1,925 million, or $4.45 per diluted share, in the prior year period. In addition to the decrease in income from operations, the current year was impacted by (i) increased depreciation and amortization expense related to new collection fleet and increased landfill volume; (ii) an $85 million loss on early extinguishment of debt; (iii) a $52 million impairment charge related to our minority-owned investment in a waste conversion technology business that was not deductible for tax purposes and (iv) a $27 million impairment of goodwill. Additionally, the prior year period was favorably impacted by net gains associated with the sale of operations discussed above;</w:t>
      </w:r>
    </w:p>
    <w:p>
      <w:pPr>
        <w:spacing w:after="0" w:line="69" w:lineRule="exact"/>
        <w:rPr>
          <w:rFonts w:ascii="Arial" w:cs="Arial" w:eastAsia="Arial" w:hAnsi="Arial"/>
          <w:sz w:val="17"/>
          <w:szCs w:val="17"/>
          <w:color w:val="auto"/>
        </w:rPr>
      </w:pPr>
    </w:p>
    <w:p>
      <w:pPr>
        <w:ind w:left="680" w:right="20" w:hanging="320"/>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was $3,874 million compared with $3,570 million in the prior year period; and</w:t>
      </w:r>
    </w:p>
    <w:p>
      <w:pPr>
        <w:spacing w:after="0" w:line="62" w:lineRule="exact"/>
        <w:rPr>
          <w:rFonts w:ascii="Arial" w:cs="Arial" w:eastAsia="Arial" w:hAnsi="Arial"/>
          <w:sz w:val="18"/>
          <w:szCs w:val="18"/>
          <w:color w:val="auto"/>
        </w:rPr>
      </w:pPr>
    </w:p>
    <w:p>
      <w:pPr>
        <w:jc w:val="both"/>
        <w:ind w:left="680" w:hanging="320"/>
        <w:spacing w:after="0" w:line="25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Free cash flow was $2,105 million compared with $2,084 million in the prior year period. The increase in cash flow provided by operating activities noted above was offset by an increase in capital expenditures resulting from our intentional focus on accelerating certain collection fleet and landfill spending to support the Company’s strong collection and disposal growth and lower proceeds from divestitures, which resulted in free cash flow being $21 million higher on a year-over-year basis. Free cash flow is a non-GAAP measure of liquidity. Refer to </w:t>
      </w:r>
      <w:r>
        <w:rPr>
          <w:rFonts w:ascii="Arial" w:cs="Arial" w:eastAsia="Arial" w:hAnsi="Arial"/>
          <w:sz w:val="18"/>
          <w:szCs w:val="18"/>
          <w:i w:val="1"/>
          <w:iCs w:val="1"/>
          <w:color w:val="auto"/>
        </w:rPr>
        <w:t>Free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Flow </w:t>
      </w:r>
      <w:r>
        <w:rPr>
          <w:rFonts w:ascii="Arial" w:cs="Arial" w:eastAsia="Arial" w:hAnsi="Arial"/>
          <w:sz w:val="18"/>
          <w:szCs w:val="18"/>
          <w:color w:val="auto"/>
        </w:rPr>
        <w:t>within</w:t>
      </w:r>
      <w:r>
        <w:rPr>
          <w:rFonts w:ascii="Arial" w:cs="Arial" w:eastAsia="Arial" w:hAnsi="Arial"/>
          <w:sz w:val="18"/>
          <w:szCs w:val="18"/>
          <w:i w:val="1"/>
          <w:iCs w:val="1"/>
          <w:color w:val="auto"/>
        </w:rPr>
        <w:t xml:space="preserve"> Liquidity and Capital Resources </w:t>
      </w:r>
      <w:r>
        <w:rPr>
          <w:rFonts w:ascii="Arial" w:cs="Arial" w:eastAsia="Arial" w:hAnsi="Arial"/>
          <w:sz w:val="18"/>
          <w:szCs w:val="18"/>
          <w:color w:val="auto"/>
        </w:rPr>
        <w:t>for our definition of free cash flow, additional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our use of this measure, and a reconciliation to net cash provided by operating activities, which is the most comparable GAAP measure.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revenues set forth below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WMSBS and EES organizations, recycling brokerage services, landfill gas-to-energy services and certain other expanded service offerings and solutions.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mix of operating revenues from our major lines of business is reflected in the table below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Residential</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collection</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Landfill</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Recycling</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ind w:left="340" w:hanging="331"/>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w:t>
      </w:r>
    </w:p>
    <w:p>
      <w:pPr>
        <w:spacing w:after="0" w:line="23" w:lineRule="exact"/>
        <w:rPr>
          <w:rFonts w:ascii="Arial" w:cs="Arial" w:eastAsia="Arial" w:hAnsi="Arial"/>
          <w:sz w:val="18"/>
          <w:szCs w:val="18"/>
          <w:color w:val="auto"/>
        </w:rPr>
      </w:pPr>
    </w:p>
    <w:p>
      <w:pPr>
        <w:jc w:val="both"/>
        <w:ind w:left="340" w:hanging="7"/>
        <w:spacing w:after="0" w:line="271" w:lineRule="auto"/>
        <w:tabs>
          <w:tab w:leader="none" w:pos="665" w:val="left"/>
        </w:tabs>
        <w:numPr>
          <w:ilvl w:val="1"/>
          <w:numId w:val="17"/>
        </w:numPr>
        <w:rPr>
          <w:rFonts w:ascii="Arial" w:cs="Arial" w:eastAsia="Arial" w:hAnsi="Arial"/>
          <w:sz w:val="17"/>
          <w:szCs w:val="17"/>
          <w:color w:val="auto"/>
        </w:rPr>
      </w:pPr>
      <w:r>
        <w:rPr>
          <w:rFonts w:ascii="Arial" w:cs="Arial" w:eastAsia="Arial" w:hAnsi="Arial"/>
          <w:sz w:val="17"/>
          <w:szCs w:val="17"/>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 Activity related to collection, landfill, transfer and recycling has been reclassified to the appropriate line of business for purposes of presentation.</w:t>
      </w:r>
    </w:p>
    <w:p>
      <w:pPr>
        <w:spacing w:after="0" w:line="70" w:lineRule="exact"/>
        <w:rPr>
          <w:rFonts w:ascii="Arial" w:cs="Arial" w:eastAsia="Arial" w:hAnsi="Arial"/>
          <w:sz w:val="17"/>
          <w:szCs w:val="17"/>
          <w:color w:val="auto"/>
        </w:rPr>
      </w:pPr>
    </w:p>
    <w:p>
      <w:pPr>
        <w:ind w:left="340" w:right="20" w:hanging="331"/>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for the years ended December 31 (dollars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2019 vs. 2018</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2018 vs. 2017</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90"/>
              <w:spacing w:after="0" w:line="119" w:lineRule="exact"/>
              <w:rPr>
                <w:sz w:val="20"/>
                <w:szCs w:val="20"/>
                <w:color w:val="auto"/>
              </w:rPr>
            </w:pPr>
            <w:r>
              <w:rPr>
                <w:rFonts w:ascii="Arial" w:cs="Arial" w:eastAsia="Arial" w:hAnsi="Arial"/>
                <w:sz w:val="13"/>
                <w:szCs w:val="13"/>
                <w:b w:val="1"/>
                <w:bCs w:val="1"/>
                <w:color w:val="auto"/>
              </w:rPr>
              <w:t>As a %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rPr>
              <w:t>As a %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9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Related</w:t>
            </w:r>
          </w:p>
        </w:tc>
        <w:tc>
          <w:tcPr>
            <w:tcW w:w="6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9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Related</w:t>
            </w:r>
          </w:p>
        </w:tc>
        <w:tc>
          <w:tcPr>
            <w:tcW w:w="4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8"/>
              </w:rPr>
              <w:t>Business(a)</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Company(b)</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8"/>
              </w:rPr>
              <w:t>Business(a)</w:t>
            </w: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Recycling commodities (c)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Total average yield (d)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Internal revenue growth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(104)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(133)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and other</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ind w:left="4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1"/>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62"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w:t>
      </w:r>
    </w:p>
    <w:p>
      <w:pPr>
        <w:spacing w:after="0" w:line="62" w:lineRule="exact"/>
        <w:rPr>
          <w:rFonts w:ascii="Arial" w:cs="Arial" w:eastAsia="Arial" w:hAnsi="Arial"/>
          <w:sz w:val="18"/>
          <w:szCs w:val="18"/>
          <w:color w:val="auto"/>
        </w:rPr>
      </w:pPr>
    </w:p>
    <w:p>
      <w:pPr>
        <w:ind w:left="340" w:hanging="331"/>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net impact of commodity price variability and changes in fees.</w:t>
      </w:r>
    </w:p>
    <w:p>
      <w:pPr>
        <w:spacing w:after="0" w:line="117" w:lineRule="exact"/>
        <w:rPr>
          <w:rFonts w:ascii="Arial" w:cs="Arial" w:eastAsia="Arial" w:hAnsi="Arial"/>
          <w:sz w:val="18"/>
          <w:szCs w:val="18"/>
          <w:color w:val="auto"/>
        </w:rPr>
      </w:pPr>
    </w:p>
    <w:p>
      <w:pPr>
        <w:ind w:left="340" w:right="260" w:hanging="331"/>
        <w:spacing w:after="0" w:line="50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details of our revenue growth from collection and disposal average yield for the years ended December 31 are as follows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2019 vs. 2018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Related</w:t>
            </w:r>
          </w:p>
        </w:tc>
        <w:tc>
          <w:tcPr>
            <w:tcW w:w="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6"/>
              </w:rPr>
              <w:t>Business</w:t>
            </w: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Industrial</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collection</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collection and disposal</w:t>
            </w:r>
          </w:p>
        </w:tc>
        <w:tc>
          <w:tcPr>
            <w:tcW w:w="1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9"/>
              </w:rPr>
              <w:t>2.8 %</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1"/>
              </w:rPr>
              <w:t>2.3 %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strategic pricing efforts focus on ensuring we overcome inflationary cost pressures and grow margins. This strategy has been most successful in our collection line of business for both 2019 and 2018. We are also experiencing solid growth in our landfill and transfer businesses, with our municipal solid waste business experiencing 3.8% and 2.2% average yield growth for the years ended December 31, 2019 and 2018, respectively, as compared with the prior year periods.</w:t>
      </w:r>
    </w:p>
    <w:p>
      <w:pPr>
        <w:spacing w:after="0" w:line="15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Recycling Commodities — </w:t>
      </w:r>
      <w:r>
        <w:rPr>
          <w:rFonts w:ascii="Arial" w:cs="Arial" w:eastAsia="Arial" w:hAnsi="Arial"/>
          <w:sz w:val="16"/>
          <w:szCs w:val="16"/>
          <w:color w:val="auto"/>
        </w:rPr>
        <w:t>Decreases in the market prices for recycling commodities resulted in revenue declines of</w:t>
      </w:r>
      <w:r>
        <w:rPr>
          <w:rFonts w:ascii="Arial" w:cs="Arial" w:eastAsia="Arial" w:hAnsi="Arial"/>
          <w:sz w:val="16"/>
          <w:szCs w:val="16"/>
          <w:i w:val="1"/>
          <w:iCs w:val="1"/>
          <w:color w:val="auto"/>
        </w:rPr>
        <w:t xml:space="preserve"> </w:t>
      </w:r>
      <w:r>
        <w:rPr>
          <w:rFonts w:ascii="Arial" w:cs="Arial" w:eastAsia="Arial" w:hAnsi="Arial"/>
          <w:sz w:val="16"/>
          <w:szCs w:val="16"/>
          <w:color w:val="auto"/>
        </w:rPr>
        <w:t>$248 million and $273 million for the years ended December 31, 2019 and 2018, respectively, as compared with the prior year periods. We partially offset our revenue decline by assessing fees to cover the higher costs of handling contaminated recycling materials. Average market prices for recycling commodities at the Company’s facilities were 35% lower in 2019 compared to 2018 and 40% lower in 2018 compared to 2017. We have seen a decreased demand from paper mills around the world which had driven prices to historical low averages. There are several domestic mill projects anticipated to start during 2020 that we expect will add additional capacity and more local demand for recycled materials. However, we do not expect material changes in market prices for recycling commodities as a result of this additional capacity. The cardboard packaging industry has been impacted by slower global demand, retail store closures and e-commerce packaging efficiency. We will continue to take steps necessary to improve long-term profitability of our recycling line of business.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Fuel Surcharges and Mandated Fees — </w:t>
      </w:r>
      <w:r>
        <w:rPr>
          <w:rFonts w:ascii="Arial" w:cs="Arial" w:eastAsia="Arial" w:hAnsi="Arial"/>
          <w:sz w:val="17"/>
          <w:szCs w:val="17"/>
          <w:color w:val="auto"/>
        </w:rPr>
        <w:t>These fees, which are predominantly generated by our fuel surcharge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declined $22 million for 2019 and increased $111 million for 2018, as compared with the prior year periods. These revenues are based on and fluctuate in response to changes in the national average prices for diesel fuel. Market prices for diesel fuel decreased approximately 4% and increased 20% for the years ended December 31, 2019 and 2018, respectively, compared with the prior year periods. The decline in fuel surcharges for 2019 was partially offset by an increase in mandated fees. The mandated fees are primarily related to fees and taxes assessed by various state, county and municipal government agencies at our landfills and transfer stations.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 increased $346 million, or 2.3%, and $478 million, or 3.3%, for the years ended December 31, 2019 and 2018, respectively, as compared with the prior year periods, excluding volumes from acquisitions and divestitures.</w:t>
      </w:r>
    </w:p>
    <w:p>
      <w:pPr>
        <w:spacing w:after="0" w:line="181" w:lineRule="exact"/>
        <w:rPr>
          <w:sz w:val="20"/>
          <w:szCs w:val="20"/>
          <w:color w:val="auto"/>
        </w:rPr>
      </w:pPr>
    </w:p>
    <w:p>
      <w:pPr>
        <w:jc w:val="both"/>
        <w:ind w:firstLine="259"/>
        <w:spacing w:after="0" w:line="290" w:lineRule="auto"/>
        <w:rPr>
          <w:sz w:val="20"/>
          <w:szCs w:val="20"/>
          <w:color w:val="auto"/>
        </w:rPr>
      </w:pPr>
      <w:r>
        <w:rPr>
          <w:rFonts w:ascii="Arial" w:cs="Arial" w:eastAsia="Arial" w:hAnsi="Arial"/>
          <w:sz w:val="16"/>
          <w:szCs w:val="16"/>
          <w:color w:val="auto"/>
        </w:rPr>
        <w:t>We experienced higher volumes throughout 2019 and 2018 due to our focus on customer service and disciplined growth, combined with favorable market conditions in our collection and disposal business. We have experienced significant volume growth with existing customers, particularly in our commercial collection business as a result of proactive efforts taken to work with our customers as their needs expand to identify service upgrade opportunities. Our event-driven projects in our special waste business and growth in our municipal solid waste business contributed to our landfill volume growth in both 2019 and 2018. Additionally, a large contract executed in the second half of 2017 increased volume at our transfer stations for 2018, with incremental volume additions during 2018 that favorably impacted our volumes in 2019. Furthermore, our WMSBS organization experienced favorable volume growth in both 2019 and 2018.</w:t>
      </w:r>
    </w:p>
    <w:p>
      <w:pPr>
        <w:spacing w:after="0" w:line="166"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The clean-up efforts of natural disasters throughout the U.S. in the first half of 2019 also contributed to volume growth in 2019. However, volume decline from our recycling brokerage services negatively impacted our volume growth in 2019. Additionally, a volume increase from our recycling brokerage services affected the comparability of volumes for 2018 and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Translation and Other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Fluctuations in foreign currency affect revenues from our Canadian operations. Additionally, 2018 was unfavorably impacted by a revenue decline associated with the adoption of ASU 2014-09.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which represent the costs of fuel and oil to operate our truck fleet and landfill 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w:t>
      </w:r>
    </w:p>
    <w:p>
      <w:pPr>
        <w:spacing w:after="0" w:line="4" w:lineRule="exact"/>
        <w:rPr>
          <w:sz w:val="20"/>
          <w:szCs w:val="20"/>
          <w:color w:val="auto"/>
        </w:rPr>
      </w:pPr>
    </w:p>
    <w:p>
      <w:pPr>
        <w:jc w:val="both"/>
        <w:ind w:firstLine="9"/>
        <w:spacing w:after="0" w:line="295" w:lineRule="auto"/>
        <w:tabs>
          <w:tab w:leader="none" w:pos="3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in addition to cost inflation, affect the comparability of the components of our operating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gridSpan w:val="11"/>
          </w:tcPr>
          <w:p>
            <w:pPr>
              <w:ind w:left="320"/>
              <w:spacing w:after="0"/>
              <w:rPr>
                <w:sz w:val="20"/>
                <w:szCs w:val="20"/>
                <w:color w:val="auto"/>
              </w:rPr>
            </w:pPr>
            <w:r>
              <w:rPr>
                <w:rFonts w:ascii="Arial" w:cs="Arial" w:eastAsia="Arial" w:hAnsi="Arial"/>
                <w:sz w:val="18"/>
                <w:szCs w:val="18"/>
                <w:color w:val="auto"/>
              </w:rPr>
              <w:t>The  following  table  summarizes  the  major  components  of  our  operating  expenses  for</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the  years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ended</w:t>
            </w:r>
          </w:p>
        </w:tc>
      </w:tr>
      <w:tr>
        <w:trPr>
          <w:trHeight w:val="230"/>
        </w:trPr>
        <w:tc>
          <w:tcPr>
            <w:tcW w:w="5560" w:type="dxa"/>
            <w:vAlign w:val="bottom"/>
            <w:gridSpan w:val="5"/>
          </w:tcPr>
          <w:p>
            <w:pPr>
              <w:spacing w:after="0"/>
              <w:rPr>
                <w:sz w:val="20"/>
                <w:szCs w:val="20"/>
                <w:color w:val="auto"/>
              </w:rPr>
            </w:pPr>
            <w:r>
              <w:rPr>
                <w:rFonts w:ascii="Arial" w:cs="Arial" w:eastAsia="Arial" w:hAnsi="Arial"/>
                <w:sz w:val="18"/>
                <w:szCs w:val="18"/>
                <w:color w:val="auto"/>
              </w:rPr>
              <w:t>December 31 (dollars in millions and as a percentage of revenues):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$ 2,791</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$ 2,703</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$ 2,500</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Subcontractor costs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Fuel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61.4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affecting the comparison of operating expenses between reported periods include: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in labor and related benefits costs in 2019 as compared with 2018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(i) volume growth in our collection and disposal business; (ii) merit increases and (iii) cost inflation noted above. These cost increases were offset, in part, by lower bonus costs related to a one-time plan established in early 2018 targeted at improving employee retention. The increase in labor and related benefits costs in 2018 as compared with 2017 was driven by</w:t>
      </w:r>
    </w:p>
    <w:p>
      <w:pPr>
        <w:spacing w:after="0" w:line="2" w:lineRule="exact"/>
        <w:rPr>
          <w:sz w:val="20"/>
          <w:szCs w:val="20"/>
          <w:color w:val="auto"/>
        </w:rPr>
      </w:pPr>
    </w:p>
    <w:p>
      <w:pPr>
        <w:ind w:firstLine="9"/>
        <w:spacing w:after="0" w:line="261" w:lineRule="auto"/>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growth in our collection line of business; (ii) the one-time bonus plan established in early 2018 and (iii) merit increases.</w:t>
      </w:r>
    </w:p>
    <w:p>
      <w:pPr>
        <w:spacing w:after="0" w:line="18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in 2019 as compared with 2018, and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2017, was driven by overall volume growth in our collection and disposal business and, to a lesser extent, cost inflation.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Maintenance and Repairs </w:t>
      </w:r>
      <w:r>
        <w:rPr>
          <w:rFonts w:ascii="Arial" w:cs="Arial" w:eastAsia="Arial" w:hAnsi="Arial"/>
          <w:sz w:val="17"/>
          <w:szCs w:val="17"/>
          <w:color w:val="auto"/>
        </w:rPr>
        <w:t>— The increase in maintenance and repairs costs in 2019 as compared with 2018 was largely</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(i) cost inflation noted above which primarily impacted labor, parts, third-party services, tires and building costs and (ii) a $16 million non-cash charge to write off certain equipment costs related to our Other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maintenance and repairs costs in 2018 as compared with 2017 was primarily driven by (i) higher labor costs from volume growth and cost inflation and (ii) higher third-party service and parts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The increase in subcontractor costs in 2019 as compared to 2018 was primarily driven by</w:t>
      </w:r>
    </w:p>
    <w:p>
      <w:pPr>
        <w:spacing w:after="0" w:line="35" w:lineRule="exact"/>
        <w:rPr>
          <w:sz w:val="20"/>
          <w:szCs w:val="20"/>
          <w:color w:val="auto"/>
        </w:rPr>
      </w:pPr>
    </w:p>
    <w:p>
      <w:pPr>
        <w:jc w:val="both"/>
        <w:ind w:firstLine="9"/>
        <w:spacing w:after="0" w:line="281" w:lineRule="auto"/>
        <w:tabs>
          <w:tab w:leader="none" w:pos="217"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volume growth in our collection and disposal business, largely attributable to a significant contract executed in the second half of 2017 that generated incremental volumes in 2019; (ii) volume growth in our WMSBS and EES organizations and</w:t>
      </w:r>
    </w:p>
    <w:p>
      <w:pPr>
        <w:spacing w:after="0" w:line="1" w:lineRule="exact"/>
        <w:rPr>
          <w:rFonts w:ascii="Arial" w:cs="Arial" w:eastAsia="Arial" w:hAnsi="Arial"/>
          <w:sz w:val="16"/>
          <w:szCs w:val="16"/>
          <w:color w:val="auto"/>
        </w:rPr>
      </w:pPr>
    </w:p>
    <w:p>
      <w:pPr>
        <w:ind w:right="20" w:firstLine="9"/>
        <w:spacing w:after="0" w:line="261" w:lineRule="auto"/>
        <w:tabs>
          <w:tab w:leader="none" w:pos="3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inflation related to capacity constraints of our subcontractors in certain markets. The increase in 2018 as compared to 2017 was driven primarily by volume growth in our collection and disposal business.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decrease in cost of goods sold in 2019 as compared with 2018 was primarily driven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recycling commodities and by lower costs due to the sale of certain ancillary operations in the second quarter of 2018. The decrease in cost of goods sold in 2018 as compared with 2017 was primarily driven by (i) lower market prices for recycling commodities and (ii) a change in accounting for certain customer rebates due to the adoption of ASU 2014-09 in 2018.</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Fuel — </w:t>
      </w:r>
      <w:r>
        <w:rPr>
          <w:rFonts w:ascii="Arial" w:cs="Arial" w:eastAsia="Arial" w:hAnsi="Arial"/>
          <w:sz w:val="17"/>
          <w:szCs w:val="17"/>
          <w:color w:val="auto"/>
        </w:rPr>
        <w:t>The decrease in fuel costs in 2019 as compared with 2018 was due to (i) recognition of a $70 million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extension of federal natural gas fuel credits in 2019 compared to $28 million in 2018; (ii) lower costs resulting from the continued conversion of our fleet to natural gas vehicles and (iii) lower market prices for diesel fuel. The increase in fuel costs in 2018 as compared with 2017 was due to higher market prices for diesel fuel, partially offset by the recognition of a $28 million benefit from the extension of federal natural gas fuel credits.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disposal and franchise fees and taxes in 2019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2018 was primarily related to higher volumes in our landfill line of business. The decrease in disposal and franchise fees and taxes in 2018 as compared with 2017 was driven by the adoption of ASU 2014-09 in 2018; specifically, certain franchise fees were treated as disposal fees and taxes in the prior year periods and beginning in 2018, were treated as a reduction in operating revenues in the current year period.</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Landfill Operating Costs — </w:t>
      </w:r>
      <w:r>
        <w:rPr>
          <w:rFonts w:ascii="Arial" w:cs="Arial" w:eastAsia="Arial" w:hAnsi="Arial"/>
          <w:sz w:val="17"/>
          <w:szCs w:val="17"/>
          <w:color w:val="auto"/>
        </w:rPr>
        <w:t>The increase in landfill operating costs in 2019 as compared with 2018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leachate management costs driven largely by inclement weather in certain parts of North America and increased ongoing site maintenance costs. Additionally, 2019 was impacted by a decrease in the risk-free discount rate used in the measurement of our environmental remediation obligations and recovery assets due to a decrease in U.S. treasury rates. See Note 4 to the Consolidated Financial Statements for additional information.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in 2019 as compared with 2018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claims expense as a result of growth in the business and cost inflation. The increase in risk management costs in 2018 as compared with 2017 was primarily due to an increase in claims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Net gains on sales of certain assets in 2018 impacted the comparability of the reported periods.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years ended December 31 (dollars in millions and as a percentage of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$ 1,020</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Professional fees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0.8</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2.2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in 2019 compared with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an increase in headcount, merit increases and higher incentive compensation and (ii) increased contract labor costs driven by our planned investments in technology. The decrease in labor and related benefits costs in 2018 compared with 2017 was primarily due to (i) lower incentive compensation accruals in 2018 and (ii) severance costs for former executives incurred in 2017, which were partially offset by merit increases and a one-time bonus plan established in early 2018 targeted at improving employee retention.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in professional fees in 2019 compared with 2018 was primarily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fees related to our strategic investments in operating, customer facing and back-office technologies, as well as costs incurred in preparation for our pending acquisition of Advanced Disposal Services, Inc. (“Advanced Disposal”). The increase in professional fees in 2018 compared with 2017 was primarily due to the investments we are making in technology and higher legal fees.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decrease in provision for bad debts in 2019 compared with 2018 was due to</w:t>
      </w:r>
    </w:p>
    <w:p>
      <w:pPr>
        <w:spacing w:after="0" w:line="23" w:lineRule="exact"/>
        <w:rPr>
          <w:sz w:val="20"/>
          <w:szCs w:val="20"/>
          <w:color w:val="auto"/>
        </w:rPr>
      </w:pPr>
    </w:p>
    <w:p>
      <w:pPr>
        <w:jc w:val="both"/>
        <w:ind w:firstLine="9"/>
        <w:spacing w:after="0" w:line="255" w:lineRule="auto"/>
        <w:tabs>
          <w:tab w:leader="none" w:pos="2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collection of certain fully reserved receivables and (ii) higher prior year bad debt expense associated with the bankruptcy of a strategic customer. The increase in provision of bad debts in 2018 compared with 2017 was primarily due to increased revenues and the bankruptcy of a strategic customer.</w:t>
      </w:r>
    </w:p>
    <w:p>
      <w:pPr>
        <w:spacing w:after="0" w:line="1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The increase in other expenses in 2019 compared with 2018 was principally driven by higher litigation reserves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increased infrastructure costs associated with our investments in technology. The increase in other expenses in 2018 compared with 2017 was primarily due to higher litigation reserves in 2018, which were partially offset by lower costs associated with advertising and travel and entertainment as we continued to focus on controlling costs.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our depreciation and amortization expenses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 and as a percentage of revenues):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w:t>
            </w:r>
            <w:r>
              <w:rPr>
                <w:rFonts w:ascii="Arial" w:cs="Arial" w:eastAsia="Arial" w:hAnsi="Arial"/>
                <w:sz w:val="18"/>
                <w:szCs w:val="18"/>
                <w:u w:val="single" w:color="auto"/>
                <w:color w:val="auto"/>
                <w:w w:val="85"/>
              </w:rPr>
              <w:t>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1,477</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1,376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depreciation of tangible property and equipment during the reported periods was primarily related to higher capital expenditures due to an intentional focus on accelerating certain fleet and landfill spending to support the Company’s strong collection and disposal growth. The increase in amortization of landfill airspace during the reported periods was driven by higher volumes at our landfills and changes in landfill estimates.</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divestitures</w:t>
            </w: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impairments</w:t>
            </w:r>
          </w:p>
        </w:tc>
        <w:tc>
          <w:tcPr>
            <w:tcW w:w="6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9"/>
              </w:rPr>
              <w:t>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6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42</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During the year ended December 31, 2019, we recognized asset impairments of $42 million, related to (i) $27 million of goodwill impairment charges, as discussed further in Note 6, of which $17 million related to our EES organization and $10 million related to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 ended December 31, 2018, we recognized net gains of $58 million, primarily related to (i) a $52 million gain associated with the sale of certain collection and disposal operations in Tier 1 and (ii) net gains of $44 million substantially all from divestitures of certain ancillary operations. These gains were partially offset by (i) a $30 million charge to impair a landfill in Tier 3 based on an internally developed discounted projected cash flow analysis, taking into account continued volume decreases and revised capping cost estimates and (ii) $8 million of impairment charges primarily related to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reporting unit.</w:t>
      </w:r>
    </w:p>
    <w:p>
      <w:pPr>
        <w:spacing w:after="0" w:line="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gains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jc w:val="both"/>
        <w:ind w:firstLine="9"/>
        <w:spacing w:after="0" w:line="281" w:lineRule="auto"/>
        <w:tabs>
          <w:tab w:leader="none" w:pos="2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$11 million of charges to adjust our subsidiary’s estimated potential share of an environmental remediation liability and related costs for a closed site in Harris County, Texas, as discussed in Note 11 to the Consolidated Financial Statements and</w:t>
      </w:r>
    </w:p>
    <w:p>
      <w:pPr>
        <w:spacing w:after="0" w:line="1" w:lineRule="exact"/>
        <w:rPr>
          <w:rFonts w:ascii="Arial" w:cs="Arial" w:eastAsia="Arial" w:hAnsi="Arial"/>
          <w:sz w:val="16"/>
          <w:szCs w:val="16"/>
          <w:color w:val="auto"/>
        </w:rPr>
      </w:pPr>
    </w:p>
    <w:p>
      <w:pPr>
        <w:ind w:left="320" w:hanging="311"/>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 million of charges to write down certain renewable energy assets.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3 to the Consolidated Financial Statements for additional information related to the accounting policy and analysis involved in identifying and calculating impairments.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summarizes income from operations for the years ended December 31 and has been updated to reflect our realigned segments which are discussed further in Note 20 to the Consolidated Financial Statements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Period-to-</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305"/>
              <w:spacing w:after="0"/>
              <w:rPr>
                <w:sz w:val="20"/>
                <w:szCs w:val="20"/>
                <w:color w:val="auto"/>
              </w:rPr>
            </w:pPr>
            <w:r>
              <w:rPr>
                <w:rFonts w:ascii="Arial" w:cs="Arial" w:eastAsia="Arial" w:hAnsi="Arial"/>
                <w:sz w:val="14"/>
                <w:szCs w:val="14"/>
                <w:b w:val="1"/>
                <w:bCs w:val="1"/>
                <w:color w:val="auto"/>
                <w:w w:val="96"/>
              </w:rPr>
              <w:t>Period-to-</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91"/>
              </w:rPr>
              <w:t>Period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305"/>
              <w:spacing w:after="0" w:line="149" w:lineRule="exact"/>
              <w:rPr>
                <w:sz w:val="20"/>
                <w:szCs w:val="20"/>
                <w:color w:val="auto"/>
              </w:rPr>
            </w:pPr>
            <w:r>
              <w:rPr>
                <w:rFonts w:ascii="Arial" w:cs="Arial" w:eastAsia="Arial" w:hAnsi="Arial"/>
                <w:sz w:val="14"/>
                <w:szCs w:val="14"/>
                <w:b w:val="1"/>
                <w:bCs w:val="1"/>
                <w:color w:val="auto"/>
                <w:w w:val="91"/>
              </w:rPr>
              <w:t>Period</w:t>
            </w:r>
          </w:p>
        </w:tc>
        <w:tc>
          <w:tcPr>
            <w:tcW w:w="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305"/>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1</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3.9 % $ 1,619</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$ 113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7.5 % $</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3</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14.5</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3,289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 (a)</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4"/>
              </w:rPr>
              <w:t>(3.0)%</w:t>
            </w:r>
          </w:p>
        </w:tc>
        <w:tc>
          <w:tcPr>
            <w:tcW w:w="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$ 2,789</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$ 153</w:t>
            </w:r>
          </w:p>
        </w:tc>
        <w:tc>
          <w:tcPr>
            <w:tcW w:w="7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5.8 %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40" w:hanging="331"/>
        <w:spacing w:after="0" w:line="29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includes (i) our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0" w:lineRule="exact"/>
        <w:rPr>
          <w:rFonts w:ascii="Arial" w:cs="Arial" w:eastAsia="Arial" w:hAnsi="Arial"/>
          <w:sz w:val="16"/>
          <w:szCs w:val="16"/>
          <w:color w:val="auto"/>
        </w:rPr>
      </w:pPr>
    </w:p>
    <w:p>
      <w:pPr>
        <w:jc w:val="both"/>
        <w:ind w:left="340" w:hanging="331"/>
        <w:spacing w:after="0" w:line="27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“Corporate and Other” also includes costs associated with our long-term incentive program and any administrative expenses or revisions to our estimated obligations associated with divested operations.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2019 are summarized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affected both comparable periods:</w:t>
      </w:r>
    </w:p>
    <w:p>
      <w:pPr>
        <w:spacing w:after="0" w:line="117" w:lineRule="exact"/>
        <w:rPr>
          <w:sz w:val="20"/>
          <w:szCs w:val="20"/>
          <w:color w:val="auto"/>
        </w:rPr>
      </w:pPr>
    </w:p>
    <w:p>
      <w:pPr>
        <w:jc w:val="both"/>
        <w:ind w:left="680" w:hanging="320"/>
        <w:spacing w:after="0" w:line="264"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from operations for our collection and disposal business continued to see strong operating results, primarily driven by (i) internal revenue growth; (ii) acquisitions and divestitures and (iii) decreased fuel costs due in part to a year-over-year increase in federal natural gas fuel credits.</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However, the following items negatively impacted our results from operations and resulted in lower income from operations in 2019 when compared with 2018:</w:t>
      </w:r>
    </w:p>
    <w:p>
      <w:pPr>
        <w:spacing w:after="0" w:line="62" w:lineRule="exact"/>
        <w:rPr>
          <w:sz w:val="20"/>
          <w:szCs w:val="20"/>
          <w:color w:val="auto"/>
        </w:rPr>
      </w:pPr>
    </w:p>
    <w:p>
      <w:pPr>
        <w:jc w:val="both"/>
        <w:ind w:left="680" w:hanging="320"/>
        <w:spacing w:after="0" w:line="279"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higher operating costs, driven by increased volumes, higher depreciation related to new collection fleet and higher labor, maintenance and repair costs; (ii) lower recycling commodity prices and (iii) asset impairments. The 2018 period was favorably impacted by net gains associated with the sale of certain collection and disposal operations in our Tier 1 segment, partially offset by the impairment of a landfill in our Tier 3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following items affected 2018 when compared with 2017:</w:t>
      </w:r>
    </w:p>
    <w:p>
      <w:pPr>
        <w:spacing w:after="0" w:line="117" w:lineRule="exact"/>
        <w:rPr>
          <w:sz w:val="20"/>
          <w:szCs w:val="20"/>
          <w:color w:val="auto"/>
        </w:rPr>
      </w:pPr>
    </w:p>
    <w:p>
      <w:pPr>
        <w:jc w:val="both"/>
        <w:ind w:left="680" w:hanging="320"/>
        <w:spacing w:after="0" w:line="286"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income from operations for our Solid Waste business benefited from certain federal natural gas fuel credits in the first quarter of 2018 and was negatively impacted by (i) lower market prices for recycling commodities; (ii) higher operating costs, including a one-time bonus plan established in early 2018 targeted at improving</w:t>
      </w:r>
    </w:p>
    <w:p>
      <w:pPr>
        <w:sectPr>
          <w:pgSz w:w="11900" w:h="16838" w:orient="portrait"/>
          <w:cols w:equalWidth="0" w:num="1">
            <w:col w:w="9060"/>
          </w:cols>
          <w:pgMar w:left="1420" w:top="611"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80"/>
        <w:spacing w:after="0" w:line="264" w:lineRule="auto"/>
        <w:rPr>
          <w:sz w:val="20"/>
          <w:szCs w:val="20"/>
          <w:color w:val="auto"/>
        </w:rPr>
      </w:pPr>
      <w:r>
        <w:rPr>
          <w:rFonts w:ascii="Arial" w:cs="Arial" w:eastAsia="Arial" w:hAnsi="Arial"/>
          <w:sz w:val="18"/>
          <w:szCs w:val="18"/>
          <w:color w:val="auto"/>
        </w:rPr>
        <w:t>employee retention and (iii) increased depreciation and amortization expenses to support growth of our business. During 2018, Tier 1 also benefited from net gains associated with the sale of certain collection and disposal operations and Tier 3 was negatively impacted by an impairment of a landfill.</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In 2019 compared with 2018, lower income from operations is a result of (i) net gains from divestitures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ancillary operations in the prior year period of $44 million; (ii) $27 million of goodwill impairment charges, of which $17 million related to our EES organization and $10 million related to our LampTracker</w:t>
      </w:r>
      <w:r>
        <w:rPr>
          <w:rFonts w:ascii="Arial" w:cs="Arial" w:eastAsia="Arial" w:hAnsi="Arial"/>
          <w:sz w:val="26"/>
          <w:szCs w:val="26"/>
          <w:color w:val="auto"/>
          <w:vertAlign w:val="superscript"/>
        </w:rPr>
        <w:t>®</w:t>
      </w:r>
      <w:r>
        <w:rPr>
          <w:rFonts w:ascii="Arial" w:cs="Arial" w:eastAsia="Arial" w:hAnsi="Arial"/>
          <w:sz w:val="17"/>
          <w:szCs w:val="17"/>
          <w:color w:val="auto"/>
        </w:rPr>
        <w:t xml:space="preserve"> reporting unit; (iii) lower commodity prices in 2019 associated with our WM Renewable Energy organization; (iv) a $16 million non-cash charge to write off certain equipment costs in 2019 and (v) an increase in claims expense as a result of growth in the business and cost inflation. In 2018 compared with 2017, our Other segment benefited from net gains from divestitures of certain ancillary operations and improved results in our EES and WM Renewable Energy organizations, partially offset by higher risk management costs. Our 2017 results were also favorably affected by a reduction in contingent consideration obligations in our EES organization.</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The most significant items affecting the results of operations for Corporate and Other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2019 are summarized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affected 2019 when compared with 2018:</w:t>
      </w:r>
    </w:p>
    <w:p>
      <w:pPr>
        <w:spacing w:after="0" w:line="117" w:lineRule="exact"/>
        <w:rPr>
          <w:sz w:val="20"/>
          <w:szCs w:val="20"/>
          <w:color w:val="auto"/>
        </w:rPr>
      </w:pPr>
    </w:p>
    <w:p>
      <w:pPr>
        <w:jc w:val="both"/>
        <w:ind w:left="680" w:hanging="320"/>
        <w:spacing w:after="0" w:line="276"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decrease in income from operations was driven by increased expenses as a result of (i) higher consulting fees, largely due to the investments we are making in operating, customer facing and back-office technologies; (ii) higher litigation reserves; (iii) preparation for our pending acquisition of Advanced Disposal and (iv) a decrease in the risk-free discount rate used in the measurement of our environmental remediation obligations and recovery assets in 2019. Additionally, we recognized higher incentive compensation costs during 2019.</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following items affected 2018 when compared with 2017:</w:t>
      </w:r>
    </w:p>
    <w:p>
      <w:pPr>
        <w:spacing w:after="0" w:line="117" w:lineRule="exact"/>
        <w:rPr>
          <w:sz w:val="20"/>
          <w:szCs w:val="20"/>
          <w:color w:val="auto"/>
        </w:rPr>
      </w:pPr>
    </w:p>
    <w:p>
      <w:pPr>
        <w:jc w:val="both"/>
        <w:ind w:left="680" w:hanging="320"/>
        <w:spacing w:after="0" w:line="30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Decreased expenses in 2018 as a result of lower incentive compensation costs and severance costs for former executives incurred in 2017, and to a lesser extent, charges in 2017 to adjust our subsidiary’s estimated potential share of an environmental remediation liability and related costs for a closed site in Harris County, Texas. These decreases were offset, in part, by higher professional fees primarily due to investments in technology.</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interest expense, net was $411 million, $374 million and $363 million in 2019, 2018 and 2017, respectively. The increase in 2019 is primarily attributable to our May 2019 issuance of $4.0 billion senior notes, partially offset by related increases in interest income as a result of higher cash and cash equivalents balances. These items are discussed further below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 xml:space="preserve">In May 2019, WM issued $4.0 billion of senior notes, which are discussed further below in </w:t>
      </w:r>
      <w:r>
        <w:rPr>
          <w:rFonts w:ascii="Arial" w:cs="Arial" w:eastAsia="Arial" w:hAnsi="Arial"/>
          <w:sz w:val="18"/>
          <w:szCs w:val="18"/>
          <w:i w:val="1"/>
          <w:iCs w:val="1"/>
          <w:color w:val="auto"/>
        </w:rPr>
        <w:t>Summary of Cash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Equivalents, Restricted Trust and Escrow Accounts and Debt Obligations</w:t>
      </w:r>
      <w:r>
        <w:rPr>
          <w:rFonts w:ascii="Arial" w:cs="Arial" w:eastAsia="Arial" w:hAnsi="Arial"/>
          <w:sz w:val="18"/>
          <w:szCs w:val="18"/>
          <w:color w:val="auto"/>
        </w:rPr>
        <w:t>. Concurrently, we used $344 million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newly issued senior notes to retire $257 million of certain high-coupon senior notes. The cash paid includes the principal amount of the debt retired, $84 million of related premiums, which are classified as loss on early extinguishment of debt in our Consolidated Statement of Operations, and $3 million of accrued interest. The principal amount of senior notes redeemed within each series was as follows:</w:t>
      </w:r>
    </w:p>
    <w:p>
      <w:pPr>
        <w:spacing w:after="0" w:line="176" w:lineRule="exact"/>
        <w:rPr>
          <w:sz w:val="20"/>
          <w:szCs w:val="20"/>
          <w:color w:val="auto"/>
        </w:rPr>
      </w:pPr>
    </w:p>
    <w:p>
      <w:pPr>
        <w:ind w:left="940" w:hanging="323"/>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$304 million of WM Holdings 7.10% senior notes due 2026, of which $56 million were tendered;</w:t>
      </w:r>
    </w:p>
    <w:p>
      <w:pPr>
        <w:spacing w:after="0" w:line="11" w:lineRule="exact"/>
        <w:rPr>
          <w:rFonts w:ascii="Arial" w:cs="Arial" w:eastAsia="Arial" w:hAnsi="Arial"/>
          <w:sz w:val="18"/>
          <w:szCs w:val="18"/>
          <w:color w:val="auto"/>
        </w:rPr>
      </w:pPr>
    </w:p>
    <w:p>
      <w:pPr>
        <w:ind w:left="940" w:hanging="323"/>
        <w:spacing w:after="0" w:line="234"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$395 million of WM 7.00% senior notes due 2028, of which $64 million were tendered;</w:t>
      </w:r>
    </w:p>
    <w:p>
      <w:pPr>
        <w:ind w:left="940" w:hanging="323"/>
        <w:spacing w:after="0" w:line="234"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$139 million of WM 7.375% senior notes due 2029, of which $58 million were tendered;</w:t>
      </w:r>
    </w:p>
    <w:p>
      <w:pPr>
        <w:ind w:left="940" w:hanging="323"/>
        <w:spacing w:after="0" w:line="234"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$210 million of WM 7.75% senior notes due 2032, of which $57 million were tendered; and</w:t>
      </w:r>
    </w:p>
    <w:p>
      <w:pPr>
        <w:ind w:left="940" w:hanging="323"/>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$274 million of WM 6.125% senior notes due 2039, of which $22 million were tendered.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third quarter of 2019, we elected to refund and reissue $99 million of tax-exempt bonds, which resulted in the recognition of a $1 million loss on early extinguishment of debt in our Consolidated Statement of Operations.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recognized equity in net losses of unconsolidated entities of $55 million, $41 million and $68 million in 2019, 2018 and 2017, respectively. The losses for each period are primarily related to our noncontrolling interests in entities established to invest in and manage low-income housing properties and a refined coal facility. We generate tax benefits, including tax credits, from the losses incurred from these investments, which are discussed further in Note 9 to the Consolidated Financial Statements. The amount in 2017 includes impairment charges of $29 million to write down equity method investments in waste diversion technology companies to their estimated fair values.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recognized other, net expense of $50 million and $8 million in 2019 and 2017, respectively, compared to other, net income of $2 million in 2018. In 2019, we recognized a $52 million impairment charge related to our minority-owned investment in a waste conversion technology business. We wrote down our investment to its estimated fair value as the result of recent third-party investor’s transactions in securities of this business. The fair value of our investment was not readily determinable; thus, we determined the fair value utilizing a combination of quoted price inputs for the equity in our investment (Level 2) and certain management assumptions pertaining to investment value (Level 3). The expense for 2017 was impacted by impairment charges of $11 million related to other-than-temporary declines in the value of minority-owned investments in waste diversion technology companies.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income tax expense of $434 million, $453 million and $242 million in 2019, 2018 and 2017 respectively, resulting in effective income tax rates of 20.6%, 19.0% and 11.0% for the years ended December 31, 2019, 2018 and 2017, respectively. The comparability of our income tax expense for the reported periods has been primarily affected by the following:</w:t>
      </w:r>
    </w:p>
    <w:p>
      <w:pPr>
        <w:spacing w:after="0" w:line="187" w:lineRule="exact"/>
        <w:rPr>
          <w:sz w:val="20"/>
          <w:szCs w:val="20"/>
          <w:color w:val="auto"/>
        </w:rPr>
      </w:pPr>
    </w:p>
    <w:p>
      <w:pPr>
        <w:jc w:val="both"/>
        <w:ind w:left="680" w:hanging="320"/>
        <w:spacing w:after="0" w:line="279"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Our low-income housing properties and refined coal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reduced our income tax expense by $96 million, $57 million and $51 million, primarily due to tax credits realized from these investments for the years ended December 31, 2019, 2018 and 2017, respectively. See Note 19 for additional information related to these unconsolidated variable interest entities.</w:t>
      </w:r>
    </w:p>
    <w:p>
      <w:pPr>
        <w:spacing w:after="0" w:line="63" w:lineRule="exact"/>
        <w:rPr>
          <w:rFonts w:ascii="Arial" w:cs="Arial" w:eastAsia="Arial" w:hAnsi="Arial"/>
          <w:sz w:val="17"/>
          <w:szCs w:val="17"/>
          <w:color w:val="auto"/>
        </w:rPr>
      </w:pPr>
    </w:p>
    <w:p>
      <w:pPr>
        <w:jc w:val="both"/>
        <w:ind w:left="680" w:hanging="320"/>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2019, 2018 and 2017, we recognized excess tax benefits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or exercise of equity-based compensation awards resulting in a reduction in our income tax expense of $25 million, $17 million and $37 million, respectively.</w:t>
      </w:r>
    </w:p>
    <w:p>
      <w:pPr>
        <w:spacing w:after="0" w:line="73"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Accruals and Deferred Taxes </w:t>
      </w:r>
      <w:r>
        <w:rPr>
          <w:rFonts w:ascii="Arial" w:cs="Arial" w:eastAsia="Arial" w:hAnsi="Arial"/>
          <w:sz w:val="18"/>
          <w:szCs w:val="18"/>
          <w:color w:val="auto"/>
        </w:rPr>
        <w:t>— Adjustments to our accruals and deferred taxes due to the filing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tax returns, analysis of our deferred tax balances and changes in state and foreign laws resulted in a reduction in our income tax expense of $22 million, $52 million and $5 million for the years ended December 31, 2019, 2018 and 2017, respectively.</w:t>
      </w:r>
    </w:p>
    <w:p>
      <w:pPr>
        <w:spacing w:after="0" w:line="78" w:lineRule="exact"/>
        <w:rPr>
          <w:rFonts w:ascii="Arial" w:cs="Arial" w:eastAsia="Arial" w:hAnsi="Arial"/>
          <w:sz w:val="18"/>
          <w:szCs w:val="18"/>
          <w:color w:val="auto"/>
        </w:rPr>
      </w:pPr>
    </w:p>
    <w:p>
      <w:pPr>
        <w:jc w:val="both"/>
        <w:ind w:left="680" w:hanging="320"/>
        <w:spacing w:after="0" w:line="25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and our audits are in various stages of completion. During the reported periods, we settled various tax audits, which resulted in a reduction in our income tax expense of $2 million, $40 million and $2 million for the years ended December 31, 2019, 2018 and 2017, respectively.</w:t>
      </w:r>
    </w:p>
    <w:p>
      <w:pPr>
        <w:spacing w:after="0" w:line="80" w:lineRule="exact"/>
        <w:rPr>
          <w:rFonts w:ascii="Arial" w:cs="Arial" w:eastAsia="Arial" w:hAnsi="Arial"/>
          <w:sz w:val="18"/>
          <w:szCs w:val="18"/>
          <w:color w:val="auto"/>
        </w:rPr>
      </w:pPr>
    </w:p>
    <w:p>
      <w:pPr>
        <w:jc w:val="both"/>
        <w:ind w:left="680" w:hanging="320"/>
        <w:spacing w:after="0" w:line="276"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Enactment of Tax Reform — </w:t>
      </w:r>
      <w:r>
        <w:rPr>
          <w:rFonts w:ascii="Arial" w:cs="Arial" w:eastAsia="Arial" w:hAnsi="Arial"/>
          <w:sz w:val="17"/>
          <w:szCs w:val="17"/>
          <w:color w:val="auto"/>
        </w:rPr>
        <w:t>In accordance with applicable accounting guidance, the Company recognized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provisional tax impacts and subsequent measurement period adjustments related to the remeasurement of our deferred income tax assets and liabilities and the one-time, mandatory transition tax on deemed repatriation of previously tax-deferred and unremitted foreign earnings, resulting in a reduction in our income tax expense of $12 million and $529 million for the years ended December 31, 2018 and 2017, respectively.</w:t>
      </w:r>
    </w:p>
    <w:p>
      <w:pPr>
        <w:sectPr>
          <w:pgSz w:w="11900" w:h="16838" w:orient="portrait"/>
          <w:cols w:equalWidth="0" w:num="1">
            <w:col w:w="9060"/>
          </w:cols>
          <w:pgMar w:left="1420" w:top="611"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to the Consolidated Financial Statements for more information related to income taxes.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owned or operated 244 solid waste landfills and five secure hazardous waste landfills as of December 31, 2019 and 247 solid waste and five secure hazardous waste landfills as of December 31, 2018. For these landfills, the following table reflects changes in capacity, as measured in tons of waste, for the years ended December 31 and remaining airspace, measured in cubic yards of waste, as of December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Remaining</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Expansion</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Remaining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Expansion</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Permitted</w:t>
            </w: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Permitted</w:t>
            </w: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Capacity</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Capacity</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Acquisitions, divestitures, newly permitted landfills and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Tons received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Changes in engineering estimates and other (c)</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Balance as of end of year (in cubic yards)</w:t>
            </w: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gridSpan w:val="3"/>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4,694</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4,860</w:t>
            </w:r>
          </w:p>
        </w:tc>
        <w:tc>
          <w:tcPr>
            <w:tcW w:w="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1"/>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38" w:lineRule="exact"/>
        <w:rPr>
          <w:rFonts w:ascii="Arial" w:cs="Arial" w:eastAsia="Arial" w:hAnsi="Arial"/>
          <w:sz w:val="16"/>
          <w:szCs w:val="16"/>
          <w:color w:val="auto"/>
        </w:rPr>
      </w:pPr>
    </w:p>
    <w:p>
      <w:pPr>
        <w:jc w:val="both"/>
        <w:ind w:left="340" w:hanging="331"/>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received expansion permits at seven of our landfills during 2019 and six of our landfills during 2018, demonstrating our continued success in working with municipalities and regulatory agencies to expand the disposal airspace of our existing landfills.</w:t>
      </w:r>
    </w:p>
    <w:p>
      <w:pPr>
        <w:spacing w:after="0" w:line="73" w:lineRule="exact"/>
        <w:rPr>
          <w:rFonts w:ascii="Arial" w:cs="Arial" w:eastAsia="Arial" w:hAnsi="Arial"/>
          <w:sz w:val="18"/>
          <w:szCs w:val="18"/>
          <w:color w:val="auto"/>
        </w:rPr>
      </w:pPr>
    </w:p>
    <w:p>
      <w:pPr>
        <w:jc w:val="both"/>
        <w:ind w:left="340" w:hanging="331"/>
        <w:spacing w:after="0" w:line="270"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18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 tons received at our landfills for the years ended December 31 are shown below (tons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80" w:type="dxa"/>
            <w:vAlign w:val="bottom"/>
            <w:gridSpan w:val="2"/>
          </w:tcPr>
          <w:p>
            <w:pPr>
              <w:jc w:val="center"/>
              <w:ind w:right="130"/>
              <w:spacing w:after="0" w:line="119" w:lineRule="exact"/>
              <w:rPr>
                <w:sz w:val="20"/>
                <w:szCs w:val="20"/>
                <w:color w:val="auto"/>
              </w:rPr>
            </w:pPr>
            <w:r>
              <w:rPr>
                <w:rFonts w:ascii="Arial" w:cs="Arial" w:eastAsia="Arial" w:hAnsi="Arial"/>
                <w:sz w:val="13"/>
                <w:szCs w:val="13"/>
                <w:b w:val="1"/>
                <w:bCs w:val="1"/>
                <w:color w:val="auto"/>
                <w:w w:val="94"/>
              </w:rPr>
              <w:t># of</w:t>
            </w:r>
          </w:p>
        </w:tc>
        <w:tc>
          <w:tcPr>
            <w:tcW w:w="7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Tons per</w:t>
            </w:r>
          </w:p>
        </w:tc>
        <w:tc>
          <w:tcPr>
            <w:tcW w:w="14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 of</w:t>
            </w:r>
          </w:p>
        </w:tc>
        <w:tc>
          <w:tcPr>
            <w:tcW w:w="6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Sites</w:t>
            </w: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Tons</w:t>
            </w:r>
          </w:p>
        </w:tc>
        <w:tc>
          <w:tcPr>
            <w:tcW w:w="2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Day</w:t>
            </w:r>
          </w:p>
        </w:tc>
        <w:tc>
          <w:tcPr>
            <w:tcW w:w="1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Sites</w:t>
            </w: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120,556</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115,972</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121,259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116,711</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Solid waste landfills closed, divested or contract expired</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during related year</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121,951</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1"/>
              </w:rPr>
              <w:t>(b)</w:t>
            </w: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117,135</w:t>
            </w: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1"/>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1"/>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2019, we acquired five landfills, we closed one landfill and seven landfills under contract either closed or the contract expired.</w:t>
      </w:r>
    </w:p>
    <w:p>
      <w:pPr>
        <w:sectPr>
          <w:pgSz w:w="11900" w:h="16838" w:orient="portrait"/>
          <w:cols w:equalWidth="0" w:num="1">
            <w:col w:w="9060"/>
          </w:cols>
          <w:pgMar w:left="1420" w:top="611"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40" w:hanging="331"/>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include 1.3 million tons and 1.5 million tons as of December 31, 2019 and 2018, respectively,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a landfill we own or operate receives certification of closure from the applicable regulatory agency, we generally transfer the management of the site, including any remediation activities, to our environmental legacy management group. As of December 31, 2019, our environmental legacy management group managed 212 closed landfills.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Based on remaining permitted airspace as of December 31, 2019 and projected annual disposal volume, the weighted average remaining landfill life for all of our owned or operated landfills is approximately 39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15 of our landfills that meet the expansion criteria outlined in the </w:t>
      </w:r>
      <w:r>
        <w:rPr>
          <w:rFonts w:ascii="Arial" w:cs="Arial" w:eastAsia="Arial" w:hAnsi="Arial"/>
          <w:sz w:val="18"/>
          <w:szCs w:val="18"/>
          <w:i w:val="1"/>
          <w:iCs w:val="1"/>
          <w:color w:val="auto"/>
        </w:rPr>
        <w:t xml:space="preserve">Critical Accounting Estimates and Assumptions — Landfills </w:t>
      </w:r>
      <w:r>
        <w:rPr>
          <w:rFonts w:ascii="Arial" w:cs="Arial" w:eastAsia="Arial" w:hAnsi="Arial"/>
          <w:sz w:val="18"/>
          <w:szCs w:val="18"/>
          <w:color w:val="auto"/>
        </w:rPr>
        <w:t>section below. Although no assurances can be made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expansions will be permitted or permitted as designed, the weighted average remaining landfill life for all owned or operated landfills is approximately 41 years when considering remaining permitted airspace, expansion airspace and projected annual disposal volume.</w:t>
      </w:r>
    </w:p>
    <w:p>
      <w:pPr>
        <w:spacing w:after="0" w:line="1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2019, segregated by their estimated operating lives based on remaining permitted and expansion airspace and projected annual disposal volume,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of Landfills</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jc w:val="both"/>
        <w:ind w:left="340" w:hanging="331"/>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249 landfills, 207 are owned, 32 are operated under lease agreements and 10 are operated under other contractual agreements. For the landfills not owned, we are usually responsible for final capping, closure and post-closure obligations.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2019, we have 14 landfills which are not currently accepting waste. During the year ended December 31, 2019, we performed tests of recoverability for five of these landfills with an aggregate net recorded capitalized landfill asset cost of $272 million, for which the undiscounted expected future cash flows resulting from our probability-weighted estimation approach exceeded the carrying values. We did not perform recoverability tests for the remaining nine landfills as the net recorded capitalized landfill asset cost was not material.</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to the cost basis of our landfill assets and accumulated landfill airspace amortization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reflected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7"/>
              </w:rPr>
              <w:t>Cost Basis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Landfill Airspace</w:t>
            </w:r>
          </w:p>
        </w:tc>
        <w:tc>
          <w:tcPr>
            <w:tcW w:w="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jc w:val="right"/>
              <w:ind w:right="4010"/>
              <w:spacing w:after="0"/>
              <w:rPr>
                <w:sz w:val="20"/>
                <w:szCs w:val="20"/>
                <w:color w:val="auto"/>
              </w:rPr>
            </w:pPr>
            <w:r>
              <w:rPr>
                <w:rFonts w:ascii="Arial" w:cs="Arial" w:eastAsia="Arial" w:hAnsi="Arial"/>
                <w:sz w:val="18"/>
                <w:szCs w:val="18"/>
                <w:color w:val="auto"/>
                <w:w w:val="87"/>
              </w:rPr>
              <w:t>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Capital additions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obligations incurred and capitalized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retirements and other adjustments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5520" w:type="dxa"/>
            <w:vAlign w:val="bottom"/>
            <w:gridSpan w:val="2"/>
          </w:tcPr>
          <w:p>
            <w:pPr>
              <w:jc w:val="right"/>
              <w:ind w:right="4010"/>
              <w:spacing w:after="0"/>
              <w:rPr>
                <w:sz w:val="20"/>
                <w:szCs w:val="20"/>
                <w:color w:val="auto"/>
              </w:rPr>
            </w:pPr>
            <w:r>
              <w:rPr>
                <w:rFonts w:ascii="Arial" w:cs="Arial" w:eastAsia="Arial" w:hAnsi="Arial"/>
                <w:sz w:val="18"/>
                <w:szCs w:val="18"/>
                <w:color w:val="auto"/>
                <w:w w:val="88"/>
              </w:rPr>
              <w:t>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2019, we estimate that we will spend approximately $600 million in 2020, and approximately $1.3 billion in 2021 and 2022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5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3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2019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Landfill</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1"/>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revisions in estimates resulting primarily from changes in the timing and amount of costs as well as changes in estimates of remaining airspace.</w:t>
      </w:r>
    </w:p>
    <w:p>
      <w:pPr>
        <w:spacing w:after="0" w:line="62"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$11 million due to a decrease in the risk-free discount rate used to measure our liabilities from 2.75% at December 31, 2018 to 1.75% at December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7"/>
              </w:rPr>
              <w:t>Interest accretion on and discount rate adjustments to environmental remediation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includes the following:</w:t>
      </w:r>
    </w:p>
    <w:p>
      <w:pPr>
        <w:spacing w:after="0" w:line="62"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color w:val="auto"/>
        </w:rPr>
        <w:t>●</w:t>
        <w:tab/>
        <w:t>the amortization of landfill capital costs, including (i) costs that have been incurred and capitalized and</w:t>
      </w:r>
    </w:p>
    <w:p>
      <w:pPr>
        <w:spacing w:after="0" w:line="23" w:lineRule="exact"/>
        <w:rPr>
          <w:sz w:val="20"/>
          <w:szCs w:val="20"/>
          <w:color w:val="auto"/>
        </w:rPr>
      </w:pPr>
    </w:p>
    <w:p>
      <w:pPr>
        <w:ind w:left="680" w:right="20" w:firstLine="4"/>
        <w:spacing w:after="0" w:line="261" w:lineRule="auto"/>
        <w:tabs>
          <w:tab w:leader="none" w:pos="983" w:val="left"/>
        </w:tabs>
        <w:numPr>
          <w:ilvl w:val="1"/>
          <w:numId w:val="38"/>
        </w:numPr>
        <w:rPr>
          <w:rFonts w:ascii="Arial" w:cs="Arial" w:eastAsia="Arial" w:hAnsi="Arial"/>
          <w:sz w:val="18"/>
          <w:szCs w:val="18"/>
          <w:color w:val="auto"/>
        </w:rPr>
      </w:pPr>
      <w:r>
        <w:rPr>
          <w:rFonts w:ascii="Arial" w:cs="Arial" w:eastAsia="Arial" w:hAnsi="Arial"/>
          <w:sz w:val="18"/>
          <w:szCs w:val="18"/>
          <w:color w:val="auto"/>
        </w:rPr>
        <w:t>estimated future costs for landfill development and construction required to develop our landfills to their remaining permitted and expansion airspace; and</w:t>
      </w:r>
    </w:p>
    <w:p>
      <w:pPr>
        <w:spacing w:after="0" w:line="75" w:lineRule="exact"/>
        <w:rPr>
          <w:rFonts w:ascii="Arial" w:cs="Arial" w:eastAsia="Arial" w:hAnsi="Arial"/>
          <w:sz w:val="18"/>
          <w:szCs w:val="18"/>
          <w:color w:val="auto"/>
        </w:rPr>
      </w:pPr>
    </w:p>
    <w:p>
      <w:pPr>
        <w:ind w:left="680" w:hanging="320"/>
        <w:spacing w:after="0" w:line="30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amortization of asset retirement costs arising from landfill final capping, closure and post-closure obligations, including (i) costs that have been incurred and capitalized and (ii) projected asset retirement costs.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Amortization expense is recorded on a units-of-consumption basis, applying cost as a rate per ton. The rate per ton is calculated by dividing each component of the amortizable basis of a landfill (net of accumulated amortization)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amortized on a per-ton basis using a landfill’s total permitted and expansion airspace. Final capping asset retirement costs are related to a specific final capping event and are, therefore, amortized on a per-ton basis using each discrete final capping event’s estimated permitted and expansion airspace. Accordingly, each landfill has multiple per-ton amortization rates.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landfill airspace amortization expense on a per-ton basis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Different per-ton amortization rates are applied at each of our 249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jc w:val="both"/>
        <w:ind w:firstLine="9"/>
        <w:spacing w:after="0" w:line="255" w:lineRule="auto"/>
        <w:tabs>
          <w:tab w:leader="none" w:pos="2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in the cost basis of landfills that we develop versus those that we acquire. Accordingly, our landfill airspace amortization expense measured on a per-ton basis can fluctuate due to changes in the mix of volumes we receive across the Company each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w:t>
      </w:r>
    </w:p>
    <w:p>
      <w:pPr>
        <w:sectPr>
          <w:pgSz w:w="11900" w:h="16838" w:orient="portrait"/>
          <w:cols w:equalWidth="0" w:num="1">
            <w:col w:w="9060"/>
          </w:cols>
          <w:pgMar w:left="1420" w:top="611"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modest leverage enable it to obtain adequate financing to meet its ongoing capital, operating and other liquidity requirements.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Insurance reserves (a)</w:t>
            </w:r>
          </w:p>
        </w:tc>
        <w:tc>
          <w:tcPr>
            <w:tcW w:w="9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Current portion</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  Includes $70 million as of December 31, 2019 and 2018 in other current assets in our Consolidated Balance Sheets.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December 31, 2019 primarily include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2019 issuance of senior notes and our September 2019 issuance of Canadian senior notes. These items are discussed further below and in Note 7 to the Consolidated Financial Statements.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We use long-term borrowings in addition to the cash we generate from operations as part of our overall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to support and grow our business. We primarily use senior notes and tax-exempt bonds to borrow on a long-term basis, but we also use other instruments and facilities, when appropriate. The components of our borrowings as of December 31, 2019 are described in Note 7 to the Consolidated Financial Statements.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2019, we had $1.5 billion of debt maturing within the next 12 months, including (i) $600 million of 4.75% senior notes that mature in June 2020; (ii) $669 million of tax-exempt bonds with term interest rate periods that expire within the next 12 months, which is prior to their scheduled maturities, and (iii) $218 million of other debt with scheduled maturities within the next 12 months, including $112 million of tax-exempt bonds. As of December 31, 2019, we have classified $1.3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$218 million of debt maturing in the next 12 months is classified as current obligations.</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2019, we also have $169 million of variable-rate tax-exempt bonds that are supported by letters of credit under our $3.5 billion revolving credit facility, of which $15 million mature within the next 12 months.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$154 million of these borrowings as long-term in our Consolidated Balance Sheet as of December 31,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May 2019, WM issued $4.0 billion of senior notes consisting of:</w:t>
      </w:r>
    </w:p>
    <w:p>
      <w:pPr>
        <w:spacing w:after="0" w:line="117" w:lineRule="exact"/>
        <w:rPr>
          <w:sz w:val="20"/>
          <w:szCs w:val="20"/>
          <w:color w:val="auto"/>
        </w:rPr>
      </w:pPr>
    </w:p>
    <w:p>
      <w:pPr>
        <w:ind w:left="1000" w:hanging="316"/>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$750 million of 2.95% senior notes due June 15, 2024;</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$750 million of 3.20% senior notes due June 15, 2026;</w:t>
      </w:r>
    </w:p>
    <w:p>
      <w:pPr>
        <w:ind w:left="1000" w:hanging="316"/>
        <w:spacing w:after="0" w:line="23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billion of 3.45% senior notes due June 15, 2029;</w:t>
      </w:r>
    </w:p>
    <w:p>
      <w:pPr>
        <w:ind w:left="1000" w:hanging="316"/>
        <w:spacing w:after="0" w:line="23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$500 million of 4.00% senior notes due July 15, 2039; and</w:t>
      </w:r>
    </w:p>
    <w:p>
      <w:pPr>
        <w:ind w:left="1000" w:hanging="316"/>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billion of 4.15% senior notes due July 15, 2049.</w:t>
      </w:r>
    </w:p>
    <w:p>
      <w:pPr>
        <w:spacing w:after="0" w:line="182" w:lineRule="exact"/>
        <w:rPr>
          <w:sz w:val="20"/>
          <w:szCs w:val="20"/>
          <w:color w:val="auto"/>
        </w:rPr>
      </w:pPr>
    </w:p>
    <w:p>
      <w:pPr>
        <w:jc w:val="both"/>
        <w:ind w:firstLine="259"/>
        <w:spacing w:after="0" w:line="270" w:lineRule="auto"/>
        <w:rPr>
          <w:sz w:val="20"/>
          <w:szCs w:val="20"/>
          <w:color w:val="auto"/>
        </w:rPr>
      </w:pPr>
      <w:r>
        <w:rPr>
          <w:rFonts w:ascii="Arial" w:cs="Arial" w:eastAsia="Arial" w:hAnsi="Arial"/>
          <w:sz w:val="17"/>
          <w:szCs w:val="17"/>
          <w:color w:val="auto"/>
        </w:rPr>
        <w:t xml:space="preserve">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and $3 million of accrued interest as discussed above in </w:t>
      </w:r>
      <w:r>
        <w:rPr>
          <w:rFonts w:ascii="Arial" w:cs="Arial" w:eastAsia="Arial" w:hAnsi="Arial"/>
          <w:sz w:val="17"/>
          <w:szCs w:val="17"/>
          <w:i w:val="1"/>
          <w:iCs w:val="1"/>
          <w:color w:val="auto"/>
        </w:rPr>
        <w:t>Loss on Early Extinguishment of Debt</w:t>
      </w:r>
      <w:r>
        <w:rPr>
          <w:rFonts w:ascii="Arial" w:cs="Arial" w:eastAsia="Arial" w:hAnsi="Arial"/>
          <w:sz w:val="17"/>
          <w:szCs w:val="17"/>
          <w:color w:val="auto"/>
        </w:rPr>
        <w:t>. We used a portion of the proceeds to repay our commercial paper borrowings.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intend to use the remaining net proceeds to pay a portion of the consideration related to our pending acquisition of Advanced Disposal, which is discussed in </w:t>
      </w:r>
      <w:r>
        <w:rPr>
          <w:rFonts w:ascii="Arial" w:cs="Arial" w:eastAsia="Arial" w:hAnsi="Arial"/>
          <w:sz w:val="17"/>
          <w:szCs w:val="17"/>
          <w:i w:val="1"/>
          <w:iCs w:val="1"/>
          <w:color w:val="auto"/>
        </w:rPr>
        <w:t>Pending Acquisition</w:t>
      </w:r>
      <w:r>
        <w:rPr>
          <w:rFonts w:ascii="Arial" w:cs="Arial" w:eastAsia="Arial" w:hAnsi="Arial"/>
          <w:sz w:val="17"/>
          <w:szCs w:val="17"/>
          <w:color w:val="auto"/>
        </w:rPr>
        <w:t xml:space="preserve"> below, and for general corporate purposes. The newly-issued senior notes due 2024, 2026, 2029 and 2039 include a special mandatory redemption feature, which provides that if the acquisition of Advanced Disposal is not completed on or prior to July 14, 2020, or if, prior to such date, the Merger Agreement is terminated for any reason, we will be required to redeem all of such outstanding notes equal to 101% of the aggregate principal amounts of such notes, plus accrued but unpaid interest.</w:t>
      </w:r>
    </w:p>
    <w:p>
      <w:pPr>
        <w:spacing w:after="0" w:line="178"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In September 2019, Waste Management of Canada Corporation, an indirect wholly-owned subsidiary of WM, issued C$500 million, or $377 million, of 2.6% senior notes due September 23, 2026, all of which are fully and unconditionally guaranteed on a senior unsecured basis by WM and WM Holdings. The net proceeds from the debt issuance were C$496 million, or $373 million, which we intend to use for general corporate purposes.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7 to the Consolidated Financial Statements for more information related to the debt transactions.</w:t>
      </w:r>
    </w:p>
    <w:p>
      <w:pPr>
        <w:spacing w:after="0" w:line="225"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categorized by type of facility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letter of credit facilities (b)</w:t>
            </w:r>
          </w:p>
        </w:tc>
        <w:tc>
          <w:tcPr>
            <w:tcW w:w="2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340" w:hanging="331"/>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2019, we had an unused and available credit capacity of $3.1 billion.</w:t>
      </w:r>
    </w:p>
    <w:p>
      <w:pPr>
        <w:spacing w:after="0" w:line="117"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2019, these other letter of credit facilities are both committed and uncommitted with terms extending through April 2021.</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Refinancing of Revolving Credit Facility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November 2019, we entered into the $3.5 billion revolving credit facility, which amended and restated our prior long-term U.S. and Canadian revolving credit facility. Amendments to the credit agreement included (i) increasing total capacity under the facility from $2.75 billion to $3.5 billion; (ii) increasing the accordion feature that may be used to increase total capacity in future periods from $750 million to $1.0 billion and (iii) extending the term through November 2024. The agreement provides the Company with two one-year extension options. Waste Management of Canada Corporation and WM Quebec Inc., each an indirect wholly-owned subsidiary of WM, are borrowers under the $3.5 billion revolving credit facility, and the agreement permits borrowing in Canadian dollars up to the U.S. dollar equivalent of $375 million, with such borrowings to be repaid in Canadian dollars. WM Holdings, a wholly-owned subsidiary of WM, guarantees all the obligations under the $3.5 billion revolving credit facility.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(2,376)</w:t>
            </w:r>
          </w:p>
        </w:tc>
        <w:tc>
          <w:tcPr>
            <w:tcW w:w="1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(2,169)</w:t>
            </w:r>
          </w:p>
        </w:tc>
        <w:tc>
          <w:tcPr>
            <w:tcW w:w="1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Our operating cash flows increased by $304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as compared with the prior year period, as a result of (i) higher cash-based earnings in the current year period primarily associated with our collection and disposal business; (ii) lower bonus payments in the current year;</w:t>
      </w:r>
    </w:p>
    <w:p>
      <w:pPr>
        <w:jc w:val="both"/>
        <w:ind w:firstLine="9"/>
        <w:spacing w:after="0" w:line="255" w:lineRule="auto"/>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income tax payments of $57 million in the current year and (iv) net favorable changes in our operating assets and liabilities, net of effects of acquisitions and divestitures, offset slightly by higher interest payments in the current year period primarily due to our May 2019 issuance of senior notes.</w:t>
      </w:r>
    </w:p>
    <w:p>
      <w:pPr>
        <w:spacing w:after="0" w:line="82"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Our operating cash flows increased by $390 million for the year ended December 31, 2018, as compared with the prior year period, as a result of (i) higher earnings primarily associated with our collection and disposal business and</w:t>
      </w:r>
    </w:p>
    <w:p>
      <w:pPr>
        <w:ind w:firstLine="9"/>
        <w:spacing w:after="0" w:line="261" w:lineRule="auto"/>
        <w:tabs>
          <w:tab w:leader="none" w:pos="2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income tax payments of $213 million, driven by enactment of tax reform and timing of income tax payments partially offset by lower earnings from our recycling line of business.</w:t>
      </w:r>
    </w:p>
    <w:p>
      <w:pPr>
        <w:spacing w:after="0" w:line="7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periods presented are summarized below:</w:t>
      </w:r>
    </w:p>
    <w:p>
      <w:pPr>
        <w:spacing w:after="0" w:line="62" w:lineRule="exact"/>
        <w:rPr>
          <w:sz w:val="20"/>
          <w:szCs w:val="20"/>
          <w:color w:val="auto"/>
        </w:rPr>
      </w:pPr>
    </w:p>
    <w:p>
      <w:pPr>
        <w:jc w:val="both"/>
        <w:ind w:left="680" w:hanging="320"/>
        <w:spacing w:after="0" w:line="272"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Our spending on acquisitions was $527 million, $466 million and $200 million in 2019,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of which $521 million, $460 million and $198 million, respectively, are considered cash used in investing activities. The remaining spend is either cash used in a financing or an operating activity related to the timing of contingent consideration paid. Substantially all of these acquisitions are related to our Solid Waste business. Our acquisition spending in 2019 is primarily attributable to Petro Waste Environmental LP. See Note 18 to the Consolidated Financial Statements for additional information. We continue to focus on accretive acquisitions and growth opportunities that will enhance and expand our existing service offerings.</w:t>
      </w:r>
    </w:p>
    <w:p>
      <w:pPr>
        <w:spacing w:after="0" w:line="69" w:lineRule="exact"/>
        <w:rPr>
          <w:rFonts w:ascii="Arial" w:cs="Arial" w:eastAsia="Arial" w:hAnsi="Arial"/>
          <w:sz w:val="17"/>
          <w:szCs w:val="17"/>
          <w:color w:val="auto"/>
        </w:rPr>
      </w:pPr>
    </w:p>
    <w:p>
      <w:pPr>
        <w:jc w:val="both"/>
        <w:ind w:left="680" w:hanging="320"/>
        <w:spacing w:after="0" w:line="286"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$1,818 million, $1,694 million and $1,509 million for capital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2018 and 2017, respectively. The increase is primarily due to an intentional focus on accelerating certain collection fleet and landfill spending to support the Company’s strong collection and disposal growth.</w:t>
      </w:r>
    </w:p>
    <w:p>
      <w:pPr>
        <w:spacing w:after="0" w:line="57" w:lineRule="exact"/>
        <w:rPr>
          <w:rFonts w:ascii="Arial" w:cs="Arial" w:eastAsia="Arial" w:hAnsi="Arial"/>
          <w:sz w:val="17"/>
          <w:szCs w:val="17"/>
          <w:color w:val="auto"/>
        </w:rPr>
      </w:pPr>
    </w:p>
    <w:p>
      <w:pPr>
        <w:jc w:val="both"/>
        <w:ind w:left="680" w:hanging="320"/>
        <w:spacing w:after="0" w:line="25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Divestitures — </w:t>
      </w:r>
      <w:r>
        <w:rPr>
          <w:rFonts w:ascii="Arial" w:cs="Arial" w:eastAsia="Arial" w:hAnsi="Arial"/>
          <w:sz w:val="18"/>
          <w:szCs w:val="18"/>
          <w:color w:val="auto"/>
        </w:rPr>
        <w:t>Proceeds from divestitures of businesses and other assets (net of cash divested) were</w:t>
      </w:r>
      <w:r>
        <w:rPr>
          <w:rFonts w:ascii="Arial" w:cs="Arial" w:eastAsia="Arial" w:hAnsi="Arial"/>
          <w:sz w:val="18"/>
          <w:szCs w:val="18"/>
          <w:i w:val="1"/>
          <w:iCs w:val="1"/>
          <w:color w:val="auto"/>
        </w:rPr>
        <w:t xml:space="preserve"> </w:t>
      </w:r>
      <w:r>
        <w:rPr>
          <w:rFonts w:ascii="Arial" w:cs="Arial" w:eastAsia="Arial" w:hAnsi="Arial"/>
          <w:sz w:val="18"/>
          <w:szCs w:val="18"/>
          <w:color w:val="auto"/>
        </w:rPr>
        <w:t>$49 million, $208 million and $99 million in 2019, 2018 and 2017, respectively. In 2019, 2018 and 2017, $8 million, $153 million and $62 million of these divestitures, respectively, were made as part of our continuous focus on improving or divesting certain non-strategic or underperforming operations, with the remaining amounts generally related to the sale of fixed assets.</w:t>
      </w:r>
    </w:p>
    <w:p>
      <w:pPr>
        <w:spacing w:after="0" w:line="80" w:lineRule="exact"/>
        <w:rPr>
          <w:rFonts w:ascii="Arial" w:cs="Arial" w:eastAsia="Arial" w:hAnsi="Arial"/>
          <w:sz w:val="18"/>
          <w:szCs w:val="18"/>
          <w:color w:val="auto"/>
        </w:rPr>
      </w:pPr>
    </w:p>
    <w:p>
      <w:pPr>
        <w:jc w:val="both"/>
        <w:ind w:left="680" w:hanging="320"/>
        <w:spacing w:after="0" w:line="270"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Other, Net — </w:t>
      </w:r>
      <w:r>
        <w:rPr>
          <w:rFonts w:ascii="Arial" w:cs="Arial" w:eastAsia="Arial" w:hAnsi="Arial"/>
          <w:sz w:val="17"/>
          <w:szCs w:val="17"/>
          <w:color w:val="auto"/>
        </w:rPr>
        <w:t>Our spending within other, net was $86 million, $223 million, and $12 million in 2019,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Cash used for other investing activities for the year ended December 31, 2019 was primarily related to (i) changes in our investments portfolio associated with a wholly-owned insurance captive from restricted cash and cash equivalents to available-for-sale securities and (ii) an initial cash payment for low-income housing investments, which is discussed further in Note 9 to the Consolidated Financial Statements. These items were partially offset by cash proceeds from the redemption of our preferred stock received in conjunction with the 2014 sale of our Puerto Rico operations, which is discussed in Note 17 to the Consolidated Financial Statements. The increase in 2018 was primarily due to changes in our investments portfolio associated with our wholly-owned insurance captive from restricted cash and cash equivalents to available-for-sale securities. See Note 17 to the Consolidated Financial Statements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periods presented are summarized below:</w:t>
      </w:r>
    </w:p>
    <w:p>
      <w:pPr>
        <w:spacing w:after="0" w:line="62" w:lineRule="exact"/>
        <w:rPr>
          <w:sz w:val="20"/>
          <w:szCs w:val="20"/>
          <w:color w:val="auto"/>
        </w:rPr>
      </w:pPr>
    </w:p>
    <w:p>
      <w:pPr>
        <w:ind w:left="620" w:hanging="327"/>
        <w:spacing w:after="0" w:line="308"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years ended December 31 (in millions):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8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senior notes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18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debt</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10"/>
        </w:trPr>
        <w:tc>
          <w:tcPr>
            <w:tcW w:w="1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(1,907)</w:t>
            </w: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Net cash borrowings (repayments)</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4,150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1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23"/>
        </w:trPr>
        <w:tc>
          <w:tcPr>
            <w:tcW w:w="182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bl>
    <w:p>
      <w:pPr>
        <w:spacing w:after="0" w:line="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Our revolving credit facility was amended and restated in November 2019.</w:t>
      </w:r>
    </w:p>
    <w:p>
      <w:pPr>
        <w:spacing w:after="0" w:line="11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w:t>
      </w:r>
    </w:p>
    <w:p>
      <w:pPr>
        <w:spacing w:after="0" w:line="62" w:lineRule="exact"/>
        <w:rPr>
          <w:sz w:val="20"/>
          <w:szCs w:val="20"/>
          <w:color w:val="auto"/>
        </w:rPr>
      </w:pPr>
    </w:p>
    <w:p>
      <w:pPr>
        <w:jc w:val="both"/>
        <w:ind w:left="680" w:hanging="320"/>
        <w:spacing w:after="0" w:line="264"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During the year ended December 31, 2019, we paid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of $84 million to retire certain high-coupon senior notes. See Note 7 to the Consolidated Financial Statements for further discussion of this debt transaction.</w:t>
      </w:r>
    </w:p>
    <w:p>
      <w:pPr>
        <w:spacing w:after="0" w:line="73" w:lineRule="exact"/>
        <w:rPr>
          <w:rFonts w:ascii="Arial" w:cs="Arial" w:eastAsia="Arial" w:hAnsi="Arial"/>
          <w:sz w:val="18"/>
          <w:szCs w:val="18"/>
          <w:color w:val="auto"/>
        </w:rPr>
      </w:pPr>
    </w:p>
    <w:p>
      <w:pPr>
        <w:jc w:val="both"/>
        <w:ind w:left="680" w:hanging="320"/>
        <w:spacing w:after="0" w:line="25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2019, we had net cash repayments of $1,001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of $453 million and $513 million (net of the related discounts on issuance) during 2018 and 2017, respectively, under our commercial paper program. We repaid the outstanding balance with proceeds from the May 2019 issuance of senior notes discussed above. Borrowings were primarily to support acquisitions, new business opportunities and for general corporate purposes.</w:t>
      </w:r>
    </w:p>
    <w:p>
      <w:pPr>
        <w:spacing w:after="0" w:line="80" w:lineRule="exact"/>
        <w:rPr>
          <w:rFonts w:ascii="Arial" w:cs="Arial" w:eastAsia="Arial" w:hAnsi="Arial"/>
          <w:sz w:val="18"/>
          <w:szCs w:val="18"/>
          <w:color w:val="auto"/>
        </w:rPr>
      </w:pPr>
    </w:p>
    <w:p>
      <w:pPr>
        <w:jc w:val="both"/>
        <w:ind w:left="680" w:right="20" w:hanging="320"/>
        <w:spacing w:after="0" w:line="293"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 </w:t>
      </w:r>
      <w:r>
        <w:rPr>
          <w:rFonts w:ascii="Arial" w:cs="Arial" w:eastAsia="Arial" w:hAnsi="Arial"/>
          <w:sz w:val="16"/>
          <w:szCs w:val="16"/>
          <w:color w:val="auto"/>
        </w:rPr>
        <w:t>For the periods presented, all share repurchases have been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financial plans approved by our Board of Directors. We repurchased $244 million, $1,008 million (including $4 million paid in January 2019) and $750 million of our common stock during 2019, 2018 and 2017, respectively. As a result of the pending acquisition of Advanced Disposal discussed in </w:t>
      </w:r>
      <w:r>
        <w:rPr>
          <w:rFonts w:ascii="Arial" w:cs="Arial" w:eastAsia="Arial" w:hAnsi="Arial"/>
          <w:sz w:val="16"/>
          <w:szCs w:val="16"/>
          <w:i w:val="1"/>
          <w:iCs w:val="1"/>
          <w:color w:val="auto"/>
        </w:rPr>
        <w:t>Pending Acquisition</w:t>
      </w:r>
      <w:r>
        <w:rPr>
          <w:rFonts w:ascii="Arial" w:cs="Arial" w:eastAsia="Arial" w:hAnsi="Arial"/>
          <w:sz w:val="16"/>
          <w:szCs w:val="16"/>
          <w:color w:val="auto"/>
        </w:rPr>
        <w:t xml:space="preserve"> below, we limited our 2019 share repurchases to an amount sufficient to offset dilution impacts from our stock-based compensation plans. See Note 14 to the Consolidated Financial Statements for additional information.</w:t>
      </w:r>
    </w:p>
    <w:p>
      <w:pPr>
        <w:spacing w:after="0" w:line="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December 2019, we publicly confirmed that the Company has $1.32 billion remaining on its existing Board of Directors’ authorization to repurchase shares of the Company’s common stock. Any future share repurchases will be made at the discretion of management and will depend on factors similar to those considered by the Board of Directors in making dividend declarations.</w:t>
      </w:r>
    </w:p>
    <w:p>
      <w:pPr>
        <w:spacing w:after="0" w:line="79" w:lineRule="exact"/>
        <w:rPr>
          <w:sz w:val="20"/>
          <w:szCs w:val="20"/>
          <w:color w:val="auto"/>
        </w:rPr>
      </w:pPr>
    </w:p>
    <w:p>
      <w:pPr>
        <w:ind w:left="680" w:hanging="320"/>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We paid aggregate cash dividends of $876 million, $802 million and $750 million during 2019, 2018 and 2017, respectively. The increase in dividend payments is due to our quarterly per share dividend increasing from $0.425</w:t>
      </w:r>
    </w:p>
    <w:p>
      <w:pPr>
        <w:sectPr>
          <w:pgSz w:w="11900" w:h="16838" w:orient="portrait"/>
          <w:cols w:equalWidth="0" w:num="1">
            <w:col w:w="9060"/>
          </w:cols>
          <w:pgMar w:left="1420" w:top="611"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2017 to $0.465 in 2018 and to $0.5125 in 2019 and has been offset, in part, by a reduction in our common stock outstanding as a result of our common stock repurchase program.</w:t>
      </w:r>
    </w:p>
    <w:p>
      <w:pPr>
        <w:spacing w:after="0" w:line="6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December 2019, we announced that our Board of Directors expects to increase the quarterly dividend from $0.5125 to $0.545 per share for dividends declared in 2020.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jc w:val="both"/>
        <w:ind w:left="680" w:right="20" w:hanging="320"/>
        <w:spacing w:after="0" w:line="259"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The exercise of common stock options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inflows of $67 million, $52 million and $95 million during 2019, 2018 and 2017, respectively. The year-over-year changes are generally due to the number of stock options exercised and the exercise price of those options.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years ended December 31 (in millions), and may not be calculated the same as similarly-titled measures presented by other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divestitures of businesses and other assets (net of cash divested)</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jc w:val="right"/>
              <w:ind w:right="129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11" w:right="14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anticipated effect of these obligations on our liquidity in future years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Thereafter</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Recorded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Expected environmental liabilities: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Final capping, closure and post-closure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Environmental remediation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Non-cancelable operating lease obligations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payments (b) (c) (d)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13,679</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b w:val="1"/>
                <w:bCs w:val="1"/>
                <w:color w:val="auto"/>
              </w:rPr>
              <w:t>Unrecorded Obligations: (e)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 (f)</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Estimated unconditional purchase obligations (g)</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w w:val="96"/>
              </w:rPr>
              <w:t>Anticipated liquidity impact as of December 31, 2019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16,544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24,167</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67" w:lineRule="exact"/>
        <w:rPr>
          <w:sz w:val="20"/>
          <w:szCs w:val="20"/>
          <w:color w:val="auto"/>
        </w:rPr>
      </w:pPr>
    </w:p>
    <w:p>
      <w:pPr>
        <w:jc w:val="both"/>
        <w:ind w:left="340" w:hanging="331"/>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recorded in our Consolidated Balance Sheet as of December 31, 2019, without the impact of discounting and inflation. Our recorded environmental liabilities for final capping, closure and post-closure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related to our long-term debt and financing leases, excluding interest.</w:t>
      </w:r>
    </w:p>
    <w:p>
      <w:pPr>
        <w:spacing w:after="0" w:line="62" w:lineRule="exact"/>
        <w:rPr>
          <w:rFonts w:ascii="Arial" w:cs="Arial" w:eastAsia="Arial" w:hAnsi="Arial"/>
          <w:sz w:val="18"/>
          <w:szCs w:val="18"/>
          <w:color w:val="auto"/>
        </w:rPr>
      </w:pPr>
    </w:p>
    <w:p>
      <w:pPr>
        <w:jc w:val="both"/>
        <w:ind w:left="340" w:hanging="331"/>
        <w:spacing w:after="0" w:line="255"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debt obligations as of December 31, 2019 include $669 million of tax-exempt bonds with term interest rate periods that expire within the next 12 months. If the remarketings of our bonds are unsuccessful, then the bonds can be put to us, requiring immediate repayment. We have classified the anticipated cash flows for these contractual obligations based on the scheduled maturity of the borrowings for purposes of this disclosure. For additional information regarding the classification of these borrowings in our Consolidated Balance Sheet as of December 31, 2019, refer to Note 7 to the Consolidated Financial Statements.</w:t>
      </w:r>
    </w:p>
    <w:p>
      <w:pPr>
        <w:spacing w:after="0" w:line="85" w:lineRule="exact"/>
        <w:rPr>
          <w:rFonts w:ascii="Arial" w:cs="Arial" w:eastAsia="Arial" w:hAnsi="Arial"/>
          <w:sz w:val="18"/>
          <w:szCs w:val="18"/>
          <w:color w:val="auto"/>
        </w:rPr>
      </w:pPr>
    </w:p>
    <w:p>
      <w:pPr>
        <w:jc w:val="both"/>
        <w:ind w:left="340" w:right="20" w:hanging="331"/>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recorded debt obligations include non-cash adjustments associated with debt issuance costs, discounts, premiums and fair value adjustments attributable to terminated interest rate derivatives. These amounts have been excluded as they will not impact our liquidity in future periods.</w:t>
      </w:r>
    </w:p>
    <w:p>
      <w:pPr>
        <w:spacing w:after="0" w:line="73"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and interest payable on our debt. We have also made certain guarantees, as discussed in Note 11 to the Consolidated Financial Statements, that we do not expect to materially affect our current or future financial position, results of operations or liquidity.</w:t>
      </w:r>
    </w:p>
    <w:p>
      <w:pPr>
        <w:spacing w:after="0" w:line="78"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2019. As of December 31, 2019, we had $122 million of accrued interest related to our debt obligations.</w:t>
      </w:r>
    </w:p>
    <w:p>
      <w:pPr>
        <w:spacing w:after="0" w:line="73" w:lineRule="exact"/>
        <w:rPr>
          <w:rFonts w:ascii="Arial" w:cs="Arial" w:eastAsia="Arial" w:hAnsi="Arial"/>
          <w:sz w:val="18"/>
          <w:szCs w:val="18"/>
          <w:color w:val="auto"/>
        </w:rPr>
      </w:pPr>
    </w:p>
    <w:p>
      <w:pPr>
        <w:jc w:val="both"/>
        <w:ind w:left="340" w:hanging="331"/>
        <w:spacing w:after="0" w:line="29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or contractually stated amounts. Accordingly, the amounts reported in the table are subject to change and actual cash flow obligations in the near future may be different. See Note 11 to the Consolidated Financial Statements for discussion of the nature and terms of our unconditional purchase obligations.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14, 2019, we entered into an Agreement and Plan of Merger (the “Merger Agreement”)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On June 28, 2019, Advanced Disposal announced that 85.9% of the outstanding shares of its common stock entitled to vote were voted in favor of the proposal to adopt the Merger Agreement at a special meeting of stockholders held that day. We anticipate that we will obtain antitrust regulatory approval by the end of March 2020 and close the Advanced Disposal transaction soon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 of these items is discussed in additional detail below and in Note 3 to the Consolidated Financial Statements. Actual results could differ materially from the estimates and assumptions that we use in the preparation of our financial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Landfills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5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 Costs — </w:t>
      </w:r>
      <w:r>
        <w:rPr>
          <w:rFonts w:ascii="Arial" w:cs="Arial" w:eastAsia="Arial" w:hAnsi="Arial"/>
          <w:sz w:val="16"/>
          <w:szCs w:val="16"/>
          <w:color w:val="auto"/>
        </w:rPr>
        <w:t>We estimate the total cost to develop each of our landfill sites to its remaining permitted and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airspace and includes amounts previously expended and capitalized, net of accumulated airspace amortization, and projections of future purchase and development costs.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Final Capping Costs — </w:t>
      </w:r>
      <w:r>
        <w:rPr>
          <w:rFonts w:ascii="Arial" w:cs="Arial" w:eastAsia="Arial" w:hAnsi="Arial"/>
          <w:sz w:val="16"/>
          <w:szCs w:val="16"/>
          <w:color w:val="auto"/>
        </w:rPr>
        <w:t>We estimate the cost for each final capping event based on the area to be capped and the capping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and activities required. The estimates also consider when these costs are anticipated to be paid and factor in inflation and discount rates. Our engineering personnel allocate landfill final capping costs to specific final capping events. The landfill airspace associated with each final capping event is then quantified and the final capping costs for each event are amortized over the related airspace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6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Closure and Post-Closure Costs — </w:t>
      </w:r>
      <w:r>
        <w:rPr>
          <w:rFonts w:ascii="Arial" w:cs="Arial" w:eastAsia="Arial" w:hAnsi="Arial"/>
          <w:sz w:val="16"/>
          <w:szCs w:val="16"/>
          <w:color w:val="auto"/>
        </w:rPr>
        <w:t>We base our estimates for closure and post-closure costs on our interpretations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and regulatory requirements for closure and post-closure monitoring and maintenance. The estimates for landfill</w:t>
      </w:r>
    </w:p>
    <w:p>
      <w:pPr>
        <w:sectPr>
          <w:pgSz w:w="11900" w:h="16838" w:orient="portrait"/>
          <w:cols w:equalWidth="0" w:num="1">
            <w:col w:w="9060"/>
          </w:cols>
          <w:pgMar w:left="1420" w:top="611"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Remaining Permitted Airspace — </w:t>
      </w:r>
      <w:r>
        <w:rPr>
          <w:rFonts w:ascii="Arial" w:cs="Arial" w:eastAsia="Arial" w:hAnsi="Arial"/>
          <w:sz w:val="16"/>
          <w:szCs w:val="16"/>
          <w:color w:val="auto"/>
        </w:rPr>
        <w:t>Our engineers, in consultation with third-party engineering consultants and surveyors,</w:t>
      </w:r>
      <w:r>
        <w:rPr>
          <w:rFonts w:ascii="Arial" w:cs="Arial" w:eastAsia="Arial" w:hAnsi="Arial"/>
          <w:sz w:val="16"/>
          <w:szCs w:val="16"/>
          <w:i w:val="1"/>
          <w:iCs w:val="1"/>
          <w:color w:val="auto"/>
        </w:rPr>
        <w:t xml:space="preserve"> </w:t>
      </w:r>
      <w:r>
        <w:rPr>
          <w:rFonts w:ascii="Arial" w:cs="Arial" w:eastAsia="Arial" w:hAnsi="Arial"/>
          <w:sz w:val="16"/>
          <w:szCs w:val="16"/>
          <w:color w:val="auto"/>
        </w:rPr>
        <w:t>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188" w:lineRule="exact"/>
        <w:rPr>
          <w:sz w:val="20"/>
          <w:szCs w:val="20"/>
          <w:color w:val="auto"/>
        </w:rPr>
      </w:pPr>
    </w:p>
    <w:p>
      <w:pPr>
        <w:ind w:left="680" w:hanging="320"/>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w:t>
      </w:r>
    </w:p>
    <w:p>
      <w:pPr>
        <w:sectPr>
          <w:pgSz w:w="11900" w:h="16838" w:orient="portrait"/>
          <w:cols w:equalWidth="0" w:num="1">
            <w:col w:w="9060"/>
          </w:cols>
          <w:pgMar w:left="1420" w:top="611"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65" w:lineRule="exact"/>
        <w:rPr>
          <w:sz w:val="20"/>
          <w:szCs w:val="20"/>
          <w:color w:val="auto"/>
        </w:rPr>
      </w:pPr>
    </w:p>
    <w:p>
      <w:pPr>
        <w:ind w:left="680" w:hanging="3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w:t>
      </w:r>
    </w:p>
    <w:p>
      <w:pPr>
        <w:sectPr>
          <w:pgSz w:w="11900" w:h="16838" w:orient="portrait"/>
          <w:cols w:equalWidth="0" w:num="1">
            <w:col w:w="9060"/>
          </w:cols>
          <w:pgMar w:left="1420" w:top="611"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w:t>
      </w:r>
    </w:p>
    <w:p>
      <w:pPr>
        <w:spacing w:after="0" w:line="2" w:lineRule="exact"/>
        <w:rPr>
          <w:sz w:val="20"/>
          <w:szCs w:val="20"/>
          <w:color w:val="auto"/>
        </w:rPr>
      </w:pPr>
    </w:p>
    <w:p>
      <w:pPr>
        <w:jc w:val="both"/>
        <w:ind w:firstLine="9"/>
        <w:spacing w:after="0" w:line="255" w:lineRule="auto"/>
        <w:tabs>
          <w:tab w:leader="none" w:pos="2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Indefinite-Lived Intangible Assets, Including Goodwill — </w:t>
      </w:r>
      <w:r>
        <w:rPr>
          <w:rFonts w:ascii="Arial" w:cs="Arial" w:eastAsia="Arial" w:hAnsi="Arial"/>
          <w:sz w:val="16"/>
          <w:szCs w:val="16"/>
          <w:color w:val="auto"/>
        </w:rPr>
        <w:t>At least annually, and more frequently if warranted, we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indefinite-lived intangible assets including the goodwill of our reporting units for impairment using Level 3 inputs.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(Gain)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Divestitures, Asset Impairments and Unusual Items, Net </w:t>
      </w:r>
      <w:r>
        <w:rPr>
          <w:rFonts w:ascii="Arial" w:cs="Arial" w:eastAsia="Arial" w:hAnsi="Arial"/>
          <w:sz w:val="18"/>
          <w:szCs w:val="18"/>
          <w:color w:val="auto"/>
        </w:rPr>
        <w:t>and Note 6 to the Consolidated Financial Statements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related to goodwill impairments recognized during the reported periods.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are based on an actuarial valuations and internal estimates. The accruals for these liabilities</w:t>
      </w:r>
    </w:p>
    <w:p>
      <w:pPr>
        <w:sectPr>
          <w:pgSz w:w="11900" w:h="16838" w:orient="portrait"/>
          <w:cols w:equalWidth="0" w:num="1">
            <w:col w:w="9060"/>
          </w:cols>
          <w:pgMar w:left="1420" w:top="611"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could be revised if future occurrences or loss developments significantly differ from our assumptions used. Estimated recoveries associated with our insured claims are recorded as assets when we believe that the receipt of such amounts is probable.</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for the estimated losses based on the external actuarial analysis. These premiums are held in a restricted escrow account to be used solely for paying insurance claims, resulting in a transfer of risk from WM to the insurance captive and are allocated between current and long-term assets in our Consolidated Balance Sheets depending on timing on the use of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financial interests in unconsolidated variable interest entities as discussed in Note 19 to the Consolidated Financial Statements. Additionally, we are party to guarantee arrangements with unconsolidated entities as discussed in the </w:t>
      </w:r>
      <w:r>
        <w:rPr>
          <w:rFonts w:ascii="Arial" w:cs="Arial" w:eastAsia="Arial" w:hAnsi="Arial"/>
          <w:sz w:val="17"/>
          <w:szCs w:val="17"/>
          <w:i w:val="1"/>
          <w:iCs w:val="1"/>
          <w:color w:val="auto"/>
        </w:rPr>
        <w:t xml:space="preserve">Guarantees </w:t>
      </w:r>
      <w:r>
        <w:rPr>
          <w:rFonts w:ascii="Arial" w:cs="Arial" w:eastAsia="Arial" w:hAnsi="Arial"/>
          <w:sz w:val="17"/>
          <w:szCs w:val="17"/>
          <w:color w:val="auto"/>
        </w:rPr>
        <w:t>section of Note 11 to the Consolidated Financial Statements. These arrangements have not materially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our financial position, results of operations or liquidity during the year ended December 31, 2019, nor are they expected to have a material impact on our future financial position,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inflationary increases in costs can affect our income from operations margins, we believe that inflation generally has not had, and in the near future is not expected to have, any material adverse effect on our results of operations. However, as of December 31, 2019, approximately 30%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2019.</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Interest Rate Exposure — </w:t>
      </w:r>
      <w:r>
        <w:rPr>
          <w:rFonts w:ascii="Arial" w:cs="Arial" w:eastAsia="Arial" w:hAnsi="Arial"/>
          <w:sz w:val="17"/>
          <w:szCs w:val="17"/>
          <w:color w:val="auto"/>
        </w:rPr>
        <w:t>Our exposure to market risk for changes in interest rates relates primarily to our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As of December 31, 2019, we had $13.6 billion of long-term debt, excluding the impacts of accounting for debt issuance costs, discounts, premiums and fair value adjustments attributable to terminated interest rate derivatives. We have $1.0 billion of debt that is exposed to changes in market interest rates within the next 12 months comprised of (i) $669 million of tax-exempt bonds with term interest rate periods that expire within the next 12 months and</w:t>
      </w:r>
    </w:p>
    <w:p>
      <w:pPr>
        <w:spacing w:after="0" w:line="3" w:lineRule="exact"/>
        <w:rPr>
          <w:sz w:val="20"/>
          <w:szCs w:val="20"/>
          <w:color w:val="auto"/>
        </w:rPr>
      </w:pPr>
    </w:p>
    <w:p>
      <w:pPr>
        <w:jc w:val="both"/>
        <w:ind w:firstLine="9"/>
        <w:spacing w:after="0" w:line="255"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$355 million of variable-rate tax-exempt bonds that are subject to repricing on either a daily or weekly basis. We currently estimate that a 100-basis point increase in the interest rates of our outstanding variable-rate debt obligations would increase our 2020 interest expense by $7 million.</w:t>
      </w:r>
    </w:p>
    <w:p>
      <w:pPr>
        <w:spacing w:after="0" w:line="1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w:t>
      </w:r>
    </w:p>
    <w:p>
      <w:pPr>
        <w:sectPr>
          <w:pgSz w:w="11900" w:h="16838" w:orient="portrait"/>
          <w:cols w:equalWidth="0" w:num="1">
            <w:col w:w="9060"/>
          </w:cols>
          <w:pgMar w:left="1420" w:top="611"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in interest rates across all maturities attributable to these instruments would have decreased the fair value of our debt by approximately $1.0 billion as of December 31, 2019.</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also exposed to interest rate market risk from our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and escrow account balances in available-for-sale securities, including U.S. Treasury securities, U.S. agency securities, municipal securities, mortgage- and asset-backed securities and equity securities, which generally mature over the next 10 years.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Commodity Price Exposure — </w:t>
      </w:r>
      <w:r>
        <w:rPr>
          <w:rFonts w:ascii="Arial" w:cs="Arial" w:eastAsia="Arial" w:hAnsi="Arial"/>
          <w:sz w:val="16"/>
          <w:szCs w:val="16"/>
          <w:color w:val="auto"/>
        </w:rPr>
        <w:t>In the normal course of our business, we are subject to operating agreements that expose</w:t>
      </w:r>
      <w:r>
        <w:rPr>
          <w:rFonts w:ascii="Arial" w:cs="Arial" w:eastAsia="Arial" w:hAnsi="Arial"/>
          <w:sz w:val="16"/>
          <w:szCs w:val="16"/>
          <w:i w:val="1"/>
          <w:iCs w:val="1"/>
          <w:color w:val="auto"/>
        </w:rPr>
        <w:t xml:space="preserve"> </w:t>
      </w:r>
      <w:r>
        <w:rPr>
          <w:rFonts w:ascii="Arial" w:cs="Arial" w:eastAsia="Arial" w:hAnsi="Arial"/>
          <w:sz w:val="16"/>
          <w:szCs w:val="16"/>
          <w:color w:val="auto"/>
        </w:rPr>
        <w:t>us to market risks arising from changes in the prices for commodities such as diesel fuel; recyclable materials, including old corrugated cardboard, old newsprint and plastics; and electricity, which generally correlates with natural gas prices in many of the markets in which we operate. We attempt to manage these risks through operational strategies that focus on capturing our costs in the prices we charge our customers for the services provided. Accordingly, as the market prices for these commodities increase or decrease, our revenues may also increase or decrease.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vMerge w:val="restart"/>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4420" w:type="dxa"/>
            <w:vAlign w:val="bottom"/>
            <w:gridSpan w:val="6"/>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2"/>
            <w:vMerge w:val="continue"/>
          </w:tcPr>
          <w:p>
            <w:pPr>
              <w:spacing w:after="0"/>
              <w:rPr>
                <w:sz w:val="14"/>
                <w:szCs w:val="14"/>
                <w:color w:val="auto"/>
              </w:rPr>
            </w:pPr>
          </w:p>
        </w:tc>
        <w:tc>
          <w:tcPr>
            <w:tcW w:w="4420" w:type="dxa"/>
            <w:vAlign w:val="bottom"/>
            <w:gridSpan w:val="6"/>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2019 and 2018</w:t>
              </w:r>
            </w:hyperlink>
          </w:p>
        </w:tc>
        <w:tc>
          <w:tcPr>
            <w:tcW w:w="40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Years Ended December 31, 2019, 2018 and 2017</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Income for the Years Ended December 31, 2019, 2018 and 2017</w:t>
              </w:r>
            </w:hyperlink>
          </w:p>
        </w:tc>
        <w:tc>
          <w:tcPr>
            <w:tcW w:w="8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2019, 2018 and 2017</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Changes in Equity for the Years Ended December 31, 2019, 2018 and 2017</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4280" w:type="dxa"/>
            <w:vAlign w:val="bottom"/>
            <w:tcBorders>
              <w:top w:val="single" w:sz="8" w:color="0000EE"/>
            </w:tcBorders>
            <w:gridSpan w:val="5"/>
          </w:tcPr>
          <w:p>
            <w:pPr>
              <w:spacing w:after="0"/>
              <w:rPr>
                <w:sz w:val="17"/>
                <w:szCs w:val="17"/>
                <w:color w:val="auto"/>
              </w:rPr>
            </w:pPr>
          </w:p>
        </w:tc>
        <w:tc>
          <w:tcPr>
            <w:tcW w:w="12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2019,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2019, based on the COSO criteria.</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February 13, 2020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2019 and 2018, the related consolidated statements of operations, comprehensive income, cash flows, and changes in equity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13, 2020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 (Topic 842)</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the 2019 financial statements to reflect the accounting method change due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and the related amendments.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Amortization</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w w:val="95"/>
              </w:rPr>
              <w:t>Description</w:t>
            </w:r>
          </w:p>
        </w:tc>
        <w:tc>
          <w:tcPr>
            <w:tcW w:w="400" w:type="dxa"/>
            <w:vAlign w:val="bottom"/>
          </w:tcPr>
          <w:p>
            <w:pPr>
              <w:ind w:left="2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780" w:type="dxa"/>
            <w:vAlign w:val="bottom"/>
          </w:tcPr>
          <w:p>
            <w:pPr>
              <w:ind w:left="100"/>
              <w:spacing w:after="0"/>
              <w:rPr>
                <w:sz w:val="20"/>
                <w:szCs w:val="20"/>
                <w:color w:val="auto"/>
              </w:rPr>
            </w:pPr>
            <w:r>
              <w:rPr>
                <w:rFonts w:ascii="Arial" w:cs="Arial" w:eastAsia="Arial" w:hAnsi="Arial"/>
                <w:sz w:val="18"/>
                <w:szCs w:val="18"/>
                <w:color w:val="24282D"/>
                <w:w w:val="91"/>
              </w:rPr>
              <w:t>At December 31, 2019, the Company’s landfill assets totaled $6.6 billion and the associated</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5"/>
              </w:rPr>
              <w:t>amortization expense for 2019 was $575 million. As discussed in Note 3 of the financial</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statements, the Company updates the estimates used to calculate individual landfill</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9"/>
              </w:rPr>
              <w:t>amortization rates at least annually, or more often if significant facts change. Landfill</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amortization rates are used in the computation of landfill amortization expense.</w:t>
            </w:r>
          </w:p>
        </w:tc>
      </w:tr>
      <w:tr>
        <w:trPr>
          <w:trHeight w:val="41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3"/>
              </w:rPr>
              <w:t>Auditing landfill amortization rates and related amortization expense is complex due to the</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6"/>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0"/>
              </w:rPr>
              <w:t>assumptions used in the calculation of the rates include: estimated future development costs</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associated with the construction and retirement of the landfill, estimated remaining</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4"/>
              </w:rPr>
              <w:t>permitted  airspace  and  unpermitted  expansion  airspace,  airspace  utilization  factors,</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projected annual tonnage intakes, and projected timing of retirement activities.</w:t>
            </w:r>
          </w:p>
        </w:tc>
      </w:tr>
      <w:tr>
        <w:trPr>
          <w:trHeight w:val="418"/>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73"/>
              </w:rPr>
              <w:t>We</w:t>
            </w:r>
          </w:p>
        </w:tc>
        <w:tc>
          <w:tcPr>
            <w:tcW w:w="860" w:type="dxa"/>
            <w:vAlign w:val="bottom"/>
            <w:gridSpan w:val="2"/>
          </w:tcPr>
          <w:p>
            <w:pPr>
              <w:ind w:left="20"/>
              <w:spacing w:after="0"/>
              <w:rPr>
                <w:sz w:val="20"/>
                <w:szCs w:val="20"/>
                <w:color w:val="auto"/>
              </w:rPr>
            </w:pPr>
            <w:r>
              <w:rPr>
                <w:rFonts w:ascii="Arial" w:cs="Arial" w:eastAsia="Arial" w:hAnsi="Arial"/>
                <w:sz w:val="18"/>
                <w:szCs w:val="18"/>
                <w:i w:val="1"/>
                <w:iCs w:val="1"/>
                <w:color w:val="auto"/>
                <w:w w:val="95"/>
              </w:rPr>
              <w:t>Addressed</w:t>
            </w:r>
          </w:p>
        </w:tc>
        <w:tc>
          <w:tcPr>
            <w:tcW w:w="6780" w:type="dxa"/>
            <w:vAlign w:val="bottom"/>
          </w:tcPr>
          <w:p>
            <w:pPr>
              <w:ind w:left="100"/>
              <w:spacing w:after="0"/>
              <w:rPr>
                <w:sz w:val="20"/>
                <w:szCs w:val="20"/>
                <w:color w:val="auto"/>
              </w:rPr>
            </w:pPr>
            <w:r>
              <w:rPr>
                <w:rFonts w:ascii="Arial" w:cs="Arial" w:eastAsia="Arial" w:hAnsi="Arial"/>
                <w:sz w:val="18"/>
                <w:szCs w:val="18"/>
                <w:color w:val="24282D"/>
                <w:w w:val="90"/>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93"/>
              </w:rPr>
              <w:t>Matter</w:t>
            </w:r>
          </w:p>
        </w:tc>
        <w:tc>
          <w:tcPr>
            <w:tcW w:w="400" w:type="dxa"/>
            <w:vAlign w:val="bottom"/>
          </w:tcPr>
          <w:p>
            <w:pPr>
              <w:ind w:left="16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780" w:type="dxa"/>
            <w:vAlign w:val="bottom"/>
          </w:tcPr>
          <w:p>
            <w:pPr>
              <w:ind w:left="100"/>
              <w:spacing w:after="0"/>
              <w:rPr>
                <w:sz w:val="20"/>
                <w:szCs w:val="20"/>
                <w:color w:val="auto"/>
              </w:rPr>
            </w:pPr>
            <w:r>
              <w:rPr>
                <w:rFonts w:ascii="Arial" w:cs="Arial" w:eastAsia="Arial" w:hAnsi="Arial"/>
                <w:sz w:val="18"/>
                <w:szCs w:val="18"/>
                <w:color w:val="24282D"/>
                <w:w w:val="98"/>
              </w:rPr>
              <w:t>of the Company’s controls over determining landfill amortization rates and calculating</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2"/>
              </w:rPr>
              <w:t>amortization expense. Our audit procedures included, among others, testing controls over:</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1"/>
              </w:rPr>
              <w:t>the 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5"/>
              </w:rPr>
              <w:t>development of the landfill amortization rates, management’s review of those significant</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7"/>
              </w:rPr>
              <w:t>assumptions,  and  the  mathematical  accuracy  of  the  calculation  and  recording  of</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amortization expense.</w:t>
            </w:r>
          </w:p>
        </w:tc>
      </w:tr>
      <w:tr>
        <w:trPr>
          <w:trHeight w:val="41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3"/>
              </w:rPr>
              <w:t>To test the landfill asset amortization rates, our audit procedures included, among others,</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5"/>
              </w:rPr>
              <w:t>assessing methodologies used by the Company and testing the significant assumptions</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2"/>
              </w:rPr>
              <w:t>discussed above, inclusive of the underlying data used by the Company in its development</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3"/>
              </w:rPr>
              <w:t>of these assumptions. We compared the significant assumptions used by management to</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1"/>
              </w:rPr>
              <w:t>historical trends and, when available, to comparable size landfills accepting a similar type of</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1"/>
              </w:rPr>
              <w:t>waste. Regarding unpermitted expansion airspace, we evaluated the Company’s criteria for</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4"/>
              </w:rPr>
              <w:t>inclusion in remaining airspace. In addition, we considered the professional qualifications</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5"/>
              </w:rPr>
              <w:t>and  objectivity  of  management’s  internal  engineers  responsible  for  developing  the</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0"/>
              </w:rPr>
              <w:t>assumptions. We involved EY’s engineering specialists to assist with the application of these</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2"/>
              </w:rPr>
              <w:t>procedures. We also tested the completeness and accuracy of the historical data utilized in</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the development of the landfill amortization rates.</w:t>
            </w:r>
          </w:p>
        </w:tc>
      </w:tr>
      <w:tr>
        <w:trPr>
          <w:trHeight w:val="432"/>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 Final Capping, Closure and Post-Closure Costs</w:t>
            </w:r>
          </w:p>
        </w:tc>
      </w:tr>
      <w:tr>
        <w:trPr>
          <w:trHeight w:val="350"/>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w w:val="95"/>
              </w:rPr>
              <w:t>Description</w:t>
            </w:r>
          </w:p>
        </w:tc>
        <w:tc>
          <w:tcPr>
            <w:tcW w:w="400" w:type="dxa"/>
            <w:vAlign w:val="bottom"/>
          </w:tcPr>
          <w:p>
            <w:pPr>
              <w:ind w:left="2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780" w:type="dxa"/>
            <w:vAlign w:val="bottom"/>
          </w:tcPr>
          <w:p>
            <w:pPr>
              <w:ind w:left="100"/>
              <w:spacing w:after="0"/>
              <w:rPr>
                <w:sz w:val="20"/>
                <w:szCs w:val="20"/>
                <w:color w:val="auto"/>
              </w:rPr>
            </w:pPr>
            <w:r>
              <w:rPr>
                <w:rFonts w:ascii="Arial" w:cs="Arial" w:eastAsia="Arial" w:hAnsi="Arial"/>
                <w:sz w:val="18"/>
                <w:szCs w:val="18"/>
                <w:color w:val="24282D"/>
                <w:w w:val="99"/>
              </w:rPr>
              <w:t>At December 31, 2019, the carrying value of the Company’s landfill asset retirement</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4"/>
              </w:rPr>
              <w:t>obligations related to final capping, closure and post-closure costs totaled $1.9 billion. As</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0"/>
              </w:rPr>
              <w:t>discussed in Note 3 of the financial statements, the Company updates the estimates used to</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1"/>
              </w:rPr>
              <w:t>measure the asset retirement obligations annually, or more often if significant facts change.</w:t>
            </w:r>
          </w:p>
        </w:tc>
      </w:tr>
      <w:tr>
        <w:trPr>
          <w:trHeight w:val="41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6"/>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2"/>
              </w:rPr>
              <w:t>nature of the assumptions used in the measurement process. These assumptions include:</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24282D"/>
                <w:w w:val="93"/>
              </w:rPr>
              <w:t>estimated future costs associated with the capping, closure and post closure activities at</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6"/>
              </w:rPr>
              <w:t>each specific landfill; airspace consumed to date in relation to total estimated permitted</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9"/>
              </w:rPr>
              <w:t>airspace; the projected annual tonnage intake; and the projected timing of retirement</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rPr>
              <w:t>activities.</w:t>
            </w:r>
          </w:p>
        </w:tc>
      </w:tr>
      <w:tr>
        <w:trPr>
          <w:trHeight w:val="431"/>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73"/>
              </w:rPr>
              <w:t>We</w:t>
            </w:r>
          </w:p>
        </w:tc>
        <w:tc>
          <w:tcPr>
            <w:tcW w:w="860" w:type="dxa"/>
            <w:vAlign w:val="bottom"/>
            <w:gridSpan w:val="2"/>
          </w:tcPr>
          <w:p>
            <w:pPr>
              <w:ind w:left="20"/>
              <w:spacing w:after="0"/>
              <w:rPr>
                <w:sz w:val="20"/>
                <w:szCs w:val="20"/>
                <w:color w:val="auto"/>
              </w:rPr>
            </w:pPr>
            <w:r>
              <w:rPr>
                <w:rFonts w:ascii="Arial" w:cs="Arial" w:eastAsia="Arial" w:hAnsi="Arial"/>
                <w:sz w:val="18"/>
                <w:szCs w:val="18"/>
                <w:i w:val="1"/>
                <w:iCs w:val="1"/>
                <w:color w:val="auto"/>
                <w:w w:val="95"/>
              </w:rPr>
              <w:t>Addressed</w:t>
            </w:r>
          </w:p>
        </w:tc>
        <w:tc>
          <w:tcPr>
            <w:tcW w:w="6780" w:type="dxa"/>
            <w:vAlign w:val="bottom"/>
          </w:tcPr>
          <w:p>
            <w:pPr>
              <w:ind w:left="100"/>
              <w:spacing w:after="0"/>
              <w:rPr>
                <w:sz w:val="20"/>
                <w:szCs w:val="20"/>
                <w:color w:val="auto"/>
              </w:rPr>
            </w:pPr>
            <w:r>
              <w:rPr>
                <w:rFonts w:ascii="Arial" w:cs="Arial" w:eastAsia="Arial" w:hAnsi="Arial"/>
                <w:sz w:val="18"/>
                <w:szCs w:val="18"/>
                <w:color w:val="24282D"/>
                <w:w w:val="90"/>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93"/>
              </w:rPr>
              <w:t>Matter</w:t>
            </w:r>
          </w:p>
        </w:tc>
        <w:tc>
          <w:tcPr>
            <w:tcW w:w="400" w:type="dxa"/>
            <w:vAlign w:val="bottom"/>
          </w:tcPr>
          <w:p>
            <w:pPr>
              <w:ind w:left="16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780" w:type="dxa"/>
            <w:vAlign w:val="bottom"/>
          </w:tcPr>
          <w:p>
            <w:pPr>
              <w:ind w:left="100"/>
              <w:spacing w:after="0"/>
              <w:rPr>
                <w:sz w:val="20"/>
                <w:szCs w:val="20"/>
                <w:color w:val="auto"/>
              </w:rPr>
            </w:pPr>
            <w:r>
              <w:rPr>
                <w:rFonts w:ascii="Arial" w:cs="Arial" w:eastAsia="Arial" w:hAnsi="Arial"/>
                <w:sz w:val="18"/>
                <w:szCs w:val="18"/>
                <w:color w:val="24282D"/>
                <w:w w:val="95"/>
              </w:rPr>
              <w:t>of the Company’s controls over the calculation of asset retirement obligations. Our audit</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3"/>
              </w:rPr>
              <w:t>procedures included, among others, testing the Company’s controls over the landfill asset</w:t>
            </w:r>
          </w:p>
        </w:tc>
      </w:tr>
      <w:tr>
        <w:trPr>
          <w:trHeight w:val="230"/>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24282D"/>
                <w:w w:val="99"/>
              </w:rPr>
              <w:t>retirement obligation estimation process and management’s review of the significant</w:t>
            </w:r>
          </w:p>
        </w:tc>
      </w:tr>
    </w:tbl>
    <w:p>
      <w:pPr>
        <w:spacing w:after="0" w:line="200" w:lineRule="exact"/>
        <w:rPr>
          <w:sz w:val="20"/>
          <w:szCs w:val="20"/>
          <w:color w:val="auto"/>
        </w:rPr>
      </w:pPr>
    </w:p>
    <w:p>
      <w:pPr>
        <w:sectPr>
          <w:pgSz w:w="11900" w:h="16838" w:orient="portrait"/>
          <w:cols w:equalWidth="0" w:num="1">
            <w:col w:w="9039"/>
          </w:cols>
          <w:pgMar w:left="1420" w:top="611" w:right="1440"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11" w:right="1440"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700" w:right="1539"/>
        <w:spacing w:after="0" w:line="277" w:lineRule="auto"/>
        <w:rPr>
          <w:sz w:val="20"/>
          <w:szCs w:val="20"/>
          <w:color w:val="auto"/>
        </w:rPr>
      </w:pPr>
      <w:r>
        <w:rPr>
          <w:rFonts w:ascii="Arial" w:cs="Arial" w:eastAsia="Arial" w:hAnsi="Arial"/>
          <w:sz w:val="18"/>
          <w:szCs w:val="18"/>
          <w:color w:val="24282D"/>
        </w:rPr>
        <w:t>assumptions used in the estimation of the liability, including the amount and timing of retirement costs.</w:t>
      </w:r>
    </w:p>
    <w:p>
      <w:pPr>
        <w:spacing w:after="0" w:line="170" w:lineRule="exact"/>
        <w:rPr>
          <w:sz w:val="20"/>
          <w:szCs w:val="20"/>
          <w:color w:val="auto"/>
        </w:rPr>
      </w:pPr>
    </w:p>
    <w:p>
      <w:pPr>
        <w:jc w:val="both"/>
        <w:ind w:left="1700" w:right="1539"/>
        <w:spacing w:after="0" w:line="285" w:lineRule="auto"/>
        <w:rPr>
          <w:sz w:val="20"/>
          <w:szCs w:val="20"/>
          <w:color w:val="auto"/>
        </w:rPr>
      </w:pPr>
      <w:r>
        <w:rPr>
          <w:rFonts w:ascii="Arial" w:cs="Arial" w:eastAsia="Arial" w:hAnsi="Arial"/>
          <w:sz w:val="16"/>
          <w:szCs w:val="16"/>
          <w:color w:val="24282D"/>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and external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utilized the external engineers to evaluate the estimates of remaining landfill airspace. We also tested the completeness and accuracy of the historical data utilized in preparing the estimate.</w:t>
      </w:r>
    </w:p>
    <w:p>
      <w:pPr>
        <w:spacing w:after="0" w:line="175" w:lineRule="exact"/>
        <w:rPr>
          <w:sz w:val="20"/>
          <w:szCs w:val="20"/>
          <w:color w:val="auto"/>
        </w:rPr>
      </w:pPr>
    </w:p>
    <w:p>
      <w:pPr>
        <w:ind w:left="170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58"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24282D"/>
        </w:rPr>
        <w:t>At December 31, 2019, environmental remediation liabilities totaled $240</w:t>
      </w:r>
    </w:p>
    <w:p>
      <w:pPr>
        <w:spacing w:after="0" w:line="23" w:lineRule="exact"/>
        <w:rPr>
          <w:sz w:val="20"/>
          <w:szCs w:val="20"/>
          <w:color w:val="auto"/>
        </w:rPr>
      </w:pPr>
    </w:p>
    <w:p>
      <w:pPr>
        <w:jc w:val="both"/>
        <w:ind w:left="1700" w:right="1539" w:hanging="1599"/>
        <w:spacing w:after="0" w:line="284" w:lineRule="auto"/>
        <w:tabs>
          <w:tab w:leader="none" w:pos="168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24282D"/>
        </w:rPr>
        <w:t>million. As discussed in Note 3 of the financial statements, the Company performs a review of sites that require remediation and prepares cost estimates for the anticipated remedy using internal resources and, as needed, external resources (e.g., environmental engineers). The Company estimates the costs required to remediate sites based on: site-specific facts and circumstances; input from third party engineers or management’s judgment and experience in remediating their own and unrelated parties’ sites; and information available from regulatory agencies as to costs of remediation. The liability recorded by the Company represents its estimated share of the total obligation to remediate the site. The number of other potentially responsible parties (PRP’s) who may be liable for remediation of a specific site, their financial resources, and their relative degree of responsibility are used to determine the Company’s estimated share of the total obligation. Where the amount of an environmental remediation liability and the timing of the payments are fixed or reliably determinable, the forecasted cost is inflated until the expected time of payment and then discounted back to the present value.</w:t>
      </w:r>
    </w:p>
    <w:p>
      <w:pPr>
        <w:spacing w:after="0" w:line="176" w:lineRule="exact"/>
        <w:rPr>
          <w:sz w:val="20"/>
          <w:szCs w:val="20"/>
          <w:color w:val="auto"/>
        </w:rPr>
      </w:pPr>
    </w:p>
    <w:p>
      <w:pPr>
        <w:jc w:val="both"/>
        <w:ind w:left="1700" w:right="1539"/>
        <w:spacing w:after="0" w:line="289" w:lineRule="auto"/>
        <w:rPr>
          <w:sz w:val="20"/>
          <w:szCs w:val="20"/>
          <w:color w:val="auto"/>
        </w:rPr>
      </w:pPr>
      <w:r>
        <w:rPr>
          <w:rFonts w:ascii="Arial" w:cs="Arial" w:eastAsia="Arial" w:hAnsi="Arial"/>
          <w:sz w:val="16"/>
          <w:szCs w:val="16"/>
          <w:color w:val="24282D"/>
        </w:rPr>
        <w:t>Auditing environmental remediation liabilities is complex due to the highly judgmental nature of the assumptions used in the estimate. Significant judgment can be involved in determining whether the environmental liability is reasonably estimable. If the liability is determined to be reasonably estimable, significant assumptions used in the accounting for environmental remediation liabilities include: estimating the internal and external costs directly associated with site investigation and clean up, potential settlements with regulatory bodies or other affected parties, and legal and consultant fees; as well as determining the degree to which the remediation obligation is shared with other parties.</w:t>
      </w:r>
    </w:p>
    <w:p>
      <w:pPr>
        <w:sectPr>
          <w:pgSz w:w="11900" w:h="16838" w:orient="portrait"/>
          <w:cols w:equalWidth="0" w:num="1">
            <w:col w:w="9039"/>
          </w:cols>
          <w:pgMar w:left="142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11" w:right="1440"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00" w:right="1539"/>
        <w:spacing w:after="0" w:line="291"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24282D"/>
        </w:rPr>
        <w:t>We obtained an understanding, evaluated the design and tested the operating</w:t>
      </w:r>
      <w:r>
        <w:rPr>
          <w:rFonts w:ascii="Arial" w:cs="Arial" w:eastAsia="Arial" w:hAnsi="Arial"/>
          <w:sz w:val="16"/>
          <w:szCs w:val="16"/>
          <w:i w:val="1"/>
          <w:iCs w:val="1"/>
          <w:color w:val="auto"/>
        </w:rPr>
        <w:t xml:space="preserve"> the Matter in Our </w:t>
      </w:r>
      <w:r>
        <w:rPr>
          <w:rFonts w:ascii="Arial" w:cs="Arial" w:eastAsia="Arial" w:hAnsi="Arial"/>
          <w:sz w:val="16"/>
          <w:szCs w:val="16"/>
          <w:color w:val="24282D"/>
        </w:rPr>
        <w:t>effectiveness of the Company’s controls over the calculation of environmental</w:t>
      </w:r>
    </w:p>
    <w:p>
      <w:pPr>
        <w:jc w:val="both"/>
        <w:ind w:left="1700" w:right="1539" w:hanging="1599"/>
        <w:spacing w:after="0" w:line="252" w:lineRule="auto"/>
        <w:tabs>
          <w:tab w:leader="none" w:pos="168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24282D"/>
        </w:rPr>
        <w:t>remediation liabilities. Our audit procedures included, among others, testing controls over management’s review of: the estimated costs to perform the remedial obligation, as provided by a regulatory agency or determined by a PRP group or internal engineers; the identification of PRPs and the Company’s assumptions regarding the degree of responsibility for the action; and management’s controls over the completeness and accuracy of the calculated remediation liability.</w:t>
      </w:r>
    </w:p>
    <w:p>
      <w:pPr>
        <w:spacing w:after="0" w:line="193" w:lineRule="exact"/>
        <w:rPr>
          <w:sz w:val="20"/>
          <w:szCs w:val="20"/>
          <w:color w:val="auto"/>
        </w:rPr>
      </w:pPr>
    </w:p>
    <w:p>
      <w:pPr>
        <w:jc w:val="both"/>
        <w:ind w:left="1700" w:right="1539"/>
        <w:spacing w:after="0" w:line="287" w:lineRule="auto"/>
        <w:rPr>
          <w:sz w:val="20"/>
          <w:szCs w:val="20"/>
          <w:color w:val="auto"/>
        </w:rPr>
      </w:pPr>
      <w:r>
        <w:rPr>
          <w:rFonts w:ascii="Arial" w:cs="Arial" w:eastAsia="Arial" w:hAnsi="Arial"/>
          <w:sz w:val="16"/>
          <w:szCs w:val="16"/>
          <w:color w:val="24282D"/>
        </w:rPr>
        <w:t>To test the environmental liabilities, we performed audit procedures that included, among others, assessing methodologies used by the Company and testing the significant assumptions discussed above, as well as the underlying costs and other estimates used by the Company in its development of these assumptions. We compared the significant assumptions used by management to historical data and trends, or to notifications or decisions from regulatory agencies or the PRP group specifying remedial plans of action required, as available. When appropriate to discount the liability, we evaluate the appropriateness of the discount rate and inflation rate utilized and the accuracy of the computation. We also involve EY engineering specialists to assist us with evaluating the completeness of the Company’s environmental liabilities.</w:t>
      </w: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11"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32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w w:val="99"/>
              </w:rPr>
              <w:t>Accounts receivable, net of allowance for doubtful accounts of $28 and $29,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Property and equipment, net of accumulated depreciation and amortization of $18,657 and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$18,264, 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12,893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27,743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20,673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Waste Management, Inc. stockholders’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Common stock, $0.01 par value; 1,500,000,000 shares authorized; 630,282,461 shares issued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205,956,366 and 206,299,352 shares, respectively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Total Waste Management, Inc. stockholders’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27,743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(Gain) loss from divestitures, asset impairments and unusual items, net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1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734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40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Post-retirement benefit obligation, net</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gridSpan w:val="2"/>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419"/>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3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1,671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1,923</w:t>
            </w:r>
          </w:p>
        </w:tc>
        <w:tc>
          <w:tcPr>
            <w:tcW w:w="180" w:type="dxa"/>
            <w:vAlign w:val="bottom"/>
          </w:tcPr>
          <w:p>
            <w:pPr>
              <w:spacing w:after="0"/>
              <w:rPr>
                <w:sz w:val="17"/>
                <w:szCs w:val="17"/>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w w:val="94"/>
              </w:rPr>
              <w:t>Adjustments to reconcile consolidated net income to net cash provided by operating activities: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Interest accretion on landfill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Loss on early extinguishment of debt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Change in operating assets and liabilities, net of effects of acquisitions and divestitures: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420"/>
              <w:spacing w:after="0"/>
              <w:rPr>
                <w:sz w:val="20"/>
                <w:szCs w:val="20"/>
                <w:color w:val="auto"/>
              </w:rPr>
            </w:pPr>
            <w:r>
              <w:rPr>
                <w:rFonts w:ascii="Arial" w:cs="Arial" w:eastAsia="Arial" w:hAnsi="Arial"/>
                <w:sz w:val="16"/>
                <w:szCs w:val="16"/>
                <w:color w:val="auto"/>
              </w:rPr>
              <w:t>Receivables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Deferred revenues and other liabilities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193"/>
        </w:trPr>
        <w:tc>
          <w:tcPr>
            <w:tcW w:w="62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193"/>
        </w:trPr>
        <w:tc>
          <w:tcPr>
            <w:tcW w:w="628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paid on early extinguishment of debt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Net commercial paper borrowings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repurchase program</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Cash dividends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common stock options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9"/>
              </w:rPr>
              <w:t>Effect of exchange rate changes on cash, cash equivalents and restricted cash and cash</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equivalents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rPr>
                <w:sz w:val="20"/>
                <w:szCs w:val="20"/>
                <w:color w:val="auto"/>
              </w:rPr>
            </w:pPr>
            <w:r>
              <w:rPr>
                <w:rFonts w:ascii="Arial" w:cs="Arial" w:eastAsia="Arial" w:hAnsi="Arial"/>
                <w:sz w:val="16"/>
                <w:szCs w:val="16"/>
                <w:color w:val="auto"/>
              </w:rPr>
              <w:t>Increase (decrease) in cash, cash equivalents and restricted cash and cash equivalents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6"/>
        </w:trPr>
        <w:tc>
          <w:tcPr>
            <w:tcW w:w="62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6"/>
                <w:szCs w:val="16"/>
                <w:color w:val="auto"/>
                <w:w w:val="96"/>
              </w:rPr>
              <w:t>Reconciliation of cash, cash equivalents and restricted cash and cash equivalents at end of</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tcPr>
          <w:p>
            <w:pPr>
              <w:ind w:left="120"/>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2"/>
          </w:tcPr>
          <w:p>
            <w:pPr>
              <w:jc w:val="right"/>
              <w:ind w:right="388"/>
              <w:spacing w:after="0"/>
              <w:rPr>
                <w:sz w:val="20"/>
                <w:szCs w:val="20"/>
                <w:color w:val="auto"/>
              </w:rPr>
            </w:pPr>
            <w:r>
              <w:rPr>
                <w:rFonts w:ascii="Arial" w:cs="Arial" w:eastAsia="Arial" w:hAnsi="Arial"/>
                <w:sz w:val="14"/>
                <w:szCs w:val="14"/>
                <w:b w:val="1"/>
                <w:bCs w:val="1"/>
                <w:color w:val="auto"/>
              </w:rPr>
              <w:t>Waste Management, Inc. Stockholders’ Equity</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13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6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Amounts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5,320</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(190,967)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(6,867)</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w w:val="95"/>
              </w:rPr>
              <w:t>Cash dividends declared of $1.70 per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auto"/>
              </w:rPr>
              <w:t>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9"/>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December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6,042</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8,588</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(196,964)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Adoption of new accounting</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1,923</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w w:val="95"/>
              </w:rPr>
              <w:t>Cash dividends declared of $1.86 per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auto"/>
              </w:rPr>
              <w:t>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9"/>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9"/>
              </w:rPr>
              <w:t>(1,008)</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Divestiture of noncontrolling interest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6,276</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9,797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(206,299)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(8,434)</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w w:val="95"/>
              </w:rPr>
              <w:t>Cash dividends declared of $2.05 per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auto"/>
              </w:rPr>
              <w:t>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9"/>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260" w:type="dxa"/>
            <w:vAlign w:val="bottom"/>
            <w:gridSpan w:val="2"/>
          </w:tcPr>
          <w:p>
            <w:pPr>
              <w:spacing w:after="0" w:line="142" w:lineRule="exact"/>
              <w:rPr>
                <w:sz w:val="20"/>
                <w:szCs w:val="20"/>
                <w:color w:val="auto"/>
              </w:rPr>
            </w:pPr>
            <w:r>
              <w:rPr>
                <w:rFonts w:ascii="Arial" w:cs="Arial" w:eastAsia="Arial" w:hAnsi="Arial"/>
                <w:sz w:val="14"/>
                <w:szCs w:val="14"/>
                <w:color w:val="auto"/>
              </w:rPr>
              <w:t>Balance, December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7,070</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5,049</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(205,956)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(8,571)</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19.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20.</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New Accounting Standards and Reclassifications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Financial Accounting Standards Board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2016-02 associated with lease accounting. There were further amendments, including practical expedients, with the issuance of ASU 2018-01 in January 2018, ASU 2018-11 in July 2018 and ASU 2018-20 in December 2018. On January 1, 2019, we adopted these ASUs using the optional transition method which allows entities to continue to apply historical accounting guidance in the comparative periods presented in the year of adoption. Accordingly, our financial statements for the reported periods after January 1, 2019 are presented under this amended guidance, while prior period amounts are not adjusted and continue to be reported in accordance with historical accounting guidance.</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In addition, we applied (i) the practical expedient for land easements, which allows the Company to not apply the lease standard to certain existing land easements at transition and (ii) the practical expedient to include both the lease and non-lease components as a single component and account for it as a lease.</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adopting the amended guidance primarily relates to the recognition of lease assets and lease liabilities on the balance sheet for all leases previously classified as operating leases. We recognized $385 million of right-of-use assets and $385 million of related lease liabilities as of January 1, 2019 for our contracts that are classified as operating leases. Leases with an initial term of 12 months or less have not been recorded on the balance sheet. Our accounting for financing leases, which were formerly referred to as capital leases, remained substantially unchanged. There were no other material impacts on our consolidated financial statements. See Note 8 for additional information and disclosures related to our adoption of this amended guidance.</w:t>
      </w: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Standards Pending Adoption</w:t>
      </w:r>
    </w:p>
    <w:p>
      <w:pPr>
        <w:spacing w:after="0" w:line="225" w:lineRule="exact"/>
        <w:rPr>
          <w:sz w:val="20"/>
          <w:szCs w:val="20"/>
          <w:color w:val="auto"/>
        </w:rPr>
      </w:pPr>
    </w:p>
    <w:p>
      <w:pPr>
        <w:jc w:val="both"/>
        <w:ind w:firstLine="247"/>
        <w:spacing w:after="0" w:line="276" w:lineRule="auto"/>
        <w:rPr>
          <w:sz w:val="20"/>
          <w:szCs w:val="20"/>
          <w:color w:val="auto"/>
        </w:rPr>
      </w:pPr>
      <w:r>
        <w:rPr>
          <w:rFonts w:ascii="Arial" w:cs="Arial" w:eastAsia="Arial" w:hAnsi="Arial"/>
          <w:sz w:val="17"/>
          <w:szCs w:val="17"/>
          <w:i w:val="1"/>
          <w:iCs w:val="1"/>
          <w:color w:val="auto"/>
        </w:rPr>
        <w:t xml:space="preserve">Financial Instrument Credit Losses — </w:t>
      </w:r>
      <w:r>
        <w:rPr>
          <w:rFonts w:ascii="Arial" w:cs="Arial" w:eastAsia="Arial" w:hAnsi="Arial"/>
          <w:sz w:val="17"/>
          <w:szCs w:val="17"/>
          <w:color w:val="auto"/>
        </w:rPr>
        <w:t>In June 2016, the FASB issued ASU 2016-13 associated with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This expected loss model will generally result in the earlier recognition of an allowance for losses.</w:t>
      </w:r>
    </w:p>
    <w:p>
      <w:pPr>
        <w:spacing w:after="0" w:line="173"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17"/>
          <w:szCs w:val="17"/>
          <w:color w:val="auto"/>
        </w:rPr>
        <w:t>For trade receivables, the Company will rely on, among other factors, historical loss trends and existing economic conditions. For other receivables as well as loans and other instruments, the Company will rely primarily on credit ratings. All receivables as well as other instruments may be adjusted for our expectation of future conditions and trends.</w:t>
      </w:r>
    </w:p>
    <w:p>
      <w:pPr>
        <w:spacing w:after="0" w:line="166" w:lineRule="exact"/>
        <w:rPr>
          <w:sz w:val="20"/>
          <w:szCs w:val="20"/>
          <w:color w:val="auto"/>
        </w:rPr>
      </w:pPr>
    </w:p>
    <w:p>
      <w:pPr>
        <w:jc w:val="both"/>
        <w:ind w:right="20" w:firstLine="247"/>
        <w:spacing w:after="0" w:line="302" w:lineRule="auto"/>
        <w:rPr>
          <w:sz w:val="20"/>
          <w:szCs w:val="20"/>
          <w:color w:val="auto"/>
        </w:rPr>
      </w:pPr>
      <w:r>
        <w:rPr>
          <w:rFonts w:ascii="Arial" w:cs="Arial" w:eastAsia="Arial" w:hAnsi="Arial"/>
          <w:sz w:val="16"/>
          <w:szCs w:val="16"/>
          <w:color w:val="auto"/>
        </w:rPr>
        <w:t>The amended guidance is effective for the Company on January 1, 2020 and will not have a material impact on our consolidated financial statements as current processes primarily align with the expected loss model. The cumulative effect will be recognized as an adjustment to retained earnings upon adoption. We are in the process of updating our business processes and related policies, systems and controls to support recognition and disclosure under the new standard.</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Implementation Costs Incurred in a Cloud Computing Arrangement — </w:t>
      </w: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customer’s accounting for implementation costs incurred in a cloud computing arrangement that is a service contract. The amendments align the requirements for capitalizing implementation costs incurred in a hosting arrangement that is a service contract with the requirements for capitalizing implementation costs incurred to develop or obtain internal-use software. Costs for implementation activities in the application development stage are capitalized depending on the nature of the costs, while costs incurred during the preliminary project and post implementation stages are expensed as the activities are performed. The amended guidance is effective for the Company on January 1, 2020 and will not have a material impact on our consolidated financial statements.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these items is discussed in additional detail below. Actual results could differ materially from the estimates and assumptions that we use in the preparation of our financial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2019 and 2018, no single customer represented greater than 5% of total accounts receivable.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The activity within our allowance for doubtful accounts was not material for the reported periods.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receivables, as of December 31, 2019 and 2018, include receivables related to income tax payments in excess of our current income tax obligations of $231 million and $284 million, respectively. Other receivables as of December 31, 2019 also includes a receivable of $70 million related to federal natural gas fuel credits.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 Basis of Landfill Assets — </w:t>
      </w:r>
      <w:r>
        <w:rPr>
          <w:rFonts w:ascii="Arial" w:cs="Arial" w:eastAsia="Arial" w:hAnsi="Arial"/>
          <w:sz w:val="17"/>
          <w:szCs w:val="17"/>
          <w:color w:val="auto"/>
        </w:rPr>
        <w:t>We capitalize various costs that we incur to make a landfill ready to accept waste. These</w:t>
      </w:r>
      <w:r>
        <w:rPr>
          <w:rFonts w:ascii="Arial" w:cs="Arial" w:eastAsia="Arial" w:hAnsi="Arial"/>
          <w:sz w:val="17"/>
          <w:szCs w:val="17"/>
          <w:i w:val="1"/>
          <w:iCs w:val="1"/>
          <w:color w:val="auto"/>
        </w:rPr>
        <w:t xml:space="preserve"> </w:t>
      </w:r>
      <w:r>
        <w:rPr>
          <w:rFonts w:ascii="Arial" w:cs="Arial" w:eastAsia="Arial" w:hAnsi="Arial"/>
          <w:sz w:val="17"/>
          <w:szCs w:val="17"/>
          <w:color w:val="auto"/>
        </w:rPr>
        <w:t>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680" w:hanging="320"/>
        <w:spacing w:after="0" w:line="273"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Involves the installation of flexible membrane liners and geosynthetic clay liners, drainage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airspace associated with each final capping event.</w:t>
      </w:r>
    </w:p>
    <w:p>
      <w:pPr>
        <w:spacing w:after="0" w:line="70" w:lineRule="exact"/>
        <w:rPr>
          <w:rFonts w:ascii="Arial" w:cs="Arial" w:eastAsia="Arial" w:hAnsi="Arial"/>
          <w:sz w:val="17"/>
          <w:szCs w:val="17"/>
          <w:color w:val="auto"/>
        </w:rPr>
      </w:pPr>
    </w:p>
    <w:p>
      <w:pPr>
        <w:jc w:val="both"/>
        <w:ind w:left="680" w:hanging="320"/>
        <w:spacing w:after="0" w:line="255"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Closure — </w:t>
      </w:r>
      <w:r>
        <w:rPr>
          <w:rFonts w:ascii="Arial" w:cs="Arial" w:eastAsia="Arial" w:hAnsi="Arial"/>
          <w:sz w:val="18"/>
          <w:szCs w:val="18"/>
          <w:color w:val="auto"/>
        </w:rPr>
        <w:t>Includes the construction of the final portion of methane gas collection systems (when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demobilization and routine 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85"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Once we have determined final capping, closure and post-closure costs, we inflate those costs to the expected time of payment and discount those expected future costs back to present value. During the years ended December 31, 2019, 2018 and 2017, we inflated these costs in current dollars to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2019 was approximately 5.25%.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amortization policy, which would generally result in amortization expense being recognized prospectively over the remaining permitted and expansion airspace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Amortization of Landfill Assets — </w:t>
      </w:r>
      <w:r>
        <w:rPr>
          <w:rFonts w:ascii="Arial" w:cs="Arial" w:eastAsia="Arial" w:hAnsi="Arial"/>
          <w:sz w:val="17"/>
          <w:szCs w:val="17"/>
          <w:color w:val="auto"/>
        </w:rPr>
        <w:t>The amortizable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airspace and (iv) projected asset retirement costs related to landfill final capping, closure and post-closure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left="680" w:hanging="320"/>
        <w:spacing w:after="0" w:line="259"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Arial" w:cs="Arial" w:eastAsia="Arial" w:hAnsi="Arial"/>
          <w:sz w:val="18"/>
          <w:szCs w:val="18"/>
          <w:color w:val="auto"/>
        </w:rPr>
      </w:pPr>
    </w:p>
    <w:p>
      <w:pPr>
        <w:jc w:val="both"/>
        <w:ind w:left="680" w:hanging="320"/>
        <w:spacing w:after="0" w:line="25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0" w:lineRule="exact"/>
        <w:rPr>
          <w:rFonts w:ascii="Arial" w:cs="Arial" w:eastAsia="Arial" w:hAnsi="Arial"/>
          <w:sz w:val="18"/>
          <w:szCs w:val="18"/>
          <w:color w:val="auto"/>
        </w:rPr>
      </w:pPr>
    </w:p>
    <w:p>
      <w:pPr>
        <w:ind w:left="1000" w:hanging="316"/>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ectPr>
          <w:pgSz w:w="11900" w:h="16838" w:orient="portrait"/>
          <w:cols w:equalWidth="0" w:num="1">
            <w:col w:w="9060"/>
          </w:cols>
          <w:pgMar w:left="1420" w:top="611"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00" w:hanging="31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1000" w:right="20" w:hanging="316"/>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1000" w:hanging="316"/>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15 landfill sites with expansions included as of December 31, 2019, one landfill required the Chief Financial Officer to approve the inclusion of the unpermitted airspace because the permit application process did not meet the one- or five-year requirements.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7" w:lineRule="exact"/>
        <w:rPr>
          <w:sz w:val="20"/>
          <w:szCs w:val="20"/>
          <w:color w:val="auto"/>
        </w:rPr>
      </w:pPr>
    </w:p>
    <w:p>
      <w:pPr>
        <w:ind w:left="680" w:hanging="320"/>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80" w:hanging="320"/>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$240 million recorded in the Consolidated Balance Sheet as of December 31, 2019.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 the cost in current dollars (by 2.5%as of December 31, 2019 and 2018)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environmental remediation liabilities and recovery assets for the years ended December 31 (in millions) and the risk-free discount rate applied as of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1.75 %</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2.75 %</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portion of our recorded environmental remediation liabilities that were not subject to inflation or discounting, as the amounts and timing of payments are not fixed or reliably determinable, was $36 million and $35 million as of December 31, 2019 and 2018, respectively. Had we not inflated and discounted any portion of our environmental remediation liability, the amount recorded would have decreased by $8 million and increased by $3 million as of December 31, 2019 and 2018, respectively.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80" w:type="dxa"/>
            <w:vAlign w:val="bottom"/>
          </w:tcPr>
          <w:p>
            <w:pPr>
              <w:jc w:val="right"/>
              <w:spacing w:after="0"/>
              <w:rPr>
                <w:sz w:val="20"/>
                <w:szCs w:val="20"/>
                <w:color w:val="auto"/>
              </w:rPr>
            </w:pPr>
            <w:r>
              <w:rPr>
                <w:rFonts w:ascii="Arial" w:cs="Arial" w:eastAsia="Arial" w:hAnsi="Arial"/>
                <w:sz w:val="18"/>
                <w:szCs w:val="18"/>
                <w:color w:val="auto"/>
              </w:rPr>
              <w:t>10 to 30</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 See Note 8 for additional information.</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Operating Leases (excluding landfill leases discussed below) — </w:t>
      </w:r>
      <w:r>
        <w:rPr>
          <w:rFonts w:ascii="Arial" w:cs="Arial" w:eastAsia="Arial" w:hAnsi="Arial"/>
          <w:sz w:val="16"/>
          <w:szCs w:val="16"/>
          <w:color w:val="auto"/>
        </w:rPr>
        <w:t>The majority of our leases are operating leases. This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2019 are disclosed in Note 8.</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Leases (excluding landfill leases discussed below) — </w:t>
      </w:r>
      <w:r>
        <w:rPr>
          <w:rFonts w:ascii="Arial" w:cs="Arial" w:eastAsia="Arial" w:hAnsi="Arial"/>
          <w:sz w:val="17"/>
          <w:szCs w:val="17"/>
          <w:color w:val="auto"/>
        </w:rPr>
        <w:t>Assets under financing leases are capitalized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rates determined at the commencement of each lease and are amortized over either the useful life of the asset or the lease term, as appropriate, on a straight-line basis. The present value of the related lease payments is recorded as a debt obligation. Our future minimum annual financing lease payments are disclosed in Note 8.</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Landfill Leases — </w:t>
      </w:r>
      <w:r>
        <w:rPr>
          <w:rFonts w:ascii="Arial" w:cs="Arial" w:eastAsia="Arial" w:hAnsi="Arial"/>
          <w:sz w:val="17"/>
          <w:szCs w:val="17"/>
          <w:color w:val="auto"/>
        </w:rPr>
        <w:t>From an operating perspective, landfills that we lease are similar to landfills we own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amortized on a units-of-consumption basis over the shorter of the lease term or the life of the landfill. Our future minimum annual lease payments for our landfill leases are disclosed in Note 8.</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and the ultimate settlement of the obligations being recognized as an adjustment to income from operations.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matters and litigation are recognized at their acquisition-date fair value when their respective fair values can be determined. If the fair values of such contingencies cannot be determined, they are recognized as of the acquisition date if the contingencies are probable and an amount can be reasonably estimated.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a term of 10 years. Covenants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using a measurement date of October 1, and</w:t>
      </w:r>
      <w:r>
        <w:rPr>
          <w:rFonts w:ascii="Arial" w:cs="Arial" w:eastAsia="Arial" w:hAnsi="Arial"/>
          <w:sz w:val="18"/>
          <w:szCs w:val="18"/>
          <w:i w:val="1"/>
          <w:iCs w:val="1"/>
          <w:color w:val="auto"/>
        </w:rPr>
        <w:t xml:space="preserve"> </w:t>
      </w:r>
      <w:r>
        <w:rPr>
          <w:rFonts w:ascii="Arial" w:cs="Arial" w:eastAsia="Arial" w:hAnsi="Arial"/>
          <w:sz w:val="18"/>
          <w:szCs w:val="18"/>
          <w:color w:val="auto"/>
        </w:rPr>
        <w:t>more frequently if warranted, we assess the indefinite-lived intangible assets including the goodwill of our reporting units for impairment.</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6 and 12 for information related to impairments recognized during the reported periods.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for the estimated losses based on the external actuarial analysis. These premiums are held in a restricted escrow account to be used solely for paying insurance claims, resulting in a transfer of risk from WM to the insurance captive and are allocated between current and long-term assets depending on timing on the use of funds.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Our restricted trust and escrow accounts consist principally of funds deposited for purposes of funding insurance claims and settling landfill final capping, closure, post-closure and environmental remediation obligations. These funds are allocated between cash, money market funds and available-for-sale securities depending on the estimated timing and purpose of the use of funds. We use a wholly-owned insurance captive to insure the deductibles for certain claims programs, as discussed above in </w:t>
      </w:r>
      <w:r>
        <w:rPr>
          <w:rFonts w:ascii="Arial" w:cs="Arial" w:eastAsia="Arial" w:hAnsi="Arial"/>
          <w:sz w:val="16"/>
          <w:szCs w:val="16"/>
          <w:i w:val="1"/>
          <w:iCs w:val="1"/>
          <w:color w:val="auto"/>
        </w:rPr>
        <w:t>Insured and Self-Insured Claims</w:t>
      </w:r>
      <w:r>
        <w:rPr>
          <w:rFonts w:ascii="Arial" w:cs="Arial" w:eastAsia="Arial" w:hAnsi="Arial"/>
          <w:sz w:val="16"/>
          <w:szCs w:val="16"/>
          <w:color w:val="auto"/>
        </w:rPr>
        <w:t>, and the premiums paid were directly deposited into a restricted escrow account to be used solely for paying insurance claims. At several of our landfills, we provide financial assurance by depositing cash into restricted trust or escrow accounts for purposes of settling final capping, closure, post-closure and environmental remediation obligations. Balances maintained in these restricted trust and escrow accounts will fluctuate based on (i) changes in statutory requirements; (ii) future deposits made to comply with contractual arrangements; (iii) the ongoing use of funds;</w:t>
      </w:r>
    </w:p>
    <w:p>
      <w:pPr>
        <w:spacing w:after="0" w:line="7" w:lineRule="exact"/>
        <w:rPr>
          <w:sz w:val="20"/>
          <w:szCs w:val="20"/>
          <w:color w:val="auto"/>
        </w:rPr>
      </w:pPr>
    </w:p>
    <w:p>
      <w:pPr>
        <w:jc w:val="both"/>
        <w:ind w:firstLine="9"/>
        <w:spacing w:after="0" w:line="255" w:lineRule="auto"/>
        <w:tabs>
          <w:tab w:leader="none" w:pos="3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acquisitions or divestitures and (v) changes in the fair value of the financial instruments held in the restricted trust or escrow accounts. The current portion of restricted trust and escrow accounts as of December 31, 2019 and 2018 of $70 million is included in other current assets in our Consolidated Balance Sheets.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19 for additional discussion related to restricted trust and escrow accounts for final capping, closure, post-closure or environmental remediation obligations.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Investments without readily determinable fair values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7020" w:type="dxa"/>
            <w:vAlign w:val="bottom"/>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w:t>
      </w:r>
    </w:p>
    <w:p>
      <w:pPr>
        <w:jc w:val="both"/>
        <w:ind w:right="20" w:firstLine="9"/>
        <w:spacing w:after="0" w:line="277"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market or income approach, as deemed appropriate and/or (iv) a quantitative approach, or measurement alternative, as noted above. Impairments of our investments are recorded in equity in net losses of unconsolidated entities or other, net in the Consolidated Statements of Operations in accordance with appropriate accounting guidance.</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Notes 12 and 17 for information related to impairments and other adjustments recognized during the reported periods.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our leasing arrangements was not material and represented approximately 1%of total revenue for each of the reported periods.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for additional information related to revenue by reportable segment and major lines of business.</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Deferred Revenues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 Acquisition Costs</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and 2018, we had $153 million and $145 million of deferred contract costs, respectively, of which $117 million and $109 million was related to deferred sales incentives, respectively. During the years ended December 31, 2019 and 2018, we amortized $23 million and $22 million of sales incentives to selling, general and administrative expense, respectively, and $17 million and $35 million of other contract acquisition costs as a reduction in revenue,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Long-Term Contracts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five years. We do not disclose the value of unsatisfied performance obligations for these contracts as our right to consideration corresponds directly to the value provided to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for services completed to date and all future variable consideration is allocated to wholly unsatisfied performance obligations.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capitalize interest on certain projects under development, including landfill expansion projects, certain assets under construction, including operating landfills and landfill gas-to-energy projects and internal-use software. During 2019, 2018 and 2017, total interest costs were $485 million, $400 million and $383 million, respectively, of which $21 million, $16 million and $15 million was capitalized in 2019, 2018 and 2017, respectively.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for discussion of our income taxes.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11 for discussion of our commitments and contingencies.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supplemental cash flow information for the years ended December 31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r>
    </w:tbl>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2019, we had $299 million of non-cash financing activities from our recent federal low-income housing investment discussed in Note 9 and new financing leases. During 2018, we had $250 million of non-cash financing activities from a federal low-income housing investment and new financing leases. During 2017, we did not have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significant non-cash investing and financing activities. Non-cash investing and financing activities are generally excluded from the Consolidated Statements of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Landfill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2019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Landfill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estimates and interest rate assumptions (a) (b)</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1"/>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revisions in estimates resulting primarily from changes in the timing and amount of costs as well as changes in estimates of remaining airspace.</w:t>
      </w:r>
    </w:p>
    <w:p>
      <w:pPr>
        <w:spacing w:after="0" w:line="62"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$11 million due to a decrease in the risk-free discount rate used to measure our liabilities from 2.75% at December 31, 2018 to 1.75% at December 31, 2019.</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recorded liabilities as of December 31, 2019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$27 million in 2020, $33 million in 2021, $44 million in 2022, $34 million in 2023, $22 million in 2024 and $72 million thereafter.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17 and 19 for additional information related to these trusts.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20" w:hanging="311"/>
        <w:spacing w:after="0"/>
        <w:tabs>
          <w:tab w:leader="none" w:pos="3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Landfills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2,988</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30,206</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of tangible property and equipment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amortization of landfill airspace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w:t>
            </w: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financing leases, consisted of the following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landfill airspace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Other Intangible Assets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was $6,532 million and $6,430 million as of December 31, 2019 and 2018, respectively. The $102 million increase in goodwill during 2019 is primarily related to acquisitions partially offset by impairment charges, which are discussed below, and translation adjustments related to our Canadian operations.</w:t>
      </w:r>
    </w:p>
    <w:p>
      <w:pPr>
        <w:spacing w:after="0" w:line="18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7"/>
          <w:szCs w:val="17"/>
          <w:color w:val="auto"/>
        </w:rPr>
        <w:t>As discussed in Note 3, we perform our annual impairment test of goodwill balances for our reporting units using a measurement date of October 1. We will also perform interim tests if an impairment indicator exists. As a result of our annual impairment test performed in the fourth quarter of 2019, we recorded goodwill impairment charges of $27 million, of which $17 million related to our EES organization and $10 million related to our LampTracker</w:t>
      </w:r>
      <w:r>
        <w:rPr>
          <w:rFonts w:ascii="Arial" w:cs="Arial" w:eastAsia="Arial" w:hAnsi="Arial"/>
          <w:sz w:val="26"/>
          <w:szCs w:val="26"/>
          <w:color w:val="auto"/>
          <w:vertAlign w:val="superscript"/>
        </w:rPr>
        <w:t>®</w:t>
      </w:r>
      <w:r>
        <w:rPr>
          <w:rFonts w:ascii="Arial" w:cs="Arial" w:eastAsia="Arial" w:hAnsi="Arial"/>
          <w:sz w:val="17"/>
          <w:szCs w:val="17"/>
          <w:color w:val="auto"/>
        </w:rPr>
        <w:t xml:space="preserve"> reporting unit, because the carrying value including goodwill exceeded the estimated fair value. Fair value was estimated using an income approach based on long-term projected discounted future cash flows of the reporting unit (Level 3).</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12, 18 and 20 for additional information related to goodwill.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Covenants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Licenses,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Not-to-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Permits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Compete</w:t>
            </w:r>
          </w:p>
        </w:tc>
        <w:tc>
          <w:tcPr>
            <w:tcW w:w="1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Amortization expense for other intangible assets was $106 million, $101 million and $96 million for 2019, 2018 and 2017, respectively. As of December 31, 2019, we had $19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18. As of December 31, 2019, we expect annual amortization expense related to other intangible assets to be $99 million in 2020, $85 million in 2021, $70 million in 2022, $61 million in 2023 and $56 million in 2024.</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Revolving credit facility (weighted average interest rate of 3.1% as of December 31, 2018)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1"/>
              </w:rPr>
              <w:t>Commercial paper program (weighted average interest rate of 2.9% as of December 31, 2018)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Senior notes, maturing through 2049, interest rates ranging from 2.4% to 7.75% (weighted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average interest rate of 3.9% as of December 31, 2019 and 4.3% as of December 31, 2018)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Canadian senior notes, maturing September 2026, interest rate of 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1.35% to 4.3% (weighted average interest rate of 2.3% as of December 31, 2019 and 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of December 31, 2018)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4"/>
              </w:rPr>
              <w:t>Financing leases and other, maturing through 2071, weighted average interest rate of 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10,026</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2019, we had $1.5 billion of debt maturing within the next 12 months, including (i) $600 million of 4.75% senior notes that mature in June 2020; (ii) $669 million of tax-exempt bonds with term interest rate periods that expire within the next 12 months, which is prior to their scheduled maturities, and (iii) $218 million of other debt with scheduled maturities within the next 12 months, including $112 million of tax-exempt bonds. As of December 31,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classified $1.3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$218 million of debt maturing in the next 12 months is classified as current obligations.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2019, we also have $169 million of variable-rate tax-exempt bonds that are supported by letters of credit under our $3.5 billion revolving credit facility, of which $15 million mature within the next 12 months.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$154 million of these borrowings as long-term in our Consolidated Balance Sheet as of December 31, 2019.</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$3.5 Billion Revolving Credit Facility — </w:t>
      </w:r>
      <w:r>
        <w:rPr>
          <w:rFonts w:ascii="Arial" w:cs="Arial" w:eastAsia="Arial" w:hAnsi="Arial"/>
          <w:sz w:val="17"/>
          <w:szCs w:val="17"/>
          <w:color w:val="auto"/>
        </w:rPr>
        <w:t>In November 2019, we entered into the $3.5 billion revolving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amended and restated our prior long-term U.S. and Canadian revolving credit facility. Amendments to the credit agreement included (i) increasing total capacity under the facility from $2.75 billion to $3.5 billion; (ii) increasing the accordion feature that may be used to increase total capacity in future periods from $750 million to $1.0 billion and</w:t>
      </w:r>
    </w:p>
    <w:p>
      <w:pPr>
        <w:spacing w:after="0" w:line="2" w:lineRule="exact"/>
        <w:rPr>
          <w:sz w:val="20"/>
          <w:szCs w:val="20"/>
          <w:color w:val="auto"/>
        </w:rPr>
      </w:pPr>
    </w:p>
    <w:p>
      <w:pPr>
        <w:jc w:val="both"/>
        <w:ind w:firstLine="9"/>
        <w:spacing w:after="0" w:line="271" w:lineRule="auto"/>
        <w:tabs>
          <w:tab w:leader="none" w:pos="3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extending the term through November 2024. The agreement provides the Company with two one-year extension options. Waste Management of Canada Corporation and WM Quebec Inc., each an indirect wholly-owned subsidiary of WM, are borrowers under the $3.5 billion revolving credit facility, and the agreement permits borrowing in Canadian dollars up to the U.S. dollar equivalent of $375 million, with such borrowings to be repaid in Canadian dollars. WM Holdings, a wholly-owned subsidiary of WM, guarantees all the obligations under the $3.5 billion revolving credit facility.</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$3.5 billion revolving credit facility provides us with credit capacity to be used for cash borrowings, to support letters of credit or to support our commercial paper program. The rates we pay for outstanding U.S. or Canadian loans are generally based on LIBOR or CDOR, respectively, plus a spread depending on the Company’s debt rating assigned by Moody’s Investors Service and Standard and Poor’s. The spread above LIBOR or CDOR ranges from 0.575% to 1.015%. Our $3.5 billion revolving credit facility was drafted in anticipation of the phaseout of LIBOR and contains provisions to replace LIBOR with an appropriate alternate benchmark rate as needed. As of December 31, 2019, we had no outstanding borrowings and $412 million of letters of credit issued and supported by the facility, leaving unused and available credit capacity of $3.1 billion.</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We have a commercial paper program that enables us to borrow funds for up to 397 days</w:t>
      </w:r>
      <w:r>
        <w:rPr>
          <w:rFonts w:ascii="Arial" w:cs="Arial" w:eastAsia="Arial" w:hAnsi="Arial"/>
          <w:sz w:val="17"/>
          <w:szCs w:val="17"/>
          <w:i w:val="1"/>
          <w:iCs w:val="1"/>
          <w:color w:val="auto"/>
        </w:rPr>
        <w:t xml:space="preserve"> </w:t>
      </w:r>
      <w:r>
        <w:rPr>
          <w:rFonts w:ascii="Arial" w:cs="Arial" w:eastAsia="Arial" w:hAnsi="Arial"/>
          <w:sz w:val="17"/>
          <w:szCs w:val="17"/>
          <w:color w:val="auto"/>
        </w:rPr>
        <w:t>at competitive interest rates. The rates we pay for outstanding borrowings are based on the term of the notes. The commercial paper program is fully supported by our $3.5 billion revolving credit facility. In November 2019, we amended our commercial paper program, increasing our ability to borrow funds from $2.75 billion to $3.5 billion, provided that the aggregate outstanding amount of commercial paper borrowings, together with borrowings and issued letters of credit under the $3.5 billion revolving credit facility, shall not at any time exceed the aggregate authorized borrowing capacity of such facility. As of December 31, 2019, we had no outstanding borrowings under our commercial paper program.</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December 31, 2019, we had utilized $532 million of other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which are both committed and uncommitted, with terms maturing through April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In 2019, we repaid C$15 million, or $11 million, of Canadian borrowings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with available cash.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2019, WM issued $4.0 billion of senior notes consisting of:</w:t>
      </w:r>
    </w:p>
    <w:p>
      <w:pPr>
        <w:spacing w:after="0" w:line="117" w:lineRule="exact"/>
        <w:rPr>
          <w:sz w:val="20"/>
          <w:szCs w:val="20"/>
          <w:color w:val="auto"/>
        </w:rPr>
      </w:pPr>
    </w:p>
    <w:p>
      <w:pPr>
        <w:ind w:left="1000" w:hanging="31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$750 million of 2.95% senior notes due June 15, 2024;</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$750 million of 3.20% senior notes due June 15, 2026;</w:t>
      </w:r>
    </w:p>
    <w:p>
      <w:pPr>
        <w:ind w:left="1000" w:hanging="316"/>
        <w:spacing w:after="0" w:line="23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 billion of 3.45% senior notes due June 15, 2029;</w:t>
      </w:r>
    </w:p>
    <w:p>
      <w:pPr>
        <w:ind w:left="1000" w:hanging="316"/>
        <w:spacing w:after="0" w:line="23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$500 million of 4.00% senior notes due July 15, 2039; and</w:t>
      </w:r>
    </w:p>
    <w:p>
      <w:pPr>
        <w:ind w:left="1000" w:hanging="31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 billion of 4.15% senior notes due July 15, 2049.</w:t>
      </w:r>
    </w:p>
    <w:p>
      <w:pPr>
        <w:spacing w:after="0" w:line="18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which are classified as loss on early extinguishment of debt in our Consolidated Statement of Operations, and $3 million of accrued interest. The principal amount of senior notes redeemed within each series was as follows:</w:t>
      </w:r>
    </w:p>
    <w:p>
      <w:pPr>
        <w:spacing w:after="0" w:line="95" w:lineRule="exact"/>
        <w:rPr>
          <w:sz w:val="20"/>
          <w:szCs w:val="20"/>
          <w:color w:val="auto"/>
        </w:rPr>
      </w:pPr>
    </w:p>
    <w:p>
      <w:pPr>
        <w:ind w:left="1000" w:hanging="31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$304 million of WM Holdings 7.10% senior notes due 2026, of which $56 million were tendered;</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$395 million of WM 7.00% senior notes due 2028, of which $64 million were tendered;</w:t>
      </w:r>
    </w:p>
    <w:p>
      <w:pPr>
        <w:ind w:left="1000" w:hanging="316"/>
        <w:spacing w:after="0" w:line="234"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$139 million of WM 7.375% senior notes due 2029, of which $58 million were tendered;</w:t>
      </w:r>
    </w:p>
    <w:p>
      <w:pPr>
        <w:ind w:left="1000" w:hanging="316"/>
        <w:spacing w:after="0" w:line="234"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$210 million of WM 7.75% senior notes due 2032, of which $57 million were tendered; and</w:t>
      </w:r>
    </w:p>
    <w:p>
      <w:pPr>
        <w:ind w:left="1000" w:hanging="31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$274 million of WM 6.125% senior notes due 2039, of which $22 million were tendered.</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We used a portion of the proceeds to repay our commercial paper borrowings as discussed further below. We intend to use the remaining net proceeds to pay a portion of the consideration related to our pending acquisition of Advanced Disposal Services, Inc. (“Advanced Disposal”), pursuant to an Agreement and Plan of Merger (the “Merger Agreement”) which is discussed further in Note 18, and for general corporate purposes. The newly-issued senior notes due 2024, 2026, 2029 and 2039 include a special mandatory redemption feature, which provides that if the acquisition of Advanced Disposal is not completed on or prior to July 14, 2020, or if, prior to such date, the Merger Agreement is terminated for any reason, we will be required to redeem all of such outstanding notes equal to 101% of the aggregate principal amounts of such notes, plus accrued but unpaid interest.</w:t>
      </w:r>
    </w:p>
    <w:p>
      <w:pPr>
        <w:spacing w:after="0" w:line="1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Canadian Senior Notes </w:t>
      </w:r>
      <w:r>
        <w:rPr>
          <w:rFonts w:ascii="Arial" w:cs="Arial" w:eastAsia="Arial" w:hAnsi="Arial"/>
          <w:sz w:val="17"/>
          <w:szCs w:val="17"/>
          <w:color w:val="auto"/>
        </w:rPr>
        <w:t>— In September 2019, Waste Management of Canada Corporation, an indirect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WM, issued C$500 million, or $377 million, of 2.6% senior notes due September 23, 2026, all of which are fully and unconditionally guaranteed on a senior unsecured basis by WM and WM Holdings. The net proceeds from the debt issuance were C$496 million, or $373 million, which we intend to use for general corporate purposes.</w:t>
      </w:r>
    </w:p>
    <w:p>
      <w:pPr>
        <w:spacing w:after="0" w:line="17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2019, we made net cash repayments of $1.0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(net of the related discount on issuance).</w:t>
      </w:r>
    </w:p>
    <w:p>
      <w:pPr>
        <w:spacing w:after="0" w:line="1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We issued $240 million of new tax-exempt bonds in 2019. The proceeds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bonds were deposited directly into a restricted trust fund and may only be used for the specific purpose for which the money was raised, which is generally to finance expenditures for landfill and solid waste disposal facility construction and development. In the third quarter of 2019, we elected to refund and reissue $99 million of tax-exempt bonds which resulted in the recognition of a $1 million loss on early extinguishment of debt in our Consolidated Statement of Operations. Additionally, during the year ended December 31, 2019, we repaid $105 million of our tax-exempt bonds with available cash.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Leases and Other — </w:t>
      </w:r>
      <w:r>
        <w:rPr>
          <w:rFonts w:ascii="Arial" w:cs="Arial" w:eastAsia="Arial" w:hAnsi="Arial"/>
          <w:sz w:val="17"/>
          <w:szCs w:val="17"/>
          <w:color w:val="auto"/>
        </w:rPr>
        <w:t>The increase in our financing leases and other debt obligations during 2019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(i) our new federal low-income housing investment discussed in Note 9, which increased our debt obligations by $140 million, and (ii) an increase of $159 million attributable to non-cash financing arrangements. These increases were offset by a net decrease of $56 million, primarily due net cash repayments of debt at maturity.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Principal payments of our debt for the next five years and thereafter, based on scheduled maturities are as follows: $823 million in 2020, $629 million in 2021, $660 million in 2022, $646 million in 2023, $1,220 million in 2024 and $9,701 million thereafter. Our recorded debt and financing lease obligations include non-cash adjustments associated with debt issuance costs, discounts, premiums and fair value adjustments attributable to terminated interest rate derivatives, which have been excluded from these amounts because they will not result in cash payments. See Note 8 below for further discussion of our financing lease arrangements.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debt balances are generally unsecured, except for financing leases and the notes payable associated with our investments in low-income housing properties.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2019 and 2018, we were in compliance with all covenants and restrictions under our financing arrangements that may have a material effect on our Consolidated Financial Statements.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lease activities primarily consist of leases for real estate, landfills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at our sole discretion. We include the renewal term in the calculation of the right-of-use asset and related lease liability when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for our leases is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tcPr>
          <w:p>
            <w:pPr>
              <w:ind w:left="1060"/>
              <w:spacing w:after="0"/>
              <w:rPr>
                <w:sz w:val="20"/>
                <w:szCs w:val="20"/>
                <w:color w:val="auto"/>
              </w:rPr>
            </w:pPr>
            <w:r>
              <w:rPr>
                <w:rFonts w:ascii="Arial" w:cs="Arial" w:eastAsia="Arial" w:hAnsi="Arial"/>
                <w:sz w:val="14"/>
                <w:szCs w:val="14"/>
                <w:b w:val="1"/>
                <w:bCs w:val="1"/>
                <w:color w:val="auto"/>
              </w:rPr>
              <w:t>Leases</w:t>
            </w:r>
          </w:p>
        </w:tc>
        <w:tc>
          <w:tcPr>
            <w:tcW w:w="4400" w:type="dxa"/>
            <w:vAlign w:val="bottom"/>
            <w:gridSpan w:val="2"/>
          </w:tcPr>
          <w:p>
            <w:pPr>
              <w:ind w:left="164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2019</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2"/>
        </w:trPr>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Financing</w:t>
            </w: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25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10"/>
        </w:trPr>
        <w:tc>
          <w:tcPr>
            <w:tcW w:w="2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assets</w:t>
            </w:r>
          </w:p>
        </w:tc>
        <w:tc>
          <w:tcPr>
            <w:tcW w:w="4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Financing</w:t>
            </w:r>
          </w:p>
        </w:tc>
        <w:tc>
          <w:tcPr>
            <w:tcW w:w="44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0"/>
        </w:trPr>
        <w:tc>
          <w:tcPr>
            <w:tcW w:w="284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lease expense was $132 million, $129 million and $134 million during 2019, 2018 and 2017, respectively, and is included in operating and selling, general and administrative expenses in our Consolidated Statement of Operations. Financing lease expense for 2019 was $48 million and is included in depreciation and amortization expense and interest expense, net in our Consolidated Statement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Minimum contractual obligations for our leases (undiscounted) as of December 31, 2019 are as follows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Financing</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2023</w:t>
            </w:r>
          </w:p>
        </w:tc>
        <w:tc>
          <w:tcPr>
            <w:tcW w:w="1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1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Less: interest</w:t>
            </w:r>
          </w:p>
        </w:tc>
        <w:tc>
          <w:tcPr>
            <w:tcW w:w="136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(183)</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Discounted lease liabilities</w:t>
            </w:r>
          </w:p>
        </w:tc>
        <w:tc>
          <w:tcPr>
            <w:tcW w:w="1360" w:type="dxa"/>
            <w:vAlign w:val="bottom"/>
            <w:tcBorders>
              <w:top w:val="single" w:sz="8" w:color="auto"/>
              <w:bottom w:val="single" w:sz="8" w:color="auto"/>
            </w:tcBorders>
            <w:shd w:val="clear" w:color="auto" w:fill="CCEEFF"/>
          </w:tcPr>
          <w:p>
            <w:pPr>
              <w:jc w:val="right"/>
              <w:ind w:right="11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5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entered into leases, primarily for real estate, that have not yet commenced with future lease payments of $26 million that are not reflected in the table above. These leases will commence through 2020 with non-cancelable lease terms up to 15 years.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paid during 2019 for our operating and financing leases was $87 million and $40 million, respectively. During 2019, right-of-use assets obtained in exchange for lease obligations for our operating and financing leases were $149 million and $134 million, respectively.</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December 31, 2019, the weighted average remaining lease terms of our operating and financing leases were approximately 16 years and 14 years, respectively. The weighted average discount rates used to determine the lease liabilities as of December 31, 2019 for our operating and financing leases were approximately 3.50% and 4.10%, respectively.</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expense consisted of the following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Federal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3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State</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vMerge w:val="restart"/>
          </w:tcPr>
          <w:p>
            <w:pPr>
              <w:jc w:val="right"/>
              <w:ind w:right="159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11" w:right="14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U.S. federal statutory income tax rate is reconciled to the effective income tax rate for the years ended December 31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700" w:type="dxa"/>
            <w:vAlign w:val="bottom"/>
          </w:tcPr>
          <w:p>
            <w:pPr>
              <w:jc w:val="right"/>
              <w:spacing w:after="0"/>
              <w:rPr>
                <w:sz w:val="20"/>
                <w:szCs w:val="20"/>
                <w:color w:val="auto"/>
              </w:rPr>
            </w:pPr>
            <w:r>
              <w:rPr>
                <w:rFonts w:ascii="Arial" w:cs="Arial" w:eastAsia="Arial" w:hAnsi="Arial"/>
                <w:sz w:val="18"/>
                <w:szCs w:val="18"/>
                <w:color w:val="auto"/>
              </w:rPr>
              <w:t>4.39</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Impacts of enactment of tax reform</w:t>
            </w:r>
          </w:p>
        </w:tc>
        <w:tc>
          <w:tcPr>
            <w:tcW w:w="10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Federal tax credits</w:t>
            </w: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Tax impact of equity-based compensation transactions</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0.40</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Effective income tax rate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comparability of our income tax expense for the reported periods has been primarily affected by (i) variations in our income before income taxes; (ii) federal tax credits; (iii) excess tax benefits associated with equity-based compensation transactions (iv) adjustments to our accruals and deferred taxes; (v) the tax implications of impairments; (vi) the realization of state net operating losses and credits; (vii) tax audit settlements and (viii) the impacts of enactment of tax reform.</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years ended December 31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(a)</w:t>
            </w:r>
          </w:p>
        </w:tc>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rPr>
              <w:t>Income before income taxes</w:t>
            </w:r>
          </w:p>
        </w:tc>
        <w:tc>
          <w:tcPr>
            <w:tcW w:w="3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jc w:val="both"/>
        <w:ind w:left="340" w:right="20" w:hanging="331"/>
        <w:spacing w:after="0" w:line="34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Foreign income before income taxes for the year ended December 31, 2019 includes a $52 million impairment charge related to our minority-owned investment in a waste conversion technology business. See Note 12 for further discussion.</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Investments Qualifying for Federal Tax Credits — </w:t>
      </w:r>
      <w:r>
        <w:rPr>
          <w:rFonts w:ascii="Arial" w:cs="Arial" w:eastAsia="Arial" w:hAnsi="Arial"/>
          <w:sz w:val="17"/>
          <w:szCs w:val="17"/>
          <w:color w:val="auto"/>
        </w:rPr>
        <w:t>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On August 28, 2019 we acquired an additional noncontrolling interest in a limited liability company established to invest in and manage low-income housing properties. Our consideration for this investment totaled $160 million, which was comprised of a $140 million note payable and an initial cash payment of $20 million. We support the operations of these entities in exchange for a pro-rata share of the tax credits they generate. The low-income housing investments and the coal facility’s refinement processes qualify for federal tax credits that we expect to realize through 2030 under Section 42, through 2024 under Section 45D, and through 2019 under Section 45 of the Internal Revenue Code.</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pre-tax results of operations and other reductions in the value of our investments in equity in net losses of unconsolidated entities, within our Consolidated Statements of Operations. During the years ended December 31, 2019, 2018 and 2017, we recognized $46 million, $30 million and $30 million of net losses and a reduction in our income tax expense of $96 million, $57 million and $51 million, respectively, primarily due to tax credits realized from these investments. In addition, during the years ended December 31, 2019, 2018 and 2017, we recognized interest expense of $9 million, $3 million and $2 million, respectively, associated with our investments in low-income housing properties. See Note 19 for additional information related to these unconsolidated variable interest entities.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Other Federal Tax Credits — </w:t>
      </w:r>
      <w:r>
        <w:rPr>
          <w:rFonts w:ascii="Arial" w:cs="Arial" w:eastAsia="Arial" w:hAnsi="Arial"/>
          <w:sz w:val="18"/>
          <w:szCs w:val="18"/>
          <w:color w:val="auto"/>
        </w:rPr>
        <w:t>During 2019, 2018 and 2017, we recognized federal tax credits in addition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realized from our investments in low-income housing properties and the refined coal facility, resulting in a reduction in our income tax expense of $11 million, $10 million and $13 million, respectively.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2019, 2018 and 2017, we recognized excess tax benefits related to the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equity-based compensation awards resulting in a reduction in our income tax expense of $25 million, $17 million and $37 million, respectively.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Adjustments to Accruals and Deferred Taxes </w:t>
      </w:r>
      <w:r>
        <w:rPr>
          <w:rFonts w:ascii="Arial" w:cs="Arial" w:eastAsia="Arial" w:hAnsi="Arial"/>
          <w:sz w:val="18"/>
          <w:szCs w:val="18"/>
          <w:color w:val="auto"/>
        </w:rPr>
        <w:t>— Adjustments to our accruals and deferred taxes due to the filing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returns, analysis of our deferred tax balances and changes in state and foreign laws resulted in a reduction in our income tax expense of $22 million, $52 million and $5 million for the years ended December 31, 2019, 2018 and 2017, respectively.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the reported periods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for tax purposes resulting in an increase in income tax expense of $15 million, $1 million and $15 million for the years ended December 31, 2019, 2018 and 2017, respectively. See Note 12 for more information related to our impairment charges.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State Net Operating Losses and Credits — </w:t>
      </w:r>
      <w:r>
        <w:rPr>
          <w:rFonts w:ascii="Arial" w:cs="Arial" w:eastAsia="Arial" w:hAnsi="Arial"/>
          <w:sz w:val="17"/>
          <w:szCs w:val="17"/>
          <w:color w:val="auto"/>
        </w:rPr>
        <w:t>During 2019, 2018 and 2017, we recognized state net operating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resulting in a reduction in our income tax expense of $14 million, $22 million and $12 million, respectively.</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Tax Audit Settlements — </w:t>
      </w:r>
      <w:r>
        <w:rPr>
          <w:rFonts w:ascii="Arial" w:cs="Arial" w:eastAsia="Arial" w:hAnsi="Arial"/>
          <w:sz w:val="16"/>
          <w:szCs w:val="16"/>
          <w:color w:val="auto"/>
        </w:rPr>
        <w:t>We file income tax returns in the U.S. and Canada, as well as other state and local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We are currently under audit by various taxing authorities, as discussed below, and our audits are in various stages of completion. During the reported periods, we settled various tax audits which resulted in a reduction in our income tax expense of $2 million, $40 million and $2 million for the years ended December 31, 2019, 2018 and 2017, respectively.</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2019 tax years and expect these audits to be completed within the next 15 months. We are also currently undergoing audits by various state and local jurisdictions for tax years that date back to 2013.</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Enactment of Tax Reform – </w:t>
      </w:r>
      <w:r>
        <w:rPr>
          <w:rFonts w:ascii="Arial" w:cs="Arial" w:eastAsia="Arial" w:hAnsi="Arial"/>
          <w:sz w:val="18"/>
          <w:szCs w:val="18"/>
          <w:color w:val="auto"/>
        </w:rPr>
        <w:t>In accordance with applicable accounting guidance, the Company recognized the provisional</w:t>
      </w:r>
      <w:r>
        <w:rPr>
          <w:rFonts w:ascii="Arial" w:cs="Arial" w:eastAsia="Arial" w:hAnsi="Arial"/>
          <w:sz w:val="18"/>
          <w:szCs w:val="18"/>
          <w:i w:val="1"/>
          <w:iCs w:val="1"/>
          <w:color w:val="auto"/>
        </w:rPr>
        <w:t xml:space="preserve"> </w:t>
      </w:r>
      <w:r>
        <w:rPr>
          <w:rFonts w:ascii="Arial" w:cs="Arial" w:eastAsia="Arial" w:hAnsi="Arial"/>
          <w:sz w:val="18"/>
          <w:szCs w:val="18"/>
          <w:color w:val="auto"/>
        </w:rPr>
        <w:t>tax impacts and subsequent measurement period adjustments related to the remeasurement of our deferred income tax assets and liabilities and the one-time, mandatory transition tax on deemed repatriation of previously tax-deferred and unremitted foreign earnings, resulting in a reduction in our income tax expense of $12 million and $529 million for the years ended December 31, 2018 and 2017, respectively.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No additional income taxes have been provided for any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foreign earnings not subject to the one-time, mandatory transition tax, or any additional outside basis difference, as these amounts continue to be indefinitely reinvested in foreign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operating loss, capital loss and tax credit carry-forwards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and environmental remediation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Miscellaneous and other reserves, net</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0"/>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Goodwill and other intangibles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valuation allowance decreased by $99 million in 2019 primarily due to the utilization and expiration of federal capital loss carry-forwards.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we had $1.8 billion of state net operating loss carry-forwards with expiration dates through 2039. We also had $27 million of federal capital loss carry-forwards with expiration dates through 2024, $32 million of foreign tax credit carry-forwards with expiration dates through 2029 and $17 million of state tax credit carry-forwards with expiration dates through 2035.</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based on tax positions of prior years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Lapse of statute of limitations</w:t>
            </w:r>
          </w:p>
        </w:tc>
        <w:tc>
          <w:tcPr>
            <w:tcW w:w="9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liabilities are included as a component of other long-term liabilities in our Consolidated Balance Sheets because the Company does not anticipate that settlement of the liabilities will require payment of cash within the next 12 months. As of December 31, 2019, we have $33 million of net unrecognized tax benefits that, if recognized in future periods, would impact our effective income tax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interest expense related to unrecognized tax benefits in our income tax expense, which was not material for the reported periods. We did not have any accrued liabilities or expense for penalties related to unrecognized tax benefits for the reported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hired on or after January 1, 2018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$88 million, $80 million and $70 million for the years ended December 31, 2019, 2018 and 2017, respectively.</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Defined Benefit Plans (other than multiemployer defined benefit pension plans discussed below) — </w:t>
      </w:r>
      <w:r>
        <w:rPr>
          <w:rFonts w:ascii="Arial" w:cs="Arial" w:eastAsia="Arial" w:hAnsi="Arial"/>
          <w:sz w:val="16"/>
          <w:szCs w:val="16"/>
          <w:color w:val="auto"/>
        </w:rPr>
        <w:t>WM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2019, the combined benefit obligation of these pension plans was $141 million supported by $136 million of combined plan assets, resulting in an aggregate unfunded benefit obligation for these plans of $5 million. As of December 31, 2018, the combined benefit obligation of these pension plans was $120 million supported by $117 million of combined plan assets, resulting in an aggregate unfunded benefit obligation for these plans of $3 million.</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$14 million and $18 million as of December 31, 2019 and 2018, respectively.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accrued benefit liabilities for our defined benefit pension and other post-retirement plans were $19 million and $21 million as of December 31, 2019 and 2018, respectively, and are included as components of accrued liabilities and long-term other liabilities in our Consolidated Balance Sheets.</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w:t>
      </w:r>
      <w:r>
        <w:rPr>
          <w:rFonts w:ascii="Arial" w:cs="Arial" w:eastAsia="Arial" w:hAnsi="Arial"/>
          <w:sz w:val="16"/>
          <w:szCs w:val="16"/>
          <w:i w:val="1"/>
          <w:iCs w:val="1"/>
          <w:color w:val="auto"/>
        </w:rPr>
        <w:t xml:space="preserve"> </w:t>
      </w:r>
      <w:r>
        <w:rPr>
          <w:rFonts w:ascii="Arial" w:cs="Arial" w:eastAsia="Arial" w:hAnsi="Arial"/>
          <w:sz w:val="16"/>
          <w:szCs w:val="16"/>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w:t>
      </w:r>
    </w:p>
    <w:p>
      <w:pPr>
        <w:spacing w:after="0" w:line="5" w:lineRule="exact"/>
        <w:rPr>
          <w:sz w:val="20"/>
          <w:szCs w:val="20"/>
          <w:color w:val="auto"/>
        </w:rPr>
      </w:pPr>
    </w:p>
    <w:p>
      <w:pPr>
        <w:ind w:left="4440" w:right="1500" w:hanging="4431"/>
        <w:spacing w:after="0" w:line="762"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choose to stop participating in any of our Multiemployer Pension Plans, we may be required to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 those plans a withdrawal amount based on the underfunded status of the plan. The following table outlines our participation in Multiemployer Pension Plans considered to be individually significant (dollars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 Date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Pension Protection Act</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of Collective</w:t>
            </w: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EIN/Pension Plan</w:t>
            </w:r>
          </w:p>
        </w:tc>
        <w:tc>
          <w:tcPr>
            <w:tcW w:w="15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Reported Status(a)</w:t>
            </w:r>
          </w:p>
        </w:tc>
        <w:tc>
          <w:tcPr>
            <w:tcW w:w="92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auto"/>
                <w:w w:val="95"/>
              </w:rPr>
              <w:t>FIP/RP</w:t>
            </w:r>
          </w:p>
        </w:tc>
        <w:tc>
          <w:tcPr>
            <w:tcW w:w="1320" w:type="dxa"/>
            <w:vAlign w:val="bottom"/>
            <w:gridSpan w:val="6"/>
          </w:tcPr>
          <w:p>
            <w:pPr>
              <w:jc w:val="right"/>
              <w:spacing w:after="0"/>
              <w:rPr>
                <w:sz w:val="20"/>
                <w:szCs w:val="20"/>
                <w:color w:val="auto"/>
              </w:rPr>
            </w:pPr>
            <w:r>
              <w:rPr>
                <w:rFonts w:ascii="Arial" w:cs="Arial" w:eastAsia="Arial" w:hAnsi="Arial"/>
                <w:sz w:val="13"/>
                <w:szCs w:val="13"/>
                <w:b w:val="1"/>
                <w:bCs w:val="1"/>
                <w:color w:val="auto"/>
              </w:rPr>
              <w:t>Contributions(d)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9"/>
        </w:trPr>
        <w:tc>
          <w:tcPr>
            <w:tcW w:w="27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120" w:type="dxa"/>
            <w:vAlign w:val="bottom"/>
            <w:gridSpan w:val="2"/>
          </w:tcPr>
          <w:p>
            <w:pPr>
              <w:ind w:left="28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2019</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2018</w:t>
            </w: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8"/>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2019</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2018</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2017</w:t>
            </w:r>
          </w:p>
        </w:tc>
        <w:tc>
          <w:tcPr>
            <w:tcW w:w="14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Agreement(s)</w:t>
            </w:r>
          </w:p>
        </w:tc>
        <w:tc>
          <w:tcPr>
            <w:tcW w:w="0" w:type="dxa"/>
            <w:vAlign w:val="bottom"/>
          </w:tcPr>
          <w:p>
            <w:pPr>
              <w:spacing w:after="0"/>
              <w:rPr>
                <w:sz w:val="1"/>
                <w:szCs w:val="1"/>
                <w:color w:val="auto"/>
              </w:rPr>
            </w:pPr>
          </w:p>
        </w:tc>
      </w:tr>
      <w:tr>
        <w:trPr>
          <w:trHeight w:val="114"/>
        </w:trPr>
        <w:tc>
          <w:tcPr>
            <w:tcW w:w="258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9/30/2021</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Declining</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Declining</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20" w:type="dxa"/>
            <w:vAlign w:val="bottom"/>
            <w:gridSpan w:val="3"/>
          </w:tcPr>
          <w:p>
            <w:pPr>
              <w:spacing w:after="0" w:line="121" w:lineRule="exact"/>
              <w:rPr>
                <w:sz w:val="20"/>
                <w:szCs w:val="20"/>
                <w:color w:val="auto"/>
              </w:rPr>
            </w:pPr>
            <w:r>
              <w:rPr>
                <w:rFonts w:ascii="Arial" w:cs="Arial" w:eastAsia="Arial" w:hAnsi="Arial"/>
                <w:sz w:val="13"/>
                <w:szCs w:val="13"/>
                <w:color w:val="auto"/>
                <w:w w:val="96"/>
              </w:rPr>
              <w:t>Suburban Teamsters of Northern Illinois Pension</w:t>
            </w:r>
          </w:p>
        </w:tc>
        <w:tc>
          <w:tcPr>
            <w:tcW w:w="1120" w:type="dxa"/>
            <w:vAlign w:val="bottom"/>
            <w:gridSpan w:val="2"/>
          </w:tcPr>
          <w:p>
            <w:pPr>
              <w:spacing w:after="0" w:line="121" w:lineRule="exact"/>
              <w:rPr>
                <w:sz w:val="20"/>
                <w:szCs w:val="20"/>
                <w:color w:val="auto"/>
              </w:rPr>
            </w:pPr>
            <w:r>
              <w:rPr>
                <w:rFonts w:ascii="Arial" w:cs="Arial" w:eastAsia="Arial" w:hAnsi="Arial"/>
                <w:sz w:val="13"/>
                <w:szCs w:val="13"/>
                <w:color w:val="auto"/>
              </w:rPr>
              <w:t>EIN: 36-6155778;</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4"/>
              </w:rPr>
              <w:t>Endangered</w:t>
            </w:r>
          </w:p>
        </w:tc>
        <w:tc>
          <w:tcPr>
            <w:tcW w:w="920" w:type="dxa"/>
            <w:vAlign w:val="bottom"/>
            <w:gridSpan w:val="3"/>
          </w:tcPr>
          <w:p>
            <w:pPr>
              <w:jc w:val="center"/>
              <w:ind w:right="193"/>
              <w:spacing w:after="0" w:line="121" w:lineRule="exact"/>
              <w:rPr>
                <w:sz w:val="20"/>
                <w:szCs w:val="20"/>
                <w:color w:val="auto"/>
              </w:rPr>
            </w:pPr>
            <w:r>
              <w:rPr>
                <w:rFonts w:ascii="Arial" w:cs="Arial" w:eastAsia="Arial" w:hAnsi="Arial"/>
                <w:sz w:val="13"/>
                <w:szCs w:val="13"/>
                <w:color w:val="auto"/>
                <w:w w:val="90"/>
              </w:rPr>
              <w:t>Implemented</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72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Plan</w:t>
            </w:r>
          </w:p>
        </w:tc>
        <w:tc>
          <w:tcPr>
            <w:tcW w:w="112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3/31/2023</w:t>
            </w:r>
          </w:p>
        </w:tc>
        <w:tc>
          <w:tcPr>
            <w:tcW w:w="0" w:type="dxa"/>
            <w:vAlign w:val="bottom"/>
          </w:tcPr>
          <w:p>
            <w:pPr>
              <w:spacing w:after="0"/>
              <w:rPr>
                <w:sz w:val="1"/>
                <w:szCs w:val="1"/>
                <w:color w:val="auto"/>
              </w:rPr>
            </w:pPr>
          </w:p>
        </w:tc>
      </w:tr>
      <w:tr>
        <w:trPr>
          <w:trHeight w:val="121"/>
        </w:trPr>
        <w:tc>
          <w:tcPr>
            <w:tcW w:w="27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6"/>
              </w:rPr>
              <w:t>Western Conference of Teamsters Pension Plan</w:t>
            </w:r>
          </w:p>
        </w:tc>
        <w:tc>
          <w:tcPr>
            <w:tcW w:w="11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EIN: 91-6145047;</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920" w:type="dxa"/>
            <w:vAlign w:val="bottom"/>
            <w:gridSpan w:val="3"/>
            <w:shd w:val="clear" w:color="auto" w:fill="CCEEFF"/>
          </w:tcPr>
          <w:p>
            <w:pPr>
              <w:jc w:val="center"/>
              <w:ind w:right="193"/>
              <w:spacing w:after="0" w:line="121" w:lineRule="exact"/>
              <w:rPr>
                <w:sz w:val="20"/>
                <w:szCs w:val="20"/>
                <w:color w:val="auto"/>
              </w:rPr>
            </w:pPr>
            <w:r>
              <w:rPr>
                <w:rFonts w:ascii="Arial" w:cs="Arial" w:eastAsia="Arial" w:hAnsi="Arial"/>
                <w:sz w:val="13"/>
                <w:szCs w:val="13"/>
                <w:color w:val="auto"/>
                <w:w w:val="98"/>
              </w:rPr>
              <w:t>Not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920" w:type="dxa"/>
            <w:vAlign w:val="bottom"/>
            <w:gridSpan w:val="3"/>
            <w:shd w:val="clear" w:color="auto" w:fill="CCEEFF"/>
          </w:tcPr>
          <w:p>
            <w:pPr>
              <w:jc w:val="center"/>
              <w:ind w:right="193"/>
              <w:spacing w:after="0" w:line="135" w:lineRule="exact"/>
              <w:rPr>
                <w:sz w:val="20"/>
                <w:szCs w:val="20"/>
                <w:color w:val="auto"/>
              </w:rPr>
            </w:pPr>
            <w:r>
              <w:rPr>
                <w:rFonts w:ascii="Arial" w:cs="Arial" w:eastAsia="Arial" w:hAnsi="Arial"/>
                <w:sz w:val="13"/>
                <w:szCs w:val="13"/>
                <w:color w:val="auto"/>
                <w:w w:val="93"/>
              </w:rPr>
              <w:t>Applicable</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or Critical</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9"/>
              </w:rPr>
              <w:t>12/31/2024</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Contributions to other Multiemployer Pension</w:t>
            </w: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Plans</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720" w:type="dxa"/>
            <w:vAlign w:val="bottom"/>
            <w:gridSpan w:val="3"/>
          </w:tcPr>
          <w:p>
            <w:pPr>
              <w:spacing w:after="0" w:line="101" w:lineRule="exact"/>
              <w:rPr>
                <w:sz w:val="20"/>
                <w:szCs w:val="20"/>
                <w:color w:val="auto"/>
              </w:rPr>
            </w:pPr>
            <w:r>
              <w:rPr>
                <w:rFonts w:ascii="Arial" w:cs="Arial" w:eastAsia="Arial" w:hAnsi="Arial"/>
                <w:sz w:val="11"/>
                <w:szCs w:val="11"/>
                <w:color w:val="auto"/>
              </w:rPr>
              <w:t>Total contributions to Multiemployer Pension</w:t>
            </w: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4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72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Plans (e)</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1"/>
        <w:spacing w:after="0" w:line="255"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most recent Pension Protection Act zone status available in 2019 and 2018 is for the plan’s year-end as of December 31, 2018 and 2017,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As of the date the financial statements were issued, Forms 5500 were not available for the plan years ended in 2019.</w:t>
      </w:r>
    </w:p>
    <w:p>
      <w:pPr>
        <w:spacing w:after="0" w:line="140"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has been implemented.</w:t>
      </w:r>
    </w:p>
    <w:p>
      <w:pPr>
        <w:spacing w:after="0" w:line="62" w:lineRule="exact"/>
        <w:rPr>
          <w:rFonts w:ascii="Arial" w:cs="Arial" w:eastAsia="Arial" w:hAnsi="Arial"/>
          <w:sz w:val="18"/>
          <w:szCs w:val="18"/>
          <w:color w:val="auto"/>
        </w:rPr>
      </w:pPr>
    </w:p>
    <w:p>
      <w:pPr>
        <w:jc w:val="both"/>
        <w:ind w:left="340" w:hanging="331"/>
        <w:spacing w:after="0" w:line="279"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jc w:val="both"/>
        <w:ind w:left="340" w:hanging="331"/>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2018 and 2017.</w:t>
      </w:r>
    </w:p>
    <w:p>
      <w:pPr>
        <w:spacing w:after="0" w:line="73"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excludes contributions related to withdrawal liabilities discussed below.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2019, 2018 and 2017, we recognized charges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less than $1 million, $3 million and $12 million, respectively, to operating expenses for the withdrawal from certain underfunded Multiemployer Pension Plans. Refer to Note 11 for additional information related to our obligations to Multiemployer Pension Plans for which we have withdrawn or partially withdrawn.</w:t>
      </w:r>
    </w:p>
    <w:p>
      <w:pPr>
        <w:spacing w:after="0" w:line="18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i w:val="1"/>
          <w:iCs w:val="1"/>
          <w:color w:val="auto"/>
        </w:rPr>
        <w:t xml:space="preserve">Multiemployer Plan Benefits Other Than Pensions — </w:t>
      </w:r>
      <w:r>
        <w:rPr>
          <w:rFonts w:ascii="Arial" w:cs="Arial" w:eastAsia="Arial" w:hAnsi="Arial"/>
          <w:sz w:val="17"/>
          <w:szCs w:val="17"/>
          <w:color w:val="auto"/>
        </w:rPr>
        <w:t>During the years ended December 31, 2019, 2018 and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made contributions of $45 million, $43 million and $42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As of December 31, 2019, both our commercial General Liability Insurance Policy and our workers’ compensation insurance program carried self-insurance exposures of up to $5 million per incident. As of December 31, 2019, our automobile liability insurance program included a per-incident deductible of up to $10 million. Our receivable balance associated with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insurance claims was $126 million and $130 million as of December 31, 2019 and 2018, respectively. The changes to our insurance reserves for the years ended December 31 are summarized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9"/>
              </w:rPr>
              <w:t>2019(a)</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Self-insurance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and other</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color w:val="auto"/>
              </w:rPr>
              <w:t>Balance as of December 31</w:t>
            </w:r>
          </w:p>
        </w:tc>
        <w:tc>
          <w:tcPr>
            <w:tcW w:w="2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r>
      <w:tr>
        <w:trPr>
          <w:trHeight w:val="197"/>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Current portion as of December 31</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30"/>
        </w:trPr>
        <w:tc>
          <w:tcPr>
            <w:tcW w:w="2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Long-term portion as of December 31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7" w:lineRule="exact"/>
        <w:rPr>
          <w:sz w:val="20"/>
          <w:szCs w:val="20"/>
          <w:color w:val="auto"/>
        </w:rPr>
      </w:pPr>
    </w:p>
    <w:p>
      <w:pPr>
        <w:ind w:left="340" w:hanging="331"/>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and Financing Leases — </w:t>
      </w:r>
      <w:r>
        <w:rPr>
          <w:rFonts w:ascii="Arial" w:cs="Arial" w:eastAsia="Arial" w:hAnsi="Arial"/>
          <w:sz w:val="18"/>
          <w:szCs w:val="18"/>
          <w:color w:val="auto"/>
        </w:rPr>
        <w:t>Our operating and financing leases are discussed in Note 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680" w:hanging="320"/>
        <w:spacing w:after="0" w:line="253" w:lineRule="auto"/>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Disposal — </w:t>
      </w:r>
      <w:r>
        <w:rPr>
          <w:rFonts w:ascii="Arial" w:cs="Arial" w:eastAsia="Arial" w:hAnsi="Arial"/>
          <w:sz w:val="18"/>
          <w:szCs w:val="18"/>
          <w:color w:val="auto"/>
        </w:rPr>
        <w:t>We have several agreements expiring at various dates through 2052 that require us to dispose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number of tons at third-party disposal facilities. Under these put-or-pay agreements, we are required to pay for the agreed upon minimum volumes regardless of the actual number of tons placed at the facilities. Following the 2014 divestiture of our Wheelabrator business, which provides waste-to-energy services and manages waste-to-energy facilities and independent power production plants, we entered into several agreements to dispose of a minimum number of tons of waste at certain Wheelabrator facilities. These agreements generally provide for fixed volume commitments with certain market price resets through 2021. We generally fulfill our minimum contractual obligations by disposing of volumes collected in the ordinary course of business at these disposal facilities.</w:t>
      </w:r>
    </w:p>
    <w:p>
      <w:pPr>
        <w:spacing w:after="0" w:line="89"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Waste Paper — </w:t>
      </w:r>
      <w:r>
        <w:rPr>
          <w:rFonts w:ascii="Arial" w:cs="Arial" w:eastAsia="Arial" w:hAnsi="Arial"/>
          <w:sz w:val="18"/>
          <w:szCs w:val="18"/>
          <w:color w:val="auto"/>
        </w:rPr>
        <w:t>We are party to waste paper purchase agreements expiring at various dates through 2023 that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us to purchase a minimum number of tons of waste paper. The cost per ton we pay is based on market prices.</w:t>
      </w:r>
    </w:p>
    <w:p>
      <w:pPr>
        <w:spacing w:after="0" w:line="73" w:lineRule="exact"/>
        <w:rPr>
          <w:rFonts w:ascii="Arial" w:cs="Arial" w:eastAsia="Arial" w:hAnsi="Arial"/>
          <w:sz w:val="18"/>
          <w:szCs w:val="18"/>
          <w:color w:val="auto"/>
        </w:rPr>
      </w:pPr>
    </w:p>
    <w:p>
      <w:pPr>
        <w:jc w:val="both"/>
        <w:ind w:left="680" w:hanging="320"/>
        <w:spacing w:after="0" w:line="276"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 prior</w:t>
      </w:r>
      <w:r>
        <w:rPr>
          <w:rFonts w:ascii="Arial" w:cs="Arial" w:eastAsia="Arial" w:hAnsi="Arial"/>
          <w:sz w:val="17"/>
          <w:szCs w:val="17"/>
          <w:i w:val="1"/>
          <w:iCs w:val="1"/>
          <w:color w:val="auto"/>
        </w:rPr>
        <w:t xml:space="preserve"> </w:t>
      </w:r>
      <w:r>
        <w:rPr>
          <w:rFonts w:ascii="Arial" w:cs="Arial" w:eastAsia="Arial" w:hAnsi="Arial"/>
          <w:sz w:val="17"/>
          <w:szCs w:val="17"/>
          <w:color w:val="auto"/>
        </w:rPr>
        <w:t>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7.</w:t>
      </w:r>
    </w:p>
    <w:p>
      <w:pPr>
        <w:spacing w:after="0" w:line="1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unconditional purchase obligations are generally established in the ordinary course of our business and are structured in a manner that provides us with access to important resources at competitive, market-driven rates. As of December 31, 2019, our estimated minimum obligations associated with unconditional purchase obligations, which are not recognized in our Consolidated Balance Sheets, were $156 million in 2020, $143 million in 2021, $65 million in 2022, $57 million in 2023, $47 million in 2024 and $379 million thereafter.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2019.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w:t>
      </w:r>
    </w:p>
    <w:p>
      <w:pPr>
        <w:sectPr>
          <w:pgSz w:w="11900" w:h="16838" w:orient="portrait"/>
          <w:cols w:equalWidth="0" w:num="1">
            <w:col w:w="9060"/>
          </w:cols>
          <w:pgMar w:left="1420" w:top="611"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ongoing operations. Therefore, we do not expect these established arrangements to materially impact our future financial position, results of operations or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jc w:val="both"/>
        <w:ind w:left="680" w:hanging="320"/>
        <w:spacing w:after="0" w:line="255"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December 31, 2019, WM Holdings has fully and unconditionally guaranteed all of WM’s senior indebtedness, including its senior notes, $3.5 billion revolving credit facility and certain letter of credit facilities, which mature through 2049.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 See Note 22 for further discussion.</w:t>
      </w:r>
    </w:p>
    <w:p>
      <w:pPr>
        <w:spacing w:after="0" w:line="81"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WM and WM Holdings have guaranteed subsidiary debt obligations, including tax-exempt bonds, financing leases and other indebtedness. If a subsidiary fails to meet its obligations associated with its debt agreements as they come due, WM or WM Holdings will be required to perform under the related guarantee agreement. No additional liabilities have been recorded for these intercompany guarantees because all of the underlying obligations are reflected in our Consolidated Balance Sheets. See Note 7 for information related to the balances and maturities of these debt obligations.</w:t>
      </w:r>
    </w:p>
    <w:p>
      <w:pPr>
        <w:spacing w:after="0" w:line="85" w:lineRule="exact"/>
        <w:rPr>
          <w:rFonts w:ascii="Arial" w:cs="Arial" w:eastAsia="Arial" w:hAnsi="Arial"/>
          <w:sz w:val="18"/>
          <w:szCs w:val="18"/>
          <w:color w:val="auto"/>
        </w:rPr>
      </w:pPr>
    </w:p>
    <w:p>
      <w:pPr>
        <w:jc w:val="both"/>
        <w:ind w:left="680" w:hanging="320"/>
        <w:spacing w:after="0" w:line="286" w:lineRule="auto"/>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Before the divestiture of our Wheelabrator business in 2014,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 maximum financial obligation over the course of the relevant agreements. In February 2019, Wheelabrator was acquired by a third party, at which time we agreed to retain certain remaining guarantees. As of December 31, 2019, WM’s maximum future payments under these guarantees were $45 million. WM’s exposure under certain of the performance guarantees is variable and a maximum exposure is not defined. We have recorded the fair value of the operational and financial performance guarantees, some of which could extend through 2038 if not terminated, in our Consolidated Balance Sheets. We currently do not expect the financial impact of such operational and financial performance guarantees to materially exceed the recorded fair value.</w:t>
      </w:r>
    </w:p>
    <w:p>
      <w:pPr>
        <w:spacing w:after="0" w:line="60" w:lineRule="exact"/>
        <w:rPr>
          <w:rFonts w:ascii="Arial" w:cs="Arial" w:eastAsia="Arial" w:hAnsi="Arial"/>
          <w:sz w:val="16"/>
          <w:szCs w:val="16"/>
          <w:color w:val="auto"/>
        </w:rPr>
      </w:pPr>
    </w:p>
    <w:p>
      <w:pPr>
        <w:jc w:val="both"/>
        <w:ind w:left="680" w:hanging="320"/>
        <w:spacing w:after="0" w:line="291" w:lineRule="auto"/>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2019, we have agreements guaranteeing certain market value losses for certain properties adjacent to or near 18 of our landfills. We do not believe that these contingent obligations will have a material adverse effect on the Company’s financial position, results of operations or cash flows.</w:t>
      </w:r>
    </w:p>
    <w:p>
      <w:pPr>
        <w:spacing w:after="0" w:line="59" w:lineRule="exact"/>
        <w:rPr>
          <w:rFonts w:ascii="Arial" w:cs="Arial" w:eastAsia="Arial" w:hAnsi="Arial"/>
          <w:sz w:val="16"/>
          <w:szCs w:val="16"/>
          <w:color w:val="auto"/>
        </w:rPr>
      </w:pPr>
    </w:p>
    <w:p>
      <w:pPr>
        <w:jc w:val="both"/>
        <w:ind w:left="680" w:hanging="320"/>
        <w:spacing w:after="0" w:line="290" w:lineRule="auto"/>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w:t>
      </w:r>
    </w:p>
    <w:p>
      <w:pPr>
        <w:sectPr>
          <w:pgSz w:w="11900" w:h="16838" w:orient="portrait"/>
          <w:cols w:equalWidth="0" w:num="1">
            <w:col w:w="9060"/>
          </w:cols>
          <w:pgMar w:left="1420" w:top="611"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will have a material adverse effect on the Company’s business, financial condition, results of operations or cash flows.</w:t>
      </w:r>
    </w:p>
    <w:p>
      <w:pPr>
        <w:spacing w:after="0" w:line="62" w:lineRule="exact"/>
        <w:rPr>
          <w:sz w:val="20"/>
          <w:szCs w:val="20"/>
          <w:color w:val="auto"/>
        </w:rPr>
      </w:pPr>
    </w:p>
    <w:p>
      <w:pPr>
        <w:jc w:val="both"/>
        <w:ind w:left="680" w:hanging="320"/>
        <w:spacing w:after="0" w:line="255"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Environmental Matters — </w:t>
      </w:r>
      <w:r>
        <w:rPr>
          <w:rFonts w:ascii="Arial" w:cs="Arial" w:eastAsia="Arial" w:hAnsi="Arial"/>
          <w:sz w:val="18"/>
          <w:szCs w:val="18"/>
          <w:color w:val="auto"/>
        </w:rPr>
        <w:t>A significant portion of our operating costs and capital expenditures could be characterized as</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2019,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December 31, 2019 and 2018, the recorded liability for MIMC’s estimated potential share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EPA’s proposed remedy and related costs was $56 million and $55 million, respectively. MIMC’s ultimate liability could be materially different from current estimates.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193"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Multiemployer Pension Plans for the covered employees. Refer to Note 10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2018 and 2017, we recognized less than $1 million, $3 million and $12 million, respectively, of charges to operating expenses for the withdrawal from certain underfunded Multiemployer Pension Plans.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See Note 9 for additional discussion regarding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Asset Impairments and Unusual Items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divestitures</w:t>
            </w: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impairments</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6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During the year ended December 31, 2019, we recognized asset impairments of $42 million, related to (i) $27 million of goodwill impairment charges, as discussed further in Note 6, of which $17 million related to our EES organization and $10 million related to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w:t>
      </w:r>
    </w:p>
    <w:p>
      <w:pPr>
        <w:spacing w:after="0" w:line="2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 ended December 31, 2018, we recognized net gains of $58 million, primarily related to (i) a $52 million gain associated with the sale of certain collection and disposal operations in our Tier 1 segment and (ii) net gains of $44 million primarily all from divestitures of certain ancillary operations. These gains were partially offset by (i) a $30 million charge to impair a landfill in our Tier 3 segment based on an internally developed discounted projected cash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flow analysis, taking into account continued volume decreases and revised capping cost estimates and (ii) $8 million of impairment charges primarily related to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reporting unit.</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gains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jc w:val="both"/>
        <w:ind w:firstLine="9"/>
        <w:spacing w:after="0" w:line="255" w:lineRule="auto"/>
        <w:tabs>
          <w:tab w:leader="none" w:pos="2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 million of charges to adjust our subsidiary’s estimated potential share of an environmental remediation liability and related costs for a closed site in Harris County, Texas, as discussed in Note 11 and (iii) $7 million of charges to write down certain renewable energy assets.</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 and see Note 20 for additional information related to the impact of impairments on the results of operations of our reportable segments.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we recognized $29 million of impairment charges to write down equity method investments in waste diversion technology companies to their estimated fair values.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quarter of 2019, we recognized a $52 million impairment charge related to our minority-owned investment in a waste conversion technology business. We wrote down our investment to its estimated fair value as the result of recent third-party investor’s transactions in securities of this business.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year ended December 31, 2017, we recognized impairment charges of $11 million related to other-than-temporary declines in the value of minority-owned investments in waste diversion technology companies. We wrote down our investments to their estimated fair values which was primarily determined using an income approach based on estimated future cash flow projections and, to a lesser extent, third-party investors’ recent transactions in these securities.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WM stockholders’ equity, are as follows (in millions, with amounts in parentheses representing decreases to accumulated other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w w:val="99"/>
              </w:rPr>
              <w:t>of tax expense (benefit) of $0, $2, $0 and $1,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(income) loss, net of tax (expense) benefit of $5, $(1), $0 and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w w:val="99"/>
              </w:rPr>
              <w:t>of tax expense (benefit) of $0, $2, $0 and $1,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(income) loss, net of tax (expense) benefit of $3, $0, $0 and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of tax expense (benefit) of $0, $5, $0 and $1,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w w:val="95"/>
              </w:rPr>
              <w:t>(income) loss, net of tax (expense) benefit of $3, $0, $0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$0, respectively</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As of January 1, 2018, we adopted ASU 2018-02 and reclassified stranded tax effects to retained earnings.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had no derivatives outstanding during the reported periods. Amounts reclassified to interest expense associated with our previously terminated cash flow hedges were $11 million, or $8 million net of tax expense, for 2019, $11 million, or $8 million net of tax expense, for 2018 and $12 million, or $7 million net of tax expense, for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Stock, Dividends and Common Stock Repurchase Program</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2019, we had 424.3 million shares of common stock issued and outstanding. The Board of Directors is authorized to issue preferred stock in series, and with respect to each series, to fix its designation, relative rights (including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voting, dividend, conversion, sinking fund, and redemption rights), preferences (including dividends and liquidation) and limitations. We have 10 million shares of authorized preferred stock, $0.01 par value, none of which is currently outstanding.</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$876 million in 2019, or $2.05 per common share, $802 million in 2018, or $1.86 per common share, and $750 million in 2017, or $1.70 per common share.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we announced that our Board of Directors expects to increase the quarterly dividend from $0.5125 to $0.545 per share for dividends declared in 2020.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Shares repurchased are reflected in the period the shares are delivered to us. The following is a summary of our share repurchases under our common stock repurchase program for the years ended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2019(a)</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2018(b)</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2017(c)</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w:t>
            </w: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108.60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77.67</w:t>
            </w: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jc w:val="both"/>
        <w:ind w:left="340" w:hanging="331"/>
        <w:spacing w:after="0" w:line="255"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2019, we executed and completed an ASR agreement to repurchase $180 million of our common stock and received 1.6 million shares in connection with this ASR agreement. We also repurchased an additional 0.7 million shares of our common stock in open market transactions in compliance with Rule 10b5-1 and Rule 10b-18 of the Exchange Act for $64 million, inclusive of per-share commissions. As a result of the pending acquisition of Advanced Disposal discussed in Note 18, we limited our 2019 share repurchases to an amount sufficient to offset dilution impacts from our stock-based compensation plans.</w:t>
      </w:r>
    </w:p>
    <w:p>
      <w:pPr>
        <w:spacing w:after="0" w:line="85" w:lineRule="exact"/>
        <w:rPr>
          <w:rFonts w:ascii="Arial" w:cs="Arial" w:eastAsia="Arial" w:hAnsi="Arial"/>
          <w:sz w:val="18"/>
          <w:szCs w:val="18"/>
          <w:color w:val="auto"/>
        </w:rPr>
      </w:pPr>
    </w:p>
    <w:p>
      <w:pPr>
        <w:jc w:val="both"/>
        <w:ind w:left="340" w:hanging="331"/>
        <w:spacing w:after="0" w:line="279"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2018, we executed and completed four ASR agreements to repurchase $850 million of our common stock and we received 9.8 million shares in connection with these ASR agreements. We also repurchased an additional 1.9 million shares of our common stock in open market transactions in compliance with Rule 10b5-1 and Rule 10b-18 of the Exchange Act for $158 million, inclusive of per-share commissions, which includes $4 million paid in 2019.</w:t>
      </w:r>
    </w:p>
    <w:p>
      <w:pPr>
        <w:spacing w:after="0" w:line="63" w:lineRule="exact"/>
        <w:rPr>
          <w:rFonts w:ascii="Arial" w:cs="Arial" w:eastAsia="Arial" w:hAnsi="Arial"/>
          <w:sz w:val="17"/>
          <w:szCs w:val="17"/>
          <w:color w:val="auto"/>
        </w:rPr>
      </w:pPr>
    </w:p>
    <w:p>
      <w:pPr>
        <w:ind w:left="340" w:hanging="331"/>
        <w:spacing w:after="0" w:line="342"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2017, we executed and completed two ASR agreements to repurchase $750 million of our common stock. Our “Shares repurchased” includes the 0.4 million shares related to the ASR agreement executed in November 2016.</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December 2019, we publicly confirmed that the Company has $1.32 billion remaining on its existing Board of Directors’ authorization to repurchase shares of the Company’s common stock. Any future share repurchases will be made at the discretion of management and will depend on factors similar to those considered by the Board of Directors in making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declarations, including our net earnings, financial condition and cash required for future business plans, growth and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Equity-Based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2019, 2018 and 2017 was approximately 537,000, 582,000 and 594,000, respectively. After the January 2020 issuance of shares associated with the July to December 2019 offering period, 0.8 million shares remain available for issuance under the ESPP.</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our ESPP, annual compensation expense increased by $10 million, or $7 million net of tax expense, for 2019, $9 million, or $7 million net of tax expense, for 2018 and $7 million, or $4 million net of tax expense, for 2017.</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As of December 31, 2019, approximately 20.0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2019 annual Incentive Plan awards granted to the Company’s senior leadership team, which generally includes the Company’s executive officers, included a combination of PSUs and stock options. The annual Incentive Plan awards granted to other eligible employees included a combination of PSUs, RSUs and stock options in 2019. The Company also periodically grants RSUs to employees working on key initiatives, in connection with new hires and promotions and to field-based managers.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2019, 2018 and 2017 was $15 million, $13 million and $12 million, respectively. During the year ended December 31, 2019, we issued approximately 106,000 shares of common stock for these vested RSUs, net of approximately 45,000 units deferred or used for payment of associated taxes.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generally payout at the end of the three-year vesting period and become immediately vested in the event of an employee’s death or disability.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total shareholder return relative to the S&amp;P 500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determination of achievement of performance results and corresponding vesting of PSUs for the three-year performance period ended December 31, 2019 was performed by the Management Development and Compensation Committee in February 2020. Accordingly, vesting information for such awards is not included in the table above as of December 31, 2019. The “vested” PSUs are for the three-year performance period ended December 31, 2018, as achievement of performance results and corresponding vesting was determined in February 2019. The Company’s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results, as measured for purposes of these awards, achieved the maximum performance criteria. Accordingly, recipients of these PSU awards were entitled to receive a payout of 200% of the vested TSR PSUs and Cash Flow PSUs. In February 2019, approximately 853,000 PSUs vested and we issued approximately 532,000 shares of common stock for these vested PSUs, net of units deferred or used for payment of associated taxes. The shares of common stock that were issued or deferred during the years ended December 31, 2019, 2018 and 2017 for prior PSU award grants had a fair market value of $84 million, $78 million and $80 million, respectively.</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The terms of the award agreements for outstanding PSUs provide for continued vesting following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2019, we had approximately 225,000 vested deferred units outstanding.</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Stock options granted vest primarily in 25% increments on the first two anniversaries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with the remaining 50% 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 (a)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Exercisable as of December 31, 2019 (b)</w:t>
            </w: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line="20" w:lineRule="exact"/>
              <w:rPr>
                <w:sz w:val="1"/>
                <w:szCs w:val="1"/>
                <w:color w:val="auto"/>
              </w:rPr>
            </w:pPr>
          </w:p>
        </w:tc>
      </w:tr>
      <w:tr>
        <w:trPr>
          <w:trHeight w:val="197"/>
        </w:trPr>
        <w:tc>
          <w:tcPr>
            <w:tcW w:w="668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2,063</w:t>
            </w:r>
          </w:p>
        </w:tc>
        <w:tc>
          <w:tcPr>
            <w:tcW w:w="3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1"/>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Stock options outstanding as of December 31, 2019 have a weighted average remaining contractual term of 6.5 years and an aggregate intrinsic value of $174 million based on the market value of our common stock on December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40" w:right="20" w:hanging="331"/>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exercisable as of December 31, 2019 have an aggregate intrinsic value of $126 million based on the market value of our common stock on December 31, 2019.</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received cash proceeds of $67 million, $52 million and $95 million during the years ended December 31, 2019, 2018 and 2017, respectively, from employee stock option exercises. The aggregate intrinsic value of stock options exercised during the years ended December 31, 2019, 2018 and 2017 was $71 million, $41 million and $71 million,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exercisable as of December 31, 2019 were as follows (options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7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Share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8"/>
              </w:rPr>
              <w:t>Remaining Years</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$33.49-$50.00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$50.01-$70.00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55.58</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$70.01-$98.90</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$33.49-$98.90</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2019, 2018 and 2017 was $12.22, $12.16 and $11.71, respectively. The fair value of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15.5 %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17.9 %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15.3 %</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2.3 %</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1.7 %</w:t>
            </w:r>
          </w:p>
        </w:tc>
      </w:tr>
    </w:tbl>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years ended December 31, 2019, 2018 and 2017, we recognized $75 million, $79 million and $92 million, respectively, of compensation expense associated with RSU, PSU and stock option awards as a component of selling, general and administrative expenses in our Consolidated Statements of Operations. Our income tax expense for the years ended December 31, 2019, 2018 and 2017 includes related income tax benefits of $17 million, $17 million and $36 million, respectively. We have not capitalized any equity-based compensation costs during the reported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higher compensation expense in 2017 was primarily due to charges related to the retirement treatment for unexercised stock options of certain former employees. As of December 31, 2019, we estimate that $40 million of currently unrecognized compensation expense will be recognized over a weighted average period of 1.5 years for our unvested RSU, PSU and stock option awards issued and outstanding.</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220"/>
              <w:spacing w:after="0" w:line="201" w:lineRule="exact"/>
              <w:rPr>
                <w:sz w:val="20"/>
                <w:szCs w:val="20"/>
                <w:color w:val="auto"/>
              </w:rPr>
            </w:pPr>
            <w:r>
              <w:rPr>
                <w:rFonts w:ascii="Arial" w:cs="Arial" w:eastAsia="Arial" w:hAnsi="Arial"/>
                <w:sz w:val="18"/>
                <w:szCs w:val="18"/>
                <w:color w:val="auto"/>
                <w:w w:val="94"/>
              </w:rPr>
              <w:t>Dilutive effect of equity-based compensation awards and other contingently issuable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180" w:type="dxa"/>
            <w:vAlign w:val="bottom"/>
            <w:vMerge w:val="continue"/>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260" w:right="20"/>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jc w:val="both"/>
        <w:ind w:left="260" w:right="2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participants would use in pricing an asset or liability, including assumptions about risk when appropriate. Our assets and liabilities that are measured at fair value on a recurring basis include the following as of December 31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Quoted prices in active markets (Level 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Cash equivalents and 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3,527</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Significant other observable inputs (Level 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Significant unobservable inputs (Level 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Cash Equivalents and Money Market Funds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equivalents primarily include short-term interest-bearing instruments with maturities of three months or less. We invest portions of our restricted trust and escrow account balances in money market funds and we measure the fair value of these investments using quoted prices in active markets for identical assets. The fair value of our cash equivalents and money market funds approximates our cost basis in these instruments. The increase in 2019 is primarily due to proceeds from our May 2019 issuance of senior notes and our September 2019 issuance of Canadian senior notes. See Note 7 for additional information.</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available-for-sale securities include restricted trust and escrow account balances and an investment in an unconsolidated entity, as discussed in Note 19. We invest primarily in debt securities, including U.S. Treasury securities, U.S. agency securities, municipal securities and mortgage- and asset-backed securities, which generally mature over the next 10 years. Additionally, some funds are invested in equity securities.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Redeemable preferred stock is related to noncontrolling investments in unconsolidated entities and is included in investments in unconsolidated entities in our Consolidated Balance Sheets. The fair value of our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In the first quarter of 2019, we redeemed our preferred stock received in conjunction with the 2014 sale of our Puerto Rico operations for $17 million. At the time of redemption, the value of redeemable preferred stock was $20 million, resulting in a $3 million loss on investment.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2019 and 2018, the carrying value of our debt was $13.5 billion and $10.0 billion, respectively. The estimated fair value of our debt was approximately $14.5 billion and $10.1 billion as of December 31, 2019 and 2018, respectively. The increase in the fair value of our debt in 2019 is primarily related to net borrowings of $3.1 billion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(inclusive of net commercial paper repayments), which are discussed further in Note 7, and decreases in current market rates for similar types of instruments.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2019 and 2018. These amounts have not been revalued since those dates, and current estimates of fair value could differ significantly from the amounts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Acquisitions and Divestitures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14, 2019, we entered into an Agreement and Plan of Merger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On June 28, 2019, Advanced Disposal announced that 85.9% of the outstanding shares of its common stock entitled to vote were voted in favor of the proposal to adopt the Merger Agreement at a special meeting of stockholders held that day. We anticipate that we will obtain antitrust regulatory approval by the end of March 2020 and close the Advanced Disposal transaction soon thereafter.</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continue to pursue the acquisition of businesses that are accretive to our Solid Waste business and enhance and expand our existing service offerings. During the year ended December 31, 2019, we acquired 18 businesses primarily related to our Solid Waste business. Total consideration, net of cash acquired, for all acquisitions was $515 million, which included $501 million in cash paid and other consideration of $14 million, primarily purchase price holdbacks. In 2019, we paid $6 million of contingent consideration, of which $4 million was related to acquisitions completed prior to 2019. In addition, we paid $20 million of holdbacks, of which $9 million related to current year acquisitions. Contingent consideration obligations are primarily based on achievement by the acquired businesses of certain negotiated goals, which generally include targeted financial metrics.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consideration for our 2019 acquisitions was primarily allocated to $350 million of property and equipment, $53 million of other intangible assets and $111 million of goodwill. Other intangible assets included $38 million of customer and supplier relationships and $15 million of covenants not-to-compete. The goodwill was primarily a result of expected synergies from combining the acquired businesses with our existing operations and was tax deductible.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Petro Waste Environmental LP (“Petro Waste”) </w:t>
      </w:r>
      <w:r>
        <w:rPr>
          <w:rFonts w:ascii="Arial" w:cs="Arial" w:eastAsia="Arial" w:hAnsi="Arial"/>
          <w:sz w:val="17"/>
          <w:szCs w:val="17"/>
          <w:color w:val="auto"/>
        </w:rPr>
        <w:t>— On March 8, 2019, Waste Management Energy Services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LLC, an indirect wholly-owned subsidiary of WM, acquired Petro Waste. The acquired business provides comprehensive oilfield environmental services and solid waste disposal facilities in the Permian Basin and the Eagle Ford Shale. The acquisition has expanded our offerings and enhanced the quality of solid waste disposal services for oil and gas exploration and production operations in Texas. Our purchase price was primarily allocated to seven landfills, which are included in our property and equipment. The acquisition accounting for this transaction was finalized in 2019 and was funded with borrowings under our commercial paper program. For the year ended December 31, 2019, the impact of the acquisition was not material to our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2018, we acquired 32 businesses primarily related to our Solid Waste business. Total consideration, net of cash acquired, for all acquisitions was $471 million, which included $440 million in cash paid and $31 million of other consideration, primarily purchase price holdbacks. In 2018, we paid $6 million of contingent consideration associated with acquisitions completed prior to 2018. In addition, we paid $20 million of holdbacks, of which $15 million related to current year acquisitions.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consideration for our 2018 acquisitions was primarily allocated to $115 million of property and equipment, $141 million of other intangible assets and $248 million of goodwill. Other intangible assets included $124 million of customer and supplier relationships, $16 million of covenants not-to-compete and $1 million of other intangible assets. The goodwill is primarily a result of expected synergies from combining the acquired businesses with our existing operations and substantially all is tax deductible.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2017, we acquired 24 businesses related to our Solid Waste business. Total consideration, net of cash acquired, for all acquisitions was $205 million, which included $183 million in cash paid and other consideration of $22 million, primarily purchase price holdbacks. In 2017, we paid $3 million of contingent consideration associated with acquisitions completed prior to 2017. In addition, we paid $14 million of holdbacks, of which $13 million related to 2017 acquisitions.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consideration for our 2017 acquisitions was primarily allocated to $127 million of property and equipment, $46 million of other intangible assets and $39 million of goodwill. Other intangible assets included $39 million of customer and supplier relationships and $7 million of covenants not-to-compete. The goodwill was primarily a result of expected synergies from combining the acquired businesses with our existing operations and was tax deductible.</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2019, 2018 and 2017, the aggregate sales price for divestitures of certain hauling and ancillary operations was $8 million, $153 million and $62 million and we recognized net losses of less than $1 million, net gains of $96 million and net gains of $38 million, respectively. These divestitures were made as part of our continuous focus on improving or divesting certain non-strategic or underperforming operations. The remaining amounts reported in the Consolidated Statements of Cash Flows generally relate to the sale of fixed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$309 million and $189 million as of December 31, 2019 and 2018, respectively. The debt balance related to our investments in low-income housing properties was $269 million and $151 million as of December 31, 2019 and 2018, respectively. Additional information related to these investments is discussed in Note 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Unconsolidated Variable Interest Entities — </w:t>
      </w:r>
      <w:r>
        <w:rPr>
          <w:rFonts w:ascii="Arial" w:cs="Arial" w:eastAsia="Arial" w:hAnsi="Arial"/>
          <w:sz w:val="16"/>
          <w:szCs w:val="16"/>
          <w:color w:val="auto"/>
        </w:rPr>
        <w:t>Trust funds that are established for both the benefit of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host community in which we operate are not consolidated because we are not the primary beneficiary of these entities as</w:t>
      </w:r>
    </w:p>
    <w:p>
      <w:pPr>
        <w:jc w:val="both"/>
        <w:ind w:firstLine="9"/>
        <w:spacing w:after="0" w:line="252" w:lineRule="auto"/>
        <w:tabs>
          <w:tab w:leader="none" w:pos="2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$101 million and $92 million as of December 31, 2019 and 2018, respectively.</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These trust funds are recorded in restricted trust and escrow accounts in our Consolidated Balance Sheets. Unrealized gains and losses on available-for-sale securities held by these trusts are recorded as a component of accumulated other comprehensive income (loss). These trusts had a fair value of $109 million and $103 million as of December 31,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In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divestments, business mix and the economic climate of various geographies. As a result, we reclassified Western Canada from Tier 1 to Tier 2 and Northern California from Tier 3 to Tier 2. Reclassifications have been made to our prior period consolidated financial information to conform to the current year presentation.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Tier 1 is comprised of our operations across the Southern U.S., with the exception of Southern California and the Florida peninsula, and also includes the New England states and the tri-state area of Michigan, Indiana and Ohio. Tier 2 includes California, Canada, Wisconsin and Minnesota. Tier 3 encompasses all the remaining operations including the Pacific Northwest, the Mid-Atlantic region of the U.S., the Florida peninsula, Illinois and Missouri.</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years then ended is shown in the following table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Intercompany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Expenditures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2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7"/>
              </w:rPr>
              <w:t>Years Ended December 31:</w:t>
            </w:r>
          </w:p>
        </w:tc>
        <w:tc>
          <w:tcPr>
            <w:tcW w:w="4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Revenues(c)</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(d)(e)</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(g)(h)</w:t>
            </w:r>
          </w:p>
        </w:tc>
        <w:tc>
          <w:tcPr>
            <w:tcW w:w="0" w:type="dxa"/>
            <w:vAlign w:val="bottom"/>
          </w:tcPr>
          <w:p>
            <w:pPr>
              <w:spacing w:after="0"/>
              <w:rPr>
                <w:sz w:val="1"/>
                <w:szCs w:val="1"/>
                <w:color w:val="auto"/>
              </w:rPr>
            </w:pPr>
          </w:p>
        </w:tc>
      </w:tr>
      <w:tr>
        <w:trPr>
          <w:trHeight w:val="156"/>
        </w:trPr>
        <w:tc>
          <w:tcPr>
            <w:tcW w:w="22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28,010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1,619</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Tier 3</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14,832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17,370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17,370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14,485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1"/>
        <w:spacing w:after="0" w:line="297"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“Other” includes (i) our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0" w:lineRule="exact"/>
        <w:rPr>
          <w:rFonts w:ascii="Arial" w:cs="Arial" w:eastAsia="Arial" w:hAnsi="Arial"/>
          <w:sz w:val="16"/>
          <w:szCs w:val="16"/>
          <w:color w:val="auto"/>
        </w:rPr>
      </w:pPr>
    </w:p>
    <w:p>
      <w:pPr>
        <w:ind w:left="340" w:right="20" w:hanging="331"/>
        <w:spacing w:after="0" w:line="342"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Corporate operating results reflect certain costs incurred for various support services that are not allocated to our reportable segments. These support services include, among other things, treasury, legal, information technology, tax,</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39" w:lineRule="exact"/>
        <w:rPr>
          <w:sz w:val="20"/>
          <w:szCs w:val="20"/>
          <w:color w:val="auto"/>
        </w:rPr>
      </w:pPr>
    </w:p>
    <w:p>
      <w:pPr>
        <w:jc w:val="both"/>
        <w:ind w:left="340" w:hanging="331"/>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3"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spacing w:after="0" w:line="62" w:lineRule="exact"/>
        <w:rPr>
          <w:rFonts w:ascii="Arial" w:cs="Arial" w:eastAsia="Arial" w:hAnsi="Arial"/>
          <w:sz w:val="18"/>
          <w:szCs w:val="18"/>
          <w:color w:val="auto"/>
        </w:rPr>
      </w:pPr>
    </w:p>
    <w:p>
      <w:pPr>
        <w:jc w:val="both"/>
        <w:ind w:left="340" w:hanging="331"/>
        <w:spacing w:after="0" w:line="25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Refer to Note 12 for explanations of certain transactions and events affecting our operating results.</w:t>
      </w:r>
    </w:p>
    <w:p>
      <w:pPr>
        <w:spacing w:after="0" w:line="80" w:lineRule="exact"/>
        <w:rPr>
          <w:rFonts w:ascii="Arial" w:cs="Arial" w:eastAsia="Arial" w:hAnsi="Arial"/>
          <w:sz w:val="18"/>
          <w:szCs w:val="18"/>
          <w:color w:val="auto"/>
        </w:rPr>
      </w:pPr>
    </w:p>
    <w:p>
      <w:pPr>
        <w:jc w:val="both"/>
        <w:ind w:left="340" w:right="20" w:hanging="331"/>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spacing w:after="0" w:line="73" w:lineRule="exact"/>
        <w:rPr>
          <w:rFonts w:ascii="Arial" w:cs="Arial" w:eastAsia="Arial" w:hAnsi="Arial"/>
          <w:sz w:val="18"/>
          <w:szCs w:val="18"/>
          <w:color w:val="auto"/>
        </w:rPr>
      </w:pPr>
    </w:p>
    <w:p>
      <w:pPr>
        <w:ind w:left="340" w:right="20" w:hanging="331"/>
        <w:spacing w:after="0" w:line="277" w:lineRule="auto"/>
        <w:tabs>
          <w:tab w:leader="none" w:pos="3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6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as reported above</w:t>
            </w:r>
          </w:p>
        </w:tc>
        <w:tc>
          <w:tcPr>
            <w:tcW w:w="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$ 28,010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$ 22,896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22,116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$ 27,743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$ 22,650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21,829</w:t>
            </w:r>
          </w:p>
        </w:tc>
      </w:tr>
      <w:tr>
        <w:trPr>
          <w:trHeight w:val="20"/>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340" w:hanging="331"/>
        <w:spacing w:after="0" w:line="259" w:lineRule="auto"/>
        <w:tabs>
          <w:tab w:leader="none" w:pos="3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Areas and our recycling brokerage services are included as part of our “Other” operations. The following table presents changes in goodwill during the reported periods by segment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Solid Waste</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5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Tier 1</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Tier 2</w:t>
            </w:r>
          </w:p>
        </w:tc>
        <w:tc>
          <w:tcPr>
            <w:tcW w:w="6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Tier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$ 2,117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6,247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$ 2,193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$ 1,584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$ 2,556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6,430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goodwill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Divested goodwill</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$ 2,283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6,532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0" w:right="2880" w:hanging="4391"/>
        <w:spacing w:after="0" w:line="904" w:lineRule="auto"/>
        <w:tabs>
          <w:tab w:leader="none" w:pos="3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$3 million of post-closing adjustments related to prior year acquisitions.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Residential</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collection</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Landfill</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Recycling</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ind w:left="340" w:hanging="331"/>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w:t>
      </w:r>
    </w:p>
    <w:p>
      <w:pPr>
        <w:spacing w:after="0" w:line="23" w:lineRule="exact"/>
        <w:rPr>
          <w:rFonts w:ascii="Arial" w:cs="Arial" w:eastAsia="Arial" w:hAnsi="Arial"/>
          <w:sz w:val="18"/>
          <w:szCs w:val="18"/>
          <w:color w:val="auto"/>
        </w:rPr>
      </w:pPr>
    </w:p>
    <w:p>
      <w:pPr>
        <w:jc w:val="both"/>
        <w:ind w:left="340" w:hanging="7"/>
        <w:spacing w:after="0" w:line="271" w:lineRule="auto"/>
        <w:tabs>
          <w:tab w:leader="none" w:pos="6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 Activity related to collection, landfill, transfer and recycling has been reclassified to the appropriate line of business for purposes of presentation.</w:t>
      </w:r>
    </w:p>
    <w:p>
      <w:pPr>
        <w:spacing w:after="0" w:line="70" w:lineRule="exact"/>
        <w:rPr>
          <w:rFonts w:ascii="Arial" w:cs="Arial" w:eastAsia="Arial" w:hAnsi="Arial"/>
          <w:sz w:val="17"/>
          <w:szCs w:val="17"/>
          <w:color w:val="auto"/>
        </w:rPr>
      </w:pPr>
    </w:p>
    <w:p>
      <w:pPr>
        <w:ind w:left="340" w:right="20" w:hanging="331"/>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13,768</w:t>
            </w: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15,455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net of accumulated depreciation and amortization, relating to operations in the U.S. and Canada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3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940" w:type="dxa"/>
            <w:vAlign w:val="bottom"/>
            <w:vMerge w:val="restart"/>
          </w:tcPr>
          <w:p>
            <w:pPr>
              <w:jc w:val="right"/>
              <w:ind w:right="1690"/>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11" w:right="14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2019 and 2018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ongoing results. The following items significantly impacted our operating results during the periods indicated: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2019</w:t>
      </w:r>
    </w:p>
    <w:p>
      <w:pPr>
        <w:spacing w:after="0" w:line="117" w:lineRule="exact"/>
        <w:rPr>
          <w:sz w:val="20"/>
          <w:szCs w:val="20"/>
          <w:color w:val="auto"/>
        </w:rPr>
      </w:pPr>
    </w:p>
    <w:p>
      <w:pPr>
        <w:jc w:val="both"/>
        <w:ind w:left="680" w:hanging="320"/>
        <w:spacing w:after="0" w:line="259"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recognition of (i) a $52 million impairment charge related to our minority-owned investment in a waste conversion technology business, which was not deductible for tax purposes and (ii) a $3 million loss upon redemption of a preferred stock investment, which is discussed further in Note 17. These charges had a negative impact of $0.13 on our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2019</w:t>
      </w:r>
    </w:p>
    <w:p>
      <w:pPr>
        <w:spacing w:after="0" w:line="117" w:lineRule="exact"/>
        <w:rPr>
          <w:sz w:val="20"/>
          <w:szCs w:val="20"/>
          <w:color w:val="auto"/>
        </w:rPr>
      </w:pPr>
    </w:p>
    <w:p>
      <w:pPr>
        <w:jc w:val="both"/>
        <w:ind w:left="680" w:hanging="320"/>
        <w:spacing w:after="0" w:line="264"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recognition of a pre-tax loss of $84 million associated with the early extinguishment of $257 million of our high-coupon senior notes through a cash tender offer, which is discussed further in Note 7. The charge incurred for the redemption had a negative impact of $0.15 on our diluted earnings per share.</w:t>
      </w:r>
    </w:p>
    <w:p>
      <w:pPr>
        <w:spacing w:after="0" w:line="73"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recognition of pre-tax charges of $32 million primarily related to (i) a $16 million non-cash charge to write-off certain equipment costs; (ii) $9 million of charges related to preparation for our pending acquisition of Advanced Disposal and (iii) $7 million of asset impairments primarily related to certain solid waste operations. These charges had a negative impact of $0.06 on our diluted earnings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2019</w:t>
      </w:r>
    </w:p>
    <w:p>
      <w:pPr>
        <w:spacing w:after="0" w:line="117" w:lineRule="exact"/>
        <w:rPr>
          <w:sz w:val="20"/>
          <w:szCs w:val="20"/>
          <w:color w:val="auto"/>
        </w:rPr>
      </w:pPr>
    </w:p>
    <w:p>
      <w:pPr>
        <w:ind w:left="680" w:right="20" w:hanging="320"/>
        <w:spacing w:after="0" w:line="277" w:lineRule="auto"/>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recognition of pre-tax charges of $8 million related to preparation for our pending acquisition of Advanced Disposal which had a negative impact of $0.02 on our diluted earnings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2019</w:t>
      </w:r>
    </w:p>
    <w:p>
      <w:pPr>
        <w:spacing w:after="0" w:line="117" w:lineRule="exact"/>
        <w:rPr>
          <w:sz w:val="20"/>
          <w:szCs w:val="20"/>
          <w:color w:val="auto"/>
        </w:rPr>
      </w:pPr>
    </w:p>
    <w:p>
      <w:pPr>
        <w:jc w:val="both"/>
        <w:ind w:left="680" w:hanging="320"/>
        <w:spacing w:after="0" w:line="286" w:lineRule="auto"/>
        <w:tabs>
          <w:tab w:leader="none" w:pos="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recognition of pre-tax charges of $38 million primarily related to preparation for our pending acquisition of Advanced Disposal and, to a lesser extent, costs incurred to support our plan to implement a new enterprise resource planning system. These charges had a negative impact of $0.07 on our diluted earnings per share.</w:t>
      </w:r>
    </w:p>
    <w:p>
      <w:pPr>
        <w:spacing w:after="0" w:line="57" w:lineRule="exact"/>
        <w:rPr>
          <w:rFonts w:ascii="Arial" w:cs="Arial" w:eastAsia="Arial" w:hAnsi="Arial"/>
          <w:sz w:val="17"/>
          <w:szCs w:val="17"/>
          <w:color w:val="auto"/>
        </w:rPr>
      </w:pPr>
    </w:p>
    <w:p>
      <w:pPr>
        <w:jc w:val="both"/>
        <w:ind w:left="680" w:hanging="320"/>
        <w:spacing w:after="0" w:line="238" w:lineRule="auto"/>
        <w:tabs>
          <w:tab w:leader="none" w:pos="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recognition of pre-tax charges of $37 million related to (i) goodwill impairment charges of $17 million related to our EES organization and $10 million related to our LampTracker</w:t>
      </w:r>
      <w:r>
        <w:rPr>
          <w:rFonts w:ascii="Arial" w:cs="Arial" w:eastAsia="Arial" w:hAnsi="Arial"/>
          <w:sz w:val="26"/>
          <w:szCs w:val="26"/>
          <w:color w:val="auto"/>
          <w:vertAlign w:val="superscript"/>
        </w:rPr>
        <w:t>®</w:t>
      </w:r>
      <w:r>
        <w:rPr>
          <w:rFonts w:ascii="Arial" w:cs="Arial" w:eastAsia="Arial" w:hAnsi="Arial"/>
          <w:sz w:val="17"/>
          <w:szCs w:val="17"/>
          <w:color w:val="auto"/>
        </w:rPr>
        <w:t xml:space="preserve"> reporting unit and (ii) $10 million of asset impairment charges primarily related to certain solid waste operations and, to a lesser extent, restructuring charges. These charges had a negative impact of $0.07 on our diluted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2018</w:t>
      </w:r>
    </w:p>
    <w:p>
      <w:pPr>
        <w:spacing w:after="0" w:line="117" w:lineRule="exact"/>
        <w:rPr>
          <w:sz w:val="20"/>
          <w:szCs w:val="20"/>
          <w:color w:val="auto"/>
        </w:rPr>
      </w:pPr>
    </w:p>
    <w:p>
      <w:pPr>
        <w:ind w:left="680" w:hanging="320"/>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recognition of net pre-tax gains of $40 million related to the sale of certain ancillary operations, which had a favorable impact of $0.07 on our diluted earnings per share.</w:t>
      </w:r>
    </w:p>
    <w:p>
      <w:pPr>
        <w:spacing w:after="0" w:line="62"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income tax benefit of $33 million due to the settlement of various tax audits, which had a favorable impact of $0.07 on our diluted earnings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2018</w:t>
      </w:r>
    </w:p>
    <w:p>
      <w:pPr>
        <w:spacing w:after="0" w:line="117" w:lineRule="exact"/>
        <w:rPr>
          <w:sz w:val="20"/>
          <w:szCs w:val="20"/>
          <w:color w:val="auto"/>
        </w:rPr>
      </w:pPr>
    </w:p>
    <w:p>
      <w:pPr>
        <w:ind w:left="680" w:right="20" w:hanging="320"/>
        <w:spacing w:after="0" w:line="277"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tax benefits of $27 million primarily due to impacts of enactment of tax reform and changes in state laws, which had a favorable impact of $0.06 on our diluted earnings per share.</w:t>
      </w:r>
    </w:p>
    <w:p>
      <w:pPr>
        <w:spacing w:after="0" w:line="62"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recognition of pre-tax charges of $32 million primarily related to a $29 million charge to impair a landfill in our Tier 3 segment, which is discussed further in Note 12. These charges had a negative impact of $0.05 on our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2018</w:t>
      </w:r>
    </w:p>
    <w:p>
      <w:pPr>
        <w:spacing w:after="0" w:line="117" w:lineRule="exact"/>
        <w:rPr>
          <w:sz w:val="20"/>
          <w:szCs w:val="20"/>
          <w:color w:val="auto"/>
        </w:rPr>
      </w:pPr>
    </w:p>
    <w:p>
      <w:pPr>
        <w:jc w:val="both"/>
        <w:ind w:left="680" w:hanging="320"/>
        <w:spacing w:after="0" w:line="219"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recognition of a pre-tax gain of $52 million associated with the sale of certain hauling operations in our Tier 1 segment and $8 million of impairment charges primarily related to our LampTracker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reporting unit. These items had a favorable impact of $0.07 on our diluted earnings per share.</w:t>
      </w:r>
    </w:p>
    <w:p>
      <w:pPr>
        <w:spacing w:after="0" w:line="95" w:lineRule="exact"/>
        <w:rPr>
          <w:rFonts w:ascii="Arial" w:cs="Arial" w:eastAsia="Arial" w:hAnsi="Arial"/>
          <w:sz w:val="18"/>
          <w:szCs w:val="18"/>
          <w:color w:val="auto"/>
        </w:rPr>
      </w:pPr>
    </w:p>
    <w:p>
      <w:pPr>
        <w:jc w:val="both"/>
        <w:ind w:left="680" w:right="20" w:hanging="320"/>
        <w:spacing w:after="0" w:line="264"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reduction in our income tax expense of $17 million for an adjustment to our deferred taxes to reduce our deferred tax liability based on an analysis of certain deferred tax balances. This item had a favorable impact of $0.04 on our diluted earnings per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(52,894)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(19,047)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29,714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26,687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(71,941)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7"/>
          </w:tcPr>
          <w:p>
            <w:pPr>
              <w:jc w:val="right"/>
              <w:ind w:right="191"/>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(26,690)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29,991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(26,690)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(52,894)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26,218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(45,251)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29,714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26,687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(71,941)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vMerge w:val="restart"/>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71"/>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24,968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(49,515)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(17,129)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24,557</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25,004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(66,644)</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8"/>
          </w:tcPr>
          <w:p>
            <w:pPr>
              <w:ind w:left="338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(24,124)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24,991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(24,124)</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(49,515)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(6,709)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(42,520)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0"/>
        </w:trPr>
        <w:tc>
          <w:tcPr>
            <w:tcW w:w="38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24,557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25,004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(66,644)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rPr>
              <w:t>WM</w:t>
            </w:r>
          </w:p>
        </w:tc>
        <w:tc>
          <w:tcPr>
            <w:tcW w:w="1220" w:type="dxa"/>
            <w:vAlign w:val="bottom"/>
            <w:gridSpan w:val="3"/>
          </w:tcPr>
          <w:p>
            <w:pPr>
              <w:jc w:val="right"/>
              <w:spacing w:after="0"/>
              <w:rPr>
                <w:sz w:val="20"/>
                <w:szCs w:val="20"/>
                <w:color w:val="auto"/>
              </w:rPr>
            </w:pPr>
            <w:r>
              <w:rPr>
                <w:rFonts w:ascii="Arial" w:cs="Arial" w:eastAsia="Arial" w:hAnsi="Arial"/>
                <w:sz w:val="15"/>
                <w:szCs w:val="15"/>
                <w:b w:val="1"/>
                <w:bCs w:val="1"/>
                <w:color w:val="auto"/>
              </w:rPr>
              <w:t>Non-Guarantor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3"/>
              <w:spacing w:after="0"/>
              <w:rPr>
                <w:sz w:val="20"/>
                <w:szCs w:val="20"/>
                <w:color w:val="auto"/>
              </w:rPr>
            </w:pPr>
            <w:r>
              <w:rPr>
                <w:rFonts w:ascii="Arial" w:cs="Arial" w:eastAsia="Arial" w:hAnsi="Arial"/>
                <w:sz w:val="15"/>
                <w:szCs w:val="15"/>
                <w:b w:val="1"/>
                <w:bCs w:val="1"/>
                <w:color w:val="auto"/>
              </w:rPr>
              <w:t>WM</w:t>
            </w:r>
          </w:p>
        </w:tc>
        <w:tc>
          <w:tcPr>
            <w:tcW w:w="740" w:type="dxa"/>
            <w:vAlign w:val="bottom"/>
            <w:gridSpan w:val="3"/>
          </w:tcPr>
          <w:p>
            <w:pPr>
              <w:jc w:val="right"/>
              <w:spacing w:after="0"/>
              <w:rPr>
                <w:sz w:val="20"/>
                <w:szCs w:val="20"/>
                <w:color w:val="auto"/>
              </w:rPr>
            </w:pPr>
            <w:r>
              <w:rPr>
                <w:rFonts w:ascii="Arial" w:cs="Arial" w:eastAsia="Arial" w:hAnsi="Arial"/>
                <w:sz w:val="15"/>
                <w:szCs w:val="15"/>
                <w:b w:val="1"/>
                <w:bCs w:val="1"/>
                <w:color w:val="auto"/>
              </w:rPr>
              <w:t>Holdings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b w:val="1"/>
                <w:bCs w:val="1"/>
                <w:color w:val="auto"/>
                <w:w w:val="89"/>
              </w:rPr>
              <w:t>Subsidiaries</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b w:val="1"/>
                <w:bCs w:val="1"/>
                <w:color w:val="auto"/>
                <w:w w:val="91"/>
              </w:rPr>
              <w:t>Eliminations</w:t>
            </w: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Years Ended December 31:</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2019</w:t>
            </w:r>
          </w:p>
        </w:tc>
        <w:tc>
          <w:tcPr>
            <w:tcW w:w="500" w:type="dxa"/>
            <w:vAlign w:val="bottom"/>
            <w:tcBorders>
              <w:top w:val="single" w:sz="8" w:color="CCEEFF"/>
            </w:tcBorders>
          </w:tcPr>
          <w:p>
            <w:pPr>
              <w:spacing w:after="0"/>
              <w:rPr>
                <w:sz w:val="13"/>
                <w:szCs w:val="13"/>
                <w:color w:val="auto"/>
              </w:rPr>
            </w:pPr>
          </w:p>
        </w:tc>
        <w:tc>
          <w:tcPr>
            <w:tcW w:w="19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 (a)</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15,455</w:t>
            </w:r>
          </w:p>
        </w:tc>
        <w:tc>
          <w:tcPr>
            <w:tcW w:w="40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spacing w:after="0" w:line="162" w:lineRule="exact"/>
              <w:rPr>
                <w:sz w:val="20"/>
                <w:szCs w:val="20"/>
                <w:color w:val="auto"/>
              </w:rPr>
            </w:pPr>
            <w:r>
              <w:rPr>
                <w:rFonts w:ascii="Arial" w:cs="Arial" w:eastAsia="Arial" w:hAnsi="Arial"/>
                <w:sz w:val="15"/>
                <w:szCs w:val="15"/>
                <w:color w:val="auto"/>
              </w:rPr>
              <w:t>Costs and expenses (a)</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12,749</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12,749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2,706</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2,706</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Loss on early extinguishment of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1,976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(3,983)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68</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1,559</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2,042</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(147)</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(4,055)</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(601)</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w w:val="95"/>
              </w:rPr>
              <w:t>1,559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2,042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2,559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(4,055)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2,105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(111)</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550</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w w:val="95"/>
              </w:rPr>
              <w:t>1,670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2,047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2,009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(4,055)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1,670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2,047</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2,008</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(4,055)</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1,670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tcPr>
          <w:p>
            <w:pPr>
              <w:spacing w:after="0" w:line="162" w:lineRule="exact"/>
              <w:rPr>
                <w:sz w:val="20"/>
                <w:szCs w:val="20"/>
                <w:color w:val="auto"/>
              </w:rPr>
            </w:pPr>
            <w:r>
              <w:rPr>
                <w:rFonts w:ascii="Arial" w:cs="Arial" w:eastAsia="Arial" w:hAnsi="Arial"/>
                <w:sz w:val="15"/>
                <w:szCs w:val="15"/>
                <w:b w:val="1"/>
                <w:bCs w:val="1"/>
                <w:color w:val="auto"/>
              </w:rPr>
              <w:t>2018</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 (a)</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14,914</w:t>
            </w:r>
          </w:p>
        </w:tc>
        <w:tc>
          <w:tcPr>
            <w:tcW w:w="40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spacing w:after="0" w:line="162" w:lineRule="exact"/>
              <w:rPr>
                <w:sz w:val="20"/>
                <w:szCs w:val="20"/>
                <w:color w:val="auto"/>
              </w:rPr>
            </w:pPr>
            <w:r>
              <w:rPr>
                <w:rFonts w:ascii="Arial" w:cs="Arial" w:eastAsia="Arial" w:hAnsi="Arial"/>
                <w:sz w:val="15"/>
                <w:szCs w:val="15"/>
                <w:color w:val="auto"/>
              </w:rPr>
              <w:t>Costs and expenses (a)</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12,125</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12,125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2,789</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2,789</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5"/>
              </w:rPr>
              <w:t>2,155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2,169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(4,324)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1,843</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2,149</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(4,324)</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1,843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2,149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2,708</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(4,324)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540</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1,925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2,154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2,168</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(4,324)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1,923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bottom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1,925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2,154</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2,170</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(4,324)</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2017</w:t>
            </w:r>
          </w:p>
        </w:tc>
        <w:tc>
          <w:tcPr>
            <w:tcW w:w="5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spacing w:after="0" w:line="162" w:lineRule="exact"/>
              <w:rPr>
                <w:sz w:val="20"/>
                <w:szCs w:val="20"/>
                <w:color w:val="auto"/>
              </w:rPr>
            </w:pPr>
            <w:r>
              <w:rPr>
                <w:rFonts w:ascii="Arial" w:cs="Arial" w:eastAsia="Arial" w:hAnsi="Arial"/>
                <w:sz w:val="15"/>
                <w:szCs w:val="15"/>
                <w:color w:val="auto"/>
              </w:rPr>
              <w:t>Operating revenues</w:t>
            </w:r>
          </w:p>
        </w:tc>
        <w:tc>
          <w:tcPr>
            <w:tcW w:w="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15,040</w:t>
            </w:r>
          </w:p>
        </w:tc>
        <w:tc>
          <w:tcPr>
            <w:tcW w:w="400" w:type="dxa"/>
            <w:vAlign w:val="bottom"/>
            <w:gridSpan w:val="2"/>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40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14,485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Costs and expenses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11,849</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11,849</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(555)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3,191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Loss on early extinguishment of debt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5"/>
              </w:rPr>
              <w:t>2,469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2,482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(4,951)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(77)</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2,166</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2,461</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1,611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2,461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3,070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(338)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588</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2,469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2,482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1,949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Borders>
              <w:bottom w:val="single" w:sz="8" w:color="CCEEFF"/>
            </w:tcBorders>
            <w:gridSpan w:val="3"/>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bottom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2,469</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2,482</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1"/>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2019 and 2018, operating revenues and costs and expenses related to insurance premiums for a wholly-owned insurance captive are included in Non-Guarantor Subsidiaries to more accurately reflect those transactions.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WM</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Holdings</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Years Ended December 31:</w:t>
            </w: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2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$ 1,678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2"/>
        </w:trPr>
        <w:tc>
          <w:tcPr>
            <w:tcW w:w="46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46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Comprehensive income attributable to Waste Management,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$ 1,678</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$ 2,047</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(4,055)</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w:t>
            </w: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$ 1,933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$ 2,154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6"/>
              </w:rPr>
              <w:t>Comprehensive income attributable to Waste Management,</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gridSpan w:val="2"/>
            <w:vMerge w:val="continue"/>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$ 1,933</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$ 2,154</w:t>
            </w:r>
          </w:p>
        </w:tc>
        <w:tc>
          <w:tcPr>
            <w:tcW w:w="14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(4,324)</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57"/>
        </w:trPr>
        <w:tc>
          <w:tcPr>
            <w:tcW w:w="4600" w:type="dxa"/>
            <w:vAlign w:val="bottom"/>
            <w:gridSpan w:val="2"/>
          </w:tcPr>
          <w:p>
            <w:pPr>
              <w:ind w:left="140"/>
              <w:spacing w:after="0"/>
              <w:rPr>
                <w:sz w:val="20"/>
                <w:szCs w:val="20"/>
                <w:color w:val="auto"/>
              </w:rPr>
            </w:pPr>
            <w:r>
              <w:rPr>
                <w:rFonts w:ascii="Arial" w:cs="Arial" w:eastAsia="Arial" w:hAnsi="Arial"/>
                <w:sz w:val="18"/>
                <w:szCs w:val="18"/>
                <w:color w:val="auto"/>
              </w:rPr>
              <w:t>Inc.</w:t>
            </w:r>
          </w:p>
        </w:tc>
        <w:tc>
          <w:tcPr>
            <w:tcW w:w="6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1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$ 1,955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2"/>
        </w:trPr>
        <w:tc>
          <w:tcPr>
            <w:tcW w:w="46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6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Comprehensive income attributable to Waste Management,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$ 1,955</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$ 2,469</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(4,951)</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w:t>
            </w: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WM</w:t>
            </w:r>
          </w:p>
        </w:tc>
        <w:tc>
          <w:tcPr>
            <w:tcW w:w="1220" w:type="dxa"/>
            <w:vAlign w:val="bottom"/>
            <w:gridSpan w:val="3"/>
          </w:tcPr>
          <w:p>
            <w:pPr>
              <w:ind w:left="20"/>
              <w:spacing w:after="0"/>
              <w:rPr>
                <w:sz w:val="20"/>
                <w:szCs w:val="20"/>
                <w:color w:val="auto"/>
              </w:rPr>
            </w:pPr>
            <w:r>
              <w:rPr>
                <w:rFonts w:ascii="Arial" w:cs="Arial" w:eastAsia="Arial" w:hAnsi="Arial"/>
                <w:sz w:val="15"/>
                <w:szCs w:val="15"/>
                <w:b w:val="1"/>
                <w:bCs w:val="1"/>
                <w:color w:val="auto"/>
              </w:rPr>
              <w:t>Non-Guarantor</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WM(a)</w:t>
            </w:r>
          </w:p>
        </w:tc>
        <w:tc>
          <w:tcPr>
            <w:tcW w:w="940" w:type="dxa"/>
            <w:vAlign w:val="bottom"/>
            <w:gridSpan w:val="3"/>
          </w:tcPr>
          <w:p>
            <w:pPr>
              <w:spacing w:after="0"/>
              <w:rPr>
                <w:sz w:val="20"/>
                <w:szCs w:val="20"/>
                <w:color w:val="auto"/>
              </w:rPr>
            </w:pPr>
            <w:r>
              <w:rPr>
                <w:rFonts w:ascii="Arial" w:cs="Arial" w:eastAsia="Arial" w:hAnsi="Arial"/>
                <w:sz w:val="15"/>
                <w:szCs w:val="15"/>
                <w:b w:val="1"/>
                <w:bCs w:val="1"/>
                <w:color w:val="auto"/>
              </w:rPr>
              <w:t>Holdings(a)</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Subsidiaries(a)</w:t>
            </w:r>
          </w:p>
        </w:tc>
        <w:tc>
          <w:tcPr>
            <w:tcW w:w="1060" w:type="dxa"/>
            <w:vAlign w:val="bottom"/>
            <w:gridSpan w:val="3"/>
          </w:tcPr>
          <w:p>
            <w:pPr>
              <w:ind w:left="40"/>
              <w:spacing w:after="0"/>
              <w:rPr>
                <w:sz w:val="20"/>
                <w:szCs w:val="20"/>
                <w:color w:val="auto"/>
              </w:rPr>
            </w:pPr>
            <w:r>
              <w:rPr>
                <w:rFonts w:ascii="Arial" w:cs="Arial" w:eastAsia="Arial" w:hAnsi="Arial"/>
                <w:sz w:val="15"/>
                <w:szCs w:val="15"/>
                <w:b w:val="1"/>
                <w:bCs w:val="1"/>
                <w:color w:val="auto"/>
              </w:rPr>
              <w:t>Eliminations</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Years Ended December 31:</w:t>
            </w: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2019</w:t>
            </w:r>
          </w:p>
        </w:tc>
        <w:tc>
          <w:tcPr>
            <w:tcW w:w="500" w:type="dxa"/>
            <w:vAlign w:val="bottom"/>
            <w:tcBorders>
              <w:top w:val="single" w:sz="8" w:color="CCEEFF"/>
            </w:tcBorders>
          </w:tcPr>
          <w:p>
            <w:pPr>
              <w:spacing w:after="0"/>
              <w:rPr>
                <w:sz w:val="13"/>
                <w:szCs w:val="13"/>
                <w:color w:val="auto"/>
              </w:rPr>
            </w:pPr>
          </w:p>
        </w:tc>
        <w:tc>
          <w:tcPr>
            <w:tcW w:w="18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Operating activities</w:t>
            </w:r>
          </w:p>
        </w:tc>
        <w:tc>
          <w:tcPr>
            <w:tcW w:w="160" w:type="dxa"/>
            <w:vAlign w:val="bottom"/>
          </w:tcPr>
          <w:p>
            <w:pPr>
              <w:jc w:val="right"/>
              <w:ind w:right="3"/>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3,874</w:t>
            </w:r>
          </w:p>
        </w:tc>
        <w:tc>
          <w:tcPr>
            <w:tcW w:w="160" w:type="dxa"/>
            <w:vAlign w:val="bottom"/>
          </w:tcPr>
          <w:p>
            <w:pPr>
              <w:spacing w:after="0"/>
              <w:rPr>
                <w:sz w:val="14"/>
                <w:szCs w:val="14"/>
                <w:color w:val="auto"/>
              </w:rPr>
            </w:pPr>
          </w:p>
        </w:tc>
        <w:tc>
          <w:tcPr>
            <w:tcW w:w="380" w:type="dxa"/>
            <w:vAlign w:val="bottom"/>
          </w:tcPr>
          <w:p>
            <w:pPr>
              <w:jc w:val="right"/>
              <w:ind w:right="223"/>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3,874</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Investing activities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(2,376)</w:t>
            </w:r>
          </w:p>
        </w:tc>
        <w:tc>
          <w:tcPr>
            <w:tcW w:w="3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(2,376)</w:t>
            </w:r>
          </w:p>
        </w:tc>
        <w:tc>
          <w:tcPr>
            <w:tcW w:w="0" w:type="dxa"/>
            <w:vAlign w:val="bottom"/>
          </w:tcPr>
          <w:p>
            <w:pPr>
              <w:spacing w:after="0"/>
              <w:rPr>
                <w:sz w:val="1"/>
                <w:szCs w:val="1"/>
                <w:color w:val="auto"/>
              </w:rPr>
            </w:pPr>
          </w:p>
        </w:tc>
      </w:tr>
      <w:tr>
        <w:trPr>
          <w:trHeight w:val="162"/>
        </w:trPr>
        <w:tc>
          <w:tcPr>
            <w:tcW w:w="41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1,964</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49"/>
        </w:trPr>
        <w:tc>
          <w:tcPr>
            <w:tcW w:w="41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5"/>
                <w:szCs w:val="15"/>
                <w:color w:val="auto"/>
                <w:w w:val="98"/>
              </w:rPr>
              <w:t>Effect of exchange rate changes on cash, cash equivalents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and restricted cash and cash equivalents</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41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Intercompany activity</w:t>
            </w:r>
          </w:p>
        </w:tc>
        <w:tc>
          <w:tcPr>
            <w:tcW w:w="16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3,485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(3,485)</w:t>
            </w:r>
          </w:p>
        </w:tc>
        <w:tc>
          <w:tcPr>
            <w:tcW w:w="380" w:type="dxa"/>
            <w:vAlign w:val="bottom"/>
          </w:tcPr>
          <w:p>
            <w:pPr>
              <w:spacing w:after="0"/>
              <w:rPr>
                <w:sz w:val="14"/>
                <w:szCs w:val="14"/>
                <w:color w:val="auto"/>
              </w:rPr>
            </w:pPr>
          </w:p>
        </w:tc>
        <w:tc>
          <w:tcPr>
            <w:tcW w:w="68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Increase (decrease) in cash, cash equivalents and restricted cash</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and cash equivalents</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3,464</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5"/>
                <w:szCs w:val="15"/>
                <w:color w:val="auto"/>
                <w:w w:val="95"/>
              </w:rPr>
              <w:t>Cash, cash equivalents and restricted cash and cash equivalents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at beginning of period</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29"/>
        </w:trPr>
        <w:tc>
          <w:tcPr>
            <w:tcW w:w="41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Cash, cash equivalents and restricted cash and cash equivalents</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3,485</w:t>
            </w:r>
          </w:p>
        </w:tc>
        <w:tc>
          <w:tcPr>
            <w:tcW w:w="1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3,647</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140"/>
              <w:spacing w:after="0" w:line="162" w:lineRule="exact"/>
              <w:rPr>
                <w:sz w:val="20"/>
                <w:szCs w:val="20"/>
                <w:color w:val="auto"/>
              </w:rPr>
            </w:pPr>
            <w:r>
              <w:rPr>
                <w:rFonts w:ascii="Arial" w:cs="Arial" w:eastAsia="Arial" w:hAnsi="Arial"/>
                <w:sz w:val="15"/>
                <w:szCs w:val="15"/>
                <w:color w:val="auto"/>
              </w:rPr>
              <w:t>at end of period</w:t>
            </w:r>
          </w:p>
        </w:tc>
        <w:tc>
          <w:tcPr>
            <w:tcW w:w="16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2018</w:t>
            </w:r>
          </w:p>
        </w:tc>
        <w:tc>
          <w:tcPr>
            <w:tcW w:w="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3"/>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Operating activities</w:t>
            </w:r>
          </w:p>
        </w:tc>
        <w:tc>
          <w:tcPr>
            <w:tcW w:w="1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3,570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3"/>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3,570</w:t>
            </w:r>
          </w:p>
        </w:tc>
        <w:tc>
          <w:tcPr>
            <w:tcW w:w="0" w:type="dxa"/>
            <w:vAlign w:val="bottom"/>
          </w:tcPr>
          <w:p>
            <w:pPr>
              <w:spacing w:after="0"/>
              <w:rPr>
                <w:sz w:val="1"/>
                <w:szCs w:val="1"/>
                <w:color w:val="auto"/>
              </w:rPr>
            </w:pPr>
          </w:p>
        </w:tc>
      </w:tr>
      <w:tr>
        <w:trPr>
          <w:trHeight w:val="162"/>
        </w:trPr>
        <w:tc>
          <w:tcPr>
            <w:tcW w:w="41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Investing activities</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(2,169)</w:t>
            </w:r>
          </w:p>
        </w:tc>
        <w:tc>
          <w:tcPr>
            <w:tcW w:w="380" w:type="dxa"/>
            <w:vAlign w:val="bottom"/>
          </w:tcPr>
          <w:p>
            <w:pPr>
              <w:spacing w:after="0"/>
              <w:rPr>
                <w:sz w:val="14"/>
                <w:szCs w:val="14"/>
                <w:color w:val="auto"/>
              </w:rPr>
            </w:pPr>
          </w:p>
        </w:tc>
        <w:tc>
          <w:tcPr>
            <w:tcW w:w="68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(2,169)</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Financing activities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(1,508)</w:t>
            </w:r>
          </w:p>
        </w:tc>
        <w:tc>
          <w:tcPr>
            <w:tcW w:w="3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(1,508)</w:t>
            </w:r>
          </w:p>
        </w:tc>
        <w:tc>
          <w:tcPr>
            <w:tcW w:w="0" w:type="dxa"/>
            <w:vAlign w:val="bottom"/>
          </w:tcPr>
          <w:p>
            <w:pPr>
              <w:spacing w:after="0"/>
              <w:rPr>
                <w:sz w:val="1"/>
                <w:szCs w:val="1"/>
                <w:color w:val="auto"/>
              </w:rPr>
            </w:pPr>
          </w:p>
        </w:tc>
      </w:tr>
      <w:tr>
        <w:trPr>
          <w:trHeight w:val="149"/>
        </w:trPr>
        <w:tc>
          <w:tcPr>
            <w:tcW w:w="4120" w:type="dxa"/>
            <w:vAlign w:val="bottom"/>
            <w:gridSpan w:val="3"/>
          </w:tcPr>
          <w:p>
            <w:pPr>
              <w:ind w:left="220"/>
              <w:spacing w:after="0" w:line="149" w:lineRule="exact"/>
              <w:rPr>
                <w:sz w:val="20"/>
                <w:szCs w:val="20"/>
                <w:color w:val="auto"/>
              </w:rPr>
            </w:pPr>
            <w:r>
              <w:rPr>
                <w:rFonts w:ascii="Arial" w:cs="Arial" w:eastAsia="Arial" w:hAnsi="Arial"/>
                <w:sz w:val="15"/>
                <w:szCs w:val="15"/>
                <w:color w:val="auto"/>
                <w:w w:val="98"/>
              </w:rPr>
              <w:t>Effect of exchange rate changes on cash, cash equivalents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3"/>
          </w:tcPr>
          <w:p>
            <w:pPr>
              <w:ind w:left="360"/>
              <w:spacing w:after="0"/>
              <w:rPr>
                <w:sz w:val="20"/>
                <w:szCs w:val="20"/>
                <w:color w:val="auto"/>
              </w:rPr>
            </w:pPr>
            <w:r>
              <w:rPr>
                <w:rFonts w:ascii="Arial" w:cs="Arial" w:eastAsia="Arial" w:hAnsi="Arial"/>
                <w:sz w:val="15"/>
                <w:szCs w:val="15"/>
                <w:color w:val="auto"/>
              </w:rPr>
              <w:t>and restricted cash and cash equivalents</w:t>
            </w: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5"/>
                <w:szCs w:val="15"/>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29"/>
        </w:trPr>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Increase (decrease) in cash, cash equivalents and restricted cash</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and cash equivalents</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(110)</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5"/>
                <w:szCs w:val="15"/>
                <w:color w:val="auto"/>
                <w:w w:val="95"/>
              </w:rPr>
              <w:t>Cash, cash equivalents and restricted cash and cash equivalents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at beginning of period</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29"/>
        </w:trPr>
        <w:tc>
          <w:tcPr>
            <w:tcW w:w="41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Cash, cash equivalents and restricted cash and cash equivalents</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140"/>
              <w:spacing w:after="0" w:line="162" w:lineRule="exact"/>
              <w:rPr>
                <w:sz w:val="20"/>
                <w:szCs w:val="20"/>
                <w:color w:val="auto"/>
              </w:rPr>
            </w:pPr>
            <w:r>
              <w:rPr>
                <w:rFonts w:ascii="Arial" w:cs="Arial" w:eastAsia="Arial" w:hAnsi="Arial"/>
                <w:sz w:val="15"/>
                <w:szCs w:val="15"/>
                <w:color w:val="auto"/>
              </w:rPr>
              <w:t>at end of period</w:t>
            </w:r>
          </w:p>
        </w:tc>
        <w:tc>
          <w:tcPr>
            <w:tcW w:w="16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2017</w:t>
            </w:r>
          </w:p>
        </w:tc>
        <w:tc>
          <w:tcPr>
            <w:tcW w:w="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3"/>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Operating activities</w:t>
            </w:r>
          </w:p>
        </w:tc>
        <w:tc>
          <w:tcPr>
            <w:tcW w:w="1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3,180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3"/>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3,180</w:t>
            </w:r>
          </w:p>
        </w:tc>
        <w:tc>
          <w:tcPr>
            <w:tcW w:w="0" w:type="dxa"/>
            <w:vAlign w:val="bottom"/>
          </w:tcPr>
          <w:p>
            <w:pPr>
              <w:spacing w:after="0"/>
              <w:rPr>
                <w:sz w:val="1"/>
                <w:szCs w:val="1"/>
                <w:color w:val="auto"/>
              </w:rPr>
            </w:pPr>
          </w:p>
        </w:tc>
      </w:tr>
      <w:tr>
        <w:trPr>
          <w:trHeight w:val="162"/>
        </w:trPr>
        <w:tc>
          <w:tcPr>
            <w:tcW w:w="41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Investing activities</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(1,620)</w:t>
            </w:r>
          </w:p>
        </w:tc>
        <w:tc>
          <w:tcPr>
            <w:tcW w:w="380" w:type="dxa"/>
            <w:vAlign w:val="bottom"/>
          </w:tcPr>
          <w:p>
            <w:pPr>
              <w:spacing w:after="0"/>
              <w:rPr>
                <w:sz w:val="14"/>
                <w:szCs w:val="14"/>
                <w:color w:val="auto"/>
              </w:rPr>
            </w:pPr>
          </w:p>
        </w:tc>
        <w:tc>
          <w:tcPr>
            <w:tcW w:w="68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(1,620)</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Financing activities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(1,361)</w:t>
            </w:r>
          </w:p>
        </w:tc>
        <w:tc>
          <w:tcPr>
            <w:tcW w:w="3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(1,361)</w:t>
            </w:r>
          </w:p>
        </w:tc>
        <w:tc>
          <w:tcPr>
            <w:tcW w:w="0" w:type="dxa"/>
            <w:vAlign w:val="bottom"/>
          </w:tcPr>
          <w:p>
            <w:pPr>
              <w:spacing w:after="0"/>
              <w:rPr>
                <w:sz w:val="1"/>
                <w:szCs w:val="1"/>
                <w:color w:val="auto"/>
              </w:rPr>
            </w:pPr>
          </w:p>
        </w:tc>
      </w:tr>
      <w:tr>
        <w:trPr>
          <w:trHeight w:val="149"/>
        </w:trPr>
        <w:tc>
          <w:tcPr>
            <w:tcW w:w="4120" w:type="dxa"/>
            <w:vAlign w:val="bottom"/>
            <w:gridSpan w:val="3"/>
          </w:tcPr>
          <w:p>
            <w:pPr>
              <w:ind w:left="220"/>
              <w:spacing w:after="0" w:line="149" w:lineRule="exact"/>
              <w:rPr>
                <w:sz w:val="20"/>
                <w:szCs w:val="20"/>
                <w:color w:val="auto"/>
              </w:rPr>
            </w:pPr>
            <w:r>
              <w:rPr>
                <w:rFonts w:ascii="Arial" w:cs="Arial" w:eastAsia="Arial" w:hAnsi="Arial"/>
                <w:sz w:val="15"/>
                <w:szCs w:val="15"/>
                <w:color w:val="auto"/>
                <w:w w:val="98"/>
              </w:rPr>
              <w:t>Effect of exchange rate changes on cash, cash equivalents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3"/>
          </w:tcPr>
          <w:p>
            <w:pPr>
              <w:ind w:left="360"/>
              <w:spacing w:after="0"/>
              <w:rPr>
                <w:sz w:val="20"/>
                <w:szCs w:val="20"/>
                <w:color w:val="auto"/>
              </w:rPr>
            </w:pPr>
            <w:r>
              <w:rPr>
                <w:rFonts w:ascii="Arial" w:cs="Arial" w:eastAsia="Arial" w:hAnsi="Arial"/>
                <w:sz w:val="15"/>
                <w:szCs w:val="15"/>
                <w:color w:val="auto"/>
              </w:rPr>
              <w:t>and restricted cash and cash equivalents</w:t>
            </w: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6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Increase (decrease) in cash, cash equivalents and restricted cash</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and cash equivalents</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5"/>
                <w:szCs w:val="15"/>
                <w:color w:val="auto"/>
                <w:w w:val="95"/>
              </w:rPr>
              <w:t>Cash, cash equivalents and restricted cash and cash equivalents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5"/>
                <w:szCs w:val="15"/>
                <w:color w:val="auto"/>
              </w:rPr>
              <w:t>at beginning of period</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29"/>
        </w:trPr>
        <w:tc>
          <w:tcPr>
            <w:tcW w:w="41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Cash, cash equivalents and restricted cash and cash equivalents</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62"/>
        </w:trPr>
        <w:tc>
          <w:tcPr>
            <w:tcW w:w="4120" w:type="dxa"/>
            <w:vAlign w:val="bottom"/>
            <w:gridSpan w:val="3"/>
            <w:shd w:val="clear" w:color="auto" w:fill="CCEEFF"/>
          </w:tcPr>
          <w:p>
            <w:pPr>
              <w:ind w:left="140"/>
              <w:spacing w:after="0" w:line="162" w:lineRule="exact"/>
              <w:rPr>
                <w:sz w:val="20"/>
                <w:szCs w:val="20"/>
                <w:color w:val="auto"/>
              </w:rPr>
            </w:pPr>
            <w:r>
              <w:rPr>
                <w:rFonts w:ascii="Arial" w:cs="Arial" w:eastAsia="Arial" w:hAnsi="Arial"/>
                <w:sz w:val="15"/>
                <w:szCs w:val="15"/>
                <w:color w:val="auto"/>
              </w:rPr>
              <w:t>at end of period</w:t>
            </w:r>
          </w:p>
        </w:tc>
        <w:tc>
          <w:tcPr>
            <w:tcW w:w="16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140" w:hanging="331"/>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Cash, cash equivalents and restricted cash and cash equivalents of WM as of December 31, 2019 include remaining proceeds from our senior note issuances which are discussed further in Notes 7 and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2019 (the end of the period covered by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58" w:lineRule="exact"/>
        <w:rPr>
          <w:sz w:val="20"/>
          <w:szCs w:val="20"/>
          <w:color w:val="auto"/>
        </w:rPr>
      </w:pPr>
    </w:p>
    <w:p>
      <w:pPr>
        <w:ind w:left="680" w:hanging="320"/>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2019 based on the Internal Control — Integrated Framework issued by the Committee of Sponsoring Organizations of the Treadway Commission (2013 framework). Based on this assessment, management has concluded that our internal control over financial reporting was effective as of December 31, 2019.</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within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2019. We determined that there were no changes in our internal control over financial reporting during the quarter ended December 31, 2019 that have materially affected, or are reasonably likely to materially affect, our internal control over financial reporting.</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“Delinquent Section 16(a) Reports,” and “Executive Officers,” in the Company’s definitive Proxy Statement for its 2020 Annual Meeting of Stockholders (the “Proxy Statement”), to be held May 12, 2020. The Proxy Statement will be filed with the SEC within 120 days of the end of our fiscal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in the section “ESG — Corporate Governance” on the “Investors” page.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and “— Executive Compensation Tables” in the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40" w:right="4080"/>
        <w:spacing w:after="0" w:line="310" w:lineRule="auto"/>
        <w:rPr>
          <w:sz w:val="20"/>
          <w:szCs w:val="20"/>
          <w:color w:val="auto"/>
        </w:rPr>
      </w:pPr>
      <w:r>
        <w:rPr>
          <w:rFonts w:ascii="Arial" w:cs="Arial" w:eastAsia="Arial" w:hAnsi="Arial"/>
          <w:sz w:val="15"/>
          <w:szCs w:val="15"/>
          <w:color w:val="auto"/>
        </w:rPr>
        <w:t>Reports of Independent Registered Public Accounting Firm Consolidated Balance Sheets as of December 31, 2019 and 2018</w:t>
      </w:r>
    </w:p>
    <w:p>
      <w:pPr>
        <w:spacing w:after="0" w:line="1" w:lineRule="exact"/>
        <w:rPr>
          <w:sz w:val="20"/>
          <w:szCs w:val="20"/>
          <w:color w:val="auto"/>
        </w:rPr>
      </w:pPr>
    </w:p>
    <w:p>
      <w:pPr>
        <w:ind w:left="340" w:right="940"/>
        <w:spacing w:after="0" w:line="253" w:lineRule="auto"/>
        <w:rPr>
          <w:sz w:val="20"/>
          <w:szCs w:val="20"/>
          <w:color w:val="auto"/>
        </w:rPr>
      </w:pPr>
      <w:r>
        <w:rPr>
          <w:rFonts w:ascii="Arial" w:cs="Arial" w:eastAsia="Arial" w:hAnsi="Arial"/>
          <w:sz w:val="18"/>
          <w:szCs w:val="18"/>
          <w:color w:val="auto"/>
        </w:rPr>
        <w:t>Consolidated Statements of Operations for the years ended December 31, 2019, 2018 and 2017 Consolidated Statements of Comprehensive Income for the years ended December 31, 2019, 2018 and 2017 Consolidated Statements of Cash Flows for the years ended December 31, 2019, 2018 and 2017 Consolidated Statements of Changes in Equity for the years ended December 31, 2019, 2018 and 2017 Notes to Consolidated Financial Statements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(2) Consolidated Financial Statement Schedules: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Exhibits:</w:t>
      </w:r>
    </w:p>
    <w:p>
      <w:pPr>
        <w:spacing w:after="0" w:line="217" w:lineRule="exact"/>
        <w:rPr>
          <w:sz w:val="20"/>
          <w:szCs w:val="20"/>
          <w:color w:val="auto"/>
        </w:rPr>
      </w:pPr>
    </w:p>
    <w:p>
      <w:pPr>
        <w:spacing w:after="0"/>
        <w:tabs>
          <w:tab w:leader="none" w:pos="48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6350</wp:posOffset>
            </wp:positionV>
            <wp:extent cx="48539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both"/>
        <w:ind w:left="1100" w:hanging="1403"/>
        <w:spacing w:after="0" w:line="255"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Agreement and Plan of Merger dated April 14, 2019 by and among WM, Everglades Merger Sub Inc.,</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and Advanced Disposal Services, Inc. [incorporated by reference to Exhibit 2.1 to Form 8-K filed April</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15, 2019].</w:t>
        </w:r>
      </w:hyperlink>
    </w:p>
    <w:p>
      <w:pPr>
        <w:jc w:val="both"/>
        <w:ind w:left="1100" w:right="2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Voting Agreement dated April 14, 2019 by and between WM and Canada Pension Plan Investment Board</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[incorporated by reference to Exhibit 2.2 to Form 8-K filed April 15, 2019].</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Third Restated Certificate of Incorporation of Waste Management, Inc. [incorporated by reference to</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Exhibit 3.1 to Form 10-Q for the quarter ended June 30, 2010].</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Amended and Restated By-laws of Waste Management, Inc. [incorporated by reference to Exhibit 3.2 to</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Form 8-K dated November 19, 2019].</w:t>
        </w:r>
      </w:hyperlink>
    </w:p>
    <w:p>
      <w:pPr>
        <w:spacing w:after="0" w:line="1" w:lineRule="exact"/>
        <w:rPr>
          <w:sz w:val="20"/>
          <w:szCs w:val="20"/>
          <w:color w:val="auto"/>
        </w:rPr>
      </w:pPr>
    </w:p>
    <w:p>
      <w:pPr>
        <w:jc w:val="both"/>
        <w:ind w:left="1100" w:right="2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Specimen Stock Certificate [incorporated by reference to Exhibit 4.1 to Form 10-K for the year ended</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December 31, 1998].</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Third Restated Certificate of Incorporation of Waste Management Holdings, Inc. [incorporated by</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reference to Exhibit 4.2 to Form 10-K for the year ended December 31, 2014].</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Amended and Restated By-laws of Waste Management Holdings, Inc. [incorporated by reference to</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Exhibit 4.3 to Form 10-Q for the quarter ended June 30, 2014].</w:t>
        </w:r>
      </w:hyperlink>
    </w:p>
    <w:p>
      <w:pPr>
        <w:spacing w:after="0" w:line="1" w:lineRule="exact"/>
        <w:rPr>
          <w:sz w:val="20"/>
          <w:szCs w:val="20"/>
          <w:color w:val="auto"/>
        </w:rPr>
      </w:pPr>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EE"/>
          </w:rPr>
          <w:t>Indenture for Subordinated Debt Securities dated February 3, 1997, among the Registrant and The Bank</w:t>
        </w:r>
      </w:hyperlink>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EE"/>
          </w:rPr>
          <w:t>of New York Mellon Trust Company, N.A. (the current successor to Texas Commerce Bank National</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Association), as trustee [incorporated by reference to Exhibit 4.1 to Form 8-K dated February 7, 1997].</w:t>
        </w:r>
      </w:hyperlink>
    </w:p>
    <w:p>
      <w:pPr>
        <w:spacing w:after="0" w:line="1" w:lineRule="exact"/>
        <w:rPr>
          <w:rFonts w:ascii="Arial" w:cs="Arial" w:eastAsia="Arial" w:hAnsi="Arial"/>
          <w:sz w:val="17"/>
          <w:szCs w:val="17"/>
          <w:color w:val="auto"/>
        </w:rPr>
      </w:pPr>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 xml:space="preserve">— </w:t>
      </w:r>
      <w:hyperlink r:id="rId145">
        <w:r>
          <w:rPr>
            <w:rFonts w:ascii="Arial" w:cs="Arial" w:eastAsia="Arial" w:hAnsi="Arial"/>
            <w:sz w:val="17"/>
            <w:szCs w:val="17"/>
            <w:u w:val="single" w:color="auto"/>
            <w:color w:val="0000EE"/>
          </w:rPr>
          <w:t>Indenture for Senior Debt Securities dated September 10, 1997, among the Registrant and The Bank of</w:t>
        </w:r>
      </w:hyperlink>
      <w:r>
        <w:rPr>
          <w:rFonts w:ascii="Arial" w:cs="Arial" w:eastAsia="Arial" w:hAnsi="Arial"/>
          <w:sz w:val="17"/>
          <w:szCs w:val="17"/>
          <w:color w:val="auto"/>
        </w:rPr>
        <w:t xml:space="preserve"> </w:t>
      </w:r>
      <w:hyperlink r:id="rId145">
        <w:r>
          <w:rPr>
            <w:rFonts w:ascii="Arial" w:cs="Arial" w:eastAsia="Arial" w:hAnsi="Arial"/>
            <w:sz w:val="17"/>
            <w:szCs w:val="17"/>
            <w:u w:val="single" w:color="auto"/>
            <w:color w:val="0000EE"/>
          </w:rPr>
          <w:t>New York Mellon Trust Company, N.A. (the current successor to Texas Commerce Bank National</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Association), as trustee [incorporated by reference to Exhibit 4.1 to Form 8-K dated September 10, 1997].</w:t>
        </w:r>
      </w:hyperlink>
    </w:p>
    <w:p>
      <w:pPr>
        <w:spacing w:after="0" w:line="1" w:lineRule="exact"/>
        <w:rPr>
          <w:rFonts w:ascii="Arial" w:cs="Arial" w:eastAsia="Arial" w:hAnsi="Arial"/>
          <w:sz w:val="17"/>
          <w:szCs w:val="17"/>
          <w:color w:val="auto"/>
        </w:rPr>
      </w:pPr>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 xml:space="preserve">— </w:t>
      </w:r>
      <w:hyperlink r:id="rId146">
        <w:r>
          <w:rPr>
            <w:rFonts w:ascii="Arial" w:cs="Arial" w:eastAsia="Arial" w:hAnsi="Arial"/>
            <w:sz w:val="17"/>
            <w:szCs w:val="17"/>
            <w:u w:val="single" w:color="auto"/>
            <w:color w:val="0000EE"/>
          </w:rPr>
          <w:t>Officers’ Certificate delivered pursuant to Section 301 of the Indenture dated September 10, 1997 by and</w:t>
        </w:r>
      </w:hyperlink>
      <w:r>
        <w:rPr>
          <w:rFonts w:ascii="Arial" w:cs="Arial" w:eastAsia="Arial" w:hAnsi="Arial"/>
          <w:sz w:val="17"/>
          <w:szCs w:val="17"/>
          <w:color w:val="auto"/>
        </w:rPr>
        <w:t xml:space="preserve"> </w:t>
      </w:r>
      <w:hyperlink r:id="rId146">
        <w:r>
          <w:rPr>
            <w:rFonts w:ascii="Arial" w:cs="Arial" w:eastAsia="Arial" w:hAnsi="Arial"/>
            <w:sz w:val="17"/>
            <w:szCs w:val="17"/>
            <w:u w:val="single" w:color="auto"/>
            <w:color w:val="0000EE"/>
          </w:rPr>
          <w:t>between Waste Management, Inc. and The Bank of New York Mellon Trust Company, N.A., as Trustee,</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establishing the terms and form of Waste Management, Inc.’s 4.150% Senior Notes due 2049</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[incorporated by reference to Exhibit 4.5 to Form 10-Q for the quarter ended June 30, 2019].</w:t>
        </w:r>
      </w:hyperlink>
    </w:p>
    <w:p>
      <w:pPr>
        <w:spacing w:after="0" w:line="1" w:lineRule="exact"/>
        <w:rPr>
          <w:rFonts w:ascii="Arial" w:cs="Arial" w:eastAsia="Arial" w:hAnsi="Arial"/>
          <w:sz w:val="17"/>
          <w:szCs w:val="17"/>
          <w:u w:val="single" w:color="auto"/>
          <w:color w:val="0000EE"/>
        </w:rPr>
      </w:pPr>
    </w:p>
    <w:p>
      <w:pPr>
        <w:jc w:val="both"/>
        <w:ind w:left="1100" w:hanging="1403"/>
        <w:spacing w:after="0" w:line="277"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EE"/>
          </w:rPr>
          <w:t>Guarantee Agreement by Waste Management Holdings, Inc. in favor of The Bank of New York Mellon</w:t>
        </w:r>
      </w:hyperlink>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EE"/>
          </w:rPr>
          <w:t>Trust Company, N.A., as Trustee for the holders of Waste Management, Inc.’s 4.150% Senior Notes due</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2049 [incorporated by reference to Exhibit 4.10 to Form 10-Q for the quarter ended June 30, 2019].</w:t>
        </w:r>
      </w:hyperlink>
    </w:p>
    <w:p>
      <w:pPr>
        <w:spacing w:after="0" w:line="38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00" w:hanging="1403"/>
        <w:spacing w:after="0" w:line="252"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w:anchor="page132">
        <w:r>
          <w:rPr>
            <w:rFonts w:ascii="Arial" w:cs="Arial" w:eastAsia="Arial" w:hAnsi="Arial"/>
            <w:sz w:val="18"/>
            <w:szCs w:val="18"/>
            <w:u w:val="single" w:color="auto"/>
            <w:color w:val="0000EE"/>
          </w:rPr>
          <w:t>Schedule of Officers’ Certificates delivered pursuant to Section 301 of the Indenture dated September 10,</w:t>
        </w:r>
      </w:hyperlink>
      <w:r>
        <w:rPr>
          <w:rFonts w:ascii="Arial" w:cs="Arial" w:eastAsia="Arial" w:hAnsi="Arial"/>
          <w:sz w:val="18"/>
          <w:szCs w:val="18"/>
          <w:color w:val="auto"/>
        </w:rPr>
        <w:t xml:space="preserve"> </w:t>
      </w:r>
      <w:hyperlink w:anchor="page132">
        <w:r>
          <w:rPr>
            <w:rFonts w:ascii="Arial" w:cs="Arial" w:eastAsia="Arial" w:hAnsi="Arial"/>
            <w:sz w:val="18"/>
            <w:szCs w:val="18"/>
            <w:u w:val="single" w:color="auto"/>
            <w:color w:val="0000EE"/>
          </w:rPr>
          <w:t>1997 establishing the terms and form of Waste Management, Inc.’s Senior Notes. Waste Management and</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its subsidiaries are parties to debt instruments that have not been filed with the SEC under which the total</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amount of securities authorized under any single instrument does not exceed 10% of the total assets of</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Waste Management and its subsidiaries on a consolidated basis. Pursuant to paragraph 4(iii)(A) of</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Item 601(b) of Regulation S-K, Waste Management agrees to furnish a copy of such instruments to the</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SEC upon request.</w:t>
        </w:r>
      </w:hyperlink>
    </w:p>
    <w:p>
      <w:pPr>
        <w:spacing w:after="0" w:line="6" w:lineRule="exact"/>
        <w:rPr>
          <w:rFonts w:ascii="Arial" w:cs="Arial" w:eastAsia="Arial" w:hAnsi="Arial"/>
          <w:sz w:val="18"/>
          <w:szCs w:val="18"/>
          <w:u w:val="single" w:color="auto"/>
          <w:color w:val="0000EE"/>
        </w:rPr>
      </w:pPr>
    </w:p>
    <w:p>
      <w:pPr>
        <w:spacing w:after="0"/>
        <w:tabs>
          <w:tab w:leader="none" w:pos="1080" w:val="left"/>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t>
      </w:r>
      <w:r>
        <w:rPr>
          <w:sz w:val="20"/>
          <w:szCs w:val="20"/>
          <w:color w:val="auto"/>
        </w:rPr>
        <w:tab/>
      </w:r>
      <w:hyperlink w:anchor="page133">
        <w:r>
          <w:rPr>
            <w:rFonts w:ascii="Arial" w:cs="Arial" w:eastAsia="Arial" w:hAnsi="Arial"/>
            <w:sz w:val="16"/>
            <w:szCs w:val="16"/>
            <w:u w:val="single" w:color="auto"/>
            <w:color w:val="0000EE"/>
          </w:rPr>
          <w:t>Description of Waste Management, Inc.’s Common Stock.</w:t>
        </w:r>
      </w:hyperlink>
    </w:p>
    <w:p>
      <w:pPr>
        <w:spacing w:after="0" w:line="9" w:lineRule="exact"/>
        <w:rPr>
          <w:rFonts w:ascii="Arial" w:cs="Arial" w:eastAsia="Arial" w:hAnsi="Arial"/>
          <w:sz w:val="18"/>
          <w:szCs w:val="18"/>
          <w:u w:val="single" w:color="auto"/>
          <w:color w:val="0000EE"/>
        </w:rPr>
      </w:pPr>
    </w:p>
    <w:p>
      <w:pPr>
        <w:spacing w:after="0"/>
        <w:tabs>
          <w:tab w:leader="none" w:pos="1080" w:val="left"/>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w:t>
      </w:r>
      <w:r>
        <w:rPr>
          <w:sz w:val="20"/>
          <w:szCs w:val="20"/>
          <w:color w:val="auto"/>
        </w:rPr>
        <w:tab/>
      </w:r>
      <w:hyperlink r:id="rId149">
        <w:r>
          <w:rPr>
            <w:rFonts w:ascii="Arial" w:cs="Arial" w:eastAsia="Arial" w:hAnsi="Arial"/>
            <w:sz w:val="16"/>
            <w:szCs w:val="16"/>
            <w:u w:val="single" w:color="auto"/>
            <w:color w:val="0000EE"/>
          </w:rPr>
          <w:t>2014 Stock Incentive Plan [incorporated by reference to Exhibit 10.1 to Form 8-K dated May 13, 2014].</w:t>
        </w:r>
      </w:hyperlink>
    </w:p>
    <w:p>
      <w:pPr>
        <w:spacing w:after="0" w:line="9" w:lineRule="exact"/>
        <w:rPr>
          <w:rFonts w:ascii="Arial" w:cs="Arial" w:eastAsia="Arial" w:hAnsi="Arial"/>
          <w:sz w:val="18"/>
          <w:szCs w:val="18"/>
          <w:u w:val="single" w:color="auto"/>
          <w:color w:val="0000EE"/>
        </w:rPr>
      </w:pPr>
    </w:p>
    <w:p>
      <w:pPr>
        <w:spacing w:after="0"/>
        <w:tabs>
          <w:tab w:leader="none" w:pos="1080" w:val="left"/>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t>
      </w:r>
      <w:r>
        <w:rPr>
          <w:sz w:val="20"/>
          <w:szCs w:val="20"/>
          <w:color w:val="auto"/>
        </w:rPr>
        <w:tab/>
      </w:r>
      <w:hyperlink r:id="rId150">
        <w:r>
          <w:rPr>
            <w:rFonts w:ascii="Arial" w:cs="Arial" w:eastAsia="Arial" w:hAnsi="Arial"/>
            <w:sz w:val="16"/>
            <w:szCs w:val="16"/>
            <w:u w:val="single" w:color="auto"/>
            <w:color w:val="0000EE"/>
          </w:rPr>
          <w:t>2009 Stock Incentive Plan [incorporated by reference to Appendix B to the Proxy Statement on Schedule</w:t>
        </w:r>
      </w:hyperlink>
    </w:p>
    <w:p>
      <w:pPr>
        <w:spacing w:after="0" w:line="9" w:lineRule="exact"/>
        <w:rPr>
          <w:rFonts w:ascii="Arial" w:cs="Arial" w:eastAsia="Arial" w:hAnsi="Arial"/>
          <w:sz w:val="18"/>
          <w:szCs w:val="18"/>
          <w:u w:val="single" w:color="auto"/>
          <w:color w:val="0000EE"/>
        </w:rPr>
      </w:pPr>
    </w:p>
    <w:p>
      <w:pPr>
        <w:ind w:left="1420"/>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14A filed March 25, 2009].</w:t>
        </w:r>
      </w:hyperlink>
    </w:p>
    <w:p>
      <w:pPr>
        <w:spacing w:after="0" w:line="9" w:lineRule="exact"/>
        <w:rPr>
          <w:rFonts w:ascii="Arial" w:cs="Arial" w:eastAsia="Arial" w:hAnsi="Arial"/>
          <w:sz w:val="18"/>
          <w:szCs w:val="18"/>
          <w:u w:val="single" w:color="auto"/>
          <w:color w:val="0000EE"/>
        </w:rPr>
      </w:pPr>
    </w:p>
    <w:p>
      <w:pPr>
        <w:jc w:val="both"/>
        <w:ind w:left="1100" w:right="2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2005 Annual Incentive Plan [incorporated by reference to Appendix D to the Proxy Statement on</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Schedule 14A filed April 8, 2004].</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Waste Management, Inc. Employee Stock Purchase Plan [incorporated by reference to Exhibit 10.1 to</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Form 8-K dated May 15, 2015].</w:t>
        </w:r>
      </w:hyperlink>
    </w:p>
    <w:p>
      <w:pPr>
        <w:spacing w:after="0" w:line="1" w:lineRule="exact"/>
        <w:rPr>
          <w:sz w:val="20"/>
          <w:szCs w:val="20"/>
          <w:color w:val="auto"/>
        </w:rPr>
      </w:pPr>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EE"/>
          </w:rPr>
          <w:t>First Amendment to Waste Management, Inc. Employee Stock Purchase Plan effective as of July 1, 2015</w:t>
        </w:r>
      </w:hyperlink>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EE"/>
          </w:rPr>
          <w:t>[incorporated by reference to Exhibit 10.5 to Form 10-K for the year ended December 31, 2015].</w:t>
        </w:r>
      </w:hyperlink>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EE"/>
          </w:rPr>
          <w:t>Waste Management, Inc. 409A Deferral Savings Plan as Amended and Restated effective January 1, 2014</w:t>
        </w:r>
      </w:hyperlink>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EE"/>
          </w:rPr>
          <w:t>[incorporated by reference to Exhibit 10.2 to Form 10-Q for the quarter ended March 31, 2014].</w:t>
        </w:r>
      </w:hyperlink>
    </w:p>
    <w:p>
      <w:pPr>
        <w:jc w:val="both"/>
        <w:ind w:left="1100" w:hanging="1403"/>
        <w:spacing w:after="0" w:line="26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EE"/>
          </w:rPr>
          <w:t>$3.5 Billion Fifth Amended and Restated Revolving Credit Agreement dated as of November 7, 2019 by</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EE"/>
          </w:rPr>
          <w:t>and among Waste Management, Inc., Waste Management of Canada Corporation, WM Quebec Inc. and</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Waste Management Holdings, Inc., certain banks party thereto, and Bank of America, N.A., as</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administrative agent [incorporated by reference to Exhibit 10.1 to Form 8-K dated November 7, 2019].</w:t>
        </w:r>
      </w:hyperlink>
    </w:p>
    <w:p>
      <w:pPr>
        <w:spacing w:after="0" w:line="1" w:lineRule="exact"/>
        <w:rPr>
          <w:rFonts w:ascii="Arial" w:cs="Arial" w:eastAsia="Arial" w:hAnsi="Arial"/>
          <w:sz w:val="17"/>
          <w:szCs w:val="17"/>
          <w:u w:val="single" w:color="auto"/>
          <w:color w:val="0000EE"/>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Commercial Paper Dealer Agreement, substantially in the form as executed with each of Mizuho</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Securities USA Inc., Merrill Lynch, Pierce, Fenner &amp; Smith Incorporated, and J.P. Morgan Securities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LLC, as Dealer, dated August 22, 2016 [incorporated by reference to Exhibit 10.11 to Form 10-K for</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the year ended December 31, 2016].</w:t>
        </w:r>
      </w:hyperlink>
    </w:p>
    <w:p>
      <w:pPr>
        <w:spacing w:after="0" w:line="2" w:lineRule="exact"/>
        <w:rPr>
          <w:rFonts w:ascii="Arial" w:cs="Arial" w:eastAsia="Arial" w:hAnsi="Arial"/>
          <w:sz w:val="18"/>
          <w:szCs w:val="18"/>
          <w:u w:val="single" w:color="auto"/>
          <w:color w:val="0000EE"/>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Commercial Paper Issuing and Paying Agent Agreement between Waste Management, Inc. and Bank of</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America, National Association dated August 15, 2016 [incorporated by reference to Exhibit 10.12 to</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Form 10-K for the year ended December 31, 2016].</w:t>
        </w:r>
      </w:hyperlink>
    </w:p>
    <w:p>
      <w:pPr>
        <w:spacing w:after="0" w:line="1" w:lineRule="exact"/>
        <w:rPr>
          <w:rFonts w:ascii="Arial" w:cs="Arial" w:eastAsia="Arial" w:hAnsi="Arial"/>
          <w:sz w:val="18"/>
          <w:szCs w:val="18"/>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First Amended and Restated Employment Agreement between USA Waste-Management Resources, LLC</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and James C. Fish, Jr. dated December 22, 2017 [incorporated by reference to Exhibit 10.2 to Form 8-K</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dated December 22, 2017].</w:t>
        </w:r>
      </w:hyperlink>
    </w:p>
    <w:p>
      <w:pPr>
        <w:spacing w:after="0" w:line="1" w:lineRule="exact"/>
        <w:rPr>
          <w:rFonts w:ascii="Arial" w:cs="Arial" w:eastAsia="Arial" w:hAnsi="Arial"/>
          <w:sz w:val="18"/>
          <w:szCs w:val="18"/>
          <w:color w:val="auto"/>
        </w:rPr>
      </w:pPr>
    </w:p>
    <w:p>
      <w:pPr>
        <w:jc w:val="both"/>
        <w:ind w:left="1100" w:right="20" w:hanging="1403"/>
        <w:spacing w:after="0" w:line="281" w:lineRule="auto"/>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EE"/>
          </w:rPr>
          <w:t>Employment Agreement between USA Waste-Management Resources, LLC and Devina A. Rankin dated</w:t>
        </w:r>
      </w:hyperlink>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EE"/>
          </w:rPr>
          <w:t>December 22, 2017 [incorporated by reference to Exhibit 10.3 to Form 8-K dated December 22, 2017].</w:t>
        </w:r>
      </w:hyperlink>
    </w:p>
    <w:p>
      <w:pPr>
        <w:spacing w:after="0" w:line="1" w:lineRule="exact"/>
        <w:rPr>
          <w:sz w:val="20"/>
          <w:szCs w:val="20"/>
          <w:color w:val="auto"/>
        </w:rPr>
      </w:pPr>
    </w:p>
    <w:p>
      <w:pPr>
        <w:jc w:val="both"/>
        <w:ind w:left="1100" w:right="20" w:hanging="1403"/>
        <w:spacing w:after="0" w:line="281" w:lineRule="auto"/>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 </w:t>
      </w:r>
      <w:hyperlink r:id="rId160">
        <w:r>
          <w:rPr>
            <w:rFonts w:ascii="Arial" w:cs="Arial" w:eastAsia="Arial" w:hAnsi="Arial"/>
            <w:sz w:val="16"/>
            <w:szCs w:val="16"/>
            <w:u w:val="single" w:color="auto"/>
            <w:color w:val="0000EE"/>
          </w:rPr>
          <w:t>First Amended and Restated Employment Agreement between USA Waste-Management Resources, LLC</w:t>
        </w:r>
      </w:hyperlink>
      <w:r>
        <w:rPr>
          <w:rFonts w:ascii="Arial" w:cs="Arial" w:eastAsia="Arial" w:hAnsi="Arial"/>
          <w:sz w:val="16"/>
          <w:szCs w:val="16"/>
          <w:color w:val="auto"/>
        </w:rPr>
        <w:t xml:space="preserve"> </w:t>
      </w:r>
      <w:hyperlink r:id="rId160">
        <w:r>
          <w:rPr>
            <w:rFonts w:ascii="Arial" w:cs="Arial" w:eastAsia="Arial" w:hAnsi="Arial"/>
            <w:sz w:val="16"/>
            <w:szCs w:val="16"/>
            <w:u w:val="single" w:color="auto"/>
            <w:color w:val="0000EE"/>
          </w:rPr>
          <w:t>and John J. Morris, Jr. [incorporated by reference to Exhibit 10.4 to Form 8-K dated December 22, 2017].</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EE"/>
          </w:rPr>
          <w:t>Employment Agreement between USA Waste-Management Resources, LLC and Charles C. Boettcher</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EE"/>
          </w:rPr>
          <w:t>dated December 22, 2017 [incorporated by reference to Exhibit 10.23 to Form 10-K for the year ended</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December 31, 2017].</w:t>
        </w:r>
      </w:hyperlink>
    </w:p>
    <w:p>
      <w:pPr>
        <w:spacing w:after="0" w:line="1" w:lineRule="exact"/>
        <w:rPr>
          <w:rFonts w:ascii="Arial" w:cs="Arial" w:eastAsia="Arial" w:hAnsi="Arial"/>
          <w:sz w:val="18"/>
          <w:szCs w:val="18"/>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Form of Director and Executive Officer Indemnity Agreement [incorporated by reference to</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Exhibit 10.43 to Form 10-K for the year ended December 31, 2012].</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Waste Management Holdings, Inc. Executive Severance Plan [incorporated by reference to Exhibit 10.1</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to Form 8-K dated December 22, 2017].</w:t>
        </w:r>
      </w:hyperlink>
    </w:p>
    <w:p>
      <w:pPr>
        <w:spacing w:after="0" w:line="1" w:lineRule="exact"/>
        <w:rPr>
          <w:sz w:val="20"/>
          <w:szCs w:val="20"/>
          <w:color w:val="auto"/>
        </w:rPr>
      </w:pPr>
    </w:p>
    <w:p>
      <w:pPr>
        <w:jc w:val="both"/>
        <w:ind w:left="1100" w:hanging="1403"/>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Form of 2017 Senior Leadership Team Award Agreement [incorporated by reference to Exhibit 10.1 to</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Form 8-K dated February 27, 2017].</w:t>
        </w:r>
      </w:hyperlink>
    </w:p>
    <w:p>
      <w:pPr>
        <w:spacing w:after="0" w:line="1" w:lineRule="exact"/>
        <w:rPr>
          <w:sz w:val="20"/>
          <w:szCs w:val="20"/>
          <w:color w:val="auto"/>
        </w:rPr>
      </w:pPr>
    </w:p>
    <w:p>
      <w:pPr>
        <w:jc w:val="both"/>
        <w:ind w:left="1100" w:hanging="1403"/>
        <w:spacing w:after="0" w:line="26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EE"/>
          </w:rPr>
          <w:t>Form of 2017 Long Term Incentive Compensation Award Agreement (Mid-Year Award) [incorporated by</w:t>
        </w:r>
      </w:hyperlink>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EE"/>
          </w:rPr>
          <w:t>reference to Exhibit 10.37 to Form 10-K for the year ended December 31, 2017].</w:t>
        </w:r>
      </w:hyperlink>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8120" w:type="dxa"/>
            <w:vAlign w:val="bottom"/>
            <w:gridSpan w:val="11"/>
          </w:tcPr>
          <w:p>
            <w:pPr>
              <w:ind w:left="1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67">
              <w:r>
                <w:rPr>
                  <w:rFonts w:ascii="Arial" w:cs="Arial" w:eastAsia="Arial" w:hAnsi="Arial"/>
                  <w:sz w:val="18"/>
                  <w:szCs w:val="18"/>
                  <w:color w:val="0000EE"/>
                  <w:w w:val="94"/>
                </w:rPr>
                <w:t>Form of 2018 Senior Leadership Team Award Agreement [incorporated by reference to Exhibit 10.1 to</w:t>
              </w:r>
            </w:hyperlink>
          </w:p>
        </w:tc>
      </w:tr>
      <w:tr>
        <w:trPr>
          <w:trHeight w:val="196"/>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Form 8-K dated February 19, 2018].</w:t>
              </w:r>
            </w:hyperlink>
          </w:p>
        </w:tc>
        <w:tc>
          <w:tcPr>
            <w:tcW w:w="5000" w:type="dxa"/>
            <w:vAlign w:val="bottom"/>
            <w:tcBorders>
              <w:top w:val="single" w:sz="8" w:color="0000EE"/>
            </w:tcBorders>
            <w:gridSpan w:val="5"/>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8120" w:type="dxa"/>
            <w:vAlign w:val="bottom"/>
            <w:gridSpan w:val="11"/>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68">
              <w:r>
                <w:rPr>
                  <w:rFonts w:ascii="Arial" w:cs="Arial" w:eastAsia="Arial" w:hAnsi="Arial"/>
                  <w:sz w:val="18"/>
                  <w:szCs w:val="18"/>
                  <w:color w:val="0000EE"/>
                  <w:w w:val="94"/>
                </w:rPr>
                <w:t>Form of 2019 Senior Leadership Team Award Agreement [incorporated by reference to Exhibit 10.1 to</w:t>
              </w:r>
            </w:hyperlink>
          </w:p>
        </w:tc>
      </w:tr>
      <w:tr>
        <w:trPr>
          <w:trHeight w:val="196"/>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Form 8-K dated February 19, 2019].</w:t>
              </w:r>
            </w:hyperlink>
          </w:p>
        </w:tc>
        <w:tc>
          <w:tcPr>
            <w:tcW w:w="5020" w:type="dxa"/>
            <w:vAlign w:val="bottom"/>
            <w:tcBorders>
              <w:top w:val="single" w:sz="8" w:color="0000EE"/>
            </w:tcBorders>
            <w:gridSpan w:val="6"/>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8120" w:type="dxa"/>
            <w:vAlign w:val="bottom"/>
            <w:gridSpan w:val="11"/>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36">
              <w:r>
                <w:rPr>
                  <w:rFonts w:ascii="Arial" w:cs="Arial" w:eastAsia="Arial" w:hAnsi="Arial"/>
                  <w:sz w:val="18"/>
                  <w:szCs w:val="18"/>
                  <w:color w:val="0000EE"/>
                </w:rPr>
                <w:t>Subsidiaries of the Registrant.</w:t>
              </w:r>
            </w:hyperlink>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8120" w:type="dxa"/>
            <w:vAlign w:val="bottom"/>
            <w:gridSpan w:val="11"/>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44">
              <w:r>
                <w:rPr>
                  <w:rFonts w:ascii="Arial" w:cs="Arial" w:eastAsia="Arial" w:hAnsi="Arial"/>
                  <w:sz w:val="18"/>
                  <w:szCs w:val="18"/>
                  <w:color w:val="0000EE"/>
                </w:rPr>
                <w:t>Consent of Independent Registered Public Accounting Firm.</w:t>
              </w:r>
            </w:hyperlink>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20" w:type="dxa"/>
            <w:vAlign w:val="bottom"/>
            <w:gridSpan w:val="11"/>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45">
              <w:r>
                <w:rPr>
                  <w:rFonts w:ascii="Arial" w:cs="Arial" w:eastAsia="Arial" w:hAnsi="Arial"/>
                  <w:sz w:val="18"/>
                  <w:szCs w:val="18"/>
                  <w:color w:val="0000EE"/>
                  <w:w w:val="94"/>
                </w:rPr>
                <w:t>Certification Pursuant to Rule 13a-14(a) and 15d-14(a) under the Securities Exchange Act of 1934, as</w:t>
              </w:r>
            </w:hyperlink>
          </w:p>
        </w:tc>
      </w:tr>
      <w:tr>
        <w:trPr>
          <w:trHeight w:val="196"/>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amended, of James C. Fish, Jr., President and Chief Executive Officer.</w:t>
              </w:r>
            </w:hyperlink>
          </w:p>
        </w:tc>
        <w:tc>
          <w:tcPr>
            <w:tcW w:w="2580" w:type="dxa"/>
            <w:vAlign w:val="bottom"/>
            <w:tcBorders>
              <w:top w:val="single" w:sz="8" w:color="0000EE"/>
            </w:tcBorders>
            <w:gridSpan w:val="3"/>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20" w:type="dxa"/>
            <w:vAlign w:val="bottom"/>
            <w:gridSpan w:val="11"/>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46">
              <w:r>
                <w:rPr>
                  <w:rFonts w:ascii="Arial" w:cs="Arial" w:eastAsia="Arial" w:hAnsi="Arial"/>
                  <w:sz w:val="18"/>
                  <w:szCs w:val="18"/>
                  <w:color w:val="0000EE"/>
                  <w:w w:val="94"/>
                </w:rPr>
                <w:t>Certification Pursuant to Rule 13a-14(a) and 15d-14(a) under the Securities Exchange Act of 1934, as</w:t>
              </w:r>
            </w:hyperlink>
          </w:p>
        </w:tc>
      </w:tr>
      <w:tr>
        <w:trPr>
          <w:trHeight w:val="196"/>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amended, of Devina A. Rankin, Senior Vice President and Chief Financial Officer.</w:t>
              </w:r>
            </w:hyperlink>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20" w:type="dxa"/>
            <w:vAlign w:val="bottom"/>
            <w:gridSpan w:val="11"/>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47">
              <w:r>
                <w:rPr>
                  <w:rFonts w:ascii="Arial" w:cs="Arial" w:eastAsia="Arial" w:hAnsi="Arial"/>
                  <w:sz w:val="18"/>
                  <w:szCs w:val="18"/>
                  <w:color w:val="0000EE"/>
                  <w:w w:val="94"/>
                </w:rPr>
                <w:t>Certification Pursuant to 18 U.S.C. §1350 of James C. Fish, Jr., President and Chief Executive Officer.</w:t>
              </w:r>
            </w:hyperlink>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58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8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Certification Pursuant to 18 U.S.C. §1350 of Devina A. Rankin, Senior Vice President and Chief</w:t>
              </w:r>
            </w:hyperlink>
          </w:p>
        </w:tc>
      </w:tr>
      <w:tr>
        <w:trPr>
          <w:trHeight w:val="196"/>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1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Financial Officer.</w:t>
              </w:r>
            </w:hyperlink>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95*</w:t>
            </w:r>
          </w:p>
        </w:tc>
        <w:tc>
          <w:tcPr>
            <w:tcW w:w="48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640" w:type="dxa"/>
            <w:vAlign w:val="bottom"/>
            <w:gridSpan w:val="1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Mine Safety Disclosures.</w:t>
              </w:r>
            </w:hyperlink>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w:t>
            </w:r>
          </w:p>
        </w:tc>
        <w:tc>
          <w:tcPr>
            <w:tcW w:w="5840" w:type="dxa"/>
            <w:vAlign w:val="bottom"/>
            <w:gridSpan w:val="8"/>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120" w:type="dxa"/>
            <w:vAlign w:val="bottom"/>
            <w:gridSpan w:val="11"/>
          </w:tcPr>
          <w:p>
            <w:pPr>
              <w:ind w:left="160"/>
              <w:spacing w:after="0"/>
              <w:rPr>
                <w:sz w:val="20"/>
                <w:szCs w:val="20"/>
                <w:color w:val="auto"/>
              </w:rPr>
            </w:pPr>
            <w:r>
              <w:rPr>
                <w:rFonts w:ascii="Arial" w:cs="Arial" w:eastAsia="Arial" w:hAnsi="Arial"/>
                <w:sz w:val="18"/>
                <w:szCs w:val="18"/>
                <w:color w:val="auto"/>
              </w:rPr>
              <w:t>—  Inline XBRL Taxonomy Extension Schema.</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120" w:type="dxa"/>
            <w:vAlign w:val="bottom"/>
            <w:gridSpan w:val="11"/>
          </w:tcPr>
          <w:p>
            <w:pPr>
              <w:ind w:left="160"/>
              <w:spacing w:after="0"/>
              <w:rPr>
                <w:sz w:val="20"/>
                <w:szCs w:val="20"/>
                <w:color w:val="auto"/>
              </w:rPr>
            </w:pPr>
            <w:r>
              <w:rPr>
                <w:rFonts w:ascii="Arial" w:cs="Arial" w:eastAsia="Arial" w:hAnsi="Arial"/>
                <w:sz w:val="18"/>
                <w:szCs w:val="18"/>
                <w:color w:val="auto"/>
              </w:rPr>
              <w:t>—  Inline XBRL Taxonomy Extension Calculation.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120" w:type="dxa"/>
            <w:vAlign w:val="bottom"/>
            <w:gridSpan w:val="11"/>
          </w:tcPr>
          <w:p>
            <w:pPr>
              <w:ind w:left="160"/>
              <w:spacing w:after="0"/>
              <w:rPr>
                <w:sz w:val="20"/>
                <w:szCs w:val="20"/>
                <w:color w:val="auto"/>
              </w:rPr>
            </w:pPr>
            <w:r>
              <w:rPr>
                <w:rFonts w:ascii="Arial" w:cs="Arial" w:eastAsia="Arial" w:hAnsi="Arial"/>
                <w:sz w:val="18"/>
                <w:szCs w:val="18"/>
                <w:color w:val="auto"/>
              </w:rPr>
              <w:t>—  Inline XBRL Taxonomy Extension Labels.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120" w:type="dxa"/>
            <w:vAlign w:val="bottom"/>
            <w:gridSpan w:val="11"/>
          </w:tcPr>
          <w:p>
            <w:pPr>
              <w:ind w:left="160"/>
              <w:spacing w:after="0"/>
              <w:rPr>
                <w:sz w:val="20"/>
                <w:szCs w:val="20"/>
                <w:color w:val="auto"/>
              </w:rPr>
            </w:pPr>
            <w:r>
              <w:rPr>
                <w:rFonts w:ascii="Arial" w:cs="Arial" w:eastAsia="Arial" w:hAnsi="Arial"/>
                <w:sz w:val="18"/>
                <w:szCs w:val="18"/>
                <w:color w:val="auto"/>
              </w:rPr>
              <w:t>—  Inline XBRL Taxonomy Extension Presentation.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120" w:type="dxa"/>
            <w:vAlign w:val="bottom"/>
            <w:gridSpan w:val="11"/>
          </w:tcPr>
          <w:p>
            <w:pPr>
              <w:ind w:left="160"/>
              <w:spacing w:after="0"/>
              <w:rPr>
                <w:sz w:val="20"/>
                <w:szCs w:val="20"/>
                <w:color w:val="auto"/>
              </w:rPr>
            </w:pPr>
            <w:r>
              <w:rPr>
                <w:rFonts w:ascii="Arial" w:cs="Arial" w:eastAsia="Arial" w:hAnsi="Arial"/>
                <w:sz w:val="18"/>
                <w:szCs w:val="18"/>
                <w:color w:val="auto"/>
              </w:rPr>
              <w:t>—  Inline XBRL Taxonomy Extension Definition.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764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82" w:lineRule="exact"/>
        <w:rPr>
          <w:sz w:val="20"/>
          <w:szCs w:val="20"/>
          <w:color w:val="auto"/>
        </w:rPr>
      </w:pPr>
    </w:p>
    <w:p>
      <w:pPr>
        <w:ind w:left="320" w:hanging="311"/>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20" w:hanging="311"/>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ind w:right="791"/>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JAMES C. FISH, JR.</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86"/>
              </w:rPr>
              <w:t>James C. Fish, Jr.</w:t>
            </w:r>
          </w:p>
        </w:tc>
        <w:tc>
          <w:tcPr>
            <w:tcW w:w="28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rPr>
              <w:t>DEVINA A. RANKIN</w:t>
            </w:r>
          </w:p>
        </w:tc>
        <w:tc>
          <w:tcPr>
            <w:tcW w:w="280" w:type="dxa"/>
            <w:vAlign w:val="bottom"/>
          </w:tcPr>
          <w:p>
            <w:pPr>
              <w:spacing w:after="0"/>
              <w:rPr>
                <w:sz w:val="24"/>
                <w:szCs w:val="24"/>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Senior Vice President and</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195"/>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jc w:val="center"/>
              <w:ind w:right="771"/>
              <w:spacing w:after="0" w:line="195" w:lineRule="exact"/>
              <w:rPr>
                <w:sz w:val="20"/>
                <w:szCs w:val="20"/>
                <w:color w:val="auto"/>
              </w:rPr>
            </w:pPr>
            <w:r>
              <w:rPr>
                <w:rFonts w:ascii="Arial" w:cs="Arial" w:eastAsia="Arial" w:hAnsi="Arial"/>
                <w:sz w:val="18"/>
                <w:szCs w:val="18"/>
                <w:color w:val="auto"/>
                <w:w w:val="93"/>
              </w:rPr>
              <w:t>Devina A. Rankin</w:t>
            </w:r>
          </w:p>
        </w:tc>
        <w:tc>
          <w:tcPr>
            <w:tcW w:w="280" w:type="dxa"/>
            <w:vAlign w:val="bottom"/>
          </w:tcPr>
          <w:p>
            <w:pPr>
              <w:spacing w:after="0"/>
              <w:rPr>
                <w:sz w:val="16"/>
                <w:szCs w:val="16"/>
                <w:color w:val="auto"/>
              </w:rPr>
            </w:pPr>
          </w:p>
        </w:tc>
        <w:tc>
          <w:tcPr>
            <w:tcW w:w="41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4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40" w:type="dxa"/>
            <w:vAlign w:val="bottom"/>
          </w:tcPr>
          <w:p>
            <w:pPr>
              <w:spacing w:after="0"/>
              <w:rPr>
                <w:sz w:val="20"/>
                <w:szCs w:val="20"/>
                <w:color w:val="auto"/>
              </w:rPr>
            </w:pPr>
          </w:p>
        </w:tc>
      </w:tr>
      <w:tr>
        <w:trPr>
          <w:trHeight w:val="432"/>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3"/>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LESLIE K. NAGY</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4"/>
              </w:rPr>
              <w:t>Leslie K. Nagy</w:t>
            </w:r>
          </w:p>
        </w:tc>
        <w:tc>
          <w:tcPr>
            <w:tcW w:w="28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8"/>
              </w:rPr>
              <w:t>/s/  FRANK M. CLARK, JR.</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1"/>
              </w:rPr>
              <w:t>Frank M. Clark, Jr.</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5"/>
              </w:rPr>
              <w:t>ANDRÉS R. GLUSKI</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3"/>
              </w:rPr>
              <w:t>Andrés R. Gluski</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PARTICK W. GROSS</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0"/>
              </w:rPr>
              <w:t>Patrick W. Gross</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VICTORIA M. HOLT</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98"/>
              </w:rPr>
              <w:t>Victoria M. Holt</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gridSpan w:val="2"/>
          </w:tcPr>
          <w:p>
            <w:pPr>
              <w:jc w:val="center"/>
              <w:ind w:right="91"/>
              <w:spacing w:after="0"/>
              <w:rPr>
                <w:sz w:val="20"/>
                <w:szCs w:val="20"/>
                <w:color w:val="auto"/>
              </w:rPr>
            </w:pPr>
            <w:r>
              <w:rPr>
                <w:rFonts w:ascii="Arial" w:cs="Arial" w:eastAsia="Arial" w:hAnsi="Arial"/>
                <w:sz w:val="18"/>
                <w:szCs w:val="18"/>
                <w:color w:val="auto"/>
              </w:rPr>
              <w:t>KATHLEEN M. MAZZARELLA</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2640" w:type="dxa"/>
            <w:vAlign w:val="bottom"/>
            <w:gridSpan w:val="2"/>
          </w:tcPr>
          <w:p>
            <w:pPr>
              <w:jc w:val="center"/>
              <w:ind w:right="371"/>
              <w:spacing w:after="0"/>
              <w:rPr>
                <w:sz w:val="20"/>
                <w:szCs w:val="20"/>
                <w:color w:val="auto"/>
              </w:rPr>
            </w:pPr>
            <w:r>
              <w:rPr>
                <w:rFonts w:ascii="Arial" w:cs="Arial" w:eastAsia="Arial" w:hAnsi="Arial"/>
                <w:sz w:val="18"/>
                <w:szCs w:val="18"/>
                <w:color w:val="auto"/>
                <w:w w:val="92"/>
              </w:rPr>
              <w:t>Kathleen M. Mazzarella</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B. PLUMMER</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2640" w:type="dxa"/>
            <w:vAlign w:val="bottom"/>
            <w:gridSpan w:val="2"/>
          </w:tcPr>
          <w:p>
            <w:pPr>
              <w:jc w:val="center"/>
              <w:ind w:right="371"/>
              <w:spacing w:after="0"/>
              <w:rPr>
                <w:sz w:val="20"/>
                <w:szCs w:val="20"/>
                <w:color w:val="auto"/>
              </w:rPr>
            </w:pPr>
            <w:r>
              <w:rPr>
                <w:rFonts w:ascii="Arial" w:cs="Arial" w:eastAsia="Arial" w:hAnsi="Arial"/>
                <w:sz w:val="18"/>
                <w:szCs w:val="18"/>
                <w:color w:val="auto"/>
                <w:w w:val="95"/>
              </w:rPr>
              <w:t>William B. Plummer</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3"/>
              </w:rPr>
              <w:t>/s/  JOHN C. POPE</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87"/>
              </w:rPr>
              <w:t>John C. Pope</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3"/>
              </w:rPr>
              <w:t>/s/</w:t>
            </w:r>
          </w:p>
        </w:tc>
        <w:tc>
          <w:tcPr>
            <w:tcW w:w="264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8"/>
                <w:szCs w:val="18"/>
                <w:color w:val="auto"/>
                <w:w w:val="98"/>
              </w:rPr>
              <w:t>THOMAS H. WEIDEMEYER</w:t>
            </w:r>
          </w:p>
        </w:tc>
        <w:tc>
          <w:tcPr>
            <w:tcW w:w="28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r>
      <w:tr>
        <w:trPr>
          <w:trHeight w:val="224"/>
        </w:trPr>
        <w:tc>
          <w:tcPr>
            <w:tcW w:w="46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0"/>
              </w:rPr>
              <w:t>Thomas H. Weidemeyer</w:t>
            </w: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60"/>
          </w:cols>
          <w:pgMar w:left="1420" w:top="6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11" w:right="141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jc w:val="center"/>
        <w:spacing w:after="0" w:line="203" w:lineRule="auto"/>
        <w:rPr>
          <w:sz w:val="20"/>
          <w:szCs w:val="20"/>
          <w:color w:val="auto"/>
        </w:rPr>
      </w:pPr>
      <w:r>
        <w:rPr>
          <w:rFonts w:ascii="Arial" w:cs="Arial" w:eastAsia="Arial" w:hAnsi="Arial"/>
          <w:sz w:val="18"/>
          <w:szCs w:val="18"/>
          <w:b w:val="1"/>
          <w:bCs w:val="1"/>
          <w:color w:val="auto"/>
        </w:rPr>
        <w:t>delivered pursuant to Section 301 of the Indenture dated September 10, 1997</w:t>
      </w:r>
    </w:p>
    <w:p>
      <w:pPr>
        <w:jc w:val="center"/>
        <w:spacing w:after="0" w:line="204" w:lineRule="auto"/>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Principal</w:t>
            </w:r>
          </w:p>
        </w:tc>
        <w:tc>
          <w:tcPr>
            <w:tcW w:w="128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94"/>
              </w:rPr>
              <w:t>Interest Rate</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ind w:left="160"/>
              <w:spacing w:after="0" w:line="122" w:lineRule="exact"/>
              <w:rPr>
                <w:sz w:val="20"/>
                <w:szCs w:val="20"/>
                <w:color w:val="auto"/>
              </w:rPr>
            </w:pPr>
            <w:r>
              <w:rPr>
                <w:rFonts w:ascii="Arial" w:cs="Arial" w:eastAsia="Arial" w:hAnsi="Arial"/>
                <w:sz w:val="14"/>
                <w:szCs w:val="14"/>
                <w:b w:val="1"/>
                <w:bCs w:val="1"/>
                <w:color w:val="auto"/>
              </w:rPr>
              <w:t>Amount</w:t>
            </w:r>
          </w:p>
        </w:tc>
        <w:tc>
          <w:tcPr>
            <w:tcW w:w="1280" w:type="dxa"/>
            <w:vAlign w:val="bottom"/>
            <w:gridSpan w:val="2"/>
            <w:vMerge w:val="continue"/>
          </w:tcPr>
          <w:p>
            <w:pPr>
              <w:spacing w:after="0"/>
              <w:rPr>
                <w:sz w:val="10"/>
                <w:szCs w:val="10"/>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Issue Date</w:t>
            </w:r>
          </w:p>
        </w:tc>
        <w:tc>
          <w:tcPr>
            <w:tcW w:w="140" w:type="dxa"/>
            <w:vAlign w:val="bottom"/>
            <w:vMerge w:val="restart"/>
          </w:tcPr>
          <w:p>
            <w:pPr>
              <w:spacing w:after="0"/>
              <w:rPr>
                <w:sz w:val="10"/>
                <w:szCs w:val="10"/>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vMerge w:val="restart"/>
          </w:tcPr>
          <w:p>
            <w:pPr>
              <w:spacing w:after="0"/>
              <w:rPr>
                <w:sz w:val="10"/>
                <w:szCs w:val="10"/>
                <w:color w:val="auto"/>
              </w:rPr>
            </w:pP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CUSIP</w:t>
            </w:r>
          </w:p>
        </w:tc>
        <w:tc>
          <w:tcPr>
            <w:tcW w:w="140" w:type="dxa"/>
            <w:vAlign w:val="bottom"/>
            <w:vMerge w:val="restart"/>
          </w:tcPr>
          <w:p>
            <w:pPr>
              <w:spacing w:after="0"/>
              <w:rPr>
                <w:sz w:val="10"/>
                <w:szCs w:val="10"/>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Interest Payment Dates</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ind w:left="220"/>
              <w:spacing w:after="0" w:line="122" w:lineRule="exact"/>
              <w:rPr>
                <w:sz w:val="20"/>
                <w:szCs w:val="20"/>
                <w:color w:val="auto"/>
              </w:rPr>
            </w:pPr>
            <w:r>
              <w:rPr>
                <w:rFonts w:ascii="Arial" w:cs="Arial" w:eastAsia="Arial" w:hAnsi="Arial"/>
                <w:sz w:val="14"/>
                <w:szCs w:val="14"/>
                <w:b w:val="1"/>
                <w:bCs w:val="1"/>
                <w:color w:val="auto"/>
              </w:rPr>
              <w:t>Issued</w:t>
            </w:r>
          </w:p>
        </w:tc>
        <w:tc>
          <w:tcPr>
            <w:tcW w:w="42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b w:val="1"/>
                <w:bCs w:val="1"/>
                <w:color w:val="auto"/>
                <w:w w:val="98"/>
              </w:rPr>
              <w:t>(per annum)</w:t>
            </w:r>
          </w:p>
        </w:tc>
        <w:tc>
          <w:tcPr>
            <w:tcW w:w="38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8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tcPr>
          <w:p>
            <w:pPr>
              <w:ind w:left="180"/>
              <w:spacing w:after="0" w:line="189" w:lineRule="exact"/>
              <w:rPr>
                <w:sz w:val="20"/>
                <w:szCs w:val="20"/>
                <w:color w:val="auto"/>
              </w:rPr>
            </w:pPr>
            <w:r>
              <w:rPr>
                <w:rFonts w:ascii="Arial" w:cs="Arial" w:eastAsia="Arial" w:hAnsi="Arial"/>
                <w:sz w:val="18"/>
                <w:szCs w:val="18"/>
                <w:color w:val="auto"/>
                <w:w w:val="95"/>
              </w:rPr>
              <w:t>600 million</w:t>
            </w:r>
          </w:p>
        </w:tc>
        <w:tc>
          <w:tcPr>
            <w:tcW w:w="42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84"/>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7.00</w:t>
            </w:r>
          </w:p>
        </w:tc>
        <w:tc>
          <w:tcPr>
            <w:tcW w:w="38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87"/>
              </w:rPr>
              <w:t>%</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7/17/1998</w:t>
            </w:r>
          </w:p>
        </w:tc>
        <w:tc>
          <w:tcPr>
            <w:tcW w:w="14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9"/>
              </w:rPr>
              <w:t>7/15/2028</w:t>
            </w:r>
          </w:p>
        </w:tc>
        <w:tc>
          <w:tcPr>
            <w:tcW w:w="140" w:type="dxa"/>
            <w:vAlign w:val="bottom"/>
          </w:tcPr>
          <w:p>
            <w:pPr>
              <w:spacing w:after="0"/>
              <w:rPr>
                <w:sz w:val="16"/>
                <w:szCs w:val="16"/>
                <w:color w:val="auto"/>
              </w:rPr>
            </w:pPr>
          </w:p>
        </w:tc>
        <w:tc>
          <w:tcPr>
            <w:tcW w:w="13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4"/>
              </w:rPr>
              <w:t>902917AH6</w:t>
            </w:r>
          </w:p>
        </w:tc>
        <w:tc>
          <w:tcPr>
            <w:tcW w:w="1840" w:type="dxa"/>
            <w:vAlign w:val="bottom"/>
          </w:tcPr>
          <w:p>
            <w:pPr>
              <w:ind w:left="420"/>
              <w:spacing w:after="0" w:line="189" w:lineRule="exact"/>
              <w:rPr>
                <w:sz w:val="20"/>
                <w:szCs w:val="20"/>
                <w:color w:val="auto"/>
              </w:rPr>
            </w:pPr>
            <w:r>
              <w:rPr>
                <w:rFonts w:ascii="Arial" w:cs="Arial" w:eastAsia="Arial" w:hAnsi="Arial"/>
                <w:sz w:val="18"/>
                <w:szCs w:val="18"/>
                <w:color w:val="auto"/>
                <w:w w:val="89"/>
              </w:rPr>
              <w:t>January 15; July 15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250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7.375%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5/15/2029</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94106LAG4</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500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7.75%</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5/21/2002</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5/15/2032</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94106LAN9</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600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6.125%</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11/12/2009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11/30/2039**</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94106LAV1</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30; November 30</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600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4.75%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6/8/2010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6/30/2020**</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94106LAW9</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30; December 30</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400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4.60%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2/28/2011</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3/1/2021**</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941063AQ2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500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2.90%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9/12/2012</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9/15/2022**</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94106LAY5</w:t>
            </w:r>
          </w:p>
        </w:tc>
        <w:tc>
          <w:tcPr>
            <w:tcW w:w="1840" w:type="dxa"/>
            <w:vAlign w:val="bottom"/>
          </w:tcPr>
          <w:p>
            <w:pPr>
              <w:jc w:val="right"/>
              <w:spacing w:after="0"/>
              <w:rPr>
                <w:sz w:val="20"/>
                <w:szCs w:val="20"/>
                <w:color w:val="auto"/>
              </w:rPr>
            </w:pPr>
            <w:r>
              <w:rPr>
                <w:rFonts w:ascii="Arial" w:cs="Arial" w:eastAsia="Arial" w:hAnsi="Arial"/>
                <w:sz w:val="18"/>
                <w:szCs w:val="18"/>
                <w:color w:val="auto"/>
              </w:rPr>
              <w:t>March 15; September</w:t>
            </w:r>
          </w:p>
        </w:tc>
        <w:tc>
          <w:tcPr>
            <w:tcW w:w="42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350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3.50%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5/15/2024**</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94106LAZ2</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600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3.125%</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3/1/2025**</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94106LBA6</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450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3.90%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3/1/2035**</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94106LBB4</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750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4.10%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3/1/2045**</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94106LBC2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500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2.40%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5/15/2023**</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94106LBD0</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750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3.150%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11/15/2027**</w:t>
            </w: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94106LBE8</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750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2.950%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6/15/2024**+</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94106LBF5</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15; December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750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3.200%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6/15/2026**+</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94106LBH1</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15; December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1 billion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3.450%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6/15/2029**+</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94106LBG3</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15; December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500 million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4.000%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6/15/2039**+</w:t>
            </w: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94106LBJ7</w:t>
            </w:r>
          </w:p>
        </w:tc>
        <w:tc>
          <w:tcPr>
            <w:tcW w:w="1840" w:type="dxa"/>
            <w:vAlign w:val="bottom"/>
          </w:tcPr>
          <w:p>
            <w:pPr>
              <w:ind w:left="420"/>
              <w:spacing w:after="0"/>
              <w:rPr>
                <w:sz w:val="20"/>
                <w:szCs w:val="20"/>
                <w:color w:val="auto"/>
              </w:rPr>
            </w:pPr>
            <w:r>
              <w:rPr>
                <w:rFonts w:ascii="Arial" w:cs="Arial" w:eastAsia="Arial" w:hAnsi="Arial"/>
                <w:sz w:val="18"/>
                <w:szCs w:val="18"/>
                <w:color w:val="auto"/>
                <w:w w:val="89"/>
              </w:rPr>
              <w:t>January 15; July 15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1 billion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4.150%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6/15/2049**</w:t>
            </w:r>
          </w:p>
        </w:tc>
        <w:tc>
          <w:tcPr>
            <w:tcW w:w="140" w:type="dxa"/>
            <w:vAlign w:val="bottom"/>
          </w:tcPr>
          <w:p>
            <w:pPr>
              <w:spacing w:after="0"/>
              <w:rPr>
                <w:sz w:val="23"/>
                <w:szCs w:val="2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94106LBK4</w:t>
            </w:r>
          </w:p>
        </w:tc>
        <w:tc>
          <w:tcPr>
            <w:tcW w:w="1840" w:type="dxa"/>
            <w:vAlign w:val="bottom"/>
          </w:tcPr>
          <w:p>
            <w:pPr>
              <w:ind w:left="420"/>
              <w:spacing w:after="0"/>
              <w:rPr>
                <w:sz w:val="20"/>
                <w:szCs w:val="20"/>
                <w:color w:val="auto"/>
              </w:rPr>
            </w:pPr>
            <w:r>
              <w:rPr>
                <w:rFonts w:ascii="Arial" w:cs="Arial" w:eastAsia="Arial" w:hAnsi="Arial"/>
                <w:sz w:val="18"/>
                <w:szCs w:val="18"/>
                <w:color w:val="auto"/>
                <w:w w:val="89"/>
              </w:rPr>
              <w:t>January 15; July 15</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60" w:hanging="357"/>
        <w:spacing w:after="0" w:line="224" w:lineRule="auto"/>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these series of Senior Notes have been partially redeemed, such that the remaining outstanding principal amount of such Senior Notes as of December 31, 2019 was $330.4 million due 2028, $81.1 million due 2029, $152.9 million due 2032 and $251.8 million due 2039.</w:t>
      </w:r>
    </w:p>
    <w:p>
      <w:pPr>
        <w:spacing w:after="0" w:line="298" w:lineRule="exact"/>
        <w:rPr>
          <w:sz w:val="20"/>
          <w:szCs w:val="20"/>
          <w:color w:val="auto"/>
        </w:rPr>
      </w:pPr>
    </w:p>
    <w:p>
      <w:pPr>
        <w:jc w:val="both"/>
        <w:ind w:left="360" w:hanging="357"/>
        <w:spacing w:after="0" w:line="238" w:lineRule="auto"/>
        <w:tabs>
          <w:tab w:leader="none" w:pos="3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283" w:lineRule="exact"/>
        <w:rPr>
          <w:sz w:val="20"/>
          <w:szCs w:val="20"/>
          <w:color w:val="auto"/>
        </w:rPr>
      </w:pPr>
    </w:p>
    <w:p>
      <w:pPr>
        <w:jc w:val="both"/>
        <w:ind w:left="360" w:hanging="357"/>
        <w:spacing w:after="0" w:line="223" w:lineRule="auto"/>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On April 14, 2019, Waste Management, Inc. (“WM”) entered into an Agreement and Plan of Merger (the “Merger Agreement”) with Advanced Disposal Services, Inc. (“Advanced Disposal”) and Everglades Merger Sub Inc. (“Merger Sub”), an indirect wholly owned subsidiary of WM. The Merger Agreement provides that, upon the terms and subject to the conditions set forth therein, Merger Sub will merge with and into Advanced Disposal (the “Merger”), with Advanced Disposal continuing as the surviving corporation and as WM’s indirect wholly owned subsidiary. Each of these series of Senior Notes contain a Special Mandatory Redemption that provides, if the Merger is not completed by July 14, 2020, or if, on or prior to such date, the Merger Agreement is terminated for any reason, WM will be required to redeem all of such outstanding Senior Notes at a price equal to 101% of the principal amount, plus accrued interest, if any, to the date of purchase.</w:t>
      </w:r>
    </w:p>
    <w:p>
      <w:pPr>
        <w:spacing w:after="0" w:line="28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Senior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549910</wp:posOffset>
            </wp:positionV>
            <wp:extent cx="57543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WASTE MANAGEMENT, INC.’S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is a description of Waste Management, Inc. (“WM”) common stock, based on WM’s Third Restated Certificate of Incorporation (“Certificate of Incorporation”), WM’s Amended and Restated By-laws (“By-laws”) and applicable law, including the General Corporation Law of the State of Delaware (“DGCL”). This description is a summary and is qualified in its entirety by reference to the Certificate of Incorporation and the By-laws, each of which is filed as an exhibit to WM’s Annual Report on Form 10-K as Exhibits 3.1 and 3.2,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Certificate of Incorporation authorizes 1,500,000,000 shares of common stock, $.01 par value per share, and 10,000,000 shares of preferred stock, $.01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holders of common stock are entitled to receive dividends when, as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WM’s Board of Directors. In certain cases, common stockholders may not receive dividends until WM satisfies its obligations to any preferred stockholders.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common stock is entitled to one vote for each share of common stock held by such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WM first mails it notice of meeting to its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The By-laws provide that if the number of shares voted “for” any incumbent director nominee does not exceed 50% of the votes cast with respect to that director, he or she will tender his resignation to the Board of Directors contingent on the acceptance of such resignation by the Board of Directors. The Nominating and Governance Committee of WM’s Board of Directors will then make a recommendation to the Board of Directors on whether to accept or reject the resignation, or whether other action should be taken. The Board will act on the resignation and publicly disclose its decision and the rationale behind it within 90 days from the date of the certificate of the election results.</w:t>
      </w:r>
    </w:p>
    <w:p>
      <w:pPr>
        <w:spacing w:after="0" w:line="180"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i w:val="1"/>
          <w:iCs w:val="1"/>
          <w:color w:val="auto"/>
        </w:rPr>
        <w:t>Fully Paid Status.</w:t>
      </w:r>
      <w:r>
        <w:rPr>
          <w:sz w:val="20"/>
          <w:szCs w:val="20"/>
          <w:color w:val="auto"/>
        </w:rPr>
        <w:tab/>
      </w:r>
      <w:r>
        <w:rPr>
          <w:rFonts w:ascii="Arial" w:cs="Arial" w:eastAsia="Arial" w:hAnsi="Arial"/>
          <w:sz w:val="16"/>
          <w:szCs w:val="16"/>
          <w:color w:val="auto"/>
        </w:rPr>
        <w:t>All outstanding shares of WM’s common stock are validly issued, fully paid and non-assessable.</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WM liquidates, dissolves or winds up its business, whether or not voluntarily,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share ratably in the assets remaining for distribution to stockholders after WM pays its creditors and any preferred stockholders.</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WM’s common stock is listed on the New York Stock Exchange under the trading symbol “WM.”</w:t>
      </w:r>
    </w:p>
    <w:p>
      <w:pPr>
        <w:spacing w:after="0" w:line="104" w:lineRule="exact"/>
        <w:rPr>
          <w:sz w:val="20"/>
          <w:szCs w:val="20"/>
          <w:color w:val="auto"/>
        </w:rPr>
      </w:pPr>
    </w:p>
    <w:p>
      <w:pPr>
        <w:ind w:left="640"/>
        <w:spacing w:after="0"/>
        <w:tabs>
          <w:tab w:leader="none" w:pos="306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6"/>
          <w:szCs w:val="16"/>
          <w:color w:val="auto"/>
        </w:rPr>
        <w:t>The transfer agent and registrar for WM common stock is Computershare in Jersey City,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Jersey.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the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3" w:name="page134"/>
    <w:bookmarkEnd w:id="133"/>
    <w:p>
      <w:pPr>
        <w:jc w:val="both"/>
        <w:spacing w:after="0" w:line="264" w:lineRule="auto"/>
        <w:rPr>
          <w:sz w:val="20"/>
          <w:szCs w:val="20"/>
          <w:color w:val="auto"/>
        </w:rPr>
      </w:pPr>
      <w:r>
        <w:rPr>
          <w:rFonts w:ascii="Arial" w:cs="Arial" w:eastAsia="Arial" w:hAnsi="Arial"/>
          <w:sz w:val="18"/>
          <w:szCs w:val="18"/>
          <w:color w:val="auto"/>
        </w:rPr>
        <w:t>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WM’s dissolution.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issued by the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By-laws provide that, unless WM consents to the selection of an alternative forum in writing, the Delaware Court of Chancery will be the sole and exclusive forum for (i) any derivative action or proceeding brought on behalf of WM; (ii) any action asserting a claim of breach of a fiduciary duty owed by any director, officer, stockholder, employee or agent of WM to the company or its stockholders; (iii) any action asserting a claim pursuant to any provision of the DGCL or the Certificate of Incorporation or By-laws or as to which the DGCL confers jurisdiction upon the Court of Chancery of the State of Delaware; or (iv) any action asserting a claim governed by the internal affairs doctrine. The By-laws provide that any person or entity purchasing, otherwise acquiring or retaining any interest in shares of capital stock of WM are deemed to have notice of and to have consented to the exclusive forum By-law provision.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and Proxy Access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By-laws establish advance notice procedures with respect to stockholder proposals and the nomination of candidates for election as directors, other than nominations made by or at the direction of the Board of Directors. Further, the By-laws contain a “proxy access” provision that </w:t>
      </w:r>
      <w:r>
        <w:rPr>
          <w:rFonts w:ascii="Arial" w:cs="Arial" w:eastAsia="Arial" w:hAnsi="Arial"/>
          <w:sz w:val="18"/>
          <w:szCs w:val="18"/>
          <w:color w:val="212529"/>
        </w:rPr>
        <w:t>permits a stockholder or group of up to 20 stockholders owning 3% or more of the WM’s outstanding common stock</w:t>
      </w:r>
      <w:r>
        <w:rPr>
          <w:rFonts w:ascii="Arial" w:cs="Arial" w:eastAsia="Arial" w:hAnsi="Arial"/>
          <w:sz w:val="18"/>
          <w:szCs w:val="18"/>
          <w:color w:val="auto"/>
        </w:rPr>
        <w:t xml:space="preserve"> </w:t>
      </w:r>
      <w:r>
        <w:rPr>
          <w:rFonts w:ascii="Arial" w:cs="Arial" w:eastAsia="Arial" w:hAnsi="Arial"/>
          <w:sz w:val="18"/>
          <w:szCs w:val="18"/>
          <w:color w:val="212529"/>
        </w:rPr>
        <w:t>continuously for at least three years to nominate and include in WM’s proxy materials director nominees constituting up to the greater of 20% of the Board of Directors or two individuals, provided the stockholder(s) and the nominee(s) satisfy the requirements specified in the By-Laws.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Stockholder Action by Written Consent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action required or permitted to be taken at a meeting of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WM in accordance with applicable law. The By-laws provide that any stockholder of record seeking to have the stockholders authorize or take corporate action by written consent shall, by written notice to the Secretary of WM, request that the Board of Directors fix a record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Stockholder Meetings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By-laws provide that a special meeting of stockholders may be called by the Secretary at the request of the Chairman of the Board or the Chief Executive Officer or may be called by order of the majority of the Board of Directors. A special meeting of stockholders may also be called by the Secretary upon the written request of record holders having an aggregate “net long position” of at least 25% of the outstanding common stock of WM and having held such net long position continuously for at least one year as of the date of such request, subject to compliance with all other applicable terms and provisions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WM is a Delaware corporation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181" w:lineRule="exact"/>
        <w:rPr>
          <w:sz w:val="20"/>
          <w:szCs w:val="20"/>
          <w:color w:val="auto"/>
        </w:rPr>
      </w:pPr>
    </w:p>
    <w:p>
      <w:pPr>
        <w:jc w:val="both"/>
        <w:ind w:left="980" w:firstLine="110"/>
        <w:spacing w:after="0" w:line="277" w:lineRule="auto"/>
        <w:rPr>
          <w:sz w:val="20"/>
          <w:szCs w:val="20"/>
          <w:color w:val="auto"/>
        </w:rPr>
      </w:pPr>
      <w:r>
        <w:rPr>
          <w:rFonts w:ascii="Arial" w:cs="Arial" w:eastAsia="Arial" w:hAnsi="Arial"/>
          <w:sz w:val="18"/>
          <w:szCs w:val="18"/>
          <w:color w:val="auto"/>
        </w:rPr>
        <w:t>the business combination, or the transaction in which the stockholder became an interested stockholder, is approved by the board of directors prior to the time the interested stockholder attained that status;</w:t>
      </w:r>
    </w:p>
    <w:p>
      <w:pPr>
        <w:spacing w:after="0" w:line="170" w:lineRule="exact"/>
        <w:rPr>
          <w:sz w:val="20"/>
          <w:szCs w:val="20"/>
          <w:color w:val="auto"/>
        </w:rPr>
      </w:pPr>
    </w:p>
    <w:p>
      <w:pPr>
        <w:jc w:val="both"/>
        <w:ind w:left="980" w:firstLine="158"/>
        <w:spacing w:after="0" w:line="257"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8" w:lineRule="exact"/>
        <w:rPr>
          <w:sz w:val="20"/>
          <w:szCs w:val="20"/>
          <w:color w:val="auto"/>
        </w:rPr>
      </w:pPr>
    </w:p>
    <w:p>
      <w:pPr>
        <w:jc w:val="both"/>
        <w:ind w:left="980" w:firstLine="60"/>
        <w:spacing w:after="0" w:line="264" w:lineRule="auto"/>
        <w:rPr>
          <w:sz w:val="20"/>
          <w:szCs w:val="20"/>
          <w:color w:val="auto"/>
        </w:rPr>
      </w:pPr>
      <w:r>
        <w:rPr>
          <w:rFonts w:ascii="Arial" w:cs="Arial" w:eastAsia="Arial" w:hAnsi="Arial"/>
          <w:sz w:val="18"/>
          <w:szCs w:val="18"/>
          <w:color w:val="auto"/>
        </w:rPr>
        <w:t>at or after the time a person became an interested stockholder, the business combination is approved by the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Section 203, combined with WM’s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WM’s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of Directors and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permitted by Delaware law, the Certificate of Incorporation includes provisions that eliminate the personal liability of WM’s directors for monetary damages resulting from breaches of certain fiduciary duties as a director, except that a director will be personally liable for (i) any breach of his duty of loyalty to WM or WM’s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Certificate of Incorporation and By-laws require that WM provide indemnification to the maximum extent permitted from time to time under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WM or any of its direct or indirect subsidiaries or while such a director or officer is or was serving at the request of the WM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WM is not required to indemnify or advance expenses to any person in connection with any action, suit, proceeding, claim or counterclaim initiated by or on behalf of such person. Such indemnification is not to be exclusive of other indemnification rights arising under the By-laws, agreement, vote of directors or stockholders or otherwise and shall inure to the benefit of the heirs and legal representatives of such person. Additionally, WM has direct contractual obligations to provide indemnification to each of the members of its Board of Directors and each of its executive officers. These agreements provide directors and executive officers with the same indemnification by the Company as described above and assure directors and executive officers that indemnification will continue to be provided despite future changes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528320</wp:posOffset>
            </wp:positionV>
            <wp:extent cx="6388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ind w:left="2240"/>
              <w:spacing w:after="0"/>
              <w:rPr>
                <w:sz w:val="20"/>
                <w:szCs w:val="20"/>
                <w:color w:val="auto"/>
              </w:rPr>
            </w:pPr>
            <w:r>
              <w:rPr>
                <w:rFonts w:ascii="Arial" w:cs="Arial" w:eastAsia="Arial" w:hAnsi="Arial"/>
                <w:sz w:val="18"/>
                <w:szCs w:val="18"/>
                <w:b w:val="1"/>
                <w:bCs w:val="1"/>
                <w:color w:val="auto"/>
                <w:w w:val="89"/>
              </w:rPr>
              <w:t>Exhibit 21.1</w:t>
            </w:r>
          </w:p>
        </w:tc>
      </w:tr>
      <w:tr>
        <w:trPr>
          <w:trHeight w:val="378"/>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3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5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635952 Ontario Inc.</w:t>
            </w:r>
          </w:p>
        </w:tc>
        <w:tc>
          <w:tcPr>
            <w:tcW w:w="180" w:type="dxa"/>
            <w:vAlign w:val="bottom"/>
            <w:tcBorders>
              <w:top w:val="single" w:sz="8" w:color="CCEEFF"/>
            </w:tcBorders>
            <w:shd w:val="clear" w:color="auto" w:fill="CCEEFF"/>
          </w:tcPr>
          <w:p>
            <w:pPr>
              <w:spacing w:after="0"/>
              <w:rPr>
                <w:sz w:val="15"/>
                <w:szCs w:val="15"/>
                <w:color w:val="auto"/>
              </w:rPr>
            </w:pPr>
          </w:p>
        </w:tc>
        <w:tc>
          <w:tcPr>
            <w:tcW w:w="3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Ontario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8242348 Canada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Federally Chartered</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Acaverde S.A. de C.V.</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Mexico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Advanced Environmental Technical Services,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Akron Regional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Alliance Sanitary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Alpharetta Transfer Station,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American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American Oil Recovery,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Ameriwaste,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Anderson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Antelope Valley Recycling and Disposal Facility,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Arden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Atlantic Waste Disposal,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Automated Salvage Transport Co.,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Avalon South,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Azusa Land Reclamation,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B&amp;B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Big Dipper Enterprises,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Dakota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Bluegrass Containment,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Burnsville Sanitary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CA Newco,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Cal Sierra Disposal</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California Asbestos Monofill,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Canadian Waste Services Holdings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Ontario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Capels Landfill,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Capital Sanitation Company</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Nevada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Capitol Disposal,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Alaska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Carolina Grading,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Cedar Ridge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Central Disposal Systems,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Iowa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Chadwick Road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Chambers Clearview Environmental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Chambers Development Company,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Chambers Development of Ohio,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Chambers of Georgia,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Chambers of Mississippi,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Chemical Waste Management of Indiana,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Chemical Waste Management of the Northwest,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Washington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Chemical Waste Management,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Chesser Island Road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City Environmental Services, Inc. of Waters</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Cleburne Landfill Company Corp.</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Alabama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Coast Waste Management,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Coastal Recyclers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Connecticut Valley Sanitary Waste Disposal,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Conservation Services,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Colorado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Coshocton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Cougar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Countryside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Illinois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CR Group,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Utah</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Curtis Creek Recovery Systems,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Cuyahoga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CWM Chemical Services,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Dafter Sanitary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Dauphin Meadows,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Deep Valley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561"/>
        </w:trPr>
        <w:tc>
          <w:tcPr>
            <w:tcW w:w="5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Deer Track Park Landfill, Inc.</w:t>
            </w:r>
          </w:p>
        </w:tc>
        <w:tc>
          <w:tcPr>
            <w:tcW w:w="180" w:type="dxa"/>
            <w:vAlign w:val="bottom"/>
          </w:tcPr>
          <w:p>
            <w:pPr>
              <w:spacing w:after="0"/>
              <w:rPr>
                <w:sz w:val="15"/>
                <w:szCs w:val="15"/>
                <w:color w:val="auto"/>
              </w:rPr>
            </w:pPr>
          </w:p>
        </w:tc>
        <w:tc>
          <w:tcPr>
            <w:tcW w:w="3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Deffenbaugh Disposal,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Deffenbaugh Group Holdings,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Deffenbaugh Industries,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Missouri</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Deffenbaugh of Arkansas,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Kansas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Deffenbaugh Recycling Company,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Kansas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Del Almo Landfill,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Delaware Basin Landfills,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Delaware Recyclable Products,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DHC Land,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Dickinson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Disposal Service, Incorporated</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West Virginia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Dolphin Services &amp; Chemicals,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Dolphin-One,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Earthmovers Landfill,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East Liverpool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Eastern One Land Corporation</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Eco-Vista,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Arkansas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eCycling Services,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ELDA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Elk River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Energy Injection Services of Mississippi,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Envirofil of Illinois,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Illinois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EnviroSolutions Dulles,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Virginia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EnviroSolutions Holdings,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EnviroSolutions Real Property Holdings,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Everglades Merger Sub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Evergreen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Evergreen Recycling and Disposal Facility,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Finch Waste Co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Firetower Landfill,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Fred J. Eckert Sanitary Service,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Oregon</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Furnace Associates,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Virginia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G.I. Industries</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Utah</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GA Landfills,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Gallia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Garnet of Maryland,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Gateway Transfer Station,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Georgia Waste Systems,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Giordano Recycling,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Glades Landfill,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Glen's Sanitary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Grand Central Sanitary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Greenbow,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Alabama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Allentown,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Greenstar Georgia,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Managed Services - Connecticut,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Greenstar Managed Services - RLWM,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Illinois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Mid-America,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Greenstar New Jersey,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Ohio,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Greenstar Paterson,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Pittsburgh,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Greenstar Recycled Holdings,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Greenstar,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Guadalupe Mines Mutual Water Company</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Guadalupe Rubbish Disposal Co.,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Ham Lake Haulers,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Minnesota</w:t>
            </w: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Harris Sanitation, Inc.</w:t>
            </w:r>
          </w:p>
        </w:tc>
        <w:tc>
          <w:tcPr>
            <w:tcW w:w="3160" w:type="dxa"/>
            <w:vAlign w:val="bottom"/>
          </w:tcPr>
          <w:p>
            <w:pPr>
              <w:spacing w:after="0"/>
              <w:rPr>
                <w:sz w:val="20"/>
                <w:szCs w:val="20"/>
                <w:color w:val="auto"/>
              </w:rPr>
            </w:pPr>
            <w:r>
              <w:rPr>
                <w:rFonts w:ascii="Arial" w:cs="Arial" w:eastAsia="Arial" w:hAnsi="Arial"/>
                <w:sz w:val="18"/>
                <w:szCs w:val="18"/>
                <w:color w:val="auto"/>
              </w:rPr>
              <w:t>Florida</w:t>
            </w:r>
          </w:p>
        </w:tc>
      </w:tr>
      <w:tr>
        <w:trPr>
          <w:trHeight w:val="519"/>
        </w:trPr>
        <w:tc>
          <w:tcPr>
            <w:tcW w:w="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3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5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Harwood Landfill, Inc.</w:t>
            </w:r>
          </w:p>
        </w:tc>
        <w:tc>
          <w:tcPr>
            <w:tcW w:w="180" w:type="dxa"/>
            <w:vAlign w:val="bottom"/>
            <w:tcBorders>
              <w:top w:val="single" w:sz="8" w:color="CCEEFF"/>
            </w:tcBorders>
            <w:shd w:val="clear" w:color="auto" w:fill="CCEEFF"/>
          </w:tcPr>
          <w:p>
            <w:pPr>
              <w:spacing w:after="0"/>
              <w:rPr>
                <w:sz w:val="15"/>
                <w:szCs w:val="15"/>
                <w:color w:val="auto"/>
              </w:rPr>
            </w:pPr>
          </w:p>
        </w:tc>
        <w:tc>
          <w:tcPr>
            <w:tcW w:w="3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Maryland</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Hedco Landfill Limited</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England</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High Mountain Fuels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Hillsboro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Oregon</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Holyoke Sanitary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IN Landfills,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Jahner Sanitation,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Dakota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Jay County Landfill,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 and W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Keene Road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Kelly Run Sanitation,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King George Landfill Properties,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Virginia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King George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Virginia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Kirby Canyon Holdings,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L&amp;K Group Holdings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Kansas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Lakeville Recycling, L.P.</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Land South Holdings,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Landfill Services of Charleston,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West Virginia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Laurel Highlands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LCS Services,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West Virginia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Liberty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Liquid Waste Management,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Longleaf C&amp;D Disposal Facility,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Looney Bins,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Mac Land Disposal, Inc. II</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Mahoning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Mass Gravel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Mc Ginnes Industrial Maintenance Corporation</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McDaniel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Dakota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McGill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Meadowfill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Michigan Environs,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Midwest One Land Corporation</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Modesto Garbage Co.,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Moor Refuse,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Mountain Indemnity Insurance Company</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Mountainview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Mountainview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Utah</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Nassau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National Guaranty Insurance Company of Vermont</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Vermont</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England CR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New Milford Landfill,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Orleans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North Manatee Recycling and Disposal Facility,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Northwestern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Nu-Way Live Oak Reclamation,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Oak Grove Disposal Co.,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Oregon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Oakleaf Global Holdings,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Oakleaf Waste Management,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Oakleaf Waste Management,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Connecticut</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Oakridge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Oakwood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OGH Acquisition Corporation</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Okeechobee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Orla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Ozark Ridge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Arkansas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 &amp; R Environmental Industries,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Carolina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Pacific Waste Management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Pappy,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Maryland</w:t>
            </w:r>
          </w:p>
        </w:tc>
      </w:tr>
      <w:tr>
        <w:trPr>
          <w:trHeight w:val="561"/>
        </w:trPr>
        <w:tc>
          <w:tcPr>
            <w:tcW w:w="5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Peltz H.C., LLC</w:t>
            </w:r>
          </w:p>
        </w:tc>
        <w:tc>
          <w:tcPr>
            <w:tcW w:w="180" w:type="dxa"/>
            <w:vAlign w:val="bottom"/>
          </w:tcPr>
          <w:p>
            <w:pPr>
              <w:spacing w:after="0"/>
              <w:rPr>
                <w:sz w:val="15"/>
                <w:szCs w:val="15"/>
                <w:color w:val="auto"/>
              </w:rPr>
            </w:pPr>
          </w:p>
        </w:tc>
        <w:tc>
          <w:tcPr>
            <w:tcW w:w="3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Wisconsin</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Pen-Rob,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Arizona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People's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Peterson Demolition,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Petro Waste DeWitt-Hohn Disposal Facility LP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Petro Waste Disposal GP,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Petro Waste Environmental LP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Petro Waste Holdings LP</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Petro Waste Howard County Disposal Facility LP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Petro Waste McMullen County Disposal Facility LP</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Petro Waste Pecos County Disposal Facility LP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Petro Waste Reagan County Disposal Facility LP</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Phoenix Resources,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Pine Grove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Pine Tree Acres,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Prime Westport,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Quail Hollow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Questquill Limited</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England</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 &amp; B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RAA Colorado,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Colorado</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RAA Trucking,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Wisconsin</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RCI Hudson,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Recycle America Co.,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Recycle America Holdings,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Redwood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Refuse Services,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Refuse,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Nevada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Reliable Landfill,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Remote Landfill Services,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Tennessee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Reno Disposal Co.</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Nevada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Resco Holdings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Resource Control Composting,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Resource Control,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Richland County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Riverbend Landfill Co.</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Oregon</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RTS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Rust Engineering &amp; Construction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Rust International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 &amp; J Landfill Limited Partnership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 &amp; S Grading,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West Virginia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S&amp;T Materials,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Sanifill de Mexico (US),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Sanifill de Mexico, S.A. de C.V.</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Mexico</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SC Holdings,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Shade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Shawnee Rock Company</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Missouri</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Sierra Estrella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Arizona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Southern Alleghenies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Southern One Land Corporation</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Southern Waste Services,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Spinnaker Recycling Corp.</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Ontario</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Spruce Ridge,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Stony Hollow Landfill,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Suburban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Swire Waste Management Limited</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Hong Kong</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Texarkana Landfill,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Texas Pack Rat - Austin #1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Texas Pack Rat - Dallas #1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Texas Pack Rat - Houston #1 LLC</w:t>
            </w:r>
          </w:p>
        </w:tc>
        <w:tc>
          <w:tcPr>
            <w:tcW w:w="3160" w:type="dxa"/>
            <w:vAlign w:val="bottom"/>
          </w:tcPr>
          <w:p>
            <w:pPr>
              <w:spacing w:after="0"/>
              <w:rPr>
                <w:sz w:val="20"/>
                <w:szCs w:val="20"/>
                <w:color w:val="auto"/>
              </w:rPr>
            </w:pPr>
            <w:r>
              <w:rPr>
                <w:rFonts w:ascii="Arial" w:cs="Arial" w:eastAsia="Arial" w:hAnsi="Arial"/>
                <w:sz w:val="18"/>
                <w:szCs w:val="18"/>
                <w:color w:val="auto"/>
              </w:rPr>
              <w:t>Texas</w:t>
            </w:r>
          </w:p>
        </w:tc>
      </w:tr>
      <w:tr>
        <w:trPr>
          <w:trHeight w:val="519"/>
        </w:trPr>
        <w:tc>
          <w:tcPr>
            <w:tcW w:w="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3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5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Texas Pack Rat - Houston #2 LLC</w:t>
            </w:r>
          </w:p>
        </w:tc>
        <w:tc>
          <w:tcPr>
            <w:tcW w:w="180" w:type="dxa"/>
            <w:vAlign w:val="bottom"/>
            <w:tcBorders>
              <w:top w:val="single" w:sz="8" w:color="CCEEFF"/>
            </w:tcBorders>
            <w:shd w:val="clear" w:color="auto" w:fill="CCEEFF"/>
          </w:tcPr>
          <w:p>
            <w:pPr>
              <w:spacing w:after="0"/>
              <w:rPr>
                <w:sz w:val="15"/>
                <w:szCs w:val="15"/>
                <w:color w:val="auto"/>
              </w:rPr>
            </w:pPr>
          </w:p>
        </w:tc>
        <w:tc>
          <w:tcPr>
            <w:tcW w:w="3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Texas Pack Rat - Houston #3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Texas Pack Rat - San Antonio #1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Texas Pack Rat Service Company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The Peltz Group,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Wisconsin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The Waste Management Charitable Foundation</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The Woodlands of Van Buren,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TN'T Sands,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Trail Ridge Landfill,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Transamerican Waste Central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Trash Hunters,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TW PWE GP,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Twin Bridges Golf Club, L.P.</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Indiana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TX Newco,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United Waste Systems Leasing,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USA South Hills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USA Valley Facility,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USA Waste Geneva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USA Waste Landfill Operations and Transfer,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USA Waste of California,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USA Waste of Texas Landfills,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USA Waste of Virginia Landfills,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USA Waste Services of NYC,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USA Waste-Management Resources,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New York</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USA-Crinc,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USB LIHTC Fund 2010-1,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UWS Barre,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Valley Garbage and Rubbish Company,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Vern's Refuse Service,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Dakota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Vickery Environmental,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Vista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Voyageur Disposal Processing,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Warner Company</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Away Group,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Alabama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Arizona Landfills,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Buckeye,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China Holdings, Limited</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Hong Kong</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Collection and Recycling,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Disposal Services of Colorado,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Colorado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Disposal Services of Maine,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Maine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Disposal Services of Maryland,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Disposal Services of Massachusetts,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Disposal Services of Oregon,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Disposal Services of Pennsylvania,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Disposal Services of Virginia,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Energy Services of Texas,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Holdings,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Inc. of Florida</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Indycoke,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International,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Milam Property,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National Services,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National Transportation Services,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of Alameda County,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Alaska,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of Arizona,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Arkansas,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Waste Management of California,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Canada Corporation</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Nova Scotia</w:t>
            </w:r>
          </w:p>
        </w:tc>
      </w:tr>
      <w:tr>
        <w:trPr>
          <w:trHeight w:val="561"/>
        </w:trPr>
        <w:tc>
          <w:tcPr>
            <w:tcW w:w="5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Waste Management of Carolinas, Inc.</w:t>
            </w:r>
          </w:p>
        </w:tc>
        <w:tc>
          <w:tcPr>
            <w:tcW w:w="180" w:type="dxa"/>
            <w:vAlign w:val="bottom"/>
          </w:tcPr>
          <w:p>
            <w:pPr>
              <w:spacing w:after="0"/>
              <w:rPr>
                <w:sz w:val="15"/>
                <w:szCs w:val="15"/>
                <w:color w:val="auto"/>
              </w:rPr>
            </w:pPr>
          </w:p>
        </w:tc>
        <w:tc>
          <w:tcPr>
            <w:tcW w:w="3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North Carolina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Colorado,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Colorado</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Connecticut,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Delaware,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Fairless,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Five Oaks Recycling and Disposal Facility,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Georgia,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Hawaii,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Idaho,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Idaho</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Illinois,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Indiana Holdings One,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Indiana Holdings Two,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Indiana,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Iowa,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Iowa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Kansas,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Kansas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Kentucky Holdings,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Kentucky,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Leon County,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Londonderry,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Louisiana Holdings One,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Louisiana,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Maine,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Maine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Maryland,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Maryland</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Massachusetts,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Metro Atlanta,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Michigan,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Minnesota,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Minnesota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Mississippi,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Missouri,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Montana,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Nebraska,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Nevada,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Nevada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New Hampshire,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Connecticut</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New Jersey,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New Mexico,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New Mexico</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New York,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North Dakota,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Ohio,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Oklahoma,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Oklahoma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Oregon,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Oregon</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Pennsylvania Gas Recovery,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Pennsylvania,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Rhode Island,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South Carolina,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South Carolina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South Dakota,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South Dakota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Texas Holdings,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Texas,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Tunica Landfill,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Utah,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Utah</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Virginia,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Virginia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Washington,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West Virginia,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of Wisconsin,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Wisconsin</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of Wyoming,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Partners,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Recycling and Disposal Services of California,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Waste Management Recycling of New Jersey,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Waste Management Service Center,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Waste Management, Inc. of Tennessee</w:t>
            </w:r>
          </w:p>
        </w:tc>
        <w:tc>
          <w:tcPr>
            <w:tcW w:w="3160" w:type="dxa"/>
            <w:vAlign w:val="bottom"/>
          </w:tcPr>
          <w:p>
            <w:pPr>
              <w:spacing w:after="0"/>
              <w:rPr>
                <w:sz w:val="20"/>
                <w:szCs w:val="20"/>
                <w:color w:val="auto"/>
              </w:rPr>
            </w:pPr>
            <w:r>
              <w:rPr>
                <w:rFonts w:ascii="Arial" w:cs="Arial" w:eastAsia="Arial" w:hAnsi="Arial"/>
                <w:sz w:val="18"/>
                <w:szCs w:val="18"/>
                <w:color w:val="auto"/>
              </w:rPr>
              <w:t>Tennessee</w:t>
            </w:r>
          </w:p>
        </w:tc>
      </w:tr>
      <w:tr>
        <w:trPr>
          <w:trHeight w:val="519"/>
        </w:trPr>
        <w:tc>
          <w:tcPr>
            <w:tcW w:w="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3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5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Western One Land Corporation</w:t>
            </w:r>
          </w:p>
        </w:tc>
        <w:tc>
          <w:tcPr>
            <w:tcW w:w="180" w:type="dxa"/>
            <w:vAlign w:val="bottom"/>
            <w:tcBorders>
              <w:top w:val="single" w:sz="8" w:color="CCEEFF"/>
            </w:tcBorders>
            <w:shd w:val="clear" w:color="auto" w:fill="CCEEFF"/>
          </w:tcPr>
          <w:p>
            <w:pPr>
              <w:spacing w:after="0"/>
              <w:rPr>
                <w:sz w:val="15"/>
                <w:szCs w:val="15"/>
                <w:color w:val="auto"/>
              </w:rPr>
            </w:pPr>
          </w:p>
        </w:tc>
        <w:tc>
          <w:tcPr>
            <w:tcW w:w="3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Western Waste Industries</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California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Western Waste of Texas,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Westminster Land Acquisition,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Massachusetts</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Wheelabrator Technologies International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White Lake Landfill,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Michigan</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Willow Oak Landfill,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Georgia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Avon,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Bagco,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Billerica,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Biloxi Hauling,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Mississippi</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Biloxi Transfer Station,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Boston CORE,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CCP Solutions,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Compactor Solutions,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Arizona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Conversion Fund,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Corporate Services,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Curbside,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DC 1,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Emergency Employee Support Fund,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Energy Resources,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Energy Services Holdings,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Energy Services of Ohio,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Ohio</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Energy Solutions,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Green Squad,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GreenOps,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GTL JV Holdings,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GTL,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GTL,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Healthcare Solutions,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Illinois Renewable Energy,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Intellectual Property Holdings,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International Holdings,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KS Energy Resources,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LampTracker,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Landfills of Ohio,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Landfills of Tennessee,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Leasing of Arizona,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Leasing of Texas, L.P.</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Leasing Services of Texas,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LNG, Inc.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Logistics India Private Limited</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India</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Logistics,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Mercury Waste,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Middle Tennessee Environmental Center,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Mobile Bay Environmental Center,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ND Energy Resources II,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ND Energy Resources,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Nevada Renewable Energy,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North Broward,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of North Dakota Energy Disposal Solutions,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North Dakota</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Organic Growth, Inc.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PA Holdings,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Pack-Rat of California,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Pack-Rat of Illinois,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Pack-Rat of Kentucky,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Pack-Rat of Maryland,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8"/>
                <w:szCs w:val="18"/>
                <w:color w:val="auto"/>
              </w:rPr>
              <w:t>WM Pack-Rat of Massachusetts, LLC</w:t>
            </w:r>
          </w:p>
        </w:tc>
        <w:tc>
          <w:tcPr>
            <w:tcW w:w="3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WM Pack-Rat of Michigan, LLC</w:t>
            </w:r>
          </w:p>
        </w:tc>
        <w:tc>
          <w:tcPr>
            <w:tcW w:w="33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Delaware</w:t>
            </w:r>
          </w:p>
        </w:tc>
      </w:tr>
      <w:tr>
        <w:trPr>
          <w:trHeight w:val="561"/>
        </w:trPr>
        <w:tc>
          <w:tcPr>
            <w:tcW w:w="5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Entity Name</w:t>
            </w: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WM Pack-Rat of Nevada, LLC</w:t>
            </w:r>
          </w:p>
        </w:tc>
        <w:tc>
          <w:tcPr>
            <w:tcW w:w="180" w:type="dxa"/>
            <w:vAlign w:val="bottom"/>
          </w:tcPr>
          <w:p>
            <w:pPr>
              <w:spacing w:after="0"/>
              <w:rPr>
                <w:sz w:val="15"/>
                <w:szCs w:val="15"/>
                <w:color w:val="auto"/>
              </w:rPr>
            </w:pPr>
          </w:p>
        </w:tc>
        <w:tc>
          <w:tcPr>
            <w:tcW w:w="3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Pack-Rat of Ohio,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Pack-Rat of Rhode Island,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Pack-Rat,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Partnership Holdings,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Phoenix Energy Resources,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PRG,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Colorado</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Propane,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Quebec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Federally Chartered</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RA Canada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Ontario</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Recycle America,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Recycle Europe,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Recycling Latin America,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Refined Coal,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Renewable Energy,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Resource Recovery &amp; Recycling Center,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Resources,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Pennsylvania</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Safety Services,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Security Services,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Storage II,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Storage,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Texas Pack Rat,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Trash Monitor Plus,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TX Energy Resources II,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TX Energy Resources,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WY Energy Resources II,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 WY Energy Resources III,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 WY Energy Resources,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WMI Mexico Holdings,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WMNA Container Recycling,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WMRE of Kentucky,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WMRE of Michigan,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WMRE of Ohio, LLC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WMRE of Ohio-American, LLC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8"/>
                <w:szCs w:val="18"/>
                <w:color w:val="auto"/>
              </w:rPr>
              <w:t>WMSALSA, Inc.</w:t>
            </w: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Texas</w:t>
            </w: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WTI Air Pollution Control Inc.</w:t>
            </w: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WTI Rust Holdings Inc.</w:t>
            </w:r>
          </w:p>
        </w:tc>
        <w:tc>
          <w:tcPr>
            <w:tcW w:w="3160" w:type="dxa"/>
            <w:vAlign w:val="bottom"/>
          </w:tcPr>
          <w:p>
            <w:pPr>
              <w:spacing w:after="0"/>
              <w:rPr>
                <w:sz w:val="20"/>
                <w:szCs w:val="20"/>
                <w:color w:val="auto"/>
              </w:rPr>
            </w:pPr>
            <w:r>
              <w:rPr>
                <w:rFonts w:ascii="Arial" w:cs="Arial" w:eastAsia="Arial" w:hAnsi="Arial"/>
                <w:sz w:val="18"/>
                <w:szCs w:val="18"/>
                <w:color w:val="auto"/>
              </w:rPr>
              <w:t>Delaware</w:t>
            </w:r>
          </w:p>
        </w:tc>
      </w:tr>
      <w:tr>
        <w:trPr>
          <w:trHeight w:val="1681"/>
        </w:trPr>
        <w:tc>
          <w:tcPr>
            <w:tcW w:w="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20" w:firstLine="3"/>
        <w:spacing w:after="0" w:line="277" w:lineRule="auto"/>
        <w:tabs>
          <w:tab w:leader="none" w:pos="4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333-204319) of Waste Management, Inc. pertaining to the issuance of shares of common stock pursuant to the Waste Management, Inc. Employee Stock Purchase Plan,</w:t>
      </w:r>
    </w:p>
    <w:p>
      <w:pPr>
        <w:spacing w:after="0" w:line="170" w:lineRule="exact"/>
        <w:rPr>
          <w:rFonts w:ascii="Arial" w:cs="Arial" w:eastAsia="Arial" w:hAnsi="Arial"/>
          <w:sz w:val="18"/>
          <w:szCs w:val="18"/>
          <w:color w:val="auto"/>
        </w:rPr>
      </w:pPr>
    </w:p>
    <w:p>
      <w:pPr>
        <w:ind w:left="220" w:firstLine="3"/>
        <w:spacing w:after="0" w:line="277" w:lineRule="auto"/>
        <w:tabs>
          <w:tab w:leader="none" w:pos="4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jc w:val="both"/>
        <w:ind w:left="220" w:firstLine="3"/>
        <w:spacing w:after="0" w:line="264" w:lineRule="auto"/>
        <w:tabs>
          <w:tab w:leader="none" w:pos="5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333-184156 and Post-Effective Amendment No. 1 thereto) of Waste Management, Inc. pertaining to the issuance of shares of common stock pursuant to the Waste Management Retirement Savings Plan,</w:t>
      </w:r>
    </w:p>
    <w:p>
      <w:pPr>
        <w:spacing w:after="0" w:line="181" w:lineRule="exact"/>
        <w:rPr>
          <w:rFonts w:ascii="Arial" w:cs="Arial" w:eastAsia="Arial" w:hAnsi="Arial"/>
          <w:sz w:val="18"/>
          <w:szCs w:val="18"/>
          <w:color w:val="auto"/>
        </w:rPr>
      </w:pPr>
    </w:p>
    <w:p>
      <w:pPr>
        <w:ind w:left="220" w:firstLine="3"/>
        <w:spacing w:after="0" w:line="277" w:lineRule="auto"/>
        <w:tabs>
          <w:tab w:leader="none" w:pos="5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170" w:lineRule="exact"/>
        <w:rPr>
          <w:rFonts w:ascii="Arial" w:cs="Arial" w:eastAsia="Arial" w:hAnsi="Arial"/>
          <w:sz w:val="18"/>
          <w:szCs w:val="18"/>
          <w:color w:val="auto"/>
        </w:rPr>
      </w:pPr>
    </w:p>
    <w:p>
      <w:pPr>
        <w:ind w:left="220" w:firstLine="3"/>
        <w:spacing w:after="0" w:line="342" w:lineRule="auto"/>
        <w:tabs>
          <w:tab w:leader="none" w:pos="538"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Registration Statement (Form S-8 No. 333-159476 and Post-Effective Amendment No. 1 thereto) of Waste Management, Inc. pertaining to the issuance of shares of common stock pursuant to the 2009 Stock Incentive Plan, and</w:t>
      </w:r>
    </w:p>
    <w:p>
      <w:pPr>
        <w:spacing w:after="0" w:line="123" w:lineRule="exact"/>
        <w:rPr>
          <w:rFonts w:ascii="Arial" w:cs="Arial" w:eastAsia="Arial" w:hAnsi="Arial"/>
          <w:sz w:val="16"/>
          <w:szCs w:val="16"/>
          <w:color w:val="auto"/>
        </w:rPr>
      </w:pPr>
    </w:p>
    <w:p>
      <w:pPr>
        <w:ind w:left="480" w:hanging="257"/>
        <w:spacing w:after="0"/>
        <w:tabs>
          <w:tab w:leader="none" w:pos="4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S-3 Automatic Shelf Registration No. 333-231027) of Waste Management, Inc.,</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13, 2020, with respect to the consolidated financial statements of Waste Management, Inc. and the effectiveness of internal control over financial reporting of Waste Management, Inc. included in this Annual Report (Form 10-K) of Waste Management, Inc. for the year ended December 31, 2019.</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680" w:hanging="236"/>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JAMES C. FISH, JR.</w:t>
            </w:r>
          </w:p>
        </w:tc>
      </w:tr>
      <w:tr>
        <w:trPr>
          <w:trHeight w:val="195"/>
        </w:trPr>
        <w:tc>
          <w:tcPr>
            <w:tcW w:w="3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680" w:hanging="236"/>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400" w:type="dxa"/>
            <w:vAlign w:val="bottom"/>
          </w:tcPr>
          <w:p>
            <w:pPr>
              <w:spacing w:after="0"/>
              <w:rPr>
                <w:sz w:val="16"/>
                <w:szCs w:val="16"/>
                <w:color w:val="auto"/>
              </w:rPr>
            </w:pPr>
          </w:p>
        </w:tc>
        <w:tc>
          <w:tcPr>
            <w:tcW w:w="41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4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4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2019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2019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200" w:type="dxa"/>
            <w:vAlign w:val="bottom"/>
          </w:tcPr>
          <w:p>
            <w:pPr>
              <w:ind w:left="152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3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6"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During the year ended December 31, 2019,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June 30, 2019, Phoenix Resources, Inc., an indirect wholly-owned subsidiary of Waste Management, Inc., was assessed a penalty of $121 by the MSHA in connection with its landfill operations in Wellsboro, Pennsylvania.</w:t>
      </w:r>
    </w:p>
    <w:p>
      <w:pPr>
        <w:spacing w:after="0" w:line="182"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addition, during the year ended December 31, 2019,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461645</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lowerRoman"/>
      <w:start w:val="2"/>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lowerLetter"/>
      <w:start w:val="1"/>
    </w:lvl>
  </w:abstractNum>
  <w:abstractNum w:abstractNumId="14">
    <w:nsid w:val="235BA861"/>
    <w:multiLevelType w:val="hybridMultilevel"/>
    <w:lvl w:ilvl="0">
      <w:lvlJc w:val="left"/>
      <w:lvlText w:val="(%1)"/>
      <w:numFmt w:val="lowerLetter"/>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lowerLetter"/>
      <w:start w:val="1"/>
    </w:lvl>
    <w:lvl w:ilvl="1">
      <w:lvlJc w:val="left"/>
      <w:lvlText w:val="(%2)"/>
      <w:numFmt w:val="lowerLetter"/>
      <w:start w:val="6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Roman"/>
      <w:start w:val="9"/>
    </w:lvl>
  </w:abstractNum>
  <w:abstractNum w:abstractNumId="19">
    <w:nsid w:val="D34B6A8"/>
    <w:multiLevelType w:val="hybridMultilevel"/>
    <w:lvl w:ilvl="0">
      <w:lvlJc w:val="left"/>
      <w:lvlText w:val="(%1)"/>
      <w:numFmt w:val="lowerRoman"/>
      <w:start w:val="1"/>
    </w:lvl>
  </w:abstractNum>
  <w:abstractNum w:abstractNumId="20">
    <w:nsid w:val="10233C99"/>
    <w:multiLevelType w:val="hybridMultilevel"/>
    <w:lvl w:ilvl="0">
      <w:lvlJc w:val="left"/>
      <w:lvlText w:val="(%1)"/>
      <w:numFmt w:val="lowerRoman"/>
      <w:start w:val="1"/>
    </w:lvl>
  </w:abstractNum>
  <w:abstractNum w:abstractNumId="21">
    <w:nsid w:val="3F6AB60F"/>
    <w:multiLevelType w:val="hybridMultilevel"/>
    <w:lvl w:ilvl="0">
      <w:lvlJc w:val="left"/>
      <w:lvlText w:val="(%1)"/>
      <w:numFmt w:val="lowerRoman"/>
      <w:start w:val="3"/>
    </w:lvl>
  </w:abstractNum>
  <w:abstractNum w:abstractNumId="22">
    <w:nsid w:val="61574095"/>
    <w:multiLevelType w:val="hybridMultilevel"/>
    <w:lvl w:ilvl="0">
      <w:lvlJc w:val="left"/>
      <w:lvlText w:val="(%1)"/>
      <w:numFmt w:val="lowerRoman"/>
      <w:start w:val="1"/>
    </w:lvl>
  </w:abstractNum>
  <w:abstractNum w:abstractNumId="23">
    <w:nsid w:val="7E0C57B1"/>
    <w:multiLevelType w:val="hybridMultilevel"/>
    <w:lvl w:ilvl="0">
      <w:lvlJc w:val="left"/>
      <w:lvlText w:val="(%1)"/>
      <w:numFmt w:val="lowerRoman"/>
      <w:start w:val="2"/>
    </w:lvl>
  </w:abstractNum>
  <w:abstractNum w:abstractNumId="24">
    <w:nsid w:val="77AE35EB"/>
    <w:multiLevelType w:val="hybridMultilevel"/>
    <w:lvl w:ilvl="0">
      <w:lvlJc w:val="left"/>
      <w:lvlText w:val="(%1)"/>
      <w:numFmt w:val="lowerLetter"/>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2"/>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
      <w:numFmt w:val="bullet"/>
      <w:start w:val="1"/>
    </w:lvl>
    <w:lvl w:ilvl="1">
      <w:lvlJc w:val="left"/>
      <w:lvlText w:val="(%2)"/>
      <w:numFmt w:val="lowerRoman"/>
      <w:start w:val="2"/>
    </w:lvl>
  </w:abstractNum>
  <w:abstractNum w:abstractNumId="38">
    <w:nsid w:val="5F5E7FD0"/>
    <w:multiLevelType w:val="hybridMultilevel"/>
    <w:lvl w:ilvl="0">
      <w:lvlJc w:val="left"/>
      <w:lvlText w:val="(%1)"/>
      <w:numFmt w:val="lowerRoman"/>
      <w:start w:val="2"/>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Roman"/>
      <w:start w:val="3"/>
    </w:lvl>
  </w:abstractNum>
  <w:abstractNum w:abstractNumId="42">
    <w:nsid w:val="42C296BD"/>
    <w:multiLevelType w:val="hybridMultilevel"/>
    <w:lvl w:ilvl="0">
      <w:lvlJc w:val="left"/>
      <w:lvlText w:val="(%1)"/>
      <w:numFmt w:val="lowerRoman"/>
      <w:start w:val="2"/>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lowerRoman"/>
      <w:start w:val="2"/>
    </w:lvl>
  </w:abstractNum>
  <w:abstractNum w:abstractNumId="52">
    <w:nsid w:val="11447B73"/>
    <w:multiLevelType w:val="hybridMultilevel"/>
    <w:lvl w:ilvl="0">
      <w:lvlJc w:val="left"/>
      <w:lvlText w:val="(%1)"/>
      <w:numFmt w:val="lowerRoman"/>
      <w:start w:val="2"/>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lvl w:ilvl="1">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lowerRoman"/>
      <w:start w:val="4"/>
    </w:lvl>
  </w:abstractNum>
  <w:abstractNum w:abstractNumId="58">
    <w:nsid w:val="68EB2F63"/>
    <w:multiLevelType w:val="hybridMultilevel"/>
    <w:lvl w:ilvl="0">
      <w:lvlJc w:val="left"/>
      <w:lvlText w:val="(%1)"/>
      <w:numFmt w:val="lowerRoman"/>
      <w:start w:val="3"/>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decimal"/>
      <w:start w:val="5"/>
    </w:lvl>
  </w:abstractNum>
  <w:abstractNum w:abstractNumId="61">
    <w:nsid w:val="6A5EE64"/>
    <w:multiLevelType w:val="hybridMultilevel"/>
    <w:lvl w:ilvl="0">
      <w:lvlJc w:val="left"/>
      <w:lvlText w:val="(%1)"/>
      <w:numFmt w:val="lowerRoman"/>
      <w:start w:val="3"/>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Roman"/>
      <w:start w:val="3"/>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lowerRoman"/>
      <w:start w:val="2"/>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2"/>
    </w:lvl>
  </w:abstractNum>
  <w:abstractNum w:abstractNumId="75">
    <w:nsid w:val="14E17E33"/>
    <w:multiLevelType w:val="hybridMultilevel"/>
    <w:lvl w:ilvl="0">
      <w:lvlJc w:val="left"/>
      <w:lvlText w:val="(%1)"/>
      <w:numFmt w:val="lowerRoman"/>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lowerLetter"/>
      <w:start w:val="3"/>
    </w:lvl>
  </w:abstractNum>
  <w:abstractNum w:abstractNumId="78">
    <w:nsid w:val="68EBC550"/>
    <w:multiLevelType w:val="hybridMultilevel"/>
    <w:lvl w:ilvl="0">
      <w:lvlJc w:val="left"/>
      <w:lvlText w:val="(%1)"/>
      <w:numFmt w:val="lowerLetter"/>
      <w:start w:val="8"/>
    </w:lvl>
  </w:abstractNum>
  <w:abstractNum w:abstractNumId="79">
    <w:nsid w:val="2DF6D648"/>
    <w:multiLevelType w:val="hybridMultilevel"/>
    <w:lvl w:ilvl="0">
      <w:lvlJc w:val="left"/>
      <w:lvlText w:val="(%1)"/>
      <w:numFmt w:val="lowerLetter"/>
      <w:start w:val="1"/>
    </w:lvl>
  </w:abstractNum>
  <w:abstractNum w:abstractNumId="80">
    <w:nsid w:val="46B7D447"/>
    <w:multiLevelType w:val="hybridMultilevel"/>
    <w:lvl w:ilvl="0">
      <w:lvlJc w:val="left"/>
      <w:lvlText w:val="(%1)"/>
      <w:numFmt w:val="lowerLetter"/>
      <w:start w:val="1"/>
    </w:lvl>
    <w:lvl w:ilvl="1">
      <w:lvlJc w:val="left"/>
      <w:lvlText w:val="(%2)"/>
      <w:numFmt w:val="lowerLetter"/>
      <w:start w:val="6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Roman"/>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lowerRoman"/>
      <w:start w:val="1"/>
    </w:lvl>
    <w:lvl w:ilvl="1">
      <w:lvlJc w:val="left"/>
      <w:lvlText w:val="%2."/>
      <w:numFmt w:val="upperLetter"/>
      <w:start w:val="1"/>
    </w:lvl>
  </w:abstractNum>
  <w:abstractNum w:abstractNumId="98">
    <w:nsid w:val="6A5F7029"/>
    <w:multiLevelType w:val="hybridMultilevel"/>
    <w:lvl w:ilvl="0">
      <w:lvlJc w:val="left"/>
      <w:lvlText w:val="%1."/>
      <w:numFmt w:val="lowerRoman"/>
      <w:start w:val="1"/>
    </w:lvl>
    <w:lvl w:ilvl="1">
      <w:lvlJc w:val="left"/>
      <w:lvlText w:val="%2."/>
      <w:numFmt w:val="upp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8" Type="http://schemas.openxmlformats.org/officeDocument/2006/relationships/image" Target="media/image130.png"/><Relationship Id="rId166"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37" Type="http://schemas.openxmlformats.org/officeDocument/2006/relationships/hyperlink" Target="http://www.sec.gov/Archives/edgar/data/823768/000110465919021340/a19-8354_1ex2d1.htm" TargetMode="External"/><Relationship Id="rId138" Type="http://schemas.openxmlformats.org/officeDocument/2006/relationships/hyperlink" Target="http://www.sec.gov/Archives/edgar/data/823768/000110465919021340/a19-8354_1ex2d2.htm" TargetMode="External"/><Relationship Id="rId139" Type="http://schemas.openxmlformats.org/officeDocument/2006/relationships/hyperlink" Target="http://www.sec.gov/Archives/edgar/data/823768/000095012310070947/h74168exv3w1.htm" TargetMode="External"/><Relationship Id="rId140" Type="http://schemas.openxmlformats.org/officeDocument/2006/relationships/hyperlink" Target="http://www.sec.gov/Archives/edgar/data/823768/000110465919065833/tm1923428d1_ex3-2.htm" TargetMode="External"/><Relationship Id="rId141" Type="http://schemas.openxmlformats.org/officeDocument/2006/relationships/hyperlink" Target="http://www.sec.gov/Archives/edgar/data/823768/0000950129-99-001268.txt" TargetMode="External"/><Relationship Id="rId142" Type="http://schemas.openxmlformats.org/officeDocument/2006/relationships/hyperlink" Target="http://www.sec.gov/Archives/edgar/data/823768/000095012315002550/d793975dex42.htm" TargetMode="External"/><Relationship Id="rId143" Type="http://schemas.openxmlformats.org/officeDocument/2006/relationships/hyperlink" Target="http://www.sec.gov/Archives/edgar/data/823768/000119312514283972/d740524dex43.htm" TargetMode="External"/><Relationship Id="rId144" Type="http://schemas.openxmlformats.org/officeDocument/2006/relationships/hyperlink" Target="http://www.sec.gov/Archives/edgar/data/823768/0000950129-97-000380.txt" TargetMode="External"/><Relationship Id="rId145" Type="http://schemas.openxmlformats.org/officeDocument/2006/relationships/hyperlink" Target="http://www.sec.gov/Archives/edgar/data/823768/0000950129-97-003909.txt" TargetMode="External"/><Relationship Id="rId146" Type="http://schemas.openxmlformats.org/officeDocument/2006/relationships/hyperlink" Target="http://www.sec.gov/Archives/edgar/data/823768/000155837019006306/wm-20190630ex451df486a.htm" TargetMode="External"/><Relationship Id="rId147" Type="http://schemas.openxmlformats.org/officeDocument/2006/relationships/hyperlink" Target="http://www.sec.gov/Archives/edgar/data/823768/000155837019006306/wm-20190630ex410c32e50.htm" TargetMode="External"/><Relationship Id="rId149" Type="http://schemas.openxmlformats.org/officeDocument/2006/relationships/hyperlink" Target="http://www.sec.gov/Archives/edgar/data/823768/000119312514200494/d726417dex101.htm" TargetMode="External"/><Relationship Id="rId150" Type="http://schemas.openxmlformats.org/officeDocument/2006/relationships/hyperlink" Target="http://www.sec.gov/Archives/edgar/data/823768/000119312509062520/ddef14a.htm" TargetMode="External"/><Relationship Id="rId151" Type="http://schemas.openxmlformats.org/officeDocument/2006/relationships/hyperlink" Target="http://www.sec.gov/Archives/edgar/data/823768/000119312504059008/ddef14a.htm" TargetMode="External"/><Relationship Id="rId152" Type="http://schemas.openxmlformats.org/officeDocument/2006/relationships/hyperlink" Target="http://www.sec.gov/Archives/edgar/data/823768/000119312515189377/d926999dex101.htm" TargetMode="External"/><Relationship Id="rId153" Type="http://schemas.openxmlformats.org/officeDocument/2006/relationships/hyperlink" Target="http://www.sec.gov/Archives/edgar/data/823768/000119312516467957/d83265dex105.htm" TargetMode="External"/><Relationship Id="rId154" Type="http://schemas.openxmlformats.org/officeDocument/2006/relationships/hyperlink" Target="http://www.sec.gov/Archives/edgar/data/823768/000119312514156430/d690567dex102.htm" TargetMode="External"/><Relationship Id="rId155" Type="http://schemas.openxmlformats.org/officeDocument/2006/relationships/hyperlink" Target="http://www.sec.gov/Archives/edgar/data/823768/000110465919062660/tm1920691d2_ex10-1.htm" TargetMode="External"/><Relationship Id="rId156" Type="http://schemas.openxmlformats.org/officeDocument/2006/relationships/hyperlink" Target="http://www.sec.gov/Archives/edgar/data/823768/000119312517046480/d252547dex1011.htm" TargetMode="External"/><Relationship Id="rId157" Type="http://schemas.openxmlformats.org/officeDocument/2006/relationships/hyperlink" Target="http://www.sec.gov/Archives/edgar/data/823768/000119312517046480/d252547dex1012.htm" TargetMode="External"/><Relationship Id="rId158" Type="http://schemas.openxmlformats.org/officeDocument/2006/relationships/hyperlink" Target="http://www.sec.gov/Archives/edgar/data/823768/000110465917075030/a17-28786_1ex10d2.htm" TargetMode="External"/><Relationship Id="rId159" Type="http://schemas.openxmlformats.org/officeDocument/2006/relationships/hyperlink" Target="http://www.sec.gov/Archives/edgar/data/823768/000110465917075030/a17-28786_1ex10d3.htm" TargetMode="External"/><Relationship Id="rId160" Type="http://schemas.openxmlformats.org/officeDocument/2006/relationships/hyperlink" Target="http://www.sec.gov/Archives/edgar/data/823768/000110465917075030/a17-28786_1ex10d4.htm" TargetMode="External"/><Relationship Id="rId161" Type="http://schemas.openxmlformats.org/officeDocument/2006/relationships/hyperlink" Target="http://www.sec.gov/Archives/edgar/data/823768/000155837018000716/wm-20171231ex10236fa05.htm" TargetMode="External"/><Relationship Id="rId162" Type="http://schemas.openxmlformats.org/officeDocument/2006/relationships/hyperlink" Target="http://www.sec.gov/Archives/edgar/data/823768/000119312513058892/d413187dex1043.htm" TargetMode="External"/><Relationship Id="rId163" Type="http://schemas.openxmlformats.org/officeDocument/2006/relationships/hyperlink" Target="http://www.sec.gov/Archives/edgar/data/823768/000110465917075030/a17-28786_1ex10d1.htm" TargetMode="External"/><Relationship Id="rId164" Type="http://schemas.openxmlformats.org/officeDocument/2006/relationships/hyperlink" Target="http://www.sec.gov/Archives/edgar/data/823768/000119312517069837/d350228dex101.htm" TargetMode="External"/><Relationship Id="rId165" Type="http://schemas.openxmlformats.org/officeDocument/2006/relationships/hyperlink" Target="http://www.sec.gov/Archives/edgar/data/823768/000155837018000716/wm-20171231ex1037b83f8.htm" TargetMode="External"/><Relationship Id="rId167" Type="http://schemas.openxmlformats.org/officeDocument/2006/relationships/hyperlink" Target="http://www.sec.gov/Archives/edgar/data/823768/000110465918011700/a18-6740_1ex10d1.htm" TargetMode="External"/><Relationship Id="rId168" Type="http://schemas.openxmlformats.org/officeDocument/2006/relationships/hyperlink" Target="http://www.sec.gov/Archives/edgar/data/823768/000110465919010295/a19-528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2020-02-13T11:32:32Z</dcterms:created>
  <dcterms:modified xsi:type="dcterms:W3CDTF">2020-02-13T11:32:32Z</dcterms:modified>
</cp:coreProperties>
</file>