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27,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60" w:right="339" w:bottom="1440" w:gutter="0" w:footer="0" w:header="0"/>
          <w:type w:val="continuous"/>
        </w:sectPr>
      </w:pPr>
    </w:p>
    <w:p>
      <w:pPr>
        <w:spacing w:after="0" w:line="7" w:lineRule="exact"/>
        <w:rPr>
          <w:sz w:val="24"/>
          <w:szCs w:val="24"/>
          <w:color w:val="auto"/>
        </w:rPr>
      </w:pPr>
    </w:p>
    <w:p>
      <w:pPr>
        <w:ind w:left="106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second quarter of 2021, a copy of which is attached hereto as Exhibit 99.1. The Company is holding a conference call to discuss these results beginning at 9:00 a.m. Central Time this morning. The call will be webcast live and may be heard by accessing the Investors section of the Company’s website at www.wm.com. The call may also be heard by dialing (877) 710-6139 and entering access code 6965743. A replay of the call will be available on the Company’s website and by telephone until August 11, 2021. To access a replay telephonically, please dial (855) 859-2056 and use the replay conference ID number 6965743.</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July 27, 2021</w:t>
        </w:r>
      </w:hyperlink>
    </w:p>
    <w:p>
      <w:pPr>
        <w:spacing w:after="0" w:line="225" w:lineRule="exact"/>
        <w:rPr>
          <w:sz w:val="20"/>
          <w:szCs w:val="20"/>
          <w:color w:val="auto"/>
        </w:rPr>
      </w:pPr>
    </w:p>
    <w:p>
      <w:pPr>
        <w:ind w:left="5560" w:right="3460" w:hanging="5552"/>
        <w:spacing w:after="0" w:line="778" w:lineRule="auto"/>
        <w:tabs>
          <w:tab w:leader="none" w:pos="125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80" w:type="dxa"/>
            <w:vAlign w:val="bottom"/>
            <w:gridSpan w:val="2"/>
          </w:tcPr>
          <w:p>
            <w:pPr>
              <w:ind w:left="2060"/>
              <w:spacing w:after="0"/>
              <w:rPr>
                <w:sz w:val="20"/>
                <w:szCs w:val="20"/>
                <w:color w:val="auto"/>
              </w:rPr>
            </w:pPr>
            <w:r>
              <w:rPr>
                <w:rFonts w:ascii="Arial" w:cs="Arial" w:eastAsia="Arial" w:hAnsi="Arial"/>
                <w:sz w:val="18"/>
                <w:szCs w:val="18"/>
                <w:color w:val="auto"/>
              </w:rPr>
              <w:t>WASTE MANAGEMENT, INC.</w:t>
            </w:r>
          </w:p>
        </w:tc>
      </w:tr>
      <w:tr>
        <w:trPr>
          <w:trHeight w:val="648"/>
        </w:trPr>
        <w:tc>
          <w:tcPr>
            <w:tcW w:w="3460" w:type="dxa"/>
            <w:vAlign w:val="bottom"/>
          </w:tcPr>
          <w:p>
            <w:pPr>
              <w:spacing w:after="0"/>
              <w:rPr>
                <w:sz w:val="20"/>
                <w:szCs w:val="20"/>
                <w:color w:val="auto"/>
              </w:rPr>
            </w:pPr>
            <w:r>
              <w:rPr>
                <w:rFonts w:ascii="Arial" w:cs="Arial" w:eastAsia="Arial" w:hAnsi="Arial"/>
                <w:sz w:val="18"/>
                <w:szCs w:val="18"/>
                <w:color w:val="auto"/>
              </w:rPr>
              <w:t>Date: July 27, 2021</w:t>
            </w:r>
          </w:p>
        </w:tc>
        <w:tc>
          <w:tcPr>
            <w:tcW w:w="7780" w:type="dxa"/>
            <w:vAlign w:val="bottom"/>
            <w:gridSpan w:val="2"/>
          </w:tcPr>
          <w:p>
            <w:pPr>
              <w:ind w:left="2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4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Executive Vice President, Corporate Development and Chief Legal</w:t>
            </w:r>
          </w:p>
        </w:tc>
      </w:tr>
      <w:tr>
        <w:trPr>
          <w:trHeight w:val="230"/>
        </w:trPr>
        <w:tc>
          <w:tcPr>
            <w:tcW w:w="3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Officer</w:t>
            </w:r>
          </w:p>
        </w:tc>
      </w:tr>
      <w:tr>
        <w:trPr>
          <w:trHeight w:val="648"/>
        </w:trPr>
        <w:tc>
          <w:tcPr>
            <w:tcW w:w="3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693C"/>
        </w:rPr>
        <w:t>FOR IMMEDIATE RELEASE</w:t>
      </w:r>
    </w:p>
    <w:p>
      <w:pPr>
        <w:spacing w:after="0" w:line="227" w:lineRule="exact"/>
        <w:rPr>
          <w:sz w:val="20"/>
          <w:szCs w:val="20"/>
          <w:color w:val="auto"/>
        </w:rPr>
      </w:pPr>
    </w:p>
    <w:p>
      <w:pPr>
        <w:ind w:left="820"/>
        <w:spacing w:after="0"/>
        <w:rPr>
          <w:sz w:val="20"/>
          <w:szCs w:val="20"/>
          <w:color w:val="auto"/>
        </w:rPr>
      </w:pPr>
      <w:r>
        <w:rPr>
          <w:rFonts w:ascii="Arial" w:cs="Arial" w:eastAsia="Arial" w:hAnsi="Arial"/>
          <w:sz w:val="40"/>
          <w:szCs w:val="40"/>
          <w:color w:val="7AB800"/>
        </w:rPr>
        <w:t>WM Announces Second Quarter Earnings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Revenue Growth Exceeds Expectations Driven by Accelerated Volume Recovery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Strong Financial Results Position Company to Further Increase 2021 Financial Guidance</w:t>
      </w:r>
    </w:p>
    <w:p>
      <w:pPr>
        <w:spacing w:after="0" w:line="200" w:lineRule="exact"/>
        <w:rPr>
          <w:sz w:val="20"/>
          <w:szCs w:val="20"/>
          <w:color w:val="auto"/>
        </w:rPr>
      </w:pP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HOUSTON — July 27, 2021 — </w:t>
      </w:r>
      <w:r>
        <w:rPr>
          <w:rFonts w:ascii="Arial" w:cs="Arial" w:eastAsia="Arial" w:hAnsi="Arial"/>
          <w:sz w:val="18"/>
          <w:szCs w:val="18"/>
          <w:color w:val="auto"/>
        </w:rPr>
        <w:t>Waste Management, Inc. (NYSE: WM) today announced financial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June 30, 2021.</w:t>
      </w:r>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6"/>
                <w:szCs w:val="16"/>
                <w:color w:val="auto"/>
              </w:rPr>
              <w:t>Three Months Ended</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40" w:type="dxa"/>
            <w:vAlign w:val="bottom"/>
            <w:gridSpan w:val="5"/>
          </w:tcPr>
          <w:p>
            <w:pPr>
              <w:jc w:val="center"/>
              <w:ind w:right="640"/>
              <w:spacing w:after="0"/>
              <w:rPr>
                <w:sz w:val="20"/>
                <w:szCs w:val="20"/>
                <w:color w:val="auto"/>
              </w:rPr>
            </w:pPr>
            <w:r>
              <w:rPr>
                <w:rFonts w:ascii="Arial" w:cs="Arial" w:eastAsia="Arial" w:hAnsi="Arial"/>
                <w:sz w:val="16"/>
                <w:szCs w:val="16"/>
                <w:color w:val="auto"/>
              </w:rPr>
              <w:t>Three Months Ended</w:t>
            </w:r>
          </w:p>
        </w:tc>
      </w:tr>
      <w:tr>
        <w:trPr>
          <w:trHeight w:val="169"/>
        </w:trPr>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6"/>
                <w:szCs w:val="16"/>
                <w:color w:val="auto"/>
              </w:rPr>
              <w:t>June 30, 2021</w:t>
            </w:r>
          </w:p>
        </w:tc>
        <w:tc>
          <w:tcPr>
            <w:tcW w:w="24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jc w:val="center"/>
              <w:ind w:right="240"/>
              <w:spacing w:after="0" w:line="169" w:lineRule="exact"/>
              <w:rPr>
                <w:sz w:val="20"/>
                <w:szCs w:val="20"/>
                <w:color w:val="auto"/>
              </w:rPr>
            </w:pPr>
            <w:r>
              <w:rPr>
                <w:rFonts w:ascii="Arial" w:cs="Arial" w:eastAsia="Arial" w:hAnsi="Arial"/>
                <w:sz w:val="16"/>
                <w:szCs w:val="16"/>
                <w:color w:val="auto"/>
              </w:rPr>
              <w:t>June 30, 2020</w:t>
            </w:r>
          </w:p>
        </w:tc>
        <w:tc>
          <w:tcPr>
            <w:tcW w:w="640" w:type="dxa"/>
            <w:vAlign w:val="bottom"/>
          </w:tcPr>
          <w:p>
            <w:pPr>
              <w:spacing w:after="0"/>
              <w:rPr>
                <w:sz w:val="14"/>
                <w:szCs w:val="14"/>
                <w:color w:val="auto"/>
              </w:rPr>
            </w:pPr>
          </w:p>
        </w:tc>
      </w:tr>
      <w:tr>
        <w:trPr>
          <w:trHeight w:val="20"/>
        </w:trPr>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83"/>
        </w:trPr>
        <w:tc>
          <w:tcPr>
            <w:tcW w:w="2220" w:type="dxa"/>
            <w:vAlign w:val="bottom"/>
          </w:tcPr>
          <w:p>
            <w:pPr>
              <w:spacing w:after="0"/>
              <w:rPr>
                <w:sz w:val="15"/>
                <w:szCs w:val="15"/>
                <w:color w:val="auto"/>
              </w:rPr>
            </w:pPr>
          </w:p>
        </w:tc>
        <w:tc>
          <w:tcPr>
            <w:tcW w:w="3120" w:type="dxa"/>
            <w:vAlign w:val="bottom"/>
            <w:gridSpan w:val="7"/>
          </w:tcPr>
          <w:p>
            <w:pPr>
              <w:jc w:val="center"/>
              <w:ind w:left="251"/>
              <w:spacing w:after="0" w:line="183" w:lineRule="exact"/>
              <w:rPr>
                <w:sz w:val="20"/>
                <w:szCs w:val="20"/>
                <w:color w:val="auto"/>
              </w:rPr>
            </w:pPr>
            <w:r>
              <w:rPr>
                <w:rFonts w:ascii="Arial" w:cs="Arial" w:eastAsia="Arial" w:hAnsi="Arial"/>
                <w:sz w:val="16"/>
                <w:szCs w:val="16"/>
                <w:color w:val="auto"/>
              </w:rPr>
              <w:t>(in millions, except per share amounts)</w:t>
            </w:r>
          </w:p>
        </w:tc>
        <w:tc>
          <w:tcPr>
            <w:tcW w:w="3380" w:type="dxa"/>
            <w:vAlign w:val="bottom"/>
            <w:gridSpan w:val="7"/>
          </w:tcPr>
          <w:p>
            <w:pPr>
              <w:jc w:val="center"/>
              <w:ind w:left="511"/>
              <w:spacing w:after="0" w:line="183" w:lineRule="exact"/>
              <w:rPr>
                <w:sz w:val="20"/>
                <w:szCs w:val="20"/>
                <w:color w:val="auto"/>
              </w:rPr>
            </w:pPr>
            <w:r>
              <w:rPr>
                <w:rFonts w:ascii="Arial" w:cs="Arial" w:eastAsia="Arial" w:hAnsi="Arial"/>
                <w:sz w:val="16"/>
                <w:szCs w:val="16"/>
                <w:color w:val="auto"/>
              </w:rPr>
              <w:t>(in millions, except per share amounts)</w:t>
            </w:r>
          </w:p>
        </w:tc>
      </w:tr>
      <w:tr>
        <w:trPr>
          <w:trHeight w:val="460"/>
        </w:trPr>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color w:val="auto"/>
              </w:rPr>
              <w:t>As Reported</w:t>
            </w:r>
          </w:p>
        </w:tc>
        <w:tc>
          <w:tcPr>
            <w:tcW w:w="1420" w:type="dxa"/>
            <w:vAlign w:val="bottom"/>
            <w:tcBorders>
              <w:top w:val="single" w:sz="8" w:color="auto"/>
            </w:tcBorders>
            <w:gridSpan w:val="3"/>
          </w:tcPr>
          <w:p>
            <w:pPr>
              <w:ind w:left="300"/>
              <w:spacing w:after="0"/>
              <w:rPr>
                <w:sz w:val="20"/>
                <w:szCs w:val="20"/>
                <w:color w:val="auto"/>
              </w:rPr>
            </w:pPr>
            <w:r>
              <w:rPr>
                <w:rFonts w:ascii="Arial" w:cs="Arial" w:eastAsia="Arial" w:hAnsi="Arial"/>
                <w:sz w:val="16"/>
                <w:szCs w:val="16"/>
                <w:color w:val="auto"/>
              </w:rPr>
              <w:t>As Adjusted</w:t>
            </w:r>
            <w:r>
              <w:rPr>
                <w:rFonts w:ascii="Arial" w:cs="Arial" w:eastAsia="Arial" w:hAnsi="Arial"/>
                <w:sz w:val="26"/>
                <w:szCs w:val="26"/>
                <w:color w:val="auto"/>
                <w:vertAlign w:val="superscript"/>
              </w:rPr>
              <w:t>(a)</w:t>
            </w:r>
          </w:p>
        </w:tc>
        <w:tc>
          <w:tcPr>
            <w:tcW w:w="600" w:type="dxa"/>
            <w:vAlign w:val="bottom"/>
          </w:tcPr>
          <w:p>
            <w:pPr>
              <w:spacing w:after="0"/>
              <w:rPr>
                <w:sz w:val="24"/>
                <w:szCs w:val="24"/>
                <w:color w:val="auto"/>
              </w:rPr>
            </w:pPr>
          </w:p>
        </w:tc>
        <w:tc>
          <w:tcPr>
            <w:tcW w:w="136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color w:val="auto"/>
              </w:rPr>
              <w:t>As Reported</w:t>
            </w:r>
          </w:p>
        </w:tc>
        <w:tc>
          <w:tcPr>
            <w:tcW w:w="1420" w:type="dxa"/>
            <w:vAlign w:val="bottom"/>
            <w:tcBorders>
              <w:top w:val="single" w:sz="8" w:color="auto"/>
            </w:tcBorders>
            <w:gridSpan w:val="3"/>
          </w:tcPr>
          <w:p>
            <w:pPr>
              <w:ind w:left="300"/>
              <w:spacing w:after="0"/>
              <w:rPr>
                <w:sz w:val="20"/>
                <w:szCs w:val="20"/>
                <w:color w:val="auto"/>
              </w:rPr>
            </w:pPr>
            <w:r>
              <w:rPr>
                <w:rFonts w:ascii="Arial" w:cs="Arial" w:eastAsia="Arial" w:hAnsi="Arial"/>
                <w:sz w:val="16"/>
                <w:szCs w:val="16"/>
                <w:color w:val="auto"/>
              </w:rPr>
              <w:t>As Adjusted</w:t>
            </w:r>
            <w:r>
              <w:rPr>
                <w:rFonts w:ascii="Arial" w:cs="Arial" w:eastAsia="Arial" w:hAnsi="Arial"/>
                <w:sz w:val="26"/>
                <w:szCs w:val="26"/>
                <w:color w:val="auto"/>
                <w:vertAlign w:val="superscript"/>
              </w:rPr>
              <w:t>(a)</w:t>
            </w:r>
          </w:p>
        </w:tc>
      </w:tr>
      <w:tr>
        <w:trPr>
          <w:trHeight w:val="371"/>
        </w:trPr>
        <w:tc>
          <w:tcPr>
            <w:tcW w:w="2220" w:type="dxa"/>
            <w:vAlign w:val="bottom"/>
          </w:tcPr>
          <w:p>
            <w:pPr>
              <w:spacing w:after="0"/>
              <w:rPr>
                <w:sz w:val="20"/>
                <w:szCs w:val="20"/>
                <w:color w:val="auto"/>
              </w:rPr>
            </w:pPr>
            <w:r>
              <w:rPr>
                <w:rFonts w:ascii="Arial" w:cs="Arial" w:eastAsia="Arial" w:hAnsi="Arial"/>
                <w:sz w:val="16"/>
                <w:szCs w:val="16"/>
                <w:color w:val="auto"/>
              </w:rPr>
              <w:t>Revenue</w:t>
            </w:r>
          </w:p>
        </w:tc>
        <w:tc>
          <w:tcPr>
            <w:tcW w:w="1700" w:type="dxa"/>
            <w:vAlign w:val="bottom"/>
            <w:gridSpan w:val="4"/>
          </w:tcPr>
          <w:p>
            <w:pPr>
              <w:jc w:val="center"/>
              <w:ind w:left="131"/>
              <w:spacing w:after="0"/>
              <w:rPr>
                <w:sz w:val="20"/>
                <w:szCs w:val="20"/>
                <w:color w:val="auto"/>
              </w:rPr>
            </w:pPr>
            <w:r>
              <w:rPr>
                <w:rFonts w:ascii="Arial" w:cs="Arial" w:eastAsia="Arial" w:hAnsi="Arial"/>
                <w:sz w:val="18"/>
                <w:szCs w:val="18"/>
                <w:color w:val="auto"/>
              </w:rPr>
              <w:t>$4,476</w:t>
            </w:r>
          </w:p>
        </w:tc>
        <w:tc>
          <w:tcPr>
            <w:tcW w:w="1420" w:type="dxa"/>
            <w:vAlign w:val="bottom"/>
            <w:gridSpan w:val="3"/>
          </w:tcPr>
          <w:p>
            <w:pPr>
              <w:jc w:val="center"/>
              <w:ind w:left="131"/>
              <w:spacing w:after="0"/>
              <w:rPr>
                <w:sz w:val="20"/>
                <w:szCs w:val="20"/>
                <w:color w:val="auto"/>
              </w:rPr>
            </w:pPr>
            <w:r>
              <w:rPr>
                <w:rFonts w:ascii="Arial" w:cs="Arial" w:eastAsia="Arial" w:hAnsi="Arial"/>
                <w:sz w:val="18"/>
                <w:szCs w:val="18"/>
                <w:color w:val="auto"/>
              </w:rPr>
              <w:t>$4,476</w:t>
            </w:r>
          </w:p>
        </w:tc>
        <w:tc>
          <w:tcPr>
            <w:tcW w:w="1960" w:type="dxa"/>
            <w:vAlign w:val="bottom"/>
            <w:gridSpan w:val="4"/>
          </w:tcPr>
          <w:p>
            <w:pPr>
              <w:jc w:val="center"/>
              <w:ind w:left="371"/>
              <w:spacing w:after="0"/>
              <w:rPr>
                <w:sz w:val="20"/>
                <w:szCs w:val="20"/>
                <w:color w:val="auto"/>
              </w:rPr>
            </w:pPr>
            <w:r>
              <w:rPr>
                <w:rFonts w:ascii="Arial" w:cs="Arial" w:eastAsia="Arial" w:hAnsi="Arial"/>
                <w:sz w:val="18"/>
                <w:szCs w:val="18"/>
                <w:color w:val="auto"/>
                <w:w w:val="98"/>
              </w:rPr>
              <w:t>$3,561</w:t>
            </w:r>
          </w:p>
        </w:tc>
        <w:tc>
          <w:tcPr>
            <w:tcW w:w="1420" w:type="dxa"/>
            <w:vAlign w:val="bottom"/>
            <w:gridSpan w:val="3"/>
          </w:tcPr>
          <w:p>
            <w:pPr>
              <w:jc w:val="center"/>
              <w:ind w:left="133"/>
              <w:spacing w:after="0"/>
              <w:rPr>
                <w:sz w:val="20"/>
                <w:szCs w:val="20"/>
                <w:color w:val="auto"/>
              </w:rPr>
            </w:pPr>
            <w:r>
              <w:rPr>
                <w:rFonts w:ascii="Arial" w:cs="Arial" w:eastAsia="Arial" w:hAnsi="Arial"/>
                <w:sz w:val="18"/>
                <w:szCs w:val="18"/>
                <w:color w:val="auto"/>
              </w:rPr>
              <w:t>$3,561</w:t>
            </w:r>
          </w:p>
        </w:tc>
      </w:tr>
      <w:tr>
        <w:trPr>
          <w:trHeight w:val="283"/>
        </w:trPr>
        <w:tc>
          <w:tcPr>
            <w:tcW w:w="22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220" w:type="dxa"/>
            <w:vAlign w:val="bottom"/>
            <w:gridSpan w:val="3"/>
          </w:tcPr>
          <w:p>
            <w:pPr>
              <w:jc w:val="center"/>
              <w:ind w:left="611"/>
              <w:spacing w:after="0"/>
              <w:rPr>
                <w:sz w:val="20"/>
                <w:szCs w:val="20"/>
                <w:color w:val="auto"/>
              </w:rPr>
            </w:pPr>
            <w:r>
              <w:rPr>
                <w:rFonts w:ascii="Arial" w:cs="Arial" w:eastAsia="Arial" w:hAnsi="Arial"/>
                <w:sz w:val="18"/>
                <w:szCs w:val="18"/>
                <w:color w:val="auto"/>
                <w:w w:val="99"/>
              </w:rPr>
              <w:t>$791</w:t>
            </w:r>
          </w:p>
        </w:tc>
        <w:tc>
          <w:tcPr>
            <w:tcW w:w="480" w:type="dxa"/>
            <w:vAlign w:val="bottom"/>
          </w:tcPr>
          <w:p>
            <w:pPr>
              <w:spacing w:after="0"/>
              <w:rPr>
                <w:sz w:val="24"/>
                <w:szCs w:val="24"/>
                <w:color w:val="auto"/>
              </w:rPr>
            </w:pPr>
          </w:p>
        </w:tc>
        <w:tc>
          <w:tcPr>
            <w:tcW w:w="1420" w:type="dxa"/>
            <w:vAlign w:val="bottom"/>
            <w:gridSpan w:val="3"/>
          </w:tcPr>
          <w:p>
            <w:pPr>
              <w:jc w:val="center"/>
              <w:ind w:left="131"/>
              <w:spacing w:after="0"/>
              <w:rPr>
                <w:sz w:val="20"/>
                <w:szCs w:val="20"/>
                <w:color w:val="auto"/>
              </w:rPr>
            </w:pPr>
            <w:r>
              <w:rPr>
                <w:rFonts w:ascii="Arial" w:cs="Arial" w:eastAsia="Arial" w:hAnsi="Arial"/>
                <w:sz w:val="18"/>
                <w:szCs w:val="18"/>
                <w:color w:val="auto"/>
                <w:w w:val="99"/>
              </w:rPr>
              <w:t>$813</w:t>
            </w:r>
          </w:p>
        </w:tc>
        <w:tc>
          <w:tcPr>
            <w:tcW w:w="1480" w:type="dxa"/>
            <w:vAlign w:val="bottom"/>
            <w:gridSpan w:val="3"/>
          </w:tcPr>
          <w:p>
            <w:pPr>
              <w:jc w:val="center"/>
              <w:ind w:left="851"/>
              <w:spacing w:after="0"/>
              <w:rPr>
                <w:sz w:val="20"/>
                <w:szCs w:val="20"/>
                <w:color w:val="auto"/>
              </w:rPr>
            </w:pPr>
            <w:r>
              <w:rPr>
                <w:rFonts w:ascii="Arial" w:cs="Arial" w:eastAsia="Arial" w:hAnsi="Arial"/>
                <w:sz w:val="18"/>
                <w:szCs w:val="18"/>
                <w:color w:val="auto"/>
              </w:rPr>
              <w:t>$527</w:t>
            </w:r>
          </w:p>
        </w:tc>
        <w:tc>
          <w:tcPr>
            <w:tcW w:w="480" w:type="dxa"/>
            <w:vAlign w:val="bottom"/>
          </w:tcPr>
          <w:p>
            <w:pPr>
              <w:spacing w:after="0"/>
              <w:rPr>
                <w:sz w:val="24"/>
                <w:szCs w:val="24"/>
                <w:color w:val="auto"/>
              </w:rPr>
            </w:pPr>
          </w:p>
        </w:tc>
        <w:tc>
          <w:tcPr>
            <w:tcW w:w="1420" w:type="dxa"/>
            <w:vAlign w:val="bottom"/>
            <w:gridSpan w:val="3"/>
          </w:tcPr>
          <w:p>
            <w:pPr>
              <w:jc w:val="center"/>
              <w:ind w:left="133"/>
              <w:spacing w:after="0"/>
              <w:rPr>
                <w:sz w:val="20"/>
                <w:szCs w:val="20"/>
                <w:color w:val="auto"/>
              </w:rPr>
            </w:pPr>
            <w:r>
              <w:rPr>
                <w:rFonts w:ascii="Arial" w:cs="Arial" w:eastAsia="Arial" w:hAnsi="Arial"/>
                <w:sz w:val="18"/>
                <w:szCs w:val="18"/>
                <w:color w:val="auto"/>
                <w:w w:val="99"/>
              </w:rPr>
              <w:t>$612</w:t>
            </w:r>
          </w:p>
        </w:tc>
      </w:tr>
      <w:tr>
        <w:trPr>
          <w:trHeight w:val="404"/>
        </w:trPr>
        <w:tc>
          <w:tcPr>
            <w:tcW w:w="2220" w:type="dxa"/>
            <w:vAlign w:val="bottom"/>
          </w:tcPr>
          <w:p>
            <w:pPr>
              <w:spacing w:after="0"/>
              <w:rPr>
                <w:sz w:val="20"/>
                <w:szCs w:val="20"/>
                <w:color w:val="auto"/>
              </w:rPr>
            </w:pPr>
            <w:r>
              <w:rPr>
                <w:rFonts w:ascii="Arial" w:cs="Arial" w:eastAsia="Arial" w:hAnsi="Arial"/>
                <w:sz w:val="16"/>
                <w:szCs w:val="16"/>
                <w:color w:val="auto"/>
              </w:rPr>
              <w:t>Operating EBITDA</w:t>
            </w:r>
            <w:r>
              <w:rPr>
                <w:rFonts w:ascii="Arial" w:cs="Arial" w:eastAsia="Arial" w:hAnsi="Arial"/>
                <w:sz w:val="26"/>
                <w:szCs w:val="26"/>
                <w:color w:val="auto"/>
                <w:vertAlign w:val="superscript"/>
              </w:rPr>
              <w:t>(b)</w:t>
            </w:r>
          </w:p>
        </w:tc>
        <w:tc>
          <w:tcPr>
            <w:tcW w:w="1700" w:type="dxa"/>
            <w:vAlign w:val="bottom"/>
            <w:gridSpan w:val="4"/>
          </w:tcPr>
          <w:p>
            <w:pPr>
              <w:jc w:val="center"/>
              <w:ind w:left="131"/>
              <w:spacing w:after="0"/>
              <w:rPr>
                <w:sz w:val="20"/>
                <w:szCs w:val="20"/>
                <w:color w:val="auto"/>
              </w:rPr>
            </w:pPr>
            <w:r>
              <w:rPr>
                <w:rFonts w:ascii="Arial" w:cs="Arial" w:eastAsia="Arial" w:hAnsi="Arial"/>
                <w:sz w:val="18"/>
                <w:szCs w:val="18"/>
                <w:color w:val="auto"/>
              </w:rPr>
              <w:t>$1,291</w:t>
            </w:r>
          </w:p>
        </w:tc>
        <w:tc>
          <w:tcPr>
            <w:tcW w:w="1420" w:type="dxa"/>
            <w:vAlign w:val="bottom"/>
            <w:gridSpan w:val="3"/>
          </w:tcPr>
          <w:p>
            <w:pPr>
              <w:jc w:val="center"/>
              <w:ind w:left="131"/>
              <w:spacing w:after="0"/>
              <w:rPr>
                <w:sz w:val="20"/>
                <w:szCs w:val="20"/>
                <w:color w:val="auto"/>
              </w:rPr>
            </w:pPr>
            <w:r>
              <w:rPr>
                <w:rFonts w:ascii="Arial" w:cs="Arial" w:eastAsia="Arial" w:hAnsi="Arial"/>
                <w:sz w:val="18"/>
                <w:szCs w:val="18"/>
                <w:color w:val="auto"/>
              </w:rPr>
              <w:t>$1,313</w:t>
            </w:r>
          </w:p>
        </w:tc>
        <w:tc>
          <w:tcPr>
            <w:tcW w:w="1480" w:type="dxa"/>
            <w:vAlign w:val="bottom"/>
            <w:gridSpan w:val="3"/>
          </w:tcPr>
          <w:p>
            <w:pPr>
              <w:jc w:val="center"/>
              <w:ind w:left="851"/>
              <w:spacing w:after="0"/>
              <w:rPr>
                <w:sz w:val="20"/>
                <w:szCs w:val="20"/>
                <w:color w:val="auto"/>
              </w:rPr>
            </w:pPr>
            <w:r>
              <w:rPr>
                <w:rFonts w:ascii="Arial" w:cs="Arial" w:eastAsia="Arial" w:hAnsi="Arial"/>
                <w:sz w:val="18"/>
                <w:szCs w:val="18"/>
                <w:color w:val="auto"/>
              </w:rPr>
              <w:t>$941</w:t>
            </w:r>
          </w:p>
        </w:tc>
        <w:tc>
          <w:tcPr>
            <w:tcW w:w="480" w:type="dxa"/>
            <w:vAlign w:val="bottom"/>
          </w:tcPr>
          <w:p>
            <w:pPr>
              <w:spacing w:after="0"/>
              <w:rPr>
                <w:sz w:val="24"/>
                <w:szCs w:val="24"/>
                <w:color w:val="auto"/>
              </w:rPr>
            </w:pPr>
          </w:p>
        </w:tc>
        <w:tc>
          <w:tcPr>
            <w:tcW w:w="1420" w:type="dxa"/>
            <w:vAlign w:val="bottom"/>
            <w:gridSpan w:val="3"/>
          </w:tcPr>
          <w:p>
            <w:pPr>
              <w:jc w:val="center"/>
              <w:ind w:left="133"/>
              <w:spacing w:after="0"/>
              <w:rPr>
                <w:sz w:val="20"/>
                <w:szCs w:val="20"/>
                <w:color w:val="auto"/>
              </w:rPr>
            </w:pPr>
            <w:r>
              <w:rPr>
                <w:rFonts w:ascii="Arial" w:cs="Arial" w:eastAsia="Arial" w:hAnsi="Arial"/>
                <w:sz w:val="18"/>
                <w:szCs w:val="18"/>
                <w:color w:val="auto"/>
              </w:rPr>
              <w:t>$1,026</w:t>
            </w:r>
          </w:p>
        </w:tc>
      </w:tr>
      <w:tr>
        <w:trPr>
          <w:trHeight w:val="217"/>
        </w:trPr>
        <w:tc>
          <w:tcPr>
            <w:tcW w:w="2220" w:type="dxa"/>
            <w:vAlign w:val="bottom"/>
          </w:tcPr>
          <w:p>
            <w:pPr>
              <w:spacing w:after="0"/>
              <w:rPr>
                <w:sz w:val="20"/>
                <w:szCs w:val="20"/>
                <w:color w:val="auto"/>
              </w:rPr>
            </w:pPr>
            <w:r>
              <w:rPr>
                <w:rFonts w:ascii="Arial" w:cs="Arial" w:eastAsia="Arial" w:hAnsi="Arial"/>
                <w:sz w:val="16"/>
                <w:szCs w:val="16"/>
                <w:color w:val="auto"/>
              </w:rPr>
              <w:t>Operating EBITDA Margin</w:t>
            </w:r>
          </w:p>
        </w:tc>
        <w:tc>
          <w:tcPr>
            <w:tcW w:w="1220" w:type="dxa"/>
            <w:vAlign w:val="bottom"/>
            <w:gridSpan w:val="3"/>
          </w:tcPr>
          <w:p>
            <w:pPr>
              <w:jc w:val="center"/>
              <w:ind w:left="611"/>
              <w:spacing w:after="0"/>
              <w:rPr>
                <w:sz w:val="20"/>
                <w:szCs w:val="20"/>
                <w:color w:val="auto"/>
              </w:rPr>
            </w:pPr>
            <w:r>
              <w:rPr>
                <w:rFonts w:ascii="Arial" w:cs="Arial" w:eastAsia="Arial" w:hAnsi="Arial"/>
                <w:sz w:val="18"/>
                <w:szCs w:val="18"/>
                <w:color w:val="auto"/>
              </w:rPr>
              <w:t>28.8%</w:t>
            </w:r>
          </w:p>
        </w:tc>
        <w:tc>
          <w:tcPr>
            <w:tcW w:w="480" w:type="dxa"/>
            <w:vAlign w:val="bottom"/>
          </w:tcPr>
          <w:p>
            <w:pPr>
              <w:spacing w:after="0"/>
              <w:rPr>
                <w:sz w:val="18"/>
                <w:szCs w:val="18"/>
                <w:color w:val="auto"/>
              </w:rPr>
            </w:pPr>
          </w:p>
        </w:tc>
        <w:tc>
          <w:tcPr>
            <w:tcW w:w="1420" w:type="dxa"/>
            <w:vAlign w:val="bottom"/>
            <w:gridSpan w:val="3"/>
          </w:tcPr>
          <w:p>
            <w:pPr>
              <w:jc w:val="center"/>
              <w:ind w:left="131"/>
              <w:spacing w:after="0"/>
              <w:rPr>
                <w:sz w:val="20"/>
                <w:szCs w:val="20"/>
                <w:color w:val="auto"/>
              </w:rPr>
            </w:pPr>
            <w:r>
              <w:rPr>
                <w:rFonts w:ascii="Arial" w:cs="Arial" w:eastAsia="Arial" w:hAnsi="Arial"/>
                <w:sz w:val="18"/>
                <w:szCs w:val="18"/>
                <w:color w:val="auto"/>
              </w:rPr>
              <w:t>29.3%</w:t>
            </w:r>
          </w:p>
        </w:tc>
        <w:tc>
          <w:tcPr>
            <w:tcW w:w="1480" w:type="dxa"/>
            <w:vAlign w:val="bottom"/>
            <w:gridSpan w:val="3"/>
          </w:tcPr>
          <w:p>
            <w:pPr>
              <w:jc w:val="center"/>
              <w:ind w:left="851"/>
              <w:spacing w:after="0"/>
              <w:rPr>
                <w:sz w:val="20"/>
                <w:szCs w:val="20"/>
                <w:color w:val="auto"/>
              </w:rPr>
            </w:pPr>
            <w:r>
              <w:rPr>
                <w:rFonts w:ascii="Arial" w:cs="Arial" w:eastAsia="Arial" w:hAnsi="Arial"/>
                <w:sz w:val="18"/>
                <w:szCs w:val="18"/>
                <w:color w:val="auto"/>
                <w:w w:val="97"/>
              </w:rPr>
              <w:t>26.4%</w:t>
            </w:r>
          </w:p>
        </w:tc>
        <w:tc>
          <w:tcPr>
            <w:tcW w:w="480" w:type="dxa"/>
            <w:vAlign w:val="bottom"/>
          </w:tcPr>
          <w:p>
            <w:pPr>
              <w:spacing w:after="0"/>
              <w:rPr>
                <w:sz w:val="18"/>
                <w:szCs w:val="18"/>
                <w:color w:val="auto"/>
              </w:rPr>
            </w:pPr>
          </w:p>
        </w:tc>
        <w:tc>
          <w:tcPr>
            <w:tcW w:w="1420" w:type="dxa"/>
            <w:vAlign w:val="bottom"/>
            <w:gridSpan w:val="3"/>
          </w:tcPr>
          <w:p>
            <w:pPr>
              <w:jc w:val="center"/>
              <w:ind w:left="113"/>
              <w:spacing w:after="0"/>
              <w:rPr>
                <w:sz w:val="20"/>
                <w:szCs w:val="20"/>
                <w:color w:val="auto"/>
              </w:rPr>
            </w:pPr>
            <w:r>
              <w:rPr>
                <w:rFonts w:ascii="Arial" w:cs="Arial" w:eastAsia="Arial" w:hAnsi="Arial"/>
                <w:sz w:val="16"/>
                <w:szCs w:val="16"/>
                <w:color w:val="auto"/>
              </w:rPr>
              <w:t>28.8%</w:t>
            </w:r>
          </w:p>
        </w:tc>
      </w:tr>
      <w:tr>
        <w:trPr>
          <w:trHeight w:val="404"/>
        </w:trPr>
        <w:tc>
          <w:tcPr>
            <w:tcW w:w="2220" w:type="dxa"/>
            <w:vAlign w:val="bottom"/>
          </w:tcPr>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6"/>
                <w:szCs w:val="26"/>
                <w:color w:val="auto"/>
                <w:vertAlign w:val="superscript"/>
              </w:rPr>
              <w:t>(c)</w:t>
            </w:r>
          </w:p>
        </w:tc>
        <w:tc>
          <w:tcPr>
            <w:tcW w:w="1220" w:type="dxa"/>
            <w:vAlign w:val="bottom"/>
            <w:gridSpan w:val="3"/>
          </w:tcPr>
          <w:p>
            <w:pPr>
              <w:jc w:val="center"/>
              <w:ind w:left="611"/>
              <w:spacing w:after="0"/>
              <w:rPr>
                <w:sz w:val="20"/>
                <w:szCs w:val="20"/>
                <w:color w:val="auto"/>
              </w:rPr>
            </w:pPr>
            <w:r>
              <w:rPr>
                <w:rFonts w:ascii="Arial" w:cs="Arial" w:eastAsia="Arial" w:hAnsi="Arial"/>
                <w:sz w:val="18"/>
                <w:szCs w:val="18"/>
                <w:color w:val="auto"/>
                <w:w w:val="99"/>
              </w:rPr>
              <w:t>$351</w:t>
            </w:r>
          </w:p>
        </w:tc>
        <w:tc>
          <w:tcPr>
            <w:tcW w:w="480" w:type="dxa"/>
            <w:vAlign w:val="bottom"/>
          </w:tcPr>
          <w:p>
            <w:pPr>
              <w:spacing w:after="0"/>
              <w:rPr>
                <w:sz w:val="24"/>
                <w:szCs w:val="24"/>
                <w:color w:val="auto"/>
              </w:rPr>
            </w:pPr>
          </w:p>
        </w:tc>
        <w:tc>
          <w:tcPr>
            <w:tcW w:w="1420" w:type="dxa"/>
            <w:vAlign w:val="bottom"/>
            <w:gridSpan w:val="3"/>
          </w:tcPr>
          <w:p>
            <w:pPr>
              <w:jc w:val="center"/>
              <w:ind w:left="131"/>
              <w:spacing w:after="0"/>
              <w:rPr>
                <w:sz w:val="20"/>
                <w:szCs w:val="20"/>
                <w:color w:val="auto"/>
              </w:rPr>
            </w:pPr>
            <w:r>
              <w:rPr>
                <w:rFonts w:ascii="Arial" w:cs="Arial" w:eastAsia="Arial" w:hAnsi="Arial"/>
                <w:sz w:val="18"/>
                <w:szCs w:val="18"/>
                <w:color w:val="auto"/>
                <w:w w:val="99"/>
              </w:rPr>
              <w:t>$538</w:t>
            </w:r>
          </w:p>
        </w:tc>
        <w:tc>
          <w:tcPr>
            <w:tcW w:w="1480" w:type="dxa"/>
            <w:vAlign w:val="bottom"/>
            <w:gridSpan w:val="3"/>
          </w:tcPr>
          <w:p>
            <w:pPr>
              <w:jc w:val="center"/>
              <w:ind w:left="851"/>
              <w:spacing w:after="0"/>
              <w:rPr>
                <w:sz w:val="20"/>
                <w:szCs w:val="20"/>
                <w:color w:val="auto"/>
              </w:rPr>
            </w:pPr>
            <w:r>
              <w:rPr>
                <w:rFonts w:ascii="Arial" w:cs="Arial" w:eastAsia="Arial" w:hAnsi="Arial"/>
                <w:sz w:val="18"/>
                <w:szCs w:val="18"/>
                <w:color w:val="auto"/>
              </w:rPr>
              <w:t>$307</w:t>
            </w:r>
          </w:p>
        </w:tc>
        <w:tc>
          <w:tcPr>
            <w:tcW w:w="480" w:type="dxa"/>
            <w:vAlign w:val="bottom"/>
          </w:tcPr>
          <w:p>
            <w:pPr>
              <w:spacing w:after="0"/>
              <w:rPr>
                <w:sz w:val="24"/>
                <w:szCs w:val="24"/>
                <w:color w:val="auto"/>
              </w:rPr>
            </w:pPr>
          </w:p>
        </w:tc>
        <w:tc>
          <w:tcPr>
            <w:tcW w:w="1420" w:type="dxa"/>
            <w:vAlign w:val="bottom"/>
            <w:gridSpan w:val="3"/>
          </w:tcPr>
          <w:p>
            <w:pPr>
              <w:jc w:val="center"/>
              <w:ind w:left="133"/>
              <w:spacing w:after="0"/>
              <w:rPr>
                <w:sz w:val="20"/>
                <w:szCs w:val="20"/>
                <w:color w:val="auto"/>
              </w:rPr>
            </w:pPr>
            <w:r>
              <w:rPr>
                <w:rFonts w:ascii="Arial" w:cs="Arial" w:eastAsia="Arial" w:hAnsi="Arial"/>
                <w:sz w:val="18"/>
                <w:szCs w:val="18"/>
                <w:color w:val="auto"/>
                <w:w w:val="99"/>
              </w:rPr>
              <w:t>$372</w:t>
            </w:r>
          </w:p>
        </w:tc>
      </w:tr>
      <w:tr>
        <w:trPr>
          <w:trHeight w:val="217"/>
        </w:trPr>
        <w:tc>
          <w:tcPr>
            <w:tcW w:w="2220" w:type="dxa"/>
            <w:vAlign w:val="bottom"/>
          </w:tcPr>
          <w:p>
            <w:pPr>
              <w:spacing w:after="0"/>
              <w:rPr>
                <w:sz w:val="20"/>
                <w:szCs w:val="20"/>
                <w:color w:val="auto"/>
              </w:rPr>
            </w:pPr>
            <w:r>
              <w:rPr>
                <w:rFonts w:ascii="Arial" w:cs="Arial" w:eastAsia="Arial" w:hAnsi="Arial"/>
                <w:sz w:val="16"/>
                <w:szCs w:val="16"/>
                <w:color w:val="auto"/>
              </w:rPr>
              <w:t>Diluted EPS</w:t>
            </w:r>
          </w:p>
        </w:tc>
        <w:tc>
          <w:tcPr>
            <w:tcW w:w="1220" w:type="dxa"/>
            <w:vAlign w:val="bottom"/>
            <w:gridSpan w:val="3"/>
          </w:tcPr>
          <w:p>
            <w:pPr>
              <w:jc w:val="center"/>
              <w:ind w:left="611"/>
              <w:spacing w:after="0"/>
              <w:rPr>
                <w:sz w:val="20"/>
                <w:szCs w:val="20"/>
                <w:color w:val="auto"/>
              </w:rPr>
            </w:pPr>
            <w:r>
              <w:rPr>
                <w:rFonts w:ascii="Arial" w:cs="Arial" w:eastAsia="Arial" w:hAnsi="Arial"/>
                <w:sz w:val="18"/>
                <w:szCs w:val="18"/>
                <w:color w:val="auto"/>
                <w:w w:val="97"/>
              </w:rPr>
              <w:t>$0.83</w:t>
            </w:r>
          </w:p>
        </w:tc>
        <w:tc>
          <w:tcPr>
            <w:tcW w:w="480" w:type="dxa"/>
            <w:vAlign w:val="bottom"/>
          </w:tcPr>
          <w:p>
            <w:pPr>
              <w:spacing w:after="0"/>
              <w:rPr>
                <w:sz w:val="18"/>
                <w:szCs w:val="18"/>
                <w:color w:val="auto"/>
              </w:rPr>
            </w:pPr>
          </w:p>
        </w:tc>
        <w:tc>
          <w:tcPr>
            <w:tcW w:w="1420" w:type="dxa"/>
            <w:vAlign w:val="bottom"/>
            <w:gridSpan w:val="3"/>
          </w:tcPr>
          <w:p>
            <w:pPr>
              <w:jc w:val="center"/>
              <w:ind w:left="131"/>
              <w:spacing w:after="0"/>
              <w:rPr>
                <w:sz w:val="20"/>
                <w:szCs w:val="20"/>
                <w:color w:val="auto"/>
              </w:rPr>
            </w:pPr>
            <w:r>
              <w:rPr>
                <w:rFonts w:ascii="Arial" w:cs="Arial" w:eastAsia="Arial" w:hAnsi="Arial"/>
                <w:sz w:val="18"/>
                <w:szCs w:val="18"/>
                <w:color w:val="auto"/>
                <w:w w:val="97"/>
              </w:rPr>
              <w:t>$1.27</w:t>
            </w:r>
          </w:p>
        </w:tc>
        <w:tc>
          <w:tcPr>
            <w:tcW w:w="1480" w:type="dxa"/>
            <w:vAlign w:val="bottom"/>
            <w:gridSpan w:val="3"/>
          </w:tcPr>
          <w:p>
            <w:pPr>
              <w:jc w:val="center"/>
              <w:ind w:left="851"/>
              <w:spacing w:after="0"/>
              <w:rPr>
                <w:sz w:val="20"/>
                <w:szCs w:val="20"/>
                <w:color w:val="auto"/>
              </w:rPr>
            </w:pPr>
            <w:r>
              <w:rPr>
                <w:rFonts w:ascii="Arial" w:cs="Arial" w:eastAsia="Arial" w:hAnsi="Arial"/>
                <w:sz w:val="18"/>
                <w:szCs w:val="18"/>
                <w:color w:val="auto"/>
              </w:rPr>
              <w:t>$0.72</w:t>
            </w:r>
          </w:p>
        </w:tc>
        <w:tc>
          <w:tcPr>
            <w:tcW w:w="480" w:type="dxa"/>
            <w:vAlign w:val="bottom"/>
          </w:tcPr>
          <w:p>
            <w:pPr>
              <w:spacing w:after="0"/>
              <w:rPr>
                <w:sz w:val="18"/>
                <w:szCs w:val="18"/>
                <w:color w:val="auto"/>
              </w:rPr>
            </w:pPr>
          </w:p>
        </w:tc>
        <w:tc>
          <w:tcPr>
            <w:tcW w:w="1420" w:type="dxa"/>
            <w:vAlign w:val="bottom"/>
            <w:gridSpan w:val="3"/>
          </w:tcPr>
          <w:p>
            <w:pPr>
              <w:jc w:val="center"/>
              <w:ind w:left="133"/>
              <w:spacing w:after="0"/>
              <w:rPr>
                <w:sz w:val="20"/>
                <w:szCs w:val="20"/>
                <w:color w:val="auto"/>
              </w:rPr>
            </w:pPr>
            <w:r>
              <w:rPr>
                <w:rFonts w:ascii="Arial" w:cs="Arial" w:eastAsia="Arial" w:hAnsi="Arial"/>
                <w:sz w:val="18"/>
                <w:szCs w:val="18"/>
                <w:color w:val="auto"/>
                <w:w w:val="97"/>
              </w:rPr>
              <w:t>$0.88</w:t>
            </w:r>
          </w:p>
        </w:tc>
      </w:tr>
    </w:tbl>
    <w:p>
      <w:pPr>
        <w:spacing w:after="0" w:line="200" w:lineRule="exact"/>
        <w:rPr>
          <w:sz w:val="20"/>
          <w:szCs w:val="20"/>
          <w:color w:val="auto"/>
        </w:rPr>
      </w:pPr>
    </w:p>
    <w:p>
      <w:pPr>
        <w:spacing w:after="0" w:line="27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business produced tremendous growth in the second quarter as the economy continued to recover from the pandemic, and we made further progress on our integration of the Advanced Disposal operations,” said Jim Fish, WM’s President and Chief Executive Officer. “The acquisition of Advanced Disposal, the return of volumes from early pandemic levels, and our continued focus on cost control all contributed to financial outcomes that exceeded expectations. In the second quarter, as adjusted operating EBITDA grew 28%, adjusted operating</w:t>
      </w:r>
    </w:p>
    <w:p>
      <w:pPr>
        <w:spacing w:after="0" w:line="4"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EBITDA margin expanded 50 basis points, and we generated more than $1 billion of cash from operations.</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We continue to execute on our pricing programs and efficiently manage our costs as volumes return.”</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Fish continued, “As a result of our strong performance through the first half of 2021 and our confidence in the continued strength of our business model, we are increasing our full-year revenue, adjusted operating EBITDA,</w:t>
      </w:r>
    </w:p>
    <w:p>
      <w:pPr>
        <w:spacing w:after="0" w:line="2"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and free cash flow guidance.</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In addition, due to our robust cash generation, we are increasing our expectations for 2021 share repurchases up to our full authorization of $1.35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b w:val="1"/>
          <w:bCs w:val="1"/>
          <w:color w:val="00693A"/>
        </w:rPr>
        <w:t>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Website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57584F"/>
        </w:rPr>
        <w:t>Ed Egl</w:t>
      </w:r>
    </w:p>
    <w:p>
      <w:pPr>
        <w:spacing w:after="0" w:line="2"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57584F"/>
        </w:rPr>
        <w:t xml:space="preserve">713.265.1656 </w:t>
      </w:r>
      <w:r>
        <w:rPr>
          <w:rFonts w:ascii="Arial" w:cs="Arial" w:eastAsia="Arial" w:hAnsi="Arial"/>
          <w:sz w:val="18"/>
          <w:szCs w:val="18"/>
          <w:u w:val="single" w:color="auto"/>
          <w:color w:val="0000FF"/>
        </w:rPr>
        <w:t>eegl@wm.com</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57584F"/>
        </w:rPr>
        <w:t>Toni Werner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corp_comm@wm.com</w:t>
      </w:r>
    </w:p>
    <w:p>
      <w:pPr>
        <w:sectPr>
          <w:pgSz w:w="11900" w:h="16838" w:orient="portrait"/>
          <w:cols w:equalWidth="0" w:num="2">
            <w:col w:w="9000" w:space="380"/>
            <w:col w:w="1860"/>
          </w:cols>
          <w:pgMar w:left="320" w:top="3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KEY HIGHLIGHTS FOR THE SECOND QUARTER OF 2021</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Revenue</w:t>
      </w:r>
    </w:p>
    <w:p>
      <w:pPr>
        <w:spacing w:after="0" w:line="220" w:lineRule="exact"/>
        <w:rPr>
          <w:sz w:val="20"/>
          <w:szCs w:val="20"/>
          <w:color w:val="auto"/>
        </w:rPr>
      </w:pPr>
    </w:p>
    <w:p>
      <w:pPr>
        <w:jc w:val="both"/>
        <w:ind w:left="680" w:right="1139" w:hanging="265"/>
        <w:spacing w:after="0" w:line="181" w:lineRule="auto"/>
        <w:tabs>
          <w:tab w:leader="none" w:pos="680" w:val="left"/>
        </w:tabs>
        <w:numPr>
          <w:ilvl w:val="0"/>
          <w:numId w:val="3"/>
        </w:numPr>
        <w:rPr>
          <w:rFonts w:ascii="Arial" w:cs="Arial" w:eastAsia="Arial" w:hAnsi="Arial"/>
          <w:sz w:val="38"/>
          <w:szCs w:val="38"/>
          <w:color w:val="auto"/>
          <w:vertAlign w:val="subscript"/>
        </w:rPr>
      </w:pPr>
      <w:r>
        <w:rPr>
          <w:rFonts w:ascii="Arial" w:cs="Arial" w:eastAsia="Arial" w:hAnsi="Arial"/>
          <w:sz w:val="16"/>
          <w:szCs w:val="16"/>
          <w:color w:val="auto"/>
        </w:rPr>
        <w:t>In the second quarter of 2021, revenue increased $425 million in the Company’s collection and disposal business, when excluding the impact of acquisitions and divestitures, compared to the second quarter of 2020, driven by $307 million in volume increases and $118 million of growth from yield.</w:t>
      </w:r>
    </w:p>
    <w:p>
      <w:pPr>
        <w:ind w:left="680" w:right="1159" w:hanging="265"/>
        <w:spacing w:after="0" w:line="182" w:lineRule="auto"/>
        <w:tabs>
          <w:tab w:leader="none" w:pos="680" w:val="left"/>
        </w:tabs>
        <w:numPr>
          <w:ilvl w:val="0"/>
          <w:numId w:val="3"/>
        </w:numPr>
        <w:rPr>
          <w:rFonts w:ascii="Arial" w:cs="Arial" w:eastAsia="Arial" w:hAnsi="Arial"/>
          <w:sz w:val="33"/>
          <w:szCs w:val="33"/>
          <w:color w:val="auto"/>
          <w:vertAlign w:val="subscript"/>
        </w:rPr>
      </w:pPr>
      <w:r>
        <w:rPr>
          <w:rFonts w:ascii="Arial" w:cs="Arial" w:eastAsia="Arial" w:hAnsi="Arial"/>
          <w:sz w:val="15"/>
          <w:szCs w:val="15"/>
          <w:color w:val="auto"/>
        </w:rPr>
        <w:t>In the second quarter of 2021, acquisitions, net of divestitures, added $305 million of revenue primarily from the acquisition of Advanced Disposal.</w:t>
      </w:r>
    </w:p>
    <w:p>
      <w:pPr>
        <w:ind w:left="680" w:hanging="265"/>
        <w:spacing w:after="0" w:line="203" w:lineRule="auto"/>
        <w:tabs>
          <w:tab w:leader="none" w:pos="680" w:val="left"/>
        </w:tabs>
        <w:numPr>
          <w:ilvl w:val="0"/>
          <w:numId w:val="3"/>
        </w:numPr>
        <w:rPr>
          <w:rFonts w:ascii="Arial" w:cs="Arial" w:eastAsia="Arial" w:hAnsi="Arial"/>
          <w:sz w:val="25"/>
          <w:szCs w:val="25"/>
          <w:color w:val="auto"/>
        </w:rPr>
      </w:pPr>
      <w:r>
        <w:rPr>
          <w:rFonts w:ascii="Arial" w:cs="Arial" w:eastAsia="Arial" w:hAnsi="Arial"/>
          <w:sz w:val="18"/>
          <w:szCs w:val="18"/>
          <w:color w:val="auto"/>
        </w:rPr>
        <w:t>Core price for the second quarter of 2021 was 6.2% compared to 1.3% in the second quarter of 2020.</w:t>
      </w:r>
      <w:r>
        <w:rPr>
          <w:rFonts w:ascii="Arial" w:cs="Arial" w:eastAsia="Arial" w:hAnsi="Arial"/>
          <w:sz w:val="29"/>
          <w:szCs w:val="29"/>
          <w:color w:val="auto"/>
          <w:vertAlign w:val="superscript"/>
        </w:rPr>
        <w:t>(d)</w:t>
      </w:r>
    </w:p>
    <w:p>
      <w:pPr>
        <w:ind w:left="680" w:right="1139" w:hanging="265"/>
        <w:spacing w:after="0" w:line="228" w:lineRule="auto"/>
        <w:tabs>
          <w:tab w:leader="none" w:pos="680" w:val="left"/>
        </w:tabs>
        <w:numPr>
          <w:ilvl w:val="0"/>
          <w:numId w:val="3"/>
        </w:numPr>
        <w:rPr>
          <w:rFonts w:ascii="Arial" w:cs="Arial" w:eastAsia="Arial" w:hAnsi="Arial"/>
          <w:sz w:val="37"/>
          <w:szCs w:val="37"/>
          <w:color w:val="auto"/>
          <w:vertAlign w:val="subscript"/>
        </w:rPr>
      </w:pPr>
      <w:r>
        <w:rPr>
          <w:rFonts w:ascii="Arial" w:cs="Arial" w:eastAsia="Arial" w:hAnsi="Arial"/>
          <w:sz w:val="15"/>
          <w:szCs w:val="15"/>
          <w:color w:val="auto"/>
        </w:rPr>
        <w:t>Collection and disposal yield was 3.7% in the second quarter of 2021 compared to 1.6% in the second quarter of 2020.</w:t>
      </w:r>
    </w:p>
    <w:p>
      <w:pPr>
        <w:ind w:left="680" w:right="1159" w:hanging="265"/>
        <w:spacing w:after="0" w:line="182" w:lineRule="auto"/>
        <w:tabs>
          <w:tab w:leader="none" w:pos="680" w:val="left"/>
        </w:tabs>
        <w:numPr>
          <w:ilvl w:val="0"/>
          <w:numId w:val="3"/>
        </w:numPr>
        <w:rPr>
          <w:rFonts w:ascii="Arial" w:cs="Arial" w:eastAsia="Arial" w:hAnsi="Arial"/>
          <w:sz w:val="33"/>
          <w:szCs w:val="33"/>
          <w:color w:val="auto"/>
          <w:vertAlign w:val="subscript"/>
        </w:rPr>
      </w:pPr>
      <w:r>
        <w:rPr>
          <w:rFonts w:ascii="Arial" w:cs="Arial" w:eastAsia="Arial" w:hAnsi="Arial"/>
          <w:sz w:val="15"/>
          <w:szCs w:val="15"/>
          <w:color w:val="auto"/>
        </w:rPr>
        <w:t>Total Company volumes improved 9.6% in the second quarter of 2021 compared to a decline of 10.3% in the second quarter of 2020.</w:t>
      </w:r>
    </w:p>
    <w:p>
      <w:pPr>
        <w:spacing w:after="0" w:line="166" w:lineRule="exact"/>
        <w:rPr>
          <w:rFonts w:ascii="Arial" w:cs="Arial" w:eastAsia="Arial" w:hAnsi="Arial"/>
          <w:sz w:val="33"/>
          <w:szCs w:val="33"/>
          <w:color w:val="auto"/>
          <w:vertAlign w:val="subscript"/>
        </w:rPr>
      </w:pPr>
    </w:p>
    <w:p>
      <w:pPr>
        <w:ind w:left="680"/>
        <w:spacing w:after="0"/>
        <w:rPr>
          <w:rFonts w:ascii="Arial" w:cs="Arial" w:eastAsia="Arial" w:hAnsi="Arial"/>
          <w:sz w:val="33"/>
          <w:szCs w:val="33"/>
          <w:color w:val="auto"/>
          <w:vertAlign w:val="subscript"/>
        </w:rPr>
      </w:pPr>
      <w:r>
        <w:rPr>
          <w:rFonts w:ascii="Arial" w:cs="Arial" w:eastAsia="Arial" w:hAnsi="Arial"/>
          <w:sz w:val="18"/>
          <w:szCs w:val="18"/>
          <w:b w:val="1"/>
          <w:bCs w:val="1"/>
          <w:u w:val="single" w:color="auto"/>
          <w:color w:val="auto"/>
        </w:rPr>
        <w:t>Cost Management</w:t>
      </w:r>
    </w:p>
    <w:p>
      <w:pPr>
        <w:spacing w:after="0" w:line="220" w:lineRule="exact"/>
        <w:rPr>
          <w:rFonts w:ascii="Arial" w:cs="Arial" w:eastAsia="Arial" w:hAnsi="Arial"/>
          <w:sz w:val="33"/>
          <w:szCs w:val="33"/>
          <w:color w:val="auto"/>
          <w:vertAlign w:val="subscript"/>
        </w:rPr>
      </w:pPr>
    </w:p>
    <w:p>
      <w:pPr>
        <w:jc w:val="both"/>
        <w:ind w:left="680" w:right="1139" w:hanging="265"/>
        <w:spacing w:after="0" w:line="187" w:lineRule="auto"/>
        <w:tabs>
          <w:tab w:leader="none" w:pos="680" w:val="left"/>
        </w:tabs>
        <w:numPr>
          <w:ilvl w:val="0"/>
          <w:numId w:val="3"/>
        </w:numPr>
        <w:rPr>
          <w:rFonts w:ascii="Arial" w:cs="Arial" w:eastAsia="Arial" w:hAnsi="Arial"/>
          <w:sz w:val="42"/>
          <w:szCs w:val="42"/>
          <w:color w:val="auto"/>
          <w:vertAlign w:val="subscript"/>
        </w:rPr>
      </w:pPr>
      <w:r>
        <w:rPr>
          <w:rFonts w:ascii="Arial" w:cs="Arial" w:eastAsia="Arial" w:hAnsi="Arial"/>
          <w:sz w:val="16"/>
          <w:szCs w:val="16"/>
          <w:color w:val="auto"/>
        </w:rPr>
        <w:t>Operating expenses as a percentage of revenue were 61.1% in the second quarter of 2021 compared to 61.2% in the second quarter of 2020, demonstrating discipline on maintaining a lower cost structure. The Company saw strong volume recovery in its highest margin lines of business and more than offset volume-driven cost increases and inflationary cost pressures.</w:t>
      </w:r>
    </w:p>
    <w:p>
      <w:pPr>
        <w:spacing w:after="0" w:line="3" w:lineRule="exact"/>
        <w:rPr>
          <w:rFonts w:ascii="Arial" w:cs="Arial" w:eastAsia="Arial" w:hAnsi="Arial"/>
          <w:sz w:val="42"/>
          <w:szCs w:val="42"/>
          <w:color w:val="auto"/>
          <w:vertAlign w:val="subscript"/>
        </w:rPr>
      </w:pPr>
    </w:p>
    <w:p>
      <w:pPr>
        <w:jc w:val="both"/>
        <w:ind w:left="680" w:right="1139" w:hanging="265"/>
        <w:spacing w:after="0" w:line="182" w:lineRule="auto"/>
        <w:tabs>
          <w:tab w:leader="none" w:pos="680" w:val="left"/>
        </w:tabs>
        <w:numPr>
          <w:ilvl w:val="0"/>
          <w:numId w:val="3"/>
        </w:numPr>
        <w:rPr>
          <w:rFonts w:ascii="Arial" w:cs="Arial" w:eastAsia="Arial" w:hAnsi="Arial"/>
          <w:sz w:val="46"/>
          <w:szCs w:val="46"/>
          <w:color w:val="auto"/>
          <w:vertAlign w:val="subscript"/>
        </w:rPr>
      </w:pPr>
      <w:r>
        <w:rPr>
          <w:rFonts w:ascii="Arial" w:cs="Arial" w:eastAsia="Arial" w:hAnsi="Arial"/>
          <w:sz w:val="17"/>
          <w:szCs w:val="17"/>
          <w:color w:val="auto"/>
        </w:rPr>
        <w:t>SG&amp;A expenses were 9.9% of revenue in the second quarter of 2021 compared to 10.6% in the second quarter of 2020. On an adjusted basis, SG&amp;A expenses were 9.6% of revenue in the second quarter of 2021 compared to 9.9% in the second quarter of 2020.</w:t>
      </w:r>
      <w:r>
        <w:rPr>
          <w:rFonts w:ascii="Arial" w:cs="Arial" w:eastAsia="Arial" w:hAnsi="Arial"/>
          <w:sz w:val="27"/>
          <w:szCs w:val="27"/>
          <w:color w:val="auto"/>
          <w:vertAlign w:val="superscript"/>
        </w:rPr>
        <w:t>(a)</w:t>
      </w:r>
    </w:p>
    <w:p>
      <w:pPr>
        <w:spacing w:after="0" w:line="43" w:lineRule="exact"/>
        <w:rPr>
          <w:rFonts w:ascii="Arial" w:cs="Arial" w:eastAsia="Arial" w:hAnsi="Arial"/>
          <w:sz w:val="46"/>
          <w:szCs w:val="46"/>
          <w:color w:val="auto"/>
          <w:vertAlign w:val="subscript"/>
        </w:rPr>
      </w:pPr>
    </w:p>
    <w:p>
      <w:pPr>
        <w:ind w:left="680"/>
        <w:spacing w:after="0"/>
        <w:rPr>
          <w:rFonts w:ascii="Arial" w:cs="Arial" w:eastAsia="Arial" w:hAnsi="Arial"/>
          <w:sz w:val="46"/>
          <w:szCs w:val="46"/>
          <w:color w:val="auto"/>
          <w:vertAlign w:val="subscript"/>
        </w:rPr>
      </w:pPr>
      <w:r>
        <w:rPr>
          <w:rFonts w:ascii="Arial" w:cs="Arial" w:eastAsia="Arial" w:hAnsi="Arial"/>
          <w:sz w:val="18"/>
          <w:szCs w:val="18"/>
          <w:b w:val="1"/>
          <w:bCs w:val="1"/>
          <w:u w:val="single" w:color="auto"/>
          <w:color w:val="auto"/>
        </w:rPr>
        <w:t>Profitability</w:t>
      </w:r>
    </w:p>
    <w:p>
      <w:pPr>
        <w:spacing w:after="0" w:line="220" w:lineRule="exact"/>
        <w:rPr>
          <w:rFonts w:ascii="Arial" w:cs="Arial" w:eastAsia="Arial" w:hAnsi="Arial"/>
          <w:sz w:val="46"/>
          <w:szCs w:val="46"/>
          <w:color w:val="auto"/>
          <w:vertAlign w:val="subscript"/>
        </w:rPr>
      </w:pPr>
    </w:p>
    <w:p>
      <w:pPr>
        <w:jc w:val="both"/>
        <w:ind w:left="680" w:right="1139" w:hanging="265"/>
        <w:spacing w:after="0" w:line="181" w:lineRule="auto"/>
        <w:tabs>
          <w:tab w:leader="none" w:pos="680" w:val="left"/>
        </w:tabs>
        <w:numPr>
          <w:ilvl w:val="0"/>
          <w:numId w:val="3"/>
        </w:numPr>
        <w:rPr>
          <w:rFonts w:ascii="Arial" w:cs="Arial" w:eastAsia="Arial" w:hAnsi="Arial"/>
          <w:sz w:val="38"/>
          <w:szCs w:val="38"/>
          <w:color w:val="auto"/>
          <w:vertAlign w:val="subscript"/>
        </w:rPr>
      </w:pPr>
      <w:r>
        <w:rPr>
          <w:rFonts w:ascii="Arial" w:cs="Arial" w:eastAsia="Arial" w:hAnsi="Arial"/>
          <w:sz w:val="16"/>
          <w:szCs w:val="16"/>
          <w:color w:val="auto"/>
        </w:rPr>
        <w:t>Operating EBITDA in the Company’s collection and disposal business, adjusted on the same basis as total Company operating EBITDA, was $1.41 billion, or 32.0% of revenue, for the second quarter of 2021, compared to $1.14 billion, or 32.1% of revenue, for the second quarter of 2020.</w:t>
      </w:r>
    </w:p>
    <w:p>
      <w:pPr>
        <w:jc w:val="both"/>
        <w:ind w:left="680" w:right="1139" w:hanging="265"/>
        <w:spacing w:after="0" w:line="183" w:lineRule="auto"/>
        <w:tabs>
          <w:tab w:leader="none" w:pos="680" w:val="left"/>
        </w:tabs>
        <w:numPr>
          <w:ilvl w:val="0"/>
          <w:numId w:val="3"/>
        </w:numPr>
        <w:rPr>
          <w:rFonts w:ascii="Arial" w:cs="Arial" w:eastAsia="Arial" w:hAnsi="Arial"/>
          <w:sz w:val="47"/>
          <w:szCs w:val="47"/>
          <w:color w:val="auto"/>
          <w:vertAlign w:val="subscript"/>
        </w:rPr>
      </w:pPr>
      <w:r>
        <w:rPr>
          <w:rFonts w:ascii="Arial" w:cs="Arial" w:eastAsia="Arial" w:hAnsi="Arial"/>
          <w:sz w:val="17"/>
          <w:szCs w:val="17"/>
          <w:color w:val="auto"/>
        </w:rPr>
        <w:t>Operating EBITDA in the Company’s recycling line of business improved by $56 million compared to the second quarter of 2020. The improvement was driven by an increase in market prices for recycled commodities, investments the Company is making in improved technology and equipment at its materials recovery facilities that are delivering a lower operating cost model and the re-opening of facilities where operations were temporarily suspended during the pandemic.</w:t>
      </w:r>
    </w:p>
    <w:p>
      <w:pPr>
        <w:spacing w:after="0" w:line="4" w:lineRule="exact"/>
        <w:rPr>
          <w:rFonts w:ascii="Arial" w:cs="Arial" w:eastAsia="Arial" w:hAnsi="Arial"/>
          <w:sz w:val="47"/>
          <w:szCs w:val="47"/>
          <w:color w:val="auto"/>
          <w:vertAlign w:val="subscript"/>
        </w:rPr>
      </w:pPr>
    </w:p>
    <w:p>
      <w:pPr>
        <w:ind w:left="680" w:right="1139" w:hanging="265"/>
        <w:spacing w:after="0" w:line="183" w:lineRule="auto"/>
        <w:tabs>
          <w:tab w:leader="none" w:pos="680" w:val="left"/>
        </w:tabs>
        <w:numPr>
          <w:ilvl w:val="0"/>
          <w:numId w:val="3"/>
        </w:numPr>
        <w:rPr>
          <w:rFonts w:ascii="Arial" w:cs="Arial" w:eastAsia="Arial" w:hAnsi="Arial"/>
          <w:sz w:val="32"/>
          <w:szCs w:val="32"/>
          <w:color w:val="auto"/>
          <w:vertAlign w:val="subscript"/>
        </w:rPr>
      </w:pPr>
      <w:r>
        <w:rPr>
          <w:rFonts w:ascii="Arial" w:cs="Arial" w:eastAsia="Arial" w:hAnsi="Arial"/>
          <w:sz w:val="14"/>
          <w:szCs w:val="14"/>
          <w:color w:val="auto"/>
        </w:rPr>
        <w:t>Operating EBITDA in the Company’s renewable energy line of business improved by almost $14 million compared to the second quarter of 2020, primarily driven by increases in price.</w:t>
      </w:r>
    </w:p>
    <w:p>
      <w:pPr>
        <w:spacing w:after="0" w:line="1" w:lineRule="exact"/>
        <w:rPr>
          <w:rFonts w:ascii="Arial" w:cs="Arial" w:eastAsia="Arial" w:hAnsi="Arial"/>
          <w:sz w:val="32"/>
          <w:szCs w:val="32"/>
          <w:color w:val="auto"/>
          <w:vertAlign w:val="subscript"/>
        </w:rPr>
      </w:pPr>
    </w:p>
    <w:p>
      <w:pPr>
        <w:ind w:left="680" w:right="1139" w:hanging="265"/>
        <w:spacing w:after="0" w:line="182" w:lineRule="auto"/>
        <w:tabs>
          <w:tab w:leader="none" w:pos="680" w:val="left"/>
        </w:tabs>
        <w:numPr>
          <w:ilvl w:val="0"/>
          <w:numId w:val="3"/>
        </w:numPr>
        <w:rPr>
          <w:rFonts w:ascii="Arial" w:cs="Arial" w:eastAsia="Arial" w:hAnsi="Arial"/>
          <w:sz w:val="33"/>
          <w:szCs w:val="33"/>
          <w:color w:val="auto"/>
          <w:vertAlign w:val="subscript"/>
        </w:rPr>
      </w:pPr>
      <w:r>
        <w:rPr>
          <w:rFonts w:ascii="Arial" w:cs="Arial" w:eastAsia="Arial" w:hAnsi="Arial"/>
          <w:sz w:val="15"/>
          <w:szCs w:val="15"/>
          <w:color w:val="auto"/>
        </w:rPr>
        <w:t>In the second quarter of 2021, the Company realized almost $20 million of operating and SG&amp;A cost synergies from the acquisition of Advanced Disposal.</w:t>
      </w:r>
    </w:p>
    <w:p>
      <w:pPr>
        <w:spacing w:after="0" w:line="247" w:lineRule="exact"/>
        <w:rPr>
          <w:rFonts w:ascii="Arial" w:cs="Arial" w:eastAsia="Arial" w:hAnsi="Arial"/>
          <w:sz w:val="33"/>
          <w:szCs w:val="33"/>
          <w:color w:val="auto"/>
          <w:vertAlign w:val="subscript"/>
        </w:rPr>
      </w:pPr>
    </w:p>
    <w:p>
      <w:pPr>
        <w:ind w:left="680"/>
        <w:spacing w:after="0"/>
        <w:rPr>
          <w:rFonts w:ascii="Arial" w:cs="Arial" w:eastAsia="Arial" w:hAnsi="Arial"/>
          <w:sz w:val="33"/>
          <w:szCs w:val="33"/>
          <w:color w:val="auto"/>
          <w:vertAlign w:val="subscript"/>
        </w:rPr>
      </w:pPr>
      <w:r>
        <w:rPr>
          <w:rFonts w:ascii="Arial" w:cs="Arial" w:eastAsia="Arial" w:hAnsi="Arial"/>
          <w:sz w:val="18"/>
          <w:szCs w:val="18"/>
          <w:b w:val="1"/>
          <w:bCs w:val="1"/>
          <w:u w:val="single" w:color="auto"/>
          <w:color w:val="auto"/>
        </w:rPr>
        <w:t>Free Cash Flow &amp; Capital Allocation</w:t>
      </w:r>
    </w:p>
    <w:p>
      <w:pPr>
        <w:spacing w:after="0" w:line="260" w:lineRule="exact"/>
        <w:rPr>
          <w:rFonts w:ascii="Arial" w:cs="Arial" w:eastAsia="Arial" w:hAnsi="Arial"/>
          <w:sz w:val="33"/>
          <w:szCs w:val="33"/>
          <w:color w:val="auto"/>
          <w:vertAlign w:val="subscript"/>
        </w:rPr>
      </w:pPr>
    </w:p>
    <w:p>
      <w:pPr>
        <w:jc w:val="both"/>
        <w:ind w:left="680" w:right="1139" w:hanging="265"/>
        <w:spacing w:after="0" w:line="181" w:lineRule="auto"/>
        <w:tabs>
          <w:tab w:leader="none" w:pos="680" w:val="left"/>
        </w:tabs>
        <w:numPr>
          <w:ilvl w:val="0"/>
          <w:numId w:val="3"/>
        </w:numPr>
        <w:rPr>
          <w:rFonts w:ascii="Arial" w:cs="Arial" w:eastAsia="Arial" w:hAnsi="Arial"/>
          <w:sz w:val="38"/>
          <w:szCs w:val="38"/>
          <w:color w:val="auto"/>
          <w:vertAlign w:val="subscript"/>
        </w:rPr>
      </w:pPr>
      <w:r>
        <w:rPr>
          <w:rFonts w:ascii="Arial" w:cs="Arial" w:eastAsia="Arial" w:hAnsi="Arial"/>
          <w:sz w:val="16"/>
          <w:szCs w:val="16"/>
          <w:color w:val="auto"/>
        </w:rPr>
        <w:t>In the second quarter of 2021, net cash provided by operating activities was $1,043 million compared to $856 million in the second quarter of 2020. The improvement in net cash provided by operating activities was primarily driven by the increase in operating EBITDA.</w:t>
      </w:r>
    </w:p>
    <w:p>
      <w:pPr>
        <w:ind w:left="680" w:right="1139" w:hanging="265"/>
        <w:spacing w:after="0"/>
        <w:tabs>
          <w:tab w:leader="none" w:pos="680" w:val="left"/>
        </w:tabs>
        <w:numPr>
          <w:ilvl w:val="0"/>
          <w:numId w:val="3"/>
        </w:numPr>
        <w:rPr>
          <w:rFonts w:ascii="Arial" w:cs="Arial" w:eastAsia="Arial" w:hAnsi="Arial"/>
          <w:sz w:val="32"/>
          <w:szCs w:val="32"/>
          <w:color w:val="auto"/>
          <w:vertAlign w:val="subscript"/>
        </w:rPr>
      </w:pPr>
      <w:r>
        <w:rPr>
          <w:rFonts w:ascii="Arial" w:cs="Arial" w:eastAsia="Arial" w:hAnsi="Arial"/>
          <w:sz w:val="14"/>
          <w:szCs w:val="14"/>
          <w:color w:val="auto"/>
        </w:rPr>
        <w:t>In the second quarter of 2021, capital expenditures were $396 million compared to $436 million in the second quarter of 2020.</w:t>
      </w:r>
    </w:p>
    <w:p>
      <w:pPr>
        <w:spacing w:after="0" w:line="37" w:lineRule="exact"/>
        <w:rPr>
          <w:rFonts w:ascii="Arial" w:cs="Arial" w:eastAsia="Arial" w:hAnsi="Arial"/>
          <w:sz w:val="32"/>
          <w:szCs w:val="32"/>
          <w:color w:val="auto"/>
          <w:vertAlign w:val="subscript"/>
        </w:rPr>
      </w:pPr>
    </w:p>
    <w:p>
      <w:pPr>
        <w:ind w:left="680" w:right="1139" w:hanging="265"/>
        <w:spacing w:after="0" w:line="182" w:lineRule="auto"/>
        <w:tabs>
          <w:tab w:leader="none" w:pos="680" w:val="left"/>
        </w:tabs>
        <w:numPr>
          <w:ilvl w:val="0"/>
          <w:numId w:val="3"/>
        </w:numPr>
        <w:rPr>
          <w:rFonts w:ascii="Arial" w:cs="Arial" w:eastAsia="Arial" w:hAnsi="Arial"/>
          <w:sz w:val="42"/>
          <w:szCs w:val="42"/>
          <w:color w:val="auto"/>
          <w:vertAlign w:val="subscript"/>
        </w:rPr>
      </w:pPr>
      <w:r>
        <w:rPr>
          <w:rFonts w:ascii="Arial" w:cs="Arial" w:eastAsia="Arial" w:hAnsi="Arial"/>
          <w:sz w:val="16"/>
          <w:szCs w:val="16"/>
          <w:color w:val="auto"/>
        </w:rPr>
        <w:t>In the second quarter of 2021, free cash flow was $649 million compared to $423 million in the second quarter of 2020.</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5" w:name="page6"/>
    <w:bookmarkEnd w:id="5"/>
    <w:p>
      <w:pPr>
        <w:ind w:left="680" w:right="1139" w:hanging="265"/>
        <w:spacing w:after="0" w:line="182" w:lineRule="auto"/>
        <w:tabs>
          <w:tab w:leader="none" w:pos="680" w:val="left"/>
        </w:tabs>
        <w:numPr>
          <w:ilvl w:val="0"/>
          <w:numId w:val="4"/>
        </w:numPr>
        <w:rPr>
          <w:rFonts w:ascii="Arial" w:cs="Arial" w:eastAsia="Arial" w:hAnsi="Arial"/>
          <w:sz w:val="33"/>
          <w:szCs w:val="33"/>
          <w:color w:val="auto"/>
          <w:vertAlign w:val="subscript"/>
        </w:rPr>
      </w:pPr>
      <w:r>
        <w:rPr>
          <w:rFonts w:ascii="Arial" w:cs="Arial" w:eastAsia="Arial" w:hAnsi="Arial"/>
          <w:sz w:val="15"/>
          <w:szCs w:val="15"/>
          <w:color w:val="auto"/>
        </w:rPr>
        <w:t>During the second quarter of 2021, $492 million was returned to shareholders, including $242 million of cash dividends and $250 million of share repurchases.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REVISED 2021 OUTLOOK</w:t>
      </w:r>
    </w:p>
    <w:p>
      <w:pPr>
        <w:spacing w:after="0" w:line="220" w:lineRule="exact"/>
        <w:rPr>
          <w:sz w:val="20"/>
          <w:szCs w:val="20"/>
          <w:color w:val="auto"/>
        </w:rPr>
      </w:pPr>
    </w:p>
    <w:p>
      <w:pPr>
        <w:jc w:val="both"/>
        <w:ind w:left="680" w:right="1139" w:hanging="265"/>
        <w:spacing w:after="0" w:line="181" w:lineRule="auto"/>
        <w:tabs>
          <w:tab w:leader="none" w:pos="680" w:val="left"/>
        </w:tabs>
        <w:numPr>
          <w:ilvl w:val="0"/>
          <w:numId w:val="5"/>
        </w:numPr>
        <w:rPr>
          <w:rFonts w:ascii="Arial" w:cs="Arial" w:eastAsia="Arial" w:hAnsi="Arial"/>
          <w:sz w:val="38"/>
          <w:szCs w:val="38"/>
          <w:color w:val="auto"/>
          <w:vertAlign w:val="subscript"/>
        </w:rPr>
      </w:pPr>
      <w:r>
        <w:rPr>
          <w:rFonts w:ascii="Arial" w:cs="Arial" w:eastAsia="Arial" w:hAnsi="Arial"/>
          <w:sz w:val="16"/>
          <w:szCs w:val="16"/>
          <w:color w:val="auto"/>
        </w:rPr>
        <w:t>Total Company revenue growth in 2021 is expected to be 15.5% to 16.0%. Combined internal revenue growth from yield and volume in the collection and disposal business is expected to be 5.5% or greater, driven by the Company’s disciplined pricing programs and strong outlook for continued volume recovery.</w:t>
      </w:r>
    </w:p>
    <w:p>
      <w:pPr>
        <w:ind w:left="680" w:hanging="265"/>
        <w:spacing w:after="0" w:line="181" w:lineRule="auto"/>
        <w:tabs>
          <w:tab w:leader="none" w:pos="680" w:val="left"/>
        </w:tabs>
        <w:numPr>
          <w:ilvl w:val="0"/>
          <w:numId w:val="5"/>
        </w:numPr>
        <w:rPr>
          <w:rFonts w:ascii="Arial" w:cs="Arial" w:eastAsia="Arial" w:hAnsi="Arial"/>
          <w:sz w:val="25"/>
          <w:szCs w:val="25"/>
          <w:color w:val="auto"/>
          <w:vertAlign w:val="subscript"/>
        </w:rPr>
      </w:pPr>
      <w:r>
        <w:rPr>
          <w:rFonts w:ascii="Arial" w:cs="Arial" w:eastAsia="Arial" w:hAnsi="Arial"/>
          <w:sz w:val="13"/>
          <w:szCs w:val="13"/>
          <w:color w:val="auto"/>
        </w:rPr>
        <w:t>Adjusted operating EBITDA is expected to be between $5.0 billion and $5.1 billion in 2021.</w:t>
      </w:r>
    </w:p>
    <w:p>
      <w:pPr>
        <w:spacing w:after="0" w:line="80" w:lineRule="exact"/>
        <w:rPr>
          <w:rFonts w:ascii="Arial" w:cs="Arial" w:eastAsia="Arial" w:hAnsi="Arial"/>
          <w:sz w:val="25"/>
          <w:szCs w:val="25"/>
          <w:color w:val="auto"/>
          <w:vertAlign w:val="subscript"/>
        </w:rPr>
      </w:pPr>
    </w:p>
    <w:p>
      <w:pPr>
        <w:ind w:left="680" w:hanging="265"/>
        <w:spacing w:after="0" w:line="181" w:lineRule="auto"/>
        <w:tabs>
          <w:tab w:leader="none" w:pos="680" w:val="left"/>
        </w:tabs>
        <w:numPr>
          <w:ilvl w:val="0"/>
          <w:numId w:val="5"/>
        </w:numPr>
        <w:rPr>
          <w:rFonts w:ascii="Arial" w:cs="Arial" w:eastAsia="Arial" w:hAnsi="Arial"/>
          <w:sz w:val="25"/>
          <w:szCs w:val="25"/>
          <w:color w:val="auto"/>
          <w:vertAlign w:val="subscript"/>
        </w:rPr>
      </w:pPr>
      <w:r>
        <w:rPr>
          <w:rFonts w:ascii="Arial" w:cs="Arial" w:eastAsia="Arial" w:hAnsi="Arial"/>
          <w:sz w:val="13"/>
          <w:szCs w:val="13"/>
          <w:color w:val="auto"/>
        </w:rPr>
        <w:t>Free cash flow is projected to be between $2.5 billion and $2.6 billion in 2021.</w:t>
      </w:r>
    </w:p>
    <w:p>
      <w:pPr>
        <w:spacing w:after="0" w:line="80" w:lineRule="exact"/>
        <w:rPr>
          <w:rFonts w:ascii="Arial" w:cs="Arial" w:eastAsia="Arial" w:hAnsi="Arial"/>
          <w:sz w:val="25"/>
          <w:szCs w:val="25"/>
          <w:color w:val="auto"/>
          <w:vertAlign w:val="subscript"/>
        </w:rPr>
      </w:pPr>
    </w:p>
    <w:p>
      <w:pPr>
        <w:jc w:val="both"/>
        <w:ind w:left="680" w:right="1139" w:hanging="265"/>
        <w:spacing w:after="0" w:line="181" w:lineRule="auto"/>
        <w:tabs>
          <w:tab w:leader="none" w:pos="680" w:val="left"/>
        </w:tabs>
        <w:numPr>
          <w:ilvl w:val="0"/>
          <w:numId w:val="5"/>
        </w:numPr>
        <w:rPr>
          <w:rFonts w:ascii="Arial" w:cs="Arial" w:eastAsia="Arial" w:hAnsi="Arial"/>
          <w:sz w:val="38"/>
          <w:szCs w:val="38"/>
          <w:color w:val="auto"/>
          <w:vertAlign w:val="subscript"/>
        </w:rPr>
      </w:pPr>
      <w:r>
        <w:rPr>
          <w:rFonts w:ascii="Arial" w:cs="Arial" w:eastAsia="Arial" w:hAnsi="Arial"/>
          <w:sz w:val="16"/>
          <w:szCs w:val="16"/>
          <w:color w:val="auto"/>
        </w:rPr>
        <w:t>The Company is on target to capture between $80 million and $85 million in cost synergies in 2021 from the acquisition of Advanced Disposal, which is on track to achieve $150 million in total annual run-rate synergies from cost and capital savings.</w:t>
      </w:r>
    </w:p>
    <w:p>
      <w:pPr>
        <w:ind w:left="680" w:right="1139" w:hanging="265"/>
        <w:spacing w:after="0" w:line="182" w:lineRule="auto"/>
        <w:tabs>
          <w:tab w:leader="none" w:pos="680" w:val="left"/>
        </w:tabs>
        <w:numPr>
          <w:ilvl w:val="0"/>
          <w:numId w:val="5"/>
        </w:numPr>
        <w:rPr>
          <w:rFonts w:ascii="Arial" w:cs="Arial" w:eastAsia="Arial" w:hAnsi="Arial"/>
          <w:sz w:val="33"/>
          <w:szCs w:val="33"/>
          <w:color w:val="auto"/>
          <w:vertAlign w:val="subscript"/>
        </w:rPr>
      </w:pPr>
      <w:r>
        <w:rPr>
          <w:rFonts w:ascii="Arial" w:cs="Arial" w:eastAsia="Arial" w:hAnsi="Arial"/>
          <w:sz w:val="15"/>
          <w:szCs w:val="15"/>
          <w:color w:val="auto"/>
        </w:rPr>
        <w:t>The Company expects to repurchase an additional $850 million of its common stock in 2021, exhausting the full $1.35 billion of share repurchases previously authorized.</w:t>
      </w:r>
    </w:p>
    <w:p>
      <w:pPr>
        <w:spacing w:after="0" w:line="189" w:lineRule="exact"/>
        <w:rPr>
          <w:sz w:val="20"/>
          <w:szCs w:val="20"/>
          <w:color w:val="auto"/>
        </w:rPr>
      </w:pPr>
    </w:p>
    <w:p>
      <w:pPr>
        <w:jc w:val="both"/>
        <w:ind w:right="1139"/>
        <w:spacing w:after="0" w:line="238" w:lineRule="auto"/>
        <w:rPr>
          <w:sz w:val="20"/>
          <w:szCs w:val="20"/>
          <w:color w:val="auto"/>
        </w:rPr>
      </w:pPr>
      <w:r>
        <w:rPr>
          <w:rFonts w:ascii="Arial" w:cs="Arial" w:eastAsia="Arial" w:hAnsi="Arial"/>
          <w:sz w:val="18"/>
          <w:szCs w:val="18"/>
          <w:color w:val="auto"/>
        </w:rPr>
        <w:t>“Strong performance across all of our businesses — collection and disposal, recycling, and renewable energy — generated outstanding results so far this year,” Fish concluded. “Our focus on disciplined pricing and cost management helped to offset the inflationary cost pressures we have seen, and we expect to continue this focus into the second half of the year to help us deliver on our new, higher outlook. I want to thank each of our team members for their contributions to our success.”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680" w:right="1139" w:hanging="335"/>
        <w:spacing w:after="0" w:line="258" w:lineRule="auto"/>
        <w:tabs>
          <w:tab w:leader="none" w:pos="6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80" w:lineRule="exact"/>
        <w:rPr>
          <w:rFonts w:ascii="Arial" w:cs="Arial" w:eastAsia="Arial" w:hAnsi="Arial"/>
          <w:sz w:val="14"/>
          <w:szCs w:val="14"/>
          <w:color w:val="auto"/>
        </w:rPr>
      </w:pPr>
    </w:p>
    <w:p>
      <w:pPr>
        <w:ind w:left="680" w:right="1139" w:hanging="335"/>
        <w:spacing w:after="0" w:line="258" w:lineRule="auto"/>
        <w:tabs>
          <w:tab w:leader="none" w:pos="680" w:val="left"/>
        </w:tabs>
        <w:numPr>
          <w:ilvl w:val="0"/>
          <w:numId w:val="6"/>
        </w:numPr>
        <w:rPr>
          <w:rFonts w:ascii="Arial" w:cs="Arial" w:eastAsia="Arial" w:hAnsi="Arial"/>
          <w:sz w:val="14"/>
          <w:szCs w:val="14"/>
          <w:color w:val="auto"/>
        </w:rPr>
      </w:pPr>
      <w:r>
        <w:rPr>
          <w:rFonts w:ascii="Arial" w:cs="Arial" w:eastAsia="Arial" w:hAnsi="Arial"/>
          <w:sz w:val="14"/>
          <w:szCs w:val="14"/>
          <w:color w:val="auto"/>
        </w:rPr>
        <w:t>Management defines operating EBITDA as GAAP income from operations before depreciation and amortization; this measure may not be comparable to similarly-titled measures reported by other companies.</w:t>
      </w:r>
    </w:p>
    <w:p>
      <w:pPr>
        <w:spacing w:after="0" w:line="180" w:lineRule="exact"/>
        <w:rPr>
          <w:rFonts w:ascii="Arial" w:cs="Arial" w:eastAsia="Arial" w:hAnsi="Arial"/>
          <w:sz w:val="14"/>
          <w:szCs w:val="14"/>
          <w:color w:val="auto"/>
        </w:rPr>
      </w:pPr>
    </w:p>
    <w:p>
      <w:pPr>
        <w:ind w:left="680" w:right="1139" w:hanging="335"/>
        <w:spacing w:after="0" w:line="258" w:lineRule="auto"/>
        <w:tabs>
          <w:tab w:leader="none" w:pos="68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spacing w:after="0" w:line="180" w:lineRule="exact"/>
        <w:rPr>
          <w:rFonts w:ascii="Arial" w:cs="Arial" w:eastAsia="Arial" w:hAnsi="Arial"/>
          <w:sz w:val="14"/>
          <w:szCs w:val="14"/>
          <w:color w:val="auto"/>
        </w:rPr>
      </w:pPr>
    </w:p>
    <w:p>
      <w:pPr>
        <w:jc w:val="both"/>
        <w:ind w:left="680" w:right="1139" w:hanging="335"/>
        <w:spacing w:after="0" w:line="247" w:lineRule="auto"/>
        <w:tabs>
          <w:tab w:leader="none" w:pos="6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200" w:lineRule="exact"/>
        <w:rPr>
          <w:sz w:val="20"/>
          <w:szCs w:val="20"/>
          <w:color w:val="auto"/>
        </w:rPr>
      </w:pPr>
    </w:p>
    <w:p>
      <w:pPr>
        <w:spacing w:after="0" w:line="212" w:lineRule="exact"/>
        <w:rPr>
          <w:sz w:val="20"/>
          <w:szCs w:val="20"/>
          <w:color w:val="auto"/>
        </w:rPr>
      </w:pPr>
    </w:p>
    <w:p>
      <w:pPr>
        <w:jc w:val="both"/>
        <w:ind w:right="1159"/>
        <w:spacing w:after="0" w:line="246" w:lineRule="auto"/>
        <w:rPr>
          <w:sz w:val="20"/>
          <w:szCs w:val="20"/>
          <w:color w:val="auto"/>
        </w:rPr>
      </w:pPr>
      <w:r>
        <w:rPr>
          <w:rFonts w:ascii="Arial" w:cs="Arial" w:eastAsia="Arial" w:hAnsi="Arial"/>
          <w:sz w:val="18"/>
          <w:szCs w:val="18"/>
          <w:color w:val="auto"/>
        </w:rPr>
        <w:t>The Company will host a conference call at 10 a.m. ET today to discuss the second quarter results. Information contained within this press release will be referenced and should be considered in conjunction with the call.</w:t>
      </w:r>
    </w:p>
    <w:p>
      <w:pPr>
        <w:spacing w:after="0" w:line="197" w:lineRule="exact"/>
        <w:rPr>
          <w:sz w:val="20"/>
          <w:szCs w:val="20"/>
          <w:color w:val="auto"/>
        </w:rPr>
      </w:pPr>
    </w:p>
    <w:p>
      <w:pPr>
        <w:jc w:val="both"/>
        <w:ind w:right="1139"/>
        <w:spacing w:after="0" w:line="257" w:lineRule="auto"/>
        <w:rPr>
          <w:sz w:val="20"/>
          <w:szCs w:val="20"/>
          <w:color w:val="auto"/>
        </w:rPr>
      </w:pPr>
      <w:r>
        <w:rPr>
          <w:rFonts w:ascii="Arial" w:cs="Arial" w:eastAsia="Arial" w:hAnsi="Arial"/>
          <w:sz w:val="17"/>
          <w:szCs w:val="17"/>
          <w:color w:val="auto"/>
        </w:rPr>
        <w:t xml:space="preserve">The conference call will be webcast live from the Investors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6965743 when prompted by the conference call operator.</w:t>
      </w:r>
    </w:p>
    <w:p>
      <w:pPr>
        <w:spacing w:after="0" w:line="175" w:lineRule="exact"/>
        <w:rPr>
          <w:sz w:val="20"/>
          <w:szCs w:val="20"/>
          <w:color w:val="auto"/>
        </w:rPr>
      </w:pPr>
    </w:p>
    <w:p>
      <w:pPr>
        <w:jc w:val="both"/>
        <w:ind w:right="1139"/>
        <w:spacing w:after="0" w:line="238"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 p.m. ET today through 5 p.m. ET on Tuesday, August 11, 2021. To access the replay telephonically, please dial (855) 859-2056, or from outside of the United States or Canada dial (404) 537-3406 and use the replay conference ID number 6965743.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22" w:right="1440"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ABOUT WM</w:t>
      </w:r>
    </w:p>
    <w:p>
      <w:pPr>
        <w:spacing w:after="0" w:line="22" w:lineRule="exact"/>
        <w:rPr>
          <w:sz w:val="20"/>
          <w:szCs w:val="20"/>
          <w:color w:val="auto"/>
        </w:rPr>
      </w:pPr>
    </w:p>
    <w:p>
      <w:pPr>
        <w:jc w:val="both"/>
        <w:ind w:right="1299"/>
        <w:spacing w:after="0" w:line="237"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environmental services in North America, providing services throughout the United States and Canada.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 w:lineRule="exact"/>
        <w:rPr>
          <w:sz w:val="20"/>
          <w:szCs w:val="20"/>
          <w:color w:val="auto"/>
        </w:rPr>
      </w:pPr>
    </w:p>
    <w:p>
      <w:pPr>
        <w:jc w:val="both"/>
        <w:ind w:right="1299"/>
        <w:spacing w:after="0" w:line="235" w:lineRule="auto"/>
        <w:rPr>
          <w:sz w:val="20"/>
          <w:szCs w:val="20"/>
          <w:color w:val="auto"/>
        </w:rPr>
      </w:pPr>
      <w:r>
        <w:rPr>
          <w:rFonts w:ascii="Arial" w:cs="Arial" w:eastAsia="Arial" w:hAnsi="Arial"/>
          <w:sz w:val="18"/>
          <w:szCs w:val="18"/>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“Revised 2021 Outlook” and all statements regarding 2021 financial guidance; future performance or financial results of our business; future share repurchases; recovery from the COVID-19 pandemic; integration of, and synergies from, the acquisition of Advanced Disposal Services, Inc. (“Advanced Disposal”); future strength of our business model and our future cost structure, cost management, pricing and volumes.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and negotiate attractive terms; failure to consummate or integrate acquisitions; failure to obtain the results anticipated from acquisitions; failure to successfully integrate the acquisition of Advanced Disposal, realize anticipated synergies or obtain the results anticipated from such acquisition;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labor disruptions and wage-related regulations; significant storms and destructive climate events; public health risk and other impacts of COVID-19 or similar pandemic conditions, including increased costs, social and commercial disruption and service reductions; increased competition; pricing actions; commodity price fluctuations;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system;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 1A of the Company’s most recently filed Annual Report on Form 10-K for additional information regarding these and other risks and uncertainties applicable to its business. The Company is optimistic about volume recovery and overall economic recovery as states and local jurisdictions continue lifting previous restrictions related to the COVID-19 pandemic, and the Company’s Revised 2021 Outlook incorporates these views. However, uncertainty remains with respect to the pace of economic recovery, as well as the potential for resurgence in transmission of COVID-19 and related business closures due to virus variants or otherwise. Such conditions could have an unanticipated adverse impact on our business. The Company assumes no obligation to update any forward-looking statement, including financial estimates, forecasts, and guidance, whether as a result of future events, circumstances or developments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 w:lineRule="exact"/>
        <w:rPr>
          <w:sz w:val="20"/>
          <w:szCs w:val="20"/>
          <w:color w:val="auto"/>
        </w:rPr>
      </w:pPr>
    </w:p>
    <w:p>
      <w:pPr>
        <w:jc w:val="both"/>
        <w:ind w:right="1299"/>
        <w:spacing w:after="0" w:line="236" w:lineRule="auto"/>
        <w:rPr>
          <w:sz w:val="20"/>
          <w:szCs w:val="20"/>
          <w:color w:val="auto"/>
        </w:rPr>
      </w:pPr>
      <w:r>
        <w:rPr>
          <w:rFonts w:ascii="Arial" w:cs="Arial" w:eastAsia="Arial" w:hAnsi="Arial"/>
          <w:sz w:val="18"/>
          <w:szCs w:val="18"/>
          <w:color w:val="auto"/>
        </w:rPr>
        <w:t>To supplement its financial information, the Company has presented, and/or may discuss on the conference call, adjusted earnings per diluted share, adjusted net income, adjusted income from operations, adjusted SG&amp;A expenses, adjusted operating EBITDA, adjusted operating EBITDA margin, and free cash flow, as well as projections of adjusted operating EBITDA and free cash flow for 2021.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7" w:name="page8"/>
    <w:bookmarkEnd w:id="7"/>
    <w:p>
      <w:pPr>
        <w:jc w:val="both"/>
        <w:ind w:right="1299"/>
        <w:spacing w:after="0" w:line="237" w:lineRule="auto"/>
        <w:rPr>
          <w:sz w:val="20"/>
          <w:szCs w:val="20"/>
          <w:color w:val="auto"/>
        </w:rPr>
      </w:pPr>
      <w:r>
        <w:rPr>
          <w:rFonts w:ascii="Arial" w:cs="Arial" w:eastAsia="Arial" w:hAnsi="Arial"/>
          <w:sz w:val="18"/>
          <w:szCs w:val="18"/>
          <w:color w:val="auto"/>
        </w:rPr>
        <w:t>In addition, the Company’s projected full year 2021 adjusted operating EBITDA is anticipated to exclude the effects of other events or circumstances in 2021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89" w:lineRule="exact"/>
        <w:rPr>
          <w:sz w:val="20"/>
          <w:szCs w:val="20"/>
          <w:color w:val="auto"/>
        </w:rPr>
      </w:pPr>
    </w:p>
    <w:p>
      <w:pPr>
        <w:jc w:val="both"/>
        <w:ind w:right="1299"/>
        <w:spacing w:after="0" w:line="251" w:lineRule="auto"/>
        <w:rPr>
          <w:sz w:val="20"/>
          <w:szCs w:val="20"/>
          <w:color w:val="auto"/>
        </w:rPr>
      </w:pPr>
      <w:r>
        <w:rPr>
          <w:rFonts w:ascii="Arial" w:cs="Arial" w:eastAsia="Arial" w:hAnsi="Arial"/>
          <w:sz w:val="17"/>
          <w:szCs w:val="17"/>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83" w:lineRule="exact"/>
        <w:rPr>
          <w:sz w:val="20"/>
          <w:szCs w:val="20"/>
          <w:color w:val="auto"/>
        </w:rPr>
      </w:pPr>
    </w:p>
    <w:p>
      <w:pPr>
        <w:jc w:val="both"/>
        <w:ind w:right="1299"/>
        <w:spacing w:after="0"/>
        <w:rPr>
          <w:sz w:val="20"/>
          <w:szCs w:val="20"/>
          <w:color w:val="auto"/>
        </w:rPr>
      </w:pPr>
      <w:r>
        <w:rPr>
          <w:rFonts w:ascii="Arial" w:cs="Arial" w:eastAsia="Arial" w:hAnsi="Arial"/>
          <w:sz w:val="18"/>
          <w:szCs w:val="18"/>
          <w:color w:val="auto"/>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spacing w:after="0" w:line="18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5"/>
          </w:tcPr>
          <w:p>
            <w:pPr>
              <w:jc w:val="right"/>
              <w:ind w:right="47"/>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547"/>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4,476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3,561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8"/>
              </w:rPr>
              <w:t>2,736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8"/>
              </w:rPr>
              <w:t>2,180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(Gain) loss from divestitures, asset impairments and unusual items, net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3,685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3,034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net losses of unconsolidated entities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(loss) attributable to noncontrolling interests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earnings per common share</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0.73</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0.83</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0.72</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basic common shares outstanding</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421.6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422.3</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422.3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423.6</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423.9</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424.0</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7"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right="240"/>
        <w:spacing w:after="0" w:line="255" w:lineRule="auto"/>
        <w:rPr>
          <w:sz w:val="20"/>
          <w:szCs w:val="20"/>
          <w:color w:val="auto"/>
        </w:rPr>
      </w:pPr>
      <w:r>
        <w:rPr>
          <w:rFonts w:ascii="Arial" w:cs="Arial" w:eastAsia="Arial" w:hAnsi="Arial"/>
          <w:sz w:val="18"/>
          <w:szCs w:val="18"/>
          <w:color w:val="auto"/>
        </w:rPr>
        <w:t>Cash and cash equivalents Receivables, net Other</w:t>
      </w:r>
    </w:p>
    <w:p>
      <w:pPr>
        <w:spacing w:after="0" w:line="1"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Total current assets Property and equipment, net Goodwill</w:t>
      </w:r>
    </w:p>
    <w:p>
      <w:pPr>
        <w:spacing w:after="0" w:line="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Other intangible assets, net Other</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234"/>
        </w:trPr>
        <w:tc>
          <w:tcPr>
            <w:tcW w:w="516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rPr>
              <w:t>WASTE MANAGEMENT, INC.</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16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95"/>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91"/>
              </w:rPr>
              <w:t>(Unaudited)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4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51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8,992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-1551305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-1276985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-1002665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-711200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-436880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-154305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-119380</wp:posOffset>
            </wp:positionV>
            <wp:extent cx="17056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2300" w:space="720"/>
            <w:col w:w="822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Accounts payable, accrued liabilities and deferred revenues</w:t>
            </w:r>
          </w:p>
        </w:tc>
        <w:tc>
          <w:tcPr>
            <w:tcW w:w="24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3,322</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3,002</w:t>
            </w:r>
          </w:p>
        </w:tc>
        <w:tc>
          <w:tcPr>
            <w:tcW w:w="80" w:type="dxa"/>
            <w:vAlign w:val="bottom"/>
          </w:tcPr>
          <w:p>
            <w:pPr>
              <w:spacing w:after="0"/>
              <w:rPr>
                <w:sz w:val="18"/>
                <w:szCs w:val="18"/>
                <w:color w:val="auto"/>
              </w:rPr>
            </w:pPr>
          </w:p>
        </w:tc>
      </w:tr>
      <w:tr>
        <w:trPr>
          <w:trHeight w:val="229"/>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9"/>
                <w:szCs w:val="19"/>
                <w:color w:val="auto"/>
              </w:rPr>
            </w:pPr>
          </w:p>
        </w:tc>
      </w:tr>
      <w:tr>
        <w:trPr>
          <w:trHeight w:val="209"/>
        </w:trPr>
        <w:tc>
          <w:tcPr>
            <w:tcW w:w="64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13,259</w:t>
            </w:r>
          </w:p>
        </w:tc>
        <w:tc>
          <w:tcPr>
            <w:tcW w:w="80" w:type="dxa"/>
            <w:vAlign w:val="bottom"/>
            <w:shd w:val="clear" w:color="auto" w:fill="CCEEFF"/>
          </w:tcPr>
          <w:p>
            <w:pPr>
              <w:spacing w:after="0"/>
              <w:rPr>
                <w:sz w:val="18"/>
                <w:szCs w:val="18"/>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5,117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5,079</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6440" w:type="dxa"/>
            <w:vAlign w:val="bottom"/>
          </w:tcPr>
          <w:p>
            <w:pPr>
              <w:spacing w:after="0" w:line="196" w:lineRule="exact"/>
              <w:rPr>
                <w:sz w:val="20"/>
                <w:szCs w:val="20"/>
                <w:color w:val="auto"/>
              </w:rPr>
            </w:pPr>
            <w:r>
              <w:rPr>
                <w:rFonts w:ascii="Arial" w:cs="Arial" w:eastAsia="Arial" w:hAnsi="Arial"/>
                <w:sz w:val="18"/>
                <w:szCs w:val="18"/>
                <w:color w:val="auto"/>
              </w:rPr>
              <w:t>Equity:</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Waste Management, Inc. stockholders’ equity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7,452</w:t>
            </w:r>
          </w:p>
        </w:tc>
        <w:tc>
          <w:tcPr>
            <w:tcW w:w="80" w:type="dxa"/>
            <w:vAlign w:val="bottom"/>
            <w:shd w:val="clear" w:color="auto" w:fill="CCEEFF"/>
          </w:tcPr>
          <w:p>
            <w:pPr>
              <w:spacing w:after="0"/>
              <w:rPr>
                <w:sz w:val="18"/>
                <w:szCs w:val="18"/>
                <w:color w:val="auto"/>
              </w:rPr>
            </w:pP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0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196"/>
        </w:trPr>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772</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668</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972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816</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early extinguishment of debt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167</w:t>
            </w:r>
          </w:p>
        </w:tc>
      </w:tr>
      <w:tr>
        <w:trPr>
          <w:trHeight w:val="230"/>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09"/>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(666)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6"/>
        </w:trPr>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New borrowings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repayments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(2,326)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(705)</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Premiums and other paid on early extinguishment of debt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repurchase program</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Cash dividends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(466)</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of common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r>
      <w:tr>
        <w:trPr>
          <w:trHeight w:val="230"/>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w w:val="96"/>
              </w:rPr>
              <w:t>Effect of exchange rate changes on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7760" w:type="dxa"/>
            <w:vAlign w:val="bottom"/>
          </w:tcPr>
          <w:p>
            <w:pPr>
              <w:spacing w:after="0"/>
              <w:rPr>
                <w:sz w:val="20"/>
                <w:szCs w:val="20"/>
                <w:color w:val="auto"/>
              </w:rPr>
            </w:pPr>
            <w:r>
              <w:rPr>
                <w:rFonts w:ascii="Arial" w:cs="Arial" w:eastAsia="Arial" w:hAnsi="Arial"/>
                <w:sz w:val="18"/>
                <w:szCs w:val="18"/>
                <w:color w:val="auto"/>
              </w:rPr>
              <w:t>Decrease in cash, cash equivalents and restricted cash and cash equivalents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gridSpan w:val="2"/>
          </w:tcPr>
          <w:p>
            <w:pPr>
              <w:spacing w:after="0"/>
              <w:rPr>
                <w:sz w:val="18"/>
                <w:szCs w:val="18"/>
                <w:color w:val="auto"/>
              </w:rPr>
            </w:pPr>
          </w:p>
        </w:tc>
      </w:tr>
      <w:tr>
        <w:trPr>
          <w:trHeight w:val="23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648</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80" w:type="dxa"/>
            <w:vAlign w:val="bottom"/>
            <w:shd w:val="clear" w:color="auto" w:fill="CCEEFF"/>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11"/>
          </w:tcPr>
          <w:p>
            <w:pPr>
              <w:jc w:val="center"/>
              <w:spacing w:after="0"/>
              <w:rPr>
                <w:sz w:val="20"/>
                <w:szCs w:val="20"/>
                <w:color w:val="auto"/>
              </w:rPr>
            </w:pPr>
            <w:r>
              <w:rPr>
                <w:rFonts w:ascii="Arial" w:cs="Arial" w:eastAsia="Arial" w:hAnsi="Arial"/>
                <w:sz w:val="18"/>
                <w:szCs w:val="18"/>
                <w:b w:val="1"/>
                <w:bCs w:val="1"/>
                <w:color w:val="auto"/>
              </w:rPr>
              <w:t>WASTE MANAGEMENT, INC.</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10"/>
          </w:tcPr>
          <w:p>
            <w:pPr>
              <w:jc w:val="center"/>
              <w:ind w:right="90"/>
              <w:spacing w:after="0"/>
              <w:rPr>
                <w:sz w:val="20"/>
                <w:szCs w:val="20"/>
                <w:color w:val="auto"/>
              </w:rPr>
            </w:pPr>
            <w:r>
              <w:rPr>
                <w:rFonts w:ascii="Arial" w:cs="Arial" w:eastAsia="Arial" w:hAnsi="Arial"/>
                <w:sz w:val="18"/>
                <w:szCs w:val="18"/>
                <w:b w:val="1"/>
                <w:bCs w:val="1"/>
                <w:color w:val="auto"/>
                <w:w w:val="99"/>
              </w:rPr>
              <w:t>SUMMARY DATA SHEET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9"/>
          </w:tcPr>
          <w:p>
            <w:pPr>
              <w:jc w:val="center"/>
              <w:ind w:right="210"/>
              <w:spacing w:after="0"/>
              <w:rPr>
                <w:sz w:val="20"/>
                <w:szCs w:val="20"/>
                <w:color w:val="auto"/>
              </w:rPr>
            </w:pPr>
            <w:r>
              <w:rPr>
                <w:rFonts w:ascii="Arial" w:cs="Arial" w:eastAsia="Arial" w:hAnsi="Arial"/>
                <w:sz w:val="18"/>
                <w:szCs w:val="18"/>
                <w:b w:val="1"/>
                <w:bCs w:val="1"/>
                <w:color w:val="auto"/>
                <w:w w:val="95"/>
              </w:rPr>
              <w:t>(In Millions)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9"/>
          </w:tcPr>
          <w:p>
            <w:pPr>
              <w:jc w:val="center"/>
              <w:ind w:right="210"/>
              <w:spacing w:after="0"/>
              <w:rPr>
                <w:sz w:val="20"/>
                <w:szCs w:val="20"/>
                <w:color w:val="auto"/>
              </w:rPr>
            </w:pPr>
            <w:r>
              <w:rPr>
                <w:rFonts w:ascii="Arial" w:cs="Arial" w:eastAsia="Arial" w:hAnsi="Arial"/>
                <w:sz w:val="18"/>
                <w:szCs w:val="18"/>
                <w:b w:val="1"/>
                <w:bCs w:val="1"/>
                <w:color w:val="auto"/>
                <w:w w:val="91"/>
              </w:rPr>
              <w:t>(Unaudited)</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80" w:type="dxa"/>
            <w:vAlign w:val="bottom"/>
            <w:gridSpan w:val="6"/>
          </w:tcPr>
          <w:p>
            <w:pPr>
              <w:spacing w:after="0"/>
              <w:rPr>
                <w:sz w:val="20"/>
                <w:szCs w:val="20"/>
                <w:color w:val="auto"/>
              </w:rPr>
            </w:pPr>
            <w:r>
              <w:rPr>
                <w:rFonts w:ascii="Arial" w:cs="Arial" w:eastAsia="Arial" w:hAnsi="Arial"/>
                <w:sz w:val="18"/>
                <w:szCs w:val="18"/>
                <w:b w:val="1"/>
                <w:bCs w:val="1"/>
                <w:color w:val="auto"/>
                <w:w w:val="90"/>
              </w:rPr>
              <w:t>Operating Revenues by Line of Business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gridSpan w:val="11"/>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2"/>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10"/>
          </w:tcPr>
          <w:p>
            <w:pPr>
              <w:ind w:left="280"/>
              <w:spacing w:after="0"/>
              <w:rPr>
                <w:sz w:val="20"/>
                <w:szCs w:val="20"/>
                <w:color w:val="auto"/>
              </w:rPr>
            </w:pPr>
            <w:r>
              <w:rPr>
                <w:rFonts w:ascii="Arial" w:cs="Arial" w:eastAsia="Arial" w:hAnsi="Arial"/>
                <w:sz w:val="18"/>
                <w:szCs w:val="18"/>
                <w:b w:val="1"/>
                <w:bCs w:val="1"/>
                <w:color w:val="auto"/>
              </w:rPr>
              <w:t>June 30,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7"/>
          </w:tcPr>
          <w:p>
            <w:pPr>
              <w:ind w:left="240"/>
              <w:spacing w:after="0"/>
              <w:rPr>
                <w:sz w:val="20"/>
                <w:szCs w:val="20"/>
                <w:color w:val="auto"/>
              </w:rPr>
            </w:pPr>
            <w:r>
              <w:rPr>
                <w:rFonts w:ascii="Arial" w:cs="Arial" w:eastAsia="Arial" w:hAnsi="Arial"/>
                <w:sz w:val="18"/>
                <w:szCs w:val="18"/>
                <w:b w:val="1"/>
                <w:bCs w:val="1"/>
                <w:color w:val="auto"/>
                <w:w w:val="91"/>
              </w:rPr>
              <w:t>June 30,</w:t>
            </w: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2,309</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1,576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1,554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Other collection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9"/>
        </w:trPr>
        <w:tc>
          <w:tcPr>
            <w:tcW w:w="2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collection</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2,325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5,690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1,990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0"/>
        </w:trPr>
        <w:tc>
          <w:tcPr>
            <w:tcW w:w="2080" w:type="dxa"/>
            <w:vAlign w:val="bottom"/>
          </w:tcPr>
          <w:p>
            <w:pPr>
              <w:spacing w:after="0" w:line="270" w:lineRule="exact"/>
              <w:rPr>
                <w:sz w:val="20"/>
                <w:szCs w:val="20"/>
                <w:color w:val="auto"/>
              </w:rPr>
            </w:pPr>
            <w:r>
              <w:rPr>
                <w:rFonts w:ascii="Arial" w:cs="Arial" w:eastAsia="Arial" w:hAnsi="Arial"/>
                <w:sz w:val="18"/>
                <w:szCs w:val="18"/>
                <w:color w:val="auto"/>
              </w:rPr>
              <w:t xml:space="preserve">Intercompany </w:t>
            </w:r>
            <w:r>
              <w:rPr>
                <w:rFonts w:ascii="Arial" w:cs="Arial" w:eastAsia="Arial" w:hAnsi="Arial"/>
                <w:sz w:val="29"/>
                <w:szCs w:val="29"/>
                <w:color w:val="auto"/>
                <w:vertAlign w:val="superscript"/>
              </w:rPr>
              <w:t>(a)</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gridSpan w:val="5"/>
          </w:tcPr>
          <w:p>
            <w:pPr>
              <w:jc w:val="right"/>
              <w:ind w:right="10"/>
              <w:spacing w:after="0"/>
              <w:rPr>
                <w:sz w:val="20"/>
                <w:szCs w:val="20"/>
                <w:color w:val="auto"/>
              </w:rPr>
            </w:pPr>
            <w:r>
              <w:rPr>
                <w:rFonts w:ascii="Arial" w:cs="Arial" w:eastAsia="Arial" w:hAnsi="Arial"/>
                <w:sz w:val="18"/>
                <w:szCs w:val="18"/>
                <w:color w:val="auto"/>
              </w:rPr>
              <w:t>(959)</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3"/>
          </w:tcPr>
          <w:p>
            <w:pPr>
              <w:jc w:val="right"/>
              <w:ind w:right="70"/>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(1,818)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23"/>
        </w:trPr>
        <w:tc>
          <w:tcPr>
            <w:tcW w:w="2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3,561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8,588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w w:val="96"/>
              </w:rPr>
              <w:t>Internal Revenue Growth</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17"/>
          </w:tcPr>
          <w:p>
            <w:pPr>
              <w:jc w:val="right"/>
              <w:ind w:right="670"/>
              <w:spacing w:after="0"/>
              <w:rPr>
                <w:sz w:val="20"/>
                <w:szCs w:val="20"/>
                <w:color w:val="auto"/>
              </w:rPr>
            </w:pPr>
            <w:r>
              <w:rPr>
                <w:rFonts w:ascii="Arial" w:cs="Arial" w:eastAsia="Arial" w:hAnsi="Arial"/>
                <w:sz w:val="18"/>
                <w:szCs w:val="18"/>
                <w:b w:val="1"/>
                <w:bCs w:val="1"/>
                <w:color w:val="auto"/>
                <w:w w:val="97"/>
              </w:rPr>
              <w:t>Period-to-Period Change for the Three Months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20" w:type="dxa"/>
            <w:vAlign w:val="bottom"/>
            <w:gridSpan w:val="22"/>
          </w:tcPr>
          <w:p>
            <w:pPr>
              <w:jc w:val="right"/>
              <w:ind w:right="580"/>
              <w:spacing w:after="0"/>
              <w:rPr>
                <w:sz w:val="20"/>
                <w:szCs w:val="20"/>
                <w:color w:val="auto"/>
              </w:rPr>
            </w:pPr>
            <w:r>
              <w:rPr>
                <w:rFonts w:ascii="Arial" w:cs="Arial" w:eastAsia="Arial" w:hAnsi="Arial"/>
                <w:sz w:val="18"/>
                <w:szCs w:val="18"/>
                <w:b w:val="1"/>
                <w:bCs w:val="1"/>
                <w:color w:val="auto"/>
                <w:w w:val="96"/>
              </w:rPr>
              <w:t>Period-to-Period Change for the Six Months</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8"/>
                <w:szCs w:val="18"/>
                <w:b w:val="1"/>
                <w:bCs w:val="1"/>
                <w:color w:val="auto"/>
                <w:w w:val="91"/>
              </w:rPr>
              <w:t>Ended June 30, 2021 vs. 2020</w:t>
            </w: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15"/>
          </w:tcPr>
          <w:p>
            <w:pPr>
              <w:jc w:val="right"/>
              <w:ind w:right="80"/>
              <w:spacing w:after="0"/>
              <w:rPr>
                <w:sz w:val="20"/>
                <w:szCs w:val="20"/>
                <w:color w:val="auto"/>
              </w:rPr>
            </w:pPr>
            <w:r>
              <w:rPr>
                <w:rFonts w:ascii="Arial" w:cs="Arial" w:eastAsia="Arial" w:hAnsi="Arial"/>
                <w:sz w:val="18"/>
                <w:szCs w:val="18"/>
                <w:b w:val="1"/>
                <w:bCs w:val="1"/>
                <w:color w:val="auto"/>
                <w:w w:val="88"/>
              </w:rPr>
              <w:t>Ended June 30, 2021 vs. 2020</w:t>
            </w: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3"/>
              </w:rPr>
              <w:t>As a %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3"/>
              </w:rPr>
              <w:t>As a % of</w:t>
            </w:r>
          </w:p>
        </w:tc>
        <w:tc>
          <w:tcPr>
            <w:tcW w:w="2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4"/>
          </w:tcPr>
          <w:p>
            <w:pPr>
              <w:jc w:val="center"/>
              <w:spacing w:after="0" w:line="191" w:lineRule="exact"/>
              <w:rPr>
                <w:sz w:val="20"/>
                <w:szCs w:val="20"/>
                <w:color w:val="auto"/>
              </w:rPr>
            </w:pPr>
            <w:r>
              <w:rPr>
                <w:rFonts w:ascii="Arial" w:cs="Arial" w:eastAsia="Arial" w:hAnsi="Arial"/>
                <w:sz w:val="18"/>
                <w:szCs w:val="18"/>
                <w:b w:val="1"/>
                <w:bCs w:val="1"/>
                <w:color w:val="auto"/>
                <w:w w:val="93"/>
              </w:rPr>
              <w:t>As a % of</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As a % of</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Related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5"/>
          </w:tcPr>
          <w:p>
            <w:pPr>
              <w:jc w:val="center"/>
              <w:ind w:right="310"/>
              <w:spacing w:after="0"/>
              <w:rPr>
                <w:sz w:val="20"/>
                <w:szCs w:val="20"/>
                <w:color w:val="auto"/>
              </w:rPr>
            </w:pPr>
            <w:r>
              <w:rPr>
                <w:rFonts w:ascii="Arial" w:cs="Arial" w:eastAsia="Arial" w:hAnsi="Arial"/>
                <w:sz w:val="18"/>
                <w:szCs w:val="18"/>
                <w:b w:val="1"/>
                <w:bCs w:val="1"/>
                <w:color w:val="auto"/>
                <w:w w:val="92"/>
              </w:rPr>
              <w:t>Total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9"/>
              </w:rPr>
              <w:t>Related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1"/>
        </w:trPr>
        <w:tc>
          <w:tcPr>
            <w:tcW w:w="2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0"/>
              </w:rPr>
              <w:t>Business</w:t>
            </w:r>
            <w:r>
              <w:rPr>
                <w:rFonts w:ascii="Arial" w:cs="Arial" w:eastAsia="Arial" w:hAnsi="Arial"/>
                <w:sz w:val="29"/>
                <w:szCs w:val="29"/>
                <w:b w:val="1"/>
                <w:bCs w:val="1"/>
                <w:color w:val="auto"/>
                <w:w w:val="80"/>
                <w:vertAlign w:val="superscript"/>
              </w:rPr>
              <w:t>(b)</w:t>
            </w:r>
          </w:p>
        </w:tc>
        <w:tc>
          <w:tcPr>
            <w:tcW w:w="1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CCEEFF"/>
            </w:tcBorders>
            <w:gridSpan w:val="2"/>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center"/>
              <w:spacing w:after="0" w:line="271" w:lineRule="exact"/>
              <w:rPr>
                <w:sz w:val="20"/>
                <w:szCs w:val="20"/>
                <w:color w:val="auto"/>
              </w:rPr>
            </w:pPr>
            <w:r>
              <w:rPr>
                <w:rFonts w:ascii="Arial" w:cs="Arial" w:eastAsia="Arial" w:hAnsi="Arial"/>
                <w:sz w:val="18"/>
                <w:szCs w:val="18"/>
                <w:b w:val="1"/>
                <w:bCs w:val="1"/>
                <w:color w:val="auto"/>
                <w:w w:val="87"/>
              </w:rPr>
              <w:t>Company</w:t>
            </w:r>
            <w:r>
              <w:rPr>
                <w:rFonts w:ascii="Arial" w:cs="Arial" w:eastAsia="Arial" w:hAnsi="Arial"/>
                <w:sz w:val="29"/>
                <w:szCs w:val="29"/>
                <w:b w:val="1"/>
                <w:bCs w:val="1"/>
                <w:color w:val="auto"/>
                <w:w w:val="87"/>
                <w:vertAlign w:val="superscript"/>
              </w:rPr>
              <w:t>(c)</w:t>
            </w:r>
          </w:p>
        </w:tc>
        <w:tc>
          <w:tcPr>
            <w:tcW w:w="260" w:type="dxa"/>
            <w:vAlign w:val="bottom"/>
            <w:tcBorders>
              <w:bottom w:val="single" w:sz="8" w:color="CCEEFF"/>
            </w:tcBorders>
            <w:gridSpan w:val="2"/>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gridSpan w:val="5"/>
          </w:tcPr>
          <w:p>
            <w:pPr>
              <w:jc w:val="center"/>
              <w:spacing w:after="0" w:line="271" w:lineRule="exact"/>
              <w:rPr>
                <w:sz w:val="20"/>
                <w:szCs w:val="20"/>
                <w:color w:val="auto"/>
              </w:rPr>
            </w:pPr>
            <w:r>
              <w:rPr>
                <w:rFonts w:ascii="Arial" w:cs="Arial" w:eastAsia="Arial" w:hAnsi="Arial"/>
                <w:sz w:val="18"/>
                <w:szCs w:val="18"/>
                <w:b w:val="1"/>
                <w:bCs w:val="1"/>
                <w:color w:val="auto"/>
                <w:w w:val="80"/>
              </w:rPr>
              <w:t>Business</w:t>
            </w:r>
            <w:r>
              <w:rPr>
                <w:rFonts w:ascii="Arial" w:cs="Arial" w:eastAsia="Arial" w:hAnsi="Arial"/>
                <w:sz w:val="29"/>
                <w:szCs w:val="29"/>
                <w:b w:val="1"/>
                <w:bCs w:val="1"/>
                <w:color w:val="auto"/>
                <w:w w:val="80"/>
                <w:vertAlign w:val="superscript"/>
              </w:rPr>
              <w:t>(b)</w:t>
            </w:r>
          </w:p>
        </w:tc>
        <w:tc>
          <w:tcPr>
            <w:tcW w:w="2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gridSpan w:val="2"/>
          </w:tcPr>
          <w:p>
            <w:pPr>
              <w:spacing w:after="0"/>
              <w:rPr>
                <w:sz w:val="23"/>
                <w:szCs w:val="23"/>
                <w:color w:val="auto"/>
              </w:rPr>
            </w:pPr>
          </w:p>
        </w:tc>
        <w:tc>
          <w:tcPr>
            <w:tcW w:w="9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7"/>
              </w:rPr>
              <w:t>Company</w:t>
            </w:r>
            <w:r>
              <w:rPr>
                <w:rFonts w:ascii="Arial" w:cs="Arial" w:eastAsia="Arial" w:hAnsi="Arial"/>
                <w:sz w:val="29"/>
                <w:szCs w:val="29"/>
                <w:b w:val="1"/>
                <w:bCs w:val="1"/>
                <w:color w:val="auto"/>
                <w:w w:val="87"/>
                <w:vertAlign w:val="superscript"/>
              </w:rPr>
              <w:t>(c)</w:t>
            </w:r>
          </w:p>
        </w:tc>
        <w:tc>
          <w:tcPr>
            <w:tcW w:w="160" w:type="dxa"/>
            <w:vAlign w:val="bottom"/>
            <w:tcBorders>
              <w:bottom w:val="single" w:sz="8" w:color="CCEEFF"/>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80" w:type="dxa"/>
            <w:vAlign w:val="bottom"/>
          </w:tcPr>
          <w:p>
            <w:pPr>
              <w:spacing w:after="0" w:line="256" w:lineRule="exact"/>
              <w:rPr>
                <w:sz w:val="20"/>
                <w:szCs w:val="20"/>
                <w:color w:val="auto"/>
              </w:rPr>
            </w:pPr>
            <w:r>
              <w:rPr>
                <w:rFonts w:ascii="Arial" w:cs="Arial" w:eastAsia="Arial" w:hAnsi="Arial"/>
                <w:sz w:val="18"/>
                <w:szCs w:val="18"/>
                <w:color w:val="auto"/>
              </w:rPr>
              <w:t xml:space="preserve">Recycling </w:t>
            </w:r>
            <w:r>
              <w:rPr>
                <w:rFonts w:ascii="Arial" w:cs="Arial" w:eastAsia="Arial" w:hAnsi="Arial"/>
                <w:sz w:val="29"/>
                <w:szCs w:val="29"/>
                <w:color w:val="auto"/>
                <w:vertAlign w:val="superscript"/>
              </w:rPr>
              <w:t>(d)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84</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5"/>
          </w:tcPr>
          <w:p>
            <w:pPr>
              <w:jc w:val="right"/>
              <w:ind w:right="15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surcharges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mandated fees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5"/>
            <w:shd w:val="clear" w:color="auto" w:fill="CCEEFF"/>
          </w:tcPr>
          <w:p>
            <w:pPr>
              <w:jc w:val="right"/>
              <w:ind w:right="15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180"/>
              <w:spacing w:after="0" w:line="236" w:lineRule="exact"/>
              <w:rPr>
                <w:sz w:val="20"/>
                <w:szCs w:val="20"/>
                <w:color w:val="auto"/>
              </w:rPr>
            </w:pPr>
            <w:r>
              <w:rPr>
                <w:rFonts w:ascii="Arial" w:cs="Arial" w:eastAsia="Arial" w:hAnsi="Arial"/>
                <w:sz w:val="17"/>
                <w:szCs w:val="17"/>
                <w:color w:val="auto"/>
              </w:rPr>
              <w:t xml:space="preserve">Total average yield </w:t>
            </w:r>
            <w:r>
              <w:rPr>
                <w:rFonts w:ascii="Arial" w:cs="Arial" w:eastAsia="Arial" w:hAnsi="Arial"/>
                <w:sz w:val="27"/>
                <w:szCs w:val="27"/>
                <w:color w:val="auto"/>
                <w:vertAlign w:val="superscript"/>
              </w:rPr>
              <w:t>(e)</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180"/>
              <w:spacing w:after="0"/>
              <w:rPr>
                <w:sz w:val="20"/>
                <w:szCs w:val="20"/>
                <w:color w:val="auto"/>
              </w:rPr>
            </w:pPr>
            <w:r>
              <w:rPr>
                <w:rFonts w:ascii="Arial" w:cs="Arial" w:eastAsia="Arial" w:hAnsi="Arial"/>
                <w:sz w:val="18"/>
                <w:szCs w:val="18"/>
                <w:color w:val="auto"/>
                <w:w w:val="99"/>
              </w:rPr>
              <w:t>Internal revenue growth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rPr>
              <w:t>Divestitures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7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(21)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Foreign currency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gridSpan w:val="15"/>
          </w:tcPr>
          <w:p>
            <w:pPr>
              <w:jc w:val="center"/>
              <w:ind w:right="280"/>
              <w:spacing w:after="0"/>
              <w:rPr>
                <w:sz w:val="20"/>
                <w:szCs w:val="20"/>
                <w:color w:val="auto"/>
              </w:rPr>
            </w:pPr>
            <w:r>
              <w:rPr>
                <w:rFonts w:ascii="Arial" w:cs="Arial" w:eastAsia="Arial" w:hAnsi="Arial"/>
                <w:sz w:val="18"/>
                <w:szCs w:val="18"/>
                <w:b w:val="1"/>
                <w:bCs w:val="1"/>
                <w:color w:val="auto"/>
                <w:w w:val="91"/>
              </w:rPr>
              <w:t>Period-to-Period Change for</w:t>
            </w:r>
          </w:p>
        </w:tc>
        <w:tc>
          <w:tcPr>
            <w:tcW w:w="2440" w:type="dxa"/>
            <w:vAlign w:val="bottom"/>
            <w:gridSpan w:val="13"/>
          </w:tcPr>
          <w:p>
            <w:pPr>
              <w:jc w:val="center"/>
              <w:ind w:right="160"/>
              <w:spacing w:after="0"/>
              <w:rPr>
                <w:sz w:val="20"/>
                <w:szCs w:val="20"/>
                <w:color w:val="auto"/>
              </w:rPr>
            </w:pPr>
            <w:r>
              <w:rPr>
                <w:rFonts w:ascii="Arial" w:cs="Arial" w:eastAsia="Arial" w:hAnsi="Arial"/>
                <w:sz w:val="18"/>
                <w:szCs w:val="18"/>
                <w:b w:val="1"/>
                <w:bCs w:val="1"/>
                <w:color w:val="auto"/>
                <w:w w:val="91"/>
              </w:rPr>
              <w:t>Period-to-Period Change for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1"/>
              </w:rPr>
              <w:t>the Three Months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10"/>
          </w:tcPr>
          <w:p>
            <w:pPr>
              <w:jc w:val="center"/>
              <w:ind w:right="600"/>
              <w:spacing w:after="0"/>
              <w:rPr>
                <w:sz w:val="20"/>
                <w:szCs w:val="20"/>
                <w:color w:val="auto"/>
              </w:rPr>
            </w:pPr>
            <w:r>
              <w:rPr>
                <w:rFonts w:ascii="Arial" w:cs="Arial" w:eastAsia="Arial" w:hAnsi="Arial"/>
                <w:sz w:val="18"/>
                <w:szCs w:val="18"/>
                <w:b w:val="1"/>
                <w:bCs w:val="1"/>
                <w:color w:val="auto"/>
                <w:w w:val="90"/>
              </w:rPr>
              <w:t>the Six Months</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20" w:type="dxa"/>
            <w:vAlign w:val="bottom"/>
            <w:gridSpan w:val="15"/>
          </w:tcPr>
          <w:p>
            <w:pPr>
              <w:jc w:val="center"/>
              <w:ind w:right="280"/>
              <w:spacing w:after="0"/>
              <w:rPr>
                <w:sz w:val="20"/>
                <w:szCs w:val="20"/>
                <w:color w:val="auto"/>
              </w:rPr>
            </w:pPr>
            <w:r>
              <w:rPr>
                <w:rFonts w:ascii="Arial" w:cs="Arial" w:eastAsia="Arial" w:hAnsi="Arial"/>
                <w:sz w:val="18"/>
                <w:szCs w:val="18"/>
                <w:b w:val="1"/>
                <w:bCs w:val="1"/>
                <w:color w:val="auto"/>
                <w:w w:val="88"/>
              </w:rPr>
              <w:t>Ended June 30, 2021 vs. 2020</w:t>
            </w:r>
          </w:p>
        </w:tc>
        <w:tc>
          <w:tcPr>
            <w:tcW w:w="2440" w:type="dxa"/>
            <w:vAlign w:val="bottom"/>
            <w:gridSpan w:val="13"/>
          </w:tcPr>
          <w:p>
            <w:pPr>
              <w:jc w:val="center"/>
              <w:ind w:right="160"/>
              <w:spacing w:after="0"/>
              <w:rPr>
                <w:sz w:val="20"/>
                <w:szCs w:val="20"/>
                <w:color w:val="auto"/>
              </w:rPr>
            </w:pPr>
            <w:r>
              <w:rPr>
                <w:rFonts w:ascii="Arial" w:cs="Arial" w:eastAsia="Arial" w:hAnsi="Arial"/>
                <w:sz w:val="18"/>
                <w:szCs w:val="18"/>
                <w:b w:val="1"/>
                <w:bCs w:val="1"/>
                <w:color w:val="auto"/>
                <w:w w:val="88"/>
              </w:rPr>
              <w:t>Ended June 30, 2021 vs. 2020</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11"/>
          </w:tcPr>
          <w:p>
            <w:pPr>
              <w:jc w:val="center"/>
              <w:spacing w:after="0" w:line="195" w:lineRule="exact"/>
              <w:rPr>
                <w:sz w:val="20"/>
                <w:szCs w:val="20"/>
                <w:color w:val="auto"/>
              </w:rPr>
            </w:pPr>
            <w:r>
              <w:rPr>
                <w:rFonts w:ascii="Arial" w:cs="Arial" w:eastAsia="Arial" w:hAnsi="Arial"/>
                <w:sz w:val="18"/>
                <w:szCs w:val="18"/>
                <w:b w:val="1"/>
                <w:bCs w:val="1"/>
                <w:color w:val="auto"/>
                <w:w w:val="91"/>
              </w:rPr>
              <w:t>As a % of Related</w:t>
            </w: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8"/>
          </w:tcPr>
          <w:p>
            <w:pPr>
              <w:jc w:val="center"/>
              <w:ind w:right="350"/>
              <w:spacing w:after="0" w:line="195" w:lineRule="exact"/>
              <w:rPr>
                <w:sz w:val="20"/>
                <w:szCs w:val="20"/>
                <w:color w:val="auto"/>
              </w:rPr>
            </w:pPr>
            <w:r>
              <w:rPr>
                <w:rFonts w:ascii="Arial" w:cs="Arial" w:eastAsia="Arial" w:hAnsi="Arial"/>
                <w:sz w:val="18"/>
                <w:szCs w:val="18"/>
                <w:b w:val="1"/>
                <w:bCs w:val="1"/>
                <w:color w:val="auto"/>
                <w:w w:val="92"/>
              </w:rPr>
              <w:t>As a % of Related</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5"/>
          </w:tcPr>
          <w:p>
            <w:pPr>
              <w:jc w:val="center"/>
              <w:spacing w:after="0" w:line="271" w:lineRule="exact"/>
              <w:rPr>
                <w:sz w:val="20"/>
                <w:szCs w:val="20"/>
                <w:color w:val="auto"/>
              </w:rPr>
            </w:pPr>
            <w:r>
              <w:rPr>
                <w:rFonts w:ascii="Arial" w:cs="Arial" w:eastAsia="Arial" w:hAnsi="Arial"/>
                <w:sz w:val="18"/>
                <w:szCs w:val="18"/>
                <w:b w:val="1"/>
                <w:bCs w:val="1"/>
                <w:color w:val="auto"/>
                <w:w w:val="80"/>
              </w:rPr>
              <w:t>Business</w:t>
            </w:r>
            <w:r>
              <w:rPr>
                <w:rFonts w:ascii="Arial" w:cs="Arial" w:eastAsia="Arial" w:hAnsi="Arial"/>
                <w:sz w:val="29"/>
                <w:szCs w:val="29"/>
                <w:b w:val="1"/>
                <w:bCs w:val="1"/>
                <w:color w:val="auto"/>
                <w:w w:val="80"/>
                <w:vertAlign w:val="superscript"/>
              </w:rPr>
              <w:t>(b)</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8"/>
          </w:tcPr>
          <w:p>
            <w:pPr>
              <w:jc w:val="center"/>
              <w:ind w:right="350"/>
              <w:spacing w:after="0" w:line="271" w:lineRule="exact"/>
              <w:rPr>
                <w:sz w:val="20"/>
                <w:szCs w:val="20"/>
                <w:color w:val="auto"/>
              </w:rPr>
            </w:pPr>
            <w:r>
              <w:rPr>
                <w:rFonts w:ascii="Arial" w:cs="Arial" w:eastAsia="Arial" w:hAnsi="Arial"/>
                <w:sz w:val="18"/>
                <w:szCs w:val="18"/>
                <w:b w:val="1"/>
                <w:bCs w:val="1"/>
                <w:color w:val="auto"/>
                <w:w w:val="80"/>
              </w:rPr>
              <w:t>Business</w:t>
            </w:r>
            <w:r>
              <w:rPr>
                <w:rFonts w:ascii="Arial" w:cs="Arial" w:eastAsia="Arial" w:hAnsi="Arial"/>
                <w:sz w:val="29"/>
                <w:szCs w:val="29"/>
                <w:b w:val="1"/>
                <w:bCs w:val="1"/>
                <w:color w:val="auto"/>
                <w:w w:val="80"/>
                <w:vertAlign w:val="superscript"/>
              </w:rPr>
              <w:t>(b)</w:t>
            </w:r>
          </w:p>
        </w:tc>
        <w:tc>
          <w:tcPr>
            <w:tcW w:w="1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Yield</w:t>
            </w: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5"/>
          </w:tcPr>
          <w:p>
            <w:pPr>
              <w:jc w:val="right"/>
              <w:ind w:right="127"/>
              <w:spacing w:after="0"/>
              <w:rPr>
                <w:sz w:val="20"/>
                <w:szCs w:val="20"/>
                <w:color w:val="auto"/>
              </w:rPr>
            </w:pPr>
            <w:r>
              <w:rPr>
                <w:rFonts w:ascii="Arial" w:cs="Arial" w:eastAsia="Arial" w:hAnsi="Arial"/>
                <w:sz w:val="18"/>
                <w:szCs w:val="18"/>
                <w:b w:val="1"/>
                <w:bCs w:val="1"/>
                <w:color w:val="auto"/>
                <w:w w:val="92"/>
              </w:rPr>
              <w:t>Volume</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Yield</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line="250" w:lineRule="exact"/>
              <w:rPr>
                <w:sz w:val="20"/>
                <w:szCs w:val="20"/>
                <w:color w:val="auto"/>
              </w:rPr>
            </w:pPr>
            <w:r>
              <w:rPr>
                <w:rFonts w:ascii="Arial" w:cs="Arial" w:eastAsia="Arial" w:hAnsi="Arial"/>
                <w:sz w:val="17"/>
                <w:szCs w:val="17"/>
                <w:b w:val="1"/>
                <w:bCs w:val="1"/>
                <w:color w:val="auto"/>
                <w:w w:val="94"/>
              </w:rPr>
              <w:t>Volume</w:t>
            </w:r>
            <w:r>
              <w:rPr>
                <w:rFonts w:ascii="Arial" w:cs="Arial" w:eastAsia="Arial" w:hAnsi="Arial"/>
                <w:sz w:val="28"/>
                <w:szCs w:val="28"/>
                <w:b w:val="1"/>
                <w:bCs w:val="1"/>
                <w:color w:val="auto"/>
                <w:w w:val="94"/>
                <w:vertAlign w:val="superscript"/>
              </w:rPr>
              <w:t>(f)</w:t>
            </w:r>
          </w:p>
        </w:tc>
        <w:tc>
          <w:tcPr>
            <w:tcW w:w="16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ind w:left="6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jc w:val="right"/>
              <w:ind w:right="2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ind w:left="340"/>
              <w:spacing w:after="0"/>
              <w:rPr>
                <w:sz w:val="20"/>
                <w:szCs w:val="20"/>
                <w:color w:val="auto"/>
              </w:rPr>
            </w:pPr>
            <w:r>
              <w:rPr>
                <w:rFonts w:ascii="Arial" w:cs="Arial" w:eastAsia="Arial" w:hAnsi="Arial"/>
                <w:sz w:val="18"/>
                <w:szCs w:val="18"/>
                <w:color w:val="auto"/>
                <w:w w:val="87"/>
              </w:rPr>
              <w:t>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1"/>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87"/>
              </w:rPr>
              <w:t>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rPr>
              <w:t>Total collection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ind w:left="6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ind w:left="340"/>
              <w:spacing w:after="0"/>
              <w:rPr>
                <w:sz w:val="20"/>
                <w:szCs w:val="20"/>
                <w:color w:val="auto"/>
              </w:rPr>
            </w:pPr>
            <w:r>
              <w:rPr>
                <w:rFonts w:ascii="Arial" w:cs="Arial" w:eastAsia="Arial" w:hAnsi="Arial"/>
                <w:sz w:val="18"/>
                <w:szCs w:val="18"/>
                <w:color w:val="auto"/>
                <w:w w:val="87"/>
              </w:rPr>
              <w:t>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MSW</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87"/>
              </w:rPr>
              <w:t>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Transfer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ind w:left="6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ind w:left="340"/>
              <w:spacing w:after="0"/>
              <w:rPr>
                <w:sz w:val="20"/>
                <w:szCs w:val="20"/>
                <w:color w:val="auto"/>
              </w:rPr>
            </w:pPr>
            <w:r>
              <w:rPr>
                <w:rFonts w:ascii="Arial" w:cs="Arial" w:eastAsia="Arial" w:hAnsi="Arial"/>
                <w:sz w:val="18"/>
                <w:szCs w:val="18"/>
                <w:color w:val="auto"/>
                <w:w w:val="87"/>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2"/>
              </w:rPr>
              <w:t>Total collection and disposal</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herein.</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and changes in fees.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537"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900" w:type="dxa"/>
            <w:vAlign w:val="bottom"/>
            <w:gridSpan w:val="7"/>
          </w:tcPr>
          <w:p>
            <w:pPr>
              <w:jc w:val="center"/>
              <w:ind w:left="4250"/>
              <w:spacing w:after="0"/>
              <w:rPr>
                <w:sz w:val="20"/>
                <w:szCs w:val="20"/>
                <w:color w:val="auto"/>
              </w:rPr>
            </w:pPr>
            <w:r>
              <w:rPr>
                <w:rFonts w:ascii="Arial" w:cs="Arial" w:eastAsia="Arial" w:hAnsi="Arial"/>
                <w:sz w:val="18"/>
                <w:szCs w:val="18"/>
                <w:b w:val="1"/>
                <w:bCs w:val="1"/>
                <w:color w:val="auto"/>
              </w:rPr>
              <w:t>WASTE MANAGEMENT, INC.</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900" w:type="dxa"/>
            <w:vAlign w:val="bottom"/>
            <w:gridSpan w:val="7"/>
          </w:tcPr>
          <w:p>
            <w:pPr>
              <w:jc w:val="center"/>
              <w:ind w:left="4250"/>
              <w:spacing w:after="0"/>
              <w:rPr>
                <w:sz w:val="20"/>
                <w:szCs w:val="20"/>
                <w:color w:val="auto"/>
              </w:rPr>
            </w:pPr>
            <w:r>
              <w:rPr>
                <w:rFonts w:ascii="Arial" w:cs="Arial" w:eastAsia="Arial" w:hAnsi="Arial"/>
                <w:sz w:val="18"/>
                <w:szCs w:val="18"/>
                <w:b w:val="1"/>
                <w:bCs w:val="1"/>
                <w:color w:val="auto"/>
                <w:w w:val="99"/>
              </w:rPr>
              <w:t>SUMMARY DATA SHEET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78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5"/>
              </w:rPr>
              <w:t>(In Millions)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178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5120" w:type="dxa"/>
            <w:vAlign w:val="bottom"/>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29"/>
                <w:szCs w:val="29"/>
                <w:b w:val="1"/>
                <w:bCs w:val="1"/>
                <w:color w:val="auto"/>
                <w:vertAlign w:val="superscript"/>
              </w:rPr>
              <w:t>(a)</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9"/>
            <w:vMerge w:val="restart"/>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2560" w:type="dxa"/>
            <w:vAlign w:val="bottom"/>
            <w:gridSpan w:val="10"/>
            <w:vMerge w:val="restart"/>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75"/>
        </w:trPr>
        <w:tc>
          <w:tcPr>
            <w:tcW w:w="5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74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256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(666)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Proceeds from divestitures of businesses and other assets, net of cash</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divested</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Free cash flow</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9"/>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560" w:type="dxa"/>
            <w:vAlign w:val="bottom"/>
            <w:gridSpan w:val="10"/>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6"/>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Internalization of waste, based on disposal costs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amortizable tons (in millions)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Acquisition Summary </w:t>
            </w:r>
            <w:r>
              <w:rPr>
                <w:rFonts w:ascii="Arial" w:cs="Arial" w:eastAsia="Arial" w:hAnsi="Arial"/>
                <w:sz w:val="29"/>
                <w:szCs w:val="29"/>
                <w:b w:val="1"/>
                <w:bCs w:val="1"/>
                <w:color w:val="auto"/>
                <w:vertAlign w:val="superscript"/>
              </w:rPr>
              <w:t>(b)</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annualized revenue acquired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net of cash acquired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Cash paid for acquisitions consummated during the period, net of cash</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acquired</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Cash paid for acquisitions including contingent consideration and other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items from prior periods, net of cash acquired</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120" w:type="dxa"/>
            <w:vAlign w:val="bottom"/>
          </w:tcPr>
          <w:p>
            <w:pPr>
              <w:spacing w:after="0"/>
              <w:rPr>
                <w:sz w:val="20"/>
                <w:szCs w:val="20"/>
                <w:color w:val="auto"/>
              </w:rPr>
            </w:pPr>
            <w:r>
              <w:rPr>
                <w:rFonts w:ascii="Arial" w:cs="Arial" w:eastAsia="Arial" w:hAnsi="Arial"/>
                <w:sz w:val="18"/>
                <w:szCs w:val="18"/>
                <w:b w:val="1"/>
                <w:bCs w:val="1"/>
                <w:color w:val="auto"/>
              </w:rPr>
              <w:t>Amortization, Accretion and Other Expenses for Landfills: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9"/>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256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Cost basis of landfill assets</w:t>
            </w:r>
          </w:p>
        </w:tc>
        <w:tc>
          <w:tcPr>
            <w:tcW w:w="6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144</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267</w:t>
            </w:r>
          </w:p>
        </w:tc>
        <w:tc>
          <w:tcPr>
            <w:tcW w:w="340" w:type="dxa"/>
            <w:vAlign w:val="bottom"/>
            <w:gridSpan w:val="3"/>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340"/>
              <w:spacing w:after="0" w:line="256" w:lineRule="exact"/>
              <w:rPr>
                <w:sz w:val="20"/>
                <w:szCs w:val="20"/>
                <w:color w:val="auto"/>
              </w:rPr>
            </w:pPr>
            <w:r>
              <w:rPr>
                <w:rFonts w:ascii="Arial" w:cs="Arial" w:eastAsia="Arial" w:hAnsi="Arial"/>
                <w:sz w:val="18"/>
                <w:szCs w:val="18"/>
                <w:color w:val="auto"/>
              </w:rPr>
              <w:t xml:space="preserve">Total landfill amortization expense </w:t>
            </w:r>
            <w:r>
              <w:rPr>
                <w:rFonts w:ascii="Arial" w:cs="Arial" w:eastAsia="Arial" w:hAnsi="Arial"/>
                <w:sz w:val="29"/>
                <w:szCs w:val="29"/>
                <w:color w:val="auto"/>
                <w:vertAlign w:val="superscript"/>
              </w:rPr>
              <w:t>(c)</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400" w:type="dxa"/>
            <w:vAlign w:val="bottom"/>
            <w:gridSpan w:val="2"/>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0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applicable period except where noted.</w:t>
      </w:r>
    </w:p>
    <w:p>
      <w:pPr>
        <w:spacing w:after="0" w:line="9" w:lineRule="exact"/>
        <w:rPr>
          <w:rFonts w:ascii="Arial" w:cs="Arial" w:eastAsia="Arial" w:hAnsi="Arial"/>
          <w:sz w:val="18"/>
          <w:szCs w:val="18"/>
          <w:color w:val="auto"/>
        </w:rPr>
      </w:pPr>
    </w:p>
    <w:p>
      <w:pPr>
        <w:ind w:left="340" w:right="540" w:hanging="332"/>
        <w:spacing w:after="0" w:line="26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increase in landfill amortization was driven by landfill volume increases from the continued economic recovery from the pandemic and our acquisition of Advanced Disposal and changes in landfill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Three Months Ended</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June 30, 2021</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Income from</w:t>
            </w: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w w:val="92"/>
              </w:rPr>
              <w:t>Net Income</w:t>
            </w:r>
            <w:r>
              <w:rPr>
                <w:rFonts w:ascii="Arial" w:cs="Arial" w:eastAsia="Arial" w:hAnsi="Arial"/>
                <w:sz w:val="29"/>
                <w:szCs w:val="29"/>
                <w:b w:val="1"/>
                <w:bCs w:val="1"/>
                <w:color w:val="auto"/>
                <w:w w:val="92"/>
                <w:vertAlign w:val="superscript"/>
              </w:rPr>
              <w:t>(a)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Operations</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Pre-tax Income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Tax Expense</w:t>
            </w:r>
          </w:p>
        </w:tc>
        <w:tc>
          <w:tcPr>
            <w:tcW w:w="1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 Amount</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791</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Loss and other costs associated with</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86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extinguishment of debt</w:t>
            </w:r>
            <w:r>
              <w:rPr>
                <w:rFonts w:ascii="Arial" w:cs="Arial" w:eastAsia="Arial" w:hAnsi="Arial"/>
                <w:sz w:val="29"/>
                <w:szCs w:val="29"/>
                <w:color w:val="auto"/>
                <w:vertAlign w:val="superscript"/>
              </w:rPr>
              <w:t>(b)</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Advanced Disposal integration-related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5"/>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Enterprise resource planning system related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813</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w:t>
            </w: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500</w:t>
            </w:r>
          </w:p>
        </w:tc>
        <w:tc>
          <w:tcPr>
            <w:tcW w:w="22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1,313</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w w:val="95"/>
              </w:rPr>
              <w:t>Three Months Ended</w:t>
            </w: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June 30, 2020</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Income from</w:t>
            </w: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w w:val="92"/>
              </w:rPr>
              <w:t>Net Income</w:t>
            </w:r>
            <w:r>
              <w:rPr>
                <w:rFonts w:ascii="Arial" w:cs="Arial" w:eastAsia="Arial" w:hAnsi="Arial"/>
                <w:sz w:val="29"/>
                <w:szCs w:val="29"/>
                <w:b w:val="1"/>
                <w:bCs w:val="1"/>
                <w:color w:val="auto"/>
                <w:w w:val="92"/>
                <w:vertAlign w:val="superscript"/>
              </w:rPr>
              <w:t>(a)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Operations</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Pre-tax Income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Tax Expense</w:t>
            </w:r>
          </w:p>
        </w:tc>
        <w:tc>
          <w:tcPr>
            <w:tcW w:w="1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 Amount</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impairments of disposal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5"/>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Enterprise resource planning system related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w:t>
            </w: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w:t>
            </w:r>
          </w:p>
        </w:tc>
        <w:tc>
          <w:tcPr>
            <w:tcW w:w="22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440" w:hanging="332"/>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 w:lineRule="exact"/>
        <w:rPr>
          <w:rFonts w:ascii="Arial" w:cs="Arial" w:eastAsia="Arial" w:hAnsi="Arial"/>
          <w:sz w:val="18"/>
          <w:szCs w:val="18"/>
          <w:color w:val="auto"/>
        </w:rPr>
      </w:pPr>
    </w:p>
    <w:p>
      <w:pPr>
        <w:ind w:left="340" w:right="260" w:hanging="332"/>
        <w:spacing w:after="0" w:line="28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charges of $220 million reflected in the "loss on early extinguishment of debt" financial caption and $6 million reflected in the "interest expense, net" financial caption related to the retirement of $1.3 billion of certain high-coupon senior notes through a cash tender offer in May 2021.</w:t>
      </w:r>
    </w:p>
    <w:p>
      <w:pPr>
        <w:spacing w:after="0" w:line="1" w:lineRule="exact"/>
        <w:rPr>
          <w:rFonts w:ascii="Arial" w:cs="Arial" w:eastAsia="Arial" w:hAnsi="Arial"/>
          <w:sz w:val="16"/>
          <w:szCs w:val="16"/>
          <w:color w:val="auto"/>
        </w:rPr>
      </w:pPr>
    </w:p>
    <w:p>
      <w:pPr>
        <w:ind w:left="340" w:right="120" w:hanging="332"/>
        <w:spacing w:after="0" w:line="25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second quarter 2021 and 2020 adjusted effective tax rates were 23.5% and 22.5%,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10"/>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rPr>
              <w:t>June 30, 2021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
              <w:spacing w:after="0" w:line="191" w:lineRule="exact"/>
              <w:rPr>
                <w:sz w:val="20"/>
                <w:szCs w:val="20"/>
                <w:color w:val="auto"/>
              </w:rPr>
            </w:pPr>
            <w:r>
              <w:rPr>
                <w:rFonts w:ascii="Arial" w:cs="Arial" w:eastAsia="Arial" w:hAnsi="Arial"/>
                <w:sz w:val="18"/>
                <w:szCs w:val="18"/>
                <w:b w:val="1"/>
                <w:bCs w:val="1"/>
                <w:color w:val="auto"/>
              </w:rPr>
              <w:t>As a %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w w:val="97"/>
              </w:rPr>
              <w:t>Adjusted SG&amp;A Expenses and Adjusted SG&amp;A Expenses Margin</w:t>
            </w:r>
          </w:p>
        </w:tc>
        <w:tc>
          <w:tcPr>
            <w:tcW w:w="1460" w:type="dxa"/>
            <w:vAlign w:val="bottom"/>
            <w:gridSpan w:val="4"/>
          </w:tcPr>
          <w:p>
            <w:pPr>
              <w:jc w:val="right"/>
              <w:ind w:right="447"/>
              <w:spacing w:after="0"/>
              <w:rPr>
                <w:sz w:val="20"/>
                <w:szCs w:val="20"/>
                <w:color w:val="auto"/>
              </w:rPr>
            </w:pPr>
            <w:r>
              <w:rPr>
                <w:rFonts w:ascii="Arial" w:cs="Arial" w:eastAsia="Arial" w:hAnsi="Arial"/>
                <w:sz w:val="18"/>
                <w:szCs w:val="18"/>
                <w:b w:val="1"/>
                <w:bCs w:val="1"/>
                <w:color w:val="auto"/>
              </w:rPr>
              <w:t>Amount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Revenues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3,561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 as reported</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9.9%</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integration-related costs</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Enterprise resource planning system related costs</w:t>
            </w:r>
          </w:p>
        </w:tc>
        <w:tc>
          <w:tcPr>
            <w:tcW w:w="6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(7)</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SG&amp;A expenses</w:t>
            </w: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9.6%</w:t>
            </w: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2021 Projected Free Cash Flow Reconciliation</w:t>
            </w:r>
            <w:r>
              <w:rPr>
                <w:rFonts w:ascii="Arial" w:cs="Arial" w:eastAsia="Arial" w:hAnsi="Arial"/>
                <w:sz w:val="29"/>
                <w:szCs w:val="29"/>
                <w:b w:val="1"/>
                <w:bCs w:val="1"/>
                <w:i w:val="1"/>
                <w:iCs w:val="1"/>
                <w:color w:val="auto"/>
                <w:vertAlign w:val="superscript"/>
              </w:rPr>
              <w:t>(a)</w:t>
            </w: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54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Scenario 1</w:t>
            </w:r>
          </w:p>
        </w:tc>
        <w:tc>
          <w:tcPr>
            <w:tcW w:w="60" w:type="dxa"/>
            <w:vAlign w:val="bottom"/>
          </w:tcPr>
          <w:p>
            <w:pPr>
              <w:spacing w:after="0"/>
              <w:rPr>
                <w:sz w:val="24"/>
                <w:szCs w:val="24"/>
                <w:color w:val="auto"/>
              </w:rPr>
            </w:pPr>
          </w:p>
        </w:tc>
        <w:tc>
          <w:tcPr>
            <w:tcW w:w="1900" w:type="dxa"/>
            <w:vAlign w:val="bottom"/>
            <w:gridSpan w:val="7"/>
          </w:tcPr>
          <w:p>
            <w:pPr>
              <w:jc w:val="center"/>
              <w:ind w:right="920"/>
              <w:spacing w:after="0"/>
              <w:rPr>
                <w:sz w:val="20"/>
                <w:szCs w:val="20"/>
                <w:color w:val="auto"/>
              </w:rPr>
            </w:pPr>
            <w:r>
              <w:rPr>
                <w:rFonts w:ascii="Arial" w:cs="Arial" w:eastAsia="Arial" w:hAnsi="Arial"/>
                <w:sz w:val="18"/>
                <w:szCs w:val="18"/>
                <w:b w:val="1"/>
                <w:bCs w:val="1"/>
                <w:color w:val="auto"/>
                <w:w w:val="90"/>
              </w:rPr>
              <w:t>Scenario 2</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4,380</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(1,880)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Proceeds from divestitures of businesses and other assets, net of cash divested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6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2,600</w:t>
            </w:r>
          </w:p>
        </w:tc>
        <w:tc>
          <w:tcPr>
            <w:tcW w:w="8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reconciliation includes two scenarios that illustrate our projected free cash flow range for 2021.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Supplemental Information Provided For Illustrative Purposes Only</w:t>
      </w:r>
    </w:p>
    <w:p>
      <w:pPr>
        <w:spacing w:after="0" w:line="22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84"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2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33"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60" w:type="dxa"/>
            <w:vAlign w:val="bottom"/>
          </w:tcPr>
          <w:p>
            <w:pPr>
              <w:spacing w:after="0"/>
              <w:rPr>
                <w:sz w:val="19"/>
                <w:szCs w:val="19"/>
                <w:color w:val="auto"/>
              </w:rPr>
            </w:pPr>
          </w:p>
        </w:tc>
        <w:tc>
          <w:tcPr>
            <w:tcW w:w="2440" w:type="dxa"/>
            <w:vAlign w:val="bottom"/>
            <w:tcBorders>
              <w:top w:val="single" w:sz="8" w:color="auto"/>
              <w:bottom w:val="single" w:sz="8" w:color="auto"/>
            </w:tcBorders>
            <w:gridSpan w:val="4"/>
          </w:tcPr>
          <w:p>
            <w:pPr>
              <w:ind w:left="82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19"/>
                <w:szCs w:val="19"/>
                <w:color w:val="auto"/>
              </w:rPr>
            </w:pPr>
          </w:p>
        </w:tc>
      </w:tr>
      <w:tr>
        <w:trPr>
          <w:trHeight w:val="191"/>
        </w:trPr>
        <w:tc>
          <w:tcPr>
            <w:tcW w:w="5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ind w:left="240"/>
              <w:spacing w:after="0" w:line="191" w:lineRule="exact"/>
              <w:rPr>
                <w:sz w:val="20"/>
                <w:szCs w:val="20"/>
                <w:color w:val="auto"/>
              </w:rPr>
            </w:pPr>
            <w:r>
              <w:rPr>
                <w:rFonts w:ascii="Arial" w:cs="Arial" w:eastAsia="Arial" w:hAnsi="Arial"/>
                <w:sz w:val="18"/>
                <w:szCs w:val="18"/>
                <w:b w:val="1"/>
                <w:bCs w:val="1"/>
                <w:color w:val="auto"/>
                <w:w w:val="91"/>
              </w:rPr>
              <w:t>As a % of</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As a % of</w:t>
            </w:r>
          </w:p>
        </w:tc>
        <w:tc>
          <w:tcPr>
            <w:tcW w:w="160" w:type="dxa"/>
            <w:vAlign w:val="bottom"/>
          </w:tcPr>
          <w:p>
            <w:pPr>
              <w:spacing w:after="0"/>
              <w:rPr>
                <w:sz w:val="16"/>
                <w:szCs w:val="16"/>
                <w:color w:val="auto"/>
              </w:rPr>
            </w:pPr>
          </w:p>
        </w:tc>
      </w:tr>
      <w:tr>
        <w:trPr>
          <w:trHeight w:val="234"/>
        </w:trPr>
        <w:tc>
          <w:tcPr>
            <w:tcW w:w="54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1"/>
              </w:rPr>
              <w:t>Amount</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84"/>
              </w:rPr>
              <w:t>Revenues</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Borders>
              <w:bottom w:val="single" w:sz="8" w:color="CCEEFF"/>
            </w:tcBorders>
          </w:tcPr>
          <w:p>
            <w:pPr>
              <w:spacing w:after="0"/>
              <w:rPr>
                <w:sz w:val="20"/>
                <w:szCs w:val="20"/>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commodity rebates</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Accretion expense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0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431"/>
        </w:trPr>
        <w:tc>
          <w:tcPr>
            <w:tcW w:w="54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b w:val="1"/>
                <w:bCs w:val="1"/>
                <w:color w:val="auto"/>
              </w:rPr>
              <w:t>Six Months Ended</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460" w:type="dxa"/>
            <w:vAlign w:val="bottom"/>
          </w:tcPr>
          <w:p>
            <w:pPr>
              <w:spacing w:after="0"/>
              <w:rPr>
                <w:sz w:val="19"/>
                <w:szCs w:val="19"/>
                <w:color w:val="auto"/>
              </w:rPr>
            </w:pPr>
          </w:p>
        </w:tc>
        <w:tc>
          <w:tcPr>
            <w:tcW w:w="2440" w:type="dxa"/>
            <w:vAlign w:val="bottom"/>
            <w:tcBorders>
              <w:bottom w:val="single" w:sz="8" w:color="auto"/>
            </w:tcBorders>
            <w:gridSpan w:val="4"/>
          </w:tcPr>
          <w:p>
            <w:pPr>
              <w:ind w:left="82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19"/>
                <w:szCs w:val="19"/>
                <w:color w:val="auto"/>
              </w:rPr>
            </w:pPr>
          </w:p>
        </w:tc>
      </w:tr>
      <w:tr>
        <w:trPr>
          <w:trHeight w:val="191"/>
        </w:trPr>
        <w:tc>
          <w:tcPr>
            <w:tcW w:w="5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ind w:left="220"/>
              <w:spacing w:after="0" w:line="191" w:lineRule="exact"/>
              <w:rPr>
                <w:sz w:val="20"/>
                <w:szCs w:val="20"/>
                <w:color w:val="auto"/>
              </w:rPr>
            </w:pPr>
            <w:r>
              <w:rPr>
                <w:rFonts w:ascii="Arial" w:cs="Arial" w:eastAsia="Arial" w:hAnsi="Arial"/>
                <w:sz w:val="18"/>
                <w:szCs w:val="18"/>
                <w:b w:val="1"/>
                <w:bCs w:val="1"/>
                <w:color w:val="auto"/>
                <w:w w:val="93"/>
              </w:rPr>
              <w:t>As a % of</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As a % of</w:t>
            </w:r>
          </w:p>
        </w:tc>
        <w:tc>
          <w:tcPr>
            <w:tcW w:w="160" w:type="dxa"/>
            <w:vAlign w:val="bottom"/>
          </w:tcPr>
          <w:p>
            <w:pPr>
              <w:spacing w:after="0"/>
              <w:rPr>
                <w:sz w:val="16"/>
                <w:szCs w:val="16"/>
                <w:color w:val="auto"/>
              </w:rPr>
            </w:pPr>
          </w:p>
        </w:tc>
      </w:tr>
      <w:tr>
        <w:trPr>
          <w:trHeight w:val="234"/>
        </w:trPr>
        <w:tc>
          <w:tcPr>
            <w:tcW w:w="54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1"/>
              </w:rPr>
              <w:t>Amount</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84"/>
              </w:rPr>
              <w:t>Revenues</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Borders>
              <w:bottom w:val="single" w:sz="8" w:color="CCEEFF"/>
            </w:tcBorders>
          </w:tcPr>
          <w:p>
            <w:pPr>
              <w:spacing w:after="0"/>
              <w:rPr>
                <w:sz w:val="20"/>
                <w:szCs w:val="20"/>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commodity rebates</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Accretion expense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0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661"/>
        </w:trPr>
        <w:tc>
          <w:tcPr>
            <w:tcW w:w="5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2021-07-27T06:46:55Z</dcterms:created>
  <dcterms:modified xsi:type="dcterms:W3CDTF">2021-07-27T06:46:55Z</dcterms:modified>
</cp:coreProperties>
</file>