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6)*</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94106L109</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p>
      <w:pPr>
        <w:ind w:left="52"/>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1052" w:right="8180" w:hanging="620"/>
        <w:spacing w:after="0" w:line="342" w:lineRule="auto"/>
        <w:tabs>
          <w:tab w:leader="none" w:pos="1052"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Cascade Investment, L.L.C.</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620" w:hanging="620"/>
        <w:spacing w:after="0" w:line="308" w:lineRule="auto"/>
        <w:tabs>
          <w:tab w:leader="none" w:pos="1052"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-549275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-960755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-1174750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-1792605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92"/>
          </w:cols>
          <w:pgMar w:left="248" w:top="395" w:right="359" w:bottom="1440" w:gutter="0" w:footer="0" w:header="0"/>
        </w:sectPr>
      </w:pPr>
    </w:p>
    <w:p>
      <w:pPr>
        <w:spacing w:after="0" w:line="376"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14,583,672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14,583,672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540"/>
          </w:cols>
          <w:pgMar w:left="248" w:top="395" w:right="359" w:bottom="1440" w:gutter="0" w:footer="0" w:header="0"/>
          <w:type w:val="continuous"/>
        </w:sectPr>
      </w:pPr>
    </w:p>
    <w:p>
      <w:pPr>
        <w:spacing w:after="0" w:line="227" w:lineRule="exact"/>
        <w:rPr>
          <w:sz w:val="20"/>
          <w:szCs w:val="20"/>
          <w:color w:val="auto"/>
        </w:rPr>
      </w:pPr>
    </w:p>
    <w:p>
      <w:pPr>
        <w:ind w:left="1052" w:right="5440" w:hanging="620"/>
        <w:spacing w:after="0" w:line="277" w:lineRule="auto"/>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14,583,672 (1)</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3.4% (2)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32" w:hanging="332"/>
        <w:spacing w:after="0" w:line="277" w:lineRule="auto"/>
        <w:tabs>
          <w:tab w:leader="none" w:pos="353"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shares of the common stock (the “Common Stock”) of Waste Management, Inc. (the “Issuer”) held by Cascade Investment, L.L.C. (“Cascade”) may be deemed to be beneficially owned by William H. Gates III as the sole member of Cascade.</w:t>
      </w:r>
    </w:p>
    <w:p>
      <w:pPr>
        <w:spacing w:after="0" w:line="170" w:lineRule="exact"/>
        <w:rPr>
          <w:rFonts w:ascii="Arial" w:cs="Arial" w:eastAsia="Arial" w:hAnsi="Arial"/>
          <w:sz w:val="18"/>
          <w:szCs w:val="18"/>
          <w:color w:val="auto"/>
        </w:rPr>
      </w:pPr>
    </w:p>
    <w:p>
      <w:pPr>
        <w:ind w:left="332" w:right="180" w:hanging="332"/>
        <w:spacing w:after="0" w:line="277" w:lineRule="auto"/>
        <w:tabs>
          <w:tab w:leader="none" w:pos="353"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424,241,200 shares of the Issuer’s Common Stock outstanding as of October 18, 2019, as reported in the Issuer’s Form 10-Q for the quarter ended September 30, 2019, filed on October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-996950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-1545590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-2094865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-2506345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-782320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92"/>
          </w:cols>
          <w:pgMar w:left="248" w:top="395" w:right="359" w:bottom="1440" w:gutter="0" w:footer="0" w:header="0"/>
          <w:type w:val="continuous"/>
        </w:sectPr>
      </w:pPr>
    </w:p>
    <w:bookmarkStart w:id="2" w:name="page3"/>
    <w:bookmarkEnd w:id="2"/>
    <w:p>
      <w:pPr>
        <w:ind w:left="52"/>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Bill &amp; Melinda Gates Foundation Trust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680" w:hanging="620"/>
        <w:spacing w:after="0" w:line="308" w:lineRule="auto"/>
        <w:tabs>
          <w:tab w:leader="none" w:pos="1052" w:val="left"/>
        </w:tabs>
        <w:numPr>
          <w:ilvl w:val="0"/>
          <w:numId w:val="5"/>
        </w:numPr>
        <w:rPr>
          <w:rFonts w:ascii="Arial" w:cs="Arial" w:eastAsia="Arial" w:hAnsi="Arial"/>
          <w:sz w:val="17"/>
          <w:szCs w:val="17"/>
          <w:color w:val="auto"/>
        </w:rPr>
      </w:pPr>
      <w:r>
        <w:rPr>
          <w:rFonts w:ascii="Arial" w:cs="Arial" w:eastAsia="Arial" w:hAnsi="Arial"/>
          <w:sz w:val="17"/>
          <w:szCs w:val="17"/>
          <w:color w:val="auto"/>
        </w:rPr>
        <w:t>Citizenship or Place of Organization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0</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-549275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-960755</wp:posOffset>
            </wp:positionV>
            <wp:extent cx="5874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-1174750</wp:posOffset>
            </wp:positionV>
            <wp:extent cx="5874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-1792605</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52"/>
          </w:cols>
          <w:pgMar w:left="248" w:top="395" w:right="299" w:bottom="1440" w:gutter="0" w:footer="0" w:header="0"/>
        </w:sectPr>
      </w:pPr>
    </w:p>
    <w:p>
      <w:pPr>
        <w:spacing w:after="0" w:line="376"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18,633,672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18,633,672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00"/>
          </w:cols>
          <w:pgMar w:left="248" w:top="395" w:right="299" w:bottom="1440" w:gutter="0" w:footer="0" w:header="0"/>
          <w:type w:val="continuous"/>
        </w:sectPr>
      </w:pPr>
    </w:p>
    <w:p>
      <w:pPr>
        <w:spacing w:after="0" w:line="227" w:lineRule="exact"/>
        <w:rPr>
          <w:sz w:val="20"/>
          <w:szCs w:val="20"/>
          <w:color w:val="auto"/>
        </w:rPr>
      </w:pPr>
    </w:p>
    <w:p>
      <w:pPr>
        <w:ind w:left="1052" w:right="5500" w:hanging="620"/>
        <w:spacing w:after="0" w:line="277" w:lineRule="auto"/>
        <w:tabs>
          <w:tab w:leader="none" w:pos="1052"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18,633,672 (1)</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4.4% (2)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32" w:hanging="332"/>
        <w:spacing w:after="0" w:line="264" w:lineRule="auto"/>
        <w:tabs>
          <w:tab w:leader="none" w:pos="353"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Rule 13d-3 under the Securities Exchange Act of 1934, as amended, all shares of the common stock (the “Common Stock”) of Waste Management, Inc. (the “Issuer”) beneficially owned by Bill &amp; Melinda Gates Foundation Trust (the “Trust”) may be deemed to be beneficially owned by William H. Gates III and Melinda French Gates, as Co-Trustees of the Trust.</w:t>
      </w:r>
    </w:p>
    <w:p>
      <w:pPr>
        <w:spacing w:after="0" w:line="181" w:lineRule="exact"/>
        <w:rPr>
          <w:rFonts w:ascii="Arial" w:cs="Arial" w:eastAsia="Arial" w:hAnsi="Arial"/>
          <w:sz w:val="18"/>
          <w:szCs w:val="18"/>
          <w:color w:val="auto"/>
        </w:rPr>
      </w:pPr>
    </w:p>
    <w:p>
      <w:pPr>
        <w:ind w:left="332" w:right="240" w:hanging="332"/>
        <w:spacing w:after="0" w:line="277" w:lineRule="auto"/>
        <w:tabs>
          <w:tab w:leader="none" w:pos="353"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424,241,200 shares of the Issuer’s Common Stock outstanding as of October 18, 2019, as reported in the Issuer’s Form 10-Q for the quarter ended September 30, 2019, filed on October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-1134110</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-1682750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-2232025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-2643505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-919480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395" w:right="299" w:bottom="1440" w:gutter="0" w:footer="0" w:header="0"/>
          <w:type w:val="continuous"/>
        </w:sectPr>
      </w:pPr>
    </w:p>
    <w:bookmarkStart w:id="3" w:name="page4"/>
    <w:bookmarkEnd w:id="3"/>
    <w:p>
      <w:pPr>
        <w:ind w:left="52"/>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180" w:hanging="620"/>
        <w:spacing w:after="0" w:line="342" w:lineRule="auto"/>
        <w:tabs>
          <w:tab w:leader="none" w:pos="1052"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William H. Gates III</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620" w:hanging="620"/>
        <w:spacing w:after="0" w:line="342" w:lineRule="auto"/>
        <w:tabs>
          <w:tab w:leader="none" w:pos="1052" w:val="left"/>
        </w:tabs>
        <w:numPr>
          <w:ilvl w:val="0"/>
          <w:numId w:val="8"/>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92"/>
          </w:cols>
          <w:pgMar w:left="248" w:top="395" w:right="359" w:bottom="144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14,583,672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18,633,672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14,583,672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18,633,672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540"/>
          </w:cols>
          <w:pgMar w:left="248" w:top="395" w:right="359" w:bottom="1440" w:gutter="0" w:footer="0" w:header="0"/>
          <w:type w:val="continuous"/>
        </w:sectPr>
      </w:pPr>
    </w:p>
    <w:p>
      <w:pPr>
        <w:spacing w:after="0" w:line="227" w:lineRule="exact"/>
        <w:rPr>
          <w:sz w:val="20"/>
          <w:szCs w:val="20"/>
          <w:color w:val="auto"/>
        </w:rPr>
      </w:pPr>
    </w:p>
    <w:p>
      <w:pPr>
        <w:ind w:left="1052" w:right="5440" w:hanging="620"/>
        <w:spacing w:after="0" w:line="277" w:lineRule="auto"/>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33,217,344 (1)(2)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7.8% (3)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32" w:hanging="332"/>
        <w:spacing w:after="0" w:line="277" w:lineRule="auto"/>
        <w:tabs>
          <w:tab w:leader="none" w:pos="3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shares of the common stock (the “Common Stock”) of Waste Management, Inc. (the “Issuer”) held by Cascade Investment, L.L.C. (“Cascade”) may be deemed to be beneficially owned by William H. Gates III as the sole member of Cascade.</w:t>
      </w:r>
    </w:p>
    <w:p>
      <w:pPr>
        <w:spacing w:after="0" w:line="170" w:lineRule="exact"/>
        <w:rPr>
          <w:rFonts w:ascii="Arial" w:cs="Arial" w:eastAsia="Arial" w:hAnsi="Arial"/>
          <w:sz w:val="18"/>
          <w:szCs w:val="18"/>
          <w:color w:val="auto"/>
        </w:rPr>
      </w:pPr>
    </w:p>
    <w:p>
      <w:pPr>
        <w:ind w:left="332" w:right="60" w:hanging="332"/>
        <w:spacing w:after="0" w:line="264" w:lineRule="auto"/>
        <w:tabs>
          <w:tab w:leader="none" w:pos="3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Bill &amp; Melinda Gates Foundation Trust (the “Trust”) beneficially owns 18,633,672 shares of Issuer Common Stock. For purposes of Rule 13d-3 under the Securities Exchange Act of 1934, as amended, all Common Stock of the Issuer beneficially owned by the Trust may be deemed to be beneficially owned by William H. Gates III and Melinda French Gates, as Co-Trustees of the Trust.</w:t>
      </w:r>
    </w:p>
    <w:p>
      <w:pPr>
        <w:spacing w:after="0" w:line="181" w:lineRule="exact"/>
        <w:rPr>
          <w:rFonts w:ascii="Arial" w:cs="Arial" w:eastAsia="Arial" w:hAnsi="Arial"/>
          <w:sz w:val="18"/>
          <w:szCs w:val="18"/>
          <w:color w:val="auto"/>
        </w:rPr>
      </w:pPr>
    </w:p>
    <w:p>
      <w:pPr>
        <w:ind w:left="332" w:right="180" w:hanging="332"/>
        <w:spacing w:after="0" w:line="277" w:lineRule="auto"/>
        <w:tabs>
          <w:tab w:leader="none" w:pos="3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424,241,200 shares of the Issuer’s Common Stock outstanding as of October 18, 2019, as reported in the Issuer’s Form 10-Q for the quarter ended September 30, 2019, filed on October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-1545590</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-2094865</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-2643505</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-3054985</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-1331595</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92"/>
          </w:cols>
          <w:pgMar w:left="248" w:top="395" w:right="359" w:bottom="1440" w:gutter="0" w:footer="0" w:header="0"/>
          <w:type w:val="continuous"/>
        </w:sectPr>
      </w:pPr>
    </w:p>
    <w:bookmarkStart w:id="4" w:name="page5"/>
    <w:bookmarkEnd w:id="4"/>
    <w:p>
      <w:pPr>
        <w:ind w:left="52"/>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280" w:hanging="620"/>
        <w:spacing w:after="0" w:line="342" w:lineRule="auto"/>
        <w:tabs>
          <w:tab w:leader="none" w:pos="10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Melinda French Gates</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720" w:hanging="620"/>
        <w:spacing w:after="0" w:line="342" w:lineRule="auto"/>
        <w:tabs>
          <w:tab w:leader="none" w:pos="10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18,633,672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18,633,672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40"/>
          </w:cols>
          <w:pgMar w:left="248" w:top="395" w:right="259" w:bottom="1440" w:gutter="0" w:footer="0" w:header="0"/>
          <w:type w:val="continuous"/>
        </w:sectPr>
      </w:pPr>
    </w:p>
    <w:p>
      <w:pPr>
        <w:spacing w:after="0" w:line="227" w:lineRule="exact"/>
        <w:rPr>
          <w:sz w:val="20"/>
          <w:szCs w:val="20"/>
          <w:color w:val="auto"/>
        </w:rPr>
      </w:pPr>
    </w:p>
    <w:p>
      <w:pPr>
        <w:ind w:left="1052" w:right="5540" w:hanging="620"/>
        <w:spacing w:after="0" w:line="277" w:lineRule="auto"/>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18,633,672 (1)</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4.4% (2)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32" w:hanging="332"/>
        <w:spacing w:after="0" w:line="312" w:lineRule="auto"/>
        <w:tabs>
          <w:tab w:leader="none" w:pos="353" w:val="left"/>
        </w:tabs>
        <w:numPr>
          <w:ilvl w:val="0"/>
          <w:numId w:val="13"/>
        </w:numPr>
        <w:rPr>
          <w:rFonts w:ascii="Arial" w:cs="Arial" w:eastAsia="Arial" w:hAnsi="Arial"/>
          <w:sz w:val="16"/>
          <w:szCs w:val="16"/>
          <w:color w:val="auto"/>
        </w:rPr>
      </w:pPr>
      <w:r>
        <w:rPr>
          <w:rFonts w:ascii="Arial" w:cs="Arial" w:eastAsia="Arial" w:hAnsi="Arial"/>
          <w:sz w:val="16"/>
          <w:szCs w:val="16"/>
          <w:color w:val="auto"/>
        </w:rPr>
        <w:t>Bill &amp; Melinda Gates Foundation Trust (the “Trust”) beneficially owns 18,633,672 shares of the common stock (“Common Stock”) of Waste Management, Inc. (the “Issuer”). For purposes of Rule 13d-3 under the Securities Exchange Act of 1934, as amended, all of the Issuer’s Common Stock beneficially owned by the Trust may be deemed to be beneficially owned by William H. Gates III and Melinda French Gates, as Co-Trustees of the Trust.</w:t>
      </w:r>
    </w:p>
    <w:p>
      <w:pPr>
        <w:spacing w:after="0" w:line="146" w:lineRule="exact"/>
        <w:rPr>
          <w:rFonts w:ascii="Arial" w:cs="Arial" w:eastAsia="Arial" w:hAnsi="Arial"/>
          <w:sz w:val="16"/>
          <w:szCs w:val="16"/>
          <w:color w:val="auto"/>
        </w:rPr>
      </w:pPr>
    </w:p>
    <w:p>
      <w:pPr>
        <w:ind w:left="332" w:right="280" w:hanging="332"/>
        <w:spacing w:after="0" w:line="277" w:lineRule="auto"/>
        <w:tabs>
          <w:tab w:leader="none" w:pos="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424,241,200 shares of the Issuer’s Common Stock outstanding as of October 18, 2019, as reported in the Issuer’s Form 10-Q for the quarter ended September 30, 2019, filed on October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-1134110</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-1682750</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-2232025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-2643505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-919480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type w:val="continuous"/>
        </w:sectPr>
      </w:pPr>
    </w:p>
    <w:bookmarkStart w:id="5" w:name="page6"/>
    <w:bookmarkEnd w:id="5"/>
    <w:p>
      <w:pPr>
        <w:ind w:left="52"/>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12" w:hanging="499"/>
        <w:spacing w:after="0"/>
        <w:tabs>
          <w:tab w:leader="none" w:pos="15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512"/>
        <w:spacing w:after="0"/>
        <w:rPr>
          <w:rFonts w:ascii="Arial" w:cs="Arial" w:eastAsia="Arial" w:hAnsi="Arial"/>
          <w:sz w:val="18"/>
          <w:szCs w:val="18"/>
          <w:color w:val="auto"/>
        </w:rPr>
      </w:pPr>
      <w:r>
        <w:rPr>
          <w:rFonts w:ascii="Arial" w:cs="Arial" w:eastAsia="Arial" w:hAnsi="Arial"/>
          <w:sz w:val="18"/>
          <w:szCs w:val="18"/>
          <w:color w:val="auto"/>
        </w:rPr>
        <w:t>Waste Management, Inc. (the “Issuer”)</w:t>
      </w:r>
    </w:p>
    <w:p>
      <w:pPr>
        <w:spacing w:after="0" w:line="116" w:lineRule="exact"/>
        <w:rPr>
          <w:rFonts w:ascii="Arial" w:cs="Arial" w:eastAsia="Arial" w:hAnsi="Arial"/>
          <w:sz w:val="18"/>
          <w:szCs w:val="18"/>
          <w:color w:val="auto"/>
        </w:rPr>
      </w:pPr>
    </w:p>
    <w:p>
      <w:pPr>
        <w:ind w:left="1512" w:right="6240" w:hanging="499"/>
        <w:spacing w:after="0" w:line="342" w:lineRule="auto"/>
        <w:tabs>
          <w:tab w:leader="none" w:pos="15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Address of Issuer’s Principal Executive Offices 1001 Fannin Street, 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-14605</wp:posOffset>
            </wp:positionV>
            <wp:extent cx="63201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-366395</wp:posOffset>
            </wp:positionV>
            <wp:extent cx="63201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16"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512" w:hanging="499"/>
        <w:spacing w:after="0"/>
        <w:tabs>
          <w:tab w:leader="none" w:pos="15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512"/>
        <w:spacing w:after="0" w:line="261" w:lineRule="auto"/>
        <w:rPr>
          <w:rFonts w:ascii="Arial" w:cs="Arial" w:eastAsia="Arial" w:hAnsi="Arial"/>
          <w:sz w:val="18"/>
          <w:szCs w:val="18"/>
          <w:color w:val="auto"/>
        </w:rPr>
      </w:pPr>
      <w:r>
        <w:rPr>
          <w:rFonts w:ascii="Arial" w:cs="Arial" w:eastAsia="Arial" w:hAnsi="Arial"/>
          <w:sz w:val="18"/>
          <w:szCs w:val="18"/>
          <w:color w:val="auto"/>
        </w:rPr>
        <w:t>Cascade Investment, L.L.C. (“Cascade”), Bill &amp; Melinda Gates Foundation Trust (the “Trust”), Melinda French Gates and William H. Gates III (together, the “Reporting Persons”) (1)</w:t>
      </w:r>
    </w:p>
    <w:p>
      <w:pPr>
        <w:spacing w:after="0" w:line="89" w:lineRule="exact"/>
        <w:rPr>
          <w:rFonts w:ascii="Arial" w:cs="Arial" w:eastAsia="Arial" w:hAnsi="Arial"/>
          <w:sz w:val="18"/>
          <w:szCs w:val="18"/>
          <w:color w:val="auto"/>
        </w:rPr>
      </w:pPr>
    </w:p>
    <w:p>
      <w:pPr>
        <w:ind w:left="1512" w:right="5120" w:hanging="499"/>
        <w:spacing w:after="0" w:line="297" w:lineRule="auto"/>
        <w:tabs>
          <w:tab w:leader="none" w:pos="151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Cascade – 2365 Carillon Point, Kirkland, Washington 98033 The Trust – 2365 Carillon Point, Kirkland, Washington 98033 Mr. Gates – One Microsoft Way, Redmond, Washington 98052 Mrs. Gates – 500 Fifth Avenue N, Seattle, Washington 98109</w:t>
      </w:r>
    </w:p>
    <w:p>
      <w:pPr>
        <w:spacing w:after="0" w:line="63" w:lineRule="exact"/>
        <w:rPr>
          <w:rFonts w:ascii="Arial" w:cs="Arial" w:eastAsia="Arial" w:hAnsi="Arial"/>
          <w:sz w:val="16"/>
          <w:szCs w:val="16"/>
          <w:color w:val="auto"/>
        </w:rPr>
      </w:pPr>
    </w:p>
    <w:p>
      <w:pPr>
        <w:ind w:left="1512" w:hanging="499"/>
        <w:spacing w:after="0"/>
        <w:tabs>
          <w:tab w:leader="none" w:pos="15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12" w:right="3060"/>
        <w:spacing w:after="0" w:line="281" w:lineRule="auto"/>
        <w:rPr>
          <w:rFonts w:ascii="Arial" w:cs="Arial" w:eastAsia="Arial" w:hAnsi="Arial"/>
          <w:sz w:val="18"/>
          <w:szCs w:val="18"/>
          <w:color w:val="auto"/>
        </w:rPr>
      </w:pPr>
      <w:r>
        <w:rPr>
          <w:rFonts w:ascii="Arial" w:cs="Arial" w:eastAsia="Arial" w:hAnsi="Arial"/>
          <w:sz w:val="16"/>
          <w:szCs w:val="16"/>
          <w:color w:val="auto"/>
        </w:rPr>
        <w:t>Cascade is a limited liability company organized under the laws of the State of Washington. The Trust is a charitable trust organized under the laws of the State of Washington.</w:t>
      </w:r>
    </w:p>
    <w:p>
      <w:pPr>
        <w:spacing w:after="0" w:line="1" w:lineRule="exact"/>
        <w:rPr>
          <w:rFonts w:ascii="Arial" w:cs="Arial" w:eastAsia="Arial" w:hAnsi="Arial"/>
          <w:sz w:val="18"/>
          <w:szCs w:val="18"/>
          <w:color w:val="auto"/>
        </w:rPr>
      </w:pPr>
    </w:p>
    <w:p>
      <w:pPr>
        <w:ind w:left="1512"/>
        <w:spacing w:after="0"/>
        <w:rPr>
          <w:rFonts w:ascii="Arial" w:cs="Arial" w:eastAsia="Arial" w:hAnsi="Arial"/>
          <w:sz w:val="18"/>
          <w:szCs w:val="18"/>
          <w:color w:val="auto"/>
        </w:rPr>
      </w:pPr>
      <w:r>
        <w:rPr>
          <w:rFonts w:ascii="Arial" w:cs="Arial" w:eastAsia="Arial" w:hAnsi="Arial"/>
          <w:sz w:val="18"/>
          <w:szCs w:val="18"/>
          <w:color w:val="auto"/>
        </w:rPr>
        <w:t>Mr. and Mrs. Gates are citizens of the United States of America.</w:t>
      </w:r>
    </w:p>
    <w:p>
      <w:pPr>
        <w:spacing w:after="0" w:line="116" w:lineRule="exact"/>
        <w:rPr>
          <w:rFonts w:ascii="Arial" w:cs="Arial" w:eastAsia="Arial" w:hAnsi="Arial"/>
          <w:sz w:val="18"/>
          <w:szCs w:val="18"/>
          <w:color w:val="auto"/>
        </w:rPr>
      </w:pPr>
    </w:p>
    <w:p>
      <w:pPr>
        <w:ind w:left="1512" w:right="7320" w:hanging="499"/>
        <w:spacing w:after="0" w:line="342" w:lineRule="auto"/>
        <w:tabs>
          <w:tab w:leader="none" w:pos="151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Title of Class of Securities Common Stock, $0.01 par value</w:t>
      </w:r>
    </w:p>
    <w:p>
      <w:pPr>
        <w:spacing w:after="0" w:line="29" w:lineRule="exact"/>
        <w:rPr>
          <w:rFonts w:ascii="Arial" w:cs="Arial" w:eastAsia="Arial" w:hAnsi="Arial"/>
          <w:sz w:val="16"/>
          <w:szCs w:val="16"/>
          <w:color w:val="auto"/>
        </w:rPr>
      </w:pPr>
    </w:p>
    <w:p>
      <w:pPr>
        <w:ind w:left="1512" w:right="8520" w:hanging="499"/>
        <w:spacing w:after="0" w:line="342" w:lineRule="auto"/>
        <w:tabs>
          <w:tab w:leader="none" w:pos="1512"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CUSIP Number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-14605</wp:posOffset>
            </wp:positionV>
            <wp:extent cx="63201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-366395</wp:posOffset>
            </wp:positionV>
            <wp:extent cx="63201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-717550</wp:posOffset>
            </wp:positionV>
            <wp:extent cx="63201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-1343660</wp:posOffset>
            </wp:positionV>
            <wp:extent cx="63201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-2106930</wp:posOffset>
            </wp:positionV>
            <wp:extent cx="63201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16" w:lineRule="exact"/>
        <w:rPr>
          <w:sz w:val="20"/>
          <w:szCs w:val="20"/>
          <w:color w:val="auto"/>
        </w:rPr>
      </w:pPr>
    </w:p>
    <w:p>
      <w:pPr>
        <w:ind w:left="52"/>
        <w:spacing w:after="0"/>
        <w:tabs>
          <w:tab w:leader="none" w:pos="992"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75"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32" w:right="280" w:hanging="332"/>
        <w:spacing w:after="0" w:line="277" w:lineRule="auto"/>
        <w:tabs>
          <w:tab w:leader="none" w:pos="3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present filing nor anything contained herein shall be construed as an admission that the Reporting Persons constitute a “group” for any purpose and the Reporting Persons expressly disclaim membership in a group.</w:t>
      </w:r>
    </w:p>
    <w:p>
      <w:pPr>
        <w:spacing w:after="0" w:line="170"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72"/>
          </w:cols>
          <w:pgMar w:left="248" w:top="391" w:right="479" w:bottom="1440" w:gutter="0" w:footer="0" w:header="0"/>
        </w:sectPr>
      </w:pPr>
    </w:p>
    <w:bookmarkStart w:id="6" w:name="page7"/>
    <w:bookmarkEnd w:id="6"/>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38" w:lineRule="exact"/>
        <w:rPr>
          <w:rFonts w:ascii="Arial" w:cs="Arial" w:eastAsia="Arial" w:hAnsi="Arial"/>
          <w:sz w:val="18"/>
          <w:szCs w:val="18"/>
          <w:color w:val="auto"/>
        </w:rPr>
      </w:pPr>
    </w:p>
    <w:p>
      <w:pPr>
        <w:ind w:left="1600" w:hanging="400"/>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453"/>
        <w:spacing w:after="0"/>
        <w:tabs>
          <w:tab w:leader="none" w:pos="2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8400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20" w:hanging="478"/>
        <w:spacing w:after="0"/>
        <w:tabs>
          <w:tab w:leader="none" w:pos="2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63"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8400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20" w:right="5020" w:hanging="503"/>
        <w:spacing w:after="0" w:line="412" w:lineRule="auto"/>
        <w:tabs>
          <w:tab w:leader="none" w:pos="2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the responses to Item 7 on the attached cover pages.</w:t>
      </w:r>
    </w:p>
    <w:p>
      <w:pPr>
        <w:spacing w:after="0" w:line="84" w:lineRule="exact"/>
        <w:rPr>
          <w:rFonts w:ascii="Arial" w:cs="Arial" w:eastAsia="Arial" w:hAnsi="Arial"/>
          <w:sz w:val="16"/>
          <w:szCs w:val="16"/>
          <w:color w:val="auto"/>
        </w:rPr>
      </w:pPr>
    </w:p>
    <w:p>
      <w:pPr>
        <w:ind w:left="2220" w:right="5020" w:hanging="498"/>
        <w:spacing w:after="0" w:line="456" w:lineRule="auto"/>
        <w:tabs>
          <w:tab w:leader="none" w:pos="22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Shared power to dispose or to direct the disposition of See the responses to Item 8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-29210</wp:posOffset>
            </wp:positionV>
            <wp:extent cx="58400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-483870</wp:posOffset>
            </wp:positionV>
            <wp:extent cx="58400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00" w:top="391" w:right="319" w:bottom="1440" w:gutter="0" w:footer="0" w:header="0"/>
        </w:sectPr>
      </w:pPr>
    </w:p>
    <w:bookmarkStart w:id="7" w:name="page8"/>
    <w:bookmarkEnd w:id="7"/>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1180" w:right="30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February 13, 2020</w:t>
            </w:r>
          </w:p>
        </w:tc>
        <w:tc>
          <w:tcPr>
            <w:tcW w:w="7680" w:type="dxa"/>
            <w:vAlign w:val="bottom"/>
            <w:gridSpan w:val="4"/>
          </w:tcPr>
          <w:p>
            <w:pPr>
              <w:ind w:left="1980"/>
              <w:spacing w:after="0"/>
              <w:rPr>
                <w:sz w:val="20"/>
                <w:szCs w:val="20"/>
                <w:color w:val="auto"/>
              </w:rPr>
            </w:pPr>
            <w:r>
              <w:rPr>
                <w:rFonts w:ascii="Arial" w:cs="Arial" w:eastAsia="Arial" w:hAnsi="Arial"/>
                <w:sz w:val="18"/>
                <w:szCs w:val="18"/>
                <w:color w:val="auto"/>
              </w:rPr>
              <w:t>CASCADE INVESTMENT, L.L.C.(1)</w:t>
            </w:r>
          </w:p>
        </w:tc>
      </w:tr>
      <w:tr>
        <w:trPr>
          <w:trHeight w:val="432"/>
        </w:trPr>
        <w:tc>
          <w:tcPr>
            <w:tcW w:w="3740" w:type="dxa"/>
            <w:vAlign w:val="bottom"/>
          </w:tcPr>
          <w:p>
            <w:pPr>
              <w:spacing w:after="0"/>
              <w:rPr>
                <w:sz w:val="24"/>
                <w:szCs w:val="24"/>
                <w:color w:val="auto"/>
              </w:rPr>
            </w:pPr>
          </w:p>
        </w:tc>
        <w:tc>
          <w:tcPr>
            <w:tcW w:w="2440" w:type="dxa"/>
            <w:vAlign w:val="bottom"/>
          </w:tcPr>
          <w:p>
            <w:pPr>
              <w:ind w:left="198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40"/>
              <w:spacing w:after="0" w:line="195" w:lineRule="exact"/>
              <w:rPr>
                <w:sz w:val="20"/>
                <w:szCs w:val="20"/>
                <w:color w:val="auto"/>
              </w:rPr>
            </w:pPr>
            <w:r>
              <w:rPr>
                <w:rFonts w:ascii="Arial" w:cs="Arial" w:eastAsia="Arial" w:hAnsi="Arial"/>
                <w:sz w:val="18"/>
                <w:szCs w:val="18"/>
                <w:color w:val="auto"/>
              </w:rPr>
              <w:t>Alan Heuberger (2)</w:t>
            </w:r>
          </w:p>
        </w:tc>
      </w:tr>
      <w:tr>
        <w:trPr>
          <w:trHeight w:val="216"/>
        </w:trPr>
        <w:tc>
          <w:tcPr>
            <w:tcW w:w="3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Attorney-in-fact for Michael Larson,</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Business Manager</w:t>
            </w:r>
          </w:p>
        </w:tc>
      </w:tr>
      <w:tr>
        <w:trPr>
          <w:trHeight w:val="432"/>
        </w:trPr>
        <w:tc>
          <w:tcPr>
            <w:tcW w:w="3740" w:type="dxa"/>
            <w:vAlign w:val="bottom"/>
          </w:tcPr>
          <w:p>
            <w:pPr>
              <w:spacing w:after="0"/>
              <w:rPr>
                <w:sz w:val="24"/>
                <w:szCs w:val="24"/>
                <w:color w:val="auto"/>
              </w:rPr>
            </w:pPr>
          </w:p>
        </w:tc>
        <w:tc>
          <w:tcPr>
            <w:tcW w:w="7680" w:type="dxa"/>
            <w:vAlign w:val="bottom"/>
            <w:gridSpan w:val="4"/>
          </w:tcPr>
          <w:p>
            <w:pPr>
              <w:ind w:left="1980"/>
              <w:spacing w:after="0"/>
              <w:rPr>
                <w:sz w:val="20"/>
                <w:szCs w:val="20"/>
                <w:color w:val="auto"/>
              </w:rPr>
            </w:pPr>
            <w:r>
              <w:rPr>
                <w:rFonts w:ascii="Arial" w:cs="Arial" w:eastAsia="Arial" w:hAnsi="Arial"/>
                <w:sz w:val="18"/>
                <w:szCs w:val="18"/>
                <w:color w:val="auto"/>
              </w:rPr>
              <w:t>BILL &amp; MELINDA GATES FOUNDATION TRUST(1)</w:t>
            </w:r>
          </w:p>
        </w:tc>
      </w:tr>
      <w:tr>
        <w:trPr>
          <w:trHeight w:val="432"/>
        </w:trPr>
        <w:tc>
          <w:tcPr>
            <w:tcW w:w="3740" w:type="dxa"/>
            <w:vAlign w:val="bottom"/>
          </w:tcPr>
          <w:p>
            <w:pPr>
              <w:spacing w:after="0"/>
              <w:rPr>
                <w:sz w:val="24"/>
                <w:szCs w:val="24"/>
                <w:color w:val="auto"/>
              </w:rPr>
            </w:pPr>
          </w:p>
        </w:tc>
        <w:tc>
          <w:tcPr>
            <w:tcW w:w="2440" w:type="dxa"/>
            <w:vAlign w:val="bottom"/>
          </w:tcPr>
          <w:p>
            <w:pPr>
              <w:ind w:left="198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40"/>
              <w:spacing w:after="0" w:line="195" w:lineRule="exact"/>
              <w:rPr>
                <w:sz w:val="20"/>
                <w:szCs w:val="20"/>
                <w:color w:val="auto"/>
              </w:rPr>
            </w:pPr>
            <w:r>
              <w:rPr>
                <w:rFonts w:ascii="Arial" w:cs="Arial" w:eastAsia="Arial" w:hAnsi="Arial"/>
                <w:sz w:val="18"/>
                <w:szCs w:val="18"/>
                <w:color w:val="auto"/>
              </w:rPr>
              <w:t>Alan Heuberger(3)</w:t>
            </w:r>
          </w:p>
        </w:tc>
      </w:tr>
      <w:tr>
        <w:trPr>
          <w:trHeight w:val="216"/>
        </w:trPr>
        <w:tc>
          <w:tcPr>
            <w:tcW w:w="3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Attorney-in-fact for each of the Co-Trustees,</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William H. Gates III and Melinda French Gates</w:t>
            </w:r>
          </w:p>
        </w:tc>
      </w:tr>
      <w:tr>
        <w:trPr>
          <w:trHeight w:val="432"/>
        </w:trPr>
        <w:tc>
          <w:tcPr>
            <w:tcW w:w="3740" w:type="dxa"/>
            <w:vAlign w:val="bottom"/>
          </w:tcPr>
          <w:p>
            <w:pPr>
              <w:spacing w:after="0"/>
              <w:rPr>
                <w:sz w:val="24"/>
                <w:szCs w:val="24"/>
                <w:color w:val="auto"/>
              </w:rPr>
            </w:pPr>
          </w:p>
        </w:tc>
        <w:tc>
          <w:tcPr>
            <w:tcW w:w="7680" w:type="dxa"/>
            <w:vAlign w:val="bottom"/>
            <w:gridSpan w:val="4"/>
          </w:tcPr>
          <w:p>
            <w:pPr>
              <w:ind w:left="1980"/>
              <w:spacing w:after="0"/>
              <w:rPr>
                <w:sz w:val="20"/>
                <w:szCs w:val="20"/>
                <w:color w:val="auto"/>
              </w:rPr>
            </w:pPr>
            <w:r>
              <w:rPr>
                <w:rFonts w:ascii="Arial" w:cs="Arial" w:eastAsia="Arial" w:hAnsi="Arial"/>
                <w:sz w:val="18"/>
                <w:szCs w:val="18"/>
                <w:color w:val="auto"/>
              </w:rPr>
              <w:t>WILLIAM H. GATES III (1)</w:t>
            </w:r>
          </w:p>
        </w:tc>
      </w:tr>
      <w:tr>
        <w:trPr>
          <w:trHeight w:val="432"/>
        </w:trPr>
        <w:tc>
          <w:tcPr>
            <w:tcW w:w="3740" w:type="dxa"/>
            <w:vAlign w:val="bottom"/>
          </w:tcPr>
          <w:p>
            <w:pPr>
              <w:spacing w:after="0"/>
              <w:rPr>
                <w:sz w:val="24"/>
                <w:szCs w:val="24"/>
                <w:color w:val="auto"/>
              </w:rPr>
            </w:pPr>
          </w:p>
        </w:tc>
        <w:tc>
          <w:tcPr>
            <w:tcW w:w="2440" w:type="dxa"/>
            <w:vAlign w:val="bottom"/>
          </w:tcPr>
          <w:p>
            <w:pPr>
              <w:ind w:left="198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40"/>
              <w:spacing w:after="0" w:line="195" w:lineRule="exact"/>
              <w:rPr>
                <w:sz w:val="20"/>
                <w:szCs w:val="20"/>
                <w:color w:val="auto"/>
              </w:rPr>
            </w:pPr>
            <w:r>
              <w:rPr>
                <w:rFonts w:ascii="Arial" w:cs="Arial" w:eastAsia="Arial" w:hAnsi="Arial"/>
                <w:sz w:val="18"/>
                <w:szCs w:val="18"/>
                <w:color w:val="auto"/>
              </w:rPr>
              <w:t>Alan Heuberger (3)(4)</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Attorney-in-fact</w:t>
            </w:r>
          </w:p>
        </w:tc>
      </w:tr>
      <w:tr>
        <w:trPr>
          <w:trHeight w:val="432"/>
        </w:trPr>
        <w:tc>
          <w:tcPr>
            <w:tcW w:w="3740" w:type="dxa"/>
            <w:vAlign w:val="bottom"/>
          </w:tcPr>
          <w:p>
            <w:pPr>
              <w:spacing w:after="0"/>
              <w:rPr>
                <w:sz w:val="24"/>
                <w:szCs w:val="24"/>
                <w:color w:val="auto"/>
              </w:rPr>
            </w:pPr>
          </w:p>
        </w:tc>
        <w:tc>
          <w:tcPr>
            <w:tcW w:w="7680" w:type="dxa"/>
            <w:vAlign w:val="bottom"/>
            <w:gridSpan w:val="4"/>
          </w:tcPr>
          <w:p>
            <w:pPr>
              <w:ind w:left="1980"/>
              <w:spacing w:after="0"/>
              <w:rPr>
                <w:sz w:val="20"/>
                <w:szCs w:val="20"/>
                <w:color w:val="auto"/>
              </w:rPr>
            </w:pPr>
            <w:r>
              <w:rPr>
                <w:rFonts w:ascii="Arial" w:cs="Arial" w:eastAsia="Arial" w:hAnsi="Arial"/>
                <w:sz w:val="18"/>
                <w:szCs w:val="18"/>
                <w:color w:val="auto"/>
              </w:rPr>
              <w:t>MELINDA FRENCH GATES (1)</w:t>
            </w:r>
          </w:p>
        </w:tc>
      </w:tr>
      <w:tr>
        <w:trPr>
          <w:trHeight w:val="432"/>
        </w:trPr>
        <w:tc>
          <w:tcPr>
            <w:tcW w:w="3740" w:type="dxa"/>
            <w:vAlign w:val="bottom"/>
          </w:tcPr>
          <w:p>
            <w:pPr>
              <w:spacing w:after="0"/>
              <w:rPr>
                <w:sz w:val="24"/>
                <w:szCs w:val="24"/>
                <w:color w:val="auto"/>
              </w:rPr>
            </w:pPr>
          </w:p>
        </w:tc>
        <w:tc>
          <w:tcPr>
            <w:tcW w:w="2440" w:type="dxa"/>
            <w:vAlign w:val="bottom"/>
          </w:tcPr>
          <w:p>
            <w:pPr>
              <w:ind w:left="198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40"/>
              <w:spacing w:after="0" w:line="195" w:lineRule="exact"/>
              <w:rPr>
                <w:sz w:val="20"/>
                <w:szCs w:val="20"/>
                <w:color w:val="auto"/>
              </w:rPr>
            </w:pPr>
            <w:r>
              <w:rPr>
                <w:rFonts w:ascii="Arial" w:cs="Arial" w:eastAsia="Arial" w:hAnsi="Arial"/>
                <w:sz w:val="18"/>
                <w:szCs w:val="18"/>
                <w:color w:val="auto"/>
              </w:rPr>
              <w:t>Alan Heuberger (3)</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Title:</w:t>
            </w:r>
          </w:p>
        </w:tc>
        <w:tc>
          <w:tcPr>
            <w:tcW w:w="4520" w:type="dxa"/>
            <w:vAlign w:val="bottom"/>
          </w:tcPr>
          <w:p>
            <w:pPr>
              <w:ind w:left="140"/>
              <w:spacing w:after="0"/>
              <w:rPr>
                <w:sz w:val="20"/>
                <w:szCs w:val="20"/>
                <w:color w:val="auto"/>
              </w:rPr>
            </w:pPr>
            <w:r>
              <w:rPr>
                <w:rFonts w:ascii="Arial" w:cs="Arial" w:eastAsia="Arial" w:hAnsi="Arial"/>
                <w:sz w:val="18"/>
                <w:szCs w:val="18"/>
                <w:color w:val="auto"/>
              </w:rPr>
              <w:t>Attorney-in-fact</w:t>
            </w:r>
          </w:p>
        </w:tc>
      </w:tr>
      <w:tr>
        <w:trPr>
          <w:trHeight w:val="648"/>
        </w:trPr>
        <w:tc>
          <w:tcPr>
            <w:tcW w:w="3740" w:type="dxa"/>
            <w:vAlign w:val="bottom"/>
          </w:tcPr>
          <w:p>
            <w:pPr>
              <w:spacing w:after="0"/>
              <w:rPr>
                <w:sz w:val="24"/>
                <w:szCs w:val="24"/>
                <w:color w:val="auto"/>
              </w:rPr>
            </w:pPr>
          </w:p>
        </w:tc>
        <w:tc>
          <w:tcPr>
            <w:tcW w:w="2440" w:type="dxa"/>
            <w:vAlign w:val="bottom"/>
          </w:tcPr>
          <w:p>
            <w:pPr>
              <w:ind w:left="198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512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/s/ Alan Heuberger</w:t>
            </w:r>
          </w:p>
        </w:tc>
      </w:tr>
      <w:tr>
        <w:trPr>
          <w:trHeight w:val="224"/>
        </w:trPr>
        <w:tc>
          <w:tcPr>
            <w:tcW w:w="3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Alan Heuberger</w:t>
            </w:r>
          </w:p>
        </w:tc>
      </w:tr>
    </w:tbl>
    <w:p>
      <w:pPr>
        <w:spacing w:after="0" w:line="40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340" w:right="60" w:hanging="332"/>
        <w:spacing w:after="0" w:line="264" w:lineRule="auto"/>
        <w:tabs>
          <w:tab w:leader="none" w:pos="3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Amendment is being filed jointly by the Reporting Persons pursuant to the Joint Filing Agreement dated September 17, 2010, and included with the signature page to the Reporting Persons’ Schedule 13G with respect to the Issuer filed on September 17, 2010, SEC File No. 005-39928, and incorporated by reference herein.</w:t>
      </w:r>
    </w:p>
    <w:p>
      <w:pPr>
        <w:spacing w:after="0" w:line="181" w:lineRule="exact"/>
        <w:rPr>
          <w:rFonts w:ascii="Arial" w:cs="Arial" w:eastAsia="Arial" w:hAnsi="Arial"/>
          <w:sz w:val="18"/>
          <w:szCs w:val="18"/>
          <w:color w:val="auto"/>
        </w:rPr>
      </w:pPr>
    </w:p>
    <w:p>
      <w:pPr>
        <w:ind w:left="340" w:right="440" w:hanging="332"/>
        <w:spacing w:after="0" w:line="286" w:lineRule="auto"/>
        <w:tabs>
          <w:tab w:leader="none" w:pos="361" w:val="left"/>
        </w:tabs>
        <w:numPr>
          <w:ilvl w:val="0"/>
          <w:numId w:val="21"/>
        </w:numPr>
        <w:rPr>
          <w:rFonts w:ascii="Arial" w:cs="Arial" w:eastAsia="Arial" w:hAnsi="Arial"/>
          <w:sz w:val="17"/>
          <w:szCs w:val="17"/>
          <w:color w:val="auto"/>
        </w:rPr>
      </w:pPr>
      <w:r>
        <w:rPr>
          <w:rFonts w:ascii="Arial" w:cs="Arial" w:eastAsia="Arial" w:hAnsi="Arial"/>
          <w:sz w:val="17"/>
          <w:szCs w:val="17"/>
          <w:color w:val="auto"/>
        </w:rPr>
        <w:t>Duly authorized under Special Limited Power of Attorney appointing Alan Heuberger attorney-in-fact, dated October 11, 2013, by and on behalf of Michael Larson, filed as Exhibit 99.1 to Amendment No. 9 to Cascade’s Schedule 13D with respect to Western Asset/Claymore Inflation-Linked Opportunities &amp; Income Fund on December 11, 2013, SEC File No. 005-81261, and incorporated by reference herein.</w:t>
      </w:r>
    </w:p>
    <w:p>
      <w:pPr>
        <w:spacing w:after="0" w:line="165" w:lineRule="exact"/>
        <w:rPr>
          <w:rFonts w:ascii="Arial" w:cs="Arial" w:eastAsia="Arial" w:hAnsi="Arial"/>
          <w:sz w:val="17"/>
          <w:szCs w:val="17"/>
          <w:color w:val="auto"/>
        </w:rPr>
      </w:pPr>
    </w:p>
    <w:p>
      <w:pPr>
        <w:ind w:left="340" w:right="160" w:hanging="332"/>
        <w:spacing w:after="0" w:line="264" w:lineRule="auto"/>
        <w:tabs>
          <w:tab w:leader="none" w:pos="3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Duly authorized under Special Limited Power of Attorney appointing Alan Heuberger attorney-in-fact, dated August 12, 2008, by and on behalf of William H. Gates III and Melinda French Gates as Co-Trustees, filed as Exhibit 99.5 to Cascade’s Schedule 13D with respect to Grupo Televisa, S.A.B. on May 7, 2009, SEC File No. 005-60431, and incorporated by reference herein.</w:t>
      </w:r>
    </w:p>
    <w:p>
      <w:pPr>
        <w:spacing w:after="0" w:line="181" w:lineRule="exact"/>
        <w:rPr>
          <w:rFonts w:ascii="Arial" w:cs="Arial" w:eastAsia="Arial" w:hAnsi="Arial"/>
          <w:sz w:val="18"/>
          <w:szCs w:val="18"/>
          <w:color w:val="auto"/>
        </w:rPr>
      </w:pPr>
    </w:p>
    <w:p>
      <w:pPr>
        <w:ind w:left="340" w:right="360" w:hanging="332"/>
        <w:spacing w:after="0" w:line="264" w:lineRule="auto"/>
        <w:tabs>
          <w:tab w:leader="none" w:pos="3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Duly authorized under Special Limited Power of Attorney appointing Alan Heuberger attorney-in-fact, dated August 12, 2008, by and on behalf of William H. Gates III, filed as Exhibit 99.2 to Amendment No. 1 to Cascade’s Schedule 13D with respect to Otter Tail Corporation on April 15, 2009, SEC File No. 005-06638, and incorporated by reference 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1."/>
      <w:numFmt w:val="decimal"/>
      <w:start w:val="1"/>
    </w:lvl>
    <w:lvl w:ilvl="1">
      <w:lvlJc w:val="left"/>
      <w:lvlText w:val="(%2)"/>
      <w:numFmt w:val="lowerLetter"/>
      <w:start w:val="1"/>
    </w:lvl>
  </w:abstractNum>
  <w:abstractNum w:abstractNumId="2">
    <w:nsid w:val="66EF438D"/>
    <w:multiLevelType w:val="hybridMultilevel"/>
    <w:lvl w:ilvl="0">
      <w:lvlJc w:val="left"/>
      <w:lvlText w:val="%1"/>
      <w:numFmt w:val="decimal"/>
      <w:start w:val="1"/>
    </w:lvl>
    <w:lvl w:ilvl="1">
      <w:lvlJc w:val="left"/>
      <w:lvlText w:val="%2."/>
      <w:numFmt w:val="decimal"/>
      <w:start w:val="9"/>
    </w:lvl>
  </w:abstractNum>
  <w:abstractNum w:abstractNumId="3">
    <w:nsid w:val="140E0F76"/>
    <w:multiLevelType w:val="hybridMultilevel"/>
    <w:lvl w:ilvl="0">
      <w:lvlJc w:val="left"/>
      <w:lvlText w:val="(%1)"/>
      <w:numFmt w:val="decimal"/>
      <w:start w:val="1"/>
    </w:lvl>
    <w:lvl w:ilvl="1">
      <w:lvlJc w:val="left"/>
      <w:lvlText w:val="%2"/>
      <w:numFmt w:val="decimal"/>
      <w:start w:val="1"/>
    </w:lvl>
  </w:abstractNum>
  <w:abstractNum w:abstractNumId="4">
    <w:nsid w:val="3352255A"/>
    <w:multiLevelType w:val="hybridMultilevel"/>
    <w:lvl w:ilvl="0">
      <w:lvlJc w:val="left"/>
      <w:lvlText w:val="%1."/>
      <w:numFmt w:val="decimal"/>
      <w:start w:val="1"/>
    </w:lvl>
    <w:lvl w:ilvl="1">
      <w:lvlJc w:val="left"/>
      <w:lvlText w:val="(%2)"/>
      <w:numFmt w:val="lowerLetter"/>
      <w:start w:val="1"/>
    </w:lvl>
  </w:abstractNum>
  <w:abstractNum w:abstractNumId="5">
    <w:nsid w:val="109CF92E"/>
    <w:multiLevelType w:val="hybridMultilevel"/>
    <w:lvl w:ilvl="0">
      <w:lvlJc w:val="left"/>
      <w:lvlText w:val="%1"/>
      <w:numFmt w:val="decimal"/>
      <w:start w:val="1"/>
    </w:lvl>
    <w:lvl w:ilvl="1">
      <w:lvlJc w:val="left"/>
      <w:lvlText w:val="%2."/>
      <w:numFmt w:val="decimal"/>
      <w:start w:val="9"/>
    </w:lvl>
  </w:abstractNum>
  <w:abstractNum w:abstractNumId="6">
    <w:nsid w:val="DED7263"/>
    <w:multiLevelType w:val="hybridMultilevel"/>
    <w:lvl w:ilvl="0">
      <w:lvlJc w:val="left"/>
      <w:lvlText w:val="(%1)"/>
      <w:numFmt w:val="decimal"/>
      <w:start w:val="1"/>
    </w:lvl>
    <w:lvl w:ilvl="1">
      <w:lvlJc w:val="left"/>
      <w:lvlText w:val="%2"/>
      <w:numFmt w:val="decimal"/>
      <w:start w:val="1"/>
    </w:lvl>
  </w:abstractNum>
  <w:abstractNum w:abstractNumId="7">
    <w:nsid w:val="7FDCC233"/>
    <w:multiLevelType w:val="hybridMultilevel"/>
    <w:lvl w:ilvl="0">
      <w:lvlJc w:val="left"/>
      <w:lvlText w:val="%1."/>
      <w:numFmt w:val="decimal"/>
      <w:start w:val="1"/>
    </w:lvl>
    <w:lvl w:ilvl="1">
      <w:lvlJc w:val="left"/>
      <w:lvlText w:val="(%2)"/>
      <w:numFmt w:val="lowerLetter"/>
      <w:start w:val="1"/>
    </w:lvl>
  </w:abstractNum>
  <w:abstractNum w:abstractNumId="8">
    <w:nsid w:val="1BEFD79F"/>
    <w:multiLevelType w:val="hybridMultilevel"/>
    <w:lvl w:ilvl="0">
      <w:lvlJc w:val="left"/>
      <w:lvlText w:val="%1"/>
      <w:numFmt w:val="decimal"/>
      <w:start w:val="1"/>
    </w:lvl>
    <w:lvl w:ilvl="1">
      <w:lvlJc w:val="left"/>
      <w:lvlText w:val="%2."/>
      <w:numFmt w:val="decimal"/>
      <w:start w:val="9"/>
    </w:lvl>
  </w:abstractNum>
  <w:abstractNum w:abstractNumId="9">
    <w:nsid w:val="41A7C4C9"/>
    <w:multiLevelType w:val="hybridMultilevel"/>
    <w:lvl w:ilvl="0">
      <w:lvlJc w:val="left"/>
      <w:lvlText w:val="(%1)"/>
      <w:numFmt w:val="decimal"/>
      <w:start w:val="1"/>
    </w:lvl>
    <w:lvl w:ilvl="1">
      <w:lvlJc w:val="left"/>
      <w:lvlText w:val="%2"/>
      <w:numFmt w:val="decimal"/>
      <w:start w:val="1"/>
    </w:lvl>
  </w:abstractNum>
  <w:abstractNum w:abstractNumId="10">
    <w:nsid w:val="6B68079A"/>
    <w:multiLevelType w:val="hybridMultilevel"/>
    <w:lvl w:ilvl="0">
      <w:lvlJc w:val="left"/>
      <w:lvlText w:val="%1."/>
      <w:numFmt w:val="decimal"/>
      <w:start w:val="1"/>
    </w:lvl>
    <w:lvl w:ilvl="1">
      <w:lvlJc w:val="left"/>
      <w:lvlText w:val="(%2)"/>
      <w:numFmt w:val="lowerLetter"/>
      <w:start w:val="1"/>
    </w:lvl>
  </w:abstractNum>
  <w:abstractNum w:abstractNumId="11">
    <w:nsid w:val="4E6AFB66"/>
    <w:multiLevelType w:val="hybridMultilevel"/>
    <w:lvl w:ilvl="0">
      <w:lvlJc w:val="left"/>
      <w:lvlText w:val="%1"/>
      <w:numFmt w:val="decimal"/>
      <w:start w:val="1"/>
    </w:lvl>
    <w:lvl w:ilvl="1">
      <w:lvlJc w:val="left"/>
      <w:lvlText w:val="%2."/>
      <w:numFmt w:val="decimal"/>
      <w:start w:val="9"/>
    </w:lvl>
  </w:abstractNum>
  <w:abstractNum w:abstractNumId="12">
    <w:nsid w:val="25E45D32"/>
    <w:multiLevelType w:val="hybridMultilevel"/>
    <w:lvl w:ilvl="0">
      <w:lvlJc w:val="left"/>
      <w:lvlText w:val="(%1)"/>
      <w:numFmt w:val="decimal"/>
      <w:start w:val="1"/>
    </w:lvl>
    <w:lvl w:ilvl="1">
      <w:lvlJc w:val="left"/>
      <w:lvlText w:val="%2"/>
      <w:numFmt w:val="decimal"/>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lowerRoman"/>
      <w:start w:val="2"/>
    </w:lvl>
  </w:abstractNum>
  <w:abstractNum w:abstractNumId="19">
    <w:nsid w:val="436C6125"/>
    <w:multiLevelType w:val="hybridMultilevel"/>
    <w:lvl w:ilvl="0">
      <w:lvlJc w:val="left"/>
      <w:lvlText w:val="(%1)"/>
      <w:numFmt w:val="lowerRoman"/>
      <w:start w:val="3"/>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2020-02-13T16:31:59Z</dcterms:created>
  <dcterms:modified xsi:type="dcterms:W3CDTF">2020-02-13T16:31:59Z</dcterms:modified>
</cp:coreProperties>
</file>