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40" w:type="dxa"/>
            <w:vAlign w:val="bottom"/>
          </w:tcPr>
          <w:p>
            <w:pPr>
              <w:jc w:val="center"/>
              <w:ind w:right="2381"/>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jc w:val="center"/>
              <w:ind w:right="1122"/>
              <w:spacing w:after="0"/>
              <w:rPr>
                <w:sz w:val="20"/>
                <w:szCs w:val="20"/>
                <w:color w:val="auto"/>
              </w:rPr>
            </w:pPr>
            <w:r>
              <w:rPr>
                <w:rFonts w:ascii="Arial" w:cs="Arial" w:eastAsia="Arial" w:hAnsi="Arial"/>
                <w:sz w:val="18"/>
                <w:szCs w:val="18"/>
                <w:b w:val="1"/>
                <w:bCs w:val="1"/>
                <w:color w:val="auto"/>
                <w:w w:val="90"/>
              </w:rPr>
              <w:t>1-12154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140" w:type="dxa"/>
            <w:vAlign w:val="bottom"/>
          </w:tcPr>
          <w:p>
            <w:pPr>
              <w:jc w:val="center"/>
              <w:ind w:right="236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jc w:val="center"/>
              <w:ind w:right="11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jc w:val="center"/>
              <w:ind w:right="112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14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1001 Fannin, Houston, Texas</w:t>
            </w:r>
          </w:p>
        </w:tc>
        <w:tc>
          <w:tcPr>
            <w:tcW w:w="240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77002</w:t>
            </w:r>
          </w:p>
        </w:tc>
      </w:tr>
      <w:tr>
        <w:trPr>
          <w:trHeight w:val="186"/>
        </w:trPr>
        <w:tc>
          <w:tcPr>
            <w:tcW w:w="4140" w:type="dxa"/>
            <w:vAlign w:val="bottom"/>
          </w:tcPr>
          <w:p>
            <w:pPr>
              <w:jc w:val="center"/>
              <w:ind w:left="124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left="1140" w:right="8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10, 2016, Waste Management, Inc. (the “Company”) announced that the Board of Directors of the Company (the “Board”) appointed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James C. Fish, Jr. as the Company’s President and Chief Executive Officer and elected Mr. Fish as a director, effective immediately. Mr. Fish succeeded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David P. Steiner, who served as the Company’s Chief Executive Officer since 2004.</w:t>
      </w:r>
    </w:p>
    <w:p>
      <w:pPr>
        <w:spacing w:after="0" w:line="21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Mr. Fish, age 54, joined the Company in 2001 as Director, Financial Planning and Analysis. Two years later, he was promoted to Vice President, Price Management and was responsible for running the Company’s pricing programs. Afterwards, he moved into field operations as a Vice President, first serving as Market Area General Manager for the Rhode Island/Southern Massachusetts Market Area, then managing the larger Western Pennsylvania/West Virginia Market Area, and finally managing the expanded Pennsylvania/West Virginia Area until his promotion to Senior Vice President, Eastern Group in June 2011. In July 2012, Mr. Fish was appointed Executive Vice President and Chief Financial Officer, and since July 2016, Mr. Fish has served as President and Chief Financial Officer.</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and Mr. Fish anticipate entering into an amendment to Mr. Fish’s employment agreement that reflects his promotion to President and Chief Executive Officer (the “Employment Agreement Amendment”). The Employment Agreement Amendment will provide for an annual base salary of $1 million. Additionally, under the Employment Agreement Amendment, Mr. Fish’s target annual cash incentive will be 125% of his base salary in effect for the year. Mr. Fish’s annual cash incentive for 2016 will be prorated between his time spent as Executive Vice President and Chief Financial Officer, President and Chief Financial Officer and President and Chief Executive Officer, in each case calculated using the applicable salary and target bonus for each position.</w:t>
      </w:r>
    </w:p>
    <w:p>
      <w:pPr>
        <w:spacing w:after="0" w:line="158"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Additionally, on November 11, 2016, the Company granted Mr. Fish an award of restricted stock units (“RSUs”) under the Company’s 2014 Stock Incentive Plan with respect to 15,625 shares of the Company’s common stock. The material terms of the RSUs are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RSUs</w:t>
            </w:r>
          </w:p>
        </w:tc>
        <w:tc>
          <w:tcPr>
            <w:tcW w:w="5540" w:type="dxa"/>
            <w:vAlign w:val="bottom"/>
          </w:tcPr>
          <w:p>
            <w:pPr>
              <w:spacing w:after="0"/>
              <w:rPr>
                <w:sz w:val="17"/>
                <w:szCs w:val="17"/>
                <w:color w:val="auto"/>
              </w:rPr>
            </w:pPr>
          </w:p>
        </w:tc>
        <w:tc>
          <w:tcPr>
            <w:tcW w:w="5340" w:type="dxa"/>
            <w:vAlign w:val="bottom"/>
          </w:tcPr>
          <w:p>
            <w:pPr>
              <w:spacing w:after="0"/>
              <w:rPr>
                <w:sz w:val="17"/>
                <w:szCs w:val="17"/>
                <w:color w:val="auto"/>
              </w:rPr>
            </w:pPr>
          </w:p>
        </w:tc>
      </w:tr>
      <w:tr>
        <w:trPr>
          <w:trHeight w:val="344"/>
        </w:trPr>
        <w:tc>
          <w:tcPr>
            <w:tcW w:w="598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5340" w:type="dxa"/>
            <w:vAlign w:val="bottom"/>
          </w:tcPr>
          <w:p>
            <w:pPr>
              <w:ind w:left="420"/>
              <w:spacing w:after="0"/>
              <w:rPr>
                <w:sz w:val="20"/>
                <w:szCs w:val="20"/>
                <w:color w:val="auto"/>
              </w:rPr>
            </w:pPr>
            <w:r>
              <w:rPr>
                <w:rFonts w:ascii="Arial" w:cs="Arial" w:eastAsia="Arial" w:hAnsi="Arial"/>
                <w:sz w:val="18"/>
                <w:szCs w:val="18"/>
                <w:color w:val="auto"/>
              </w:rPr>
              <w:t>1/3 on the first anniversary of grant</w:t>
            </w:r>
          </w:p>
        </w:tc>
      </w:tr>
      <w:tr>
        <w:trPr>
          <w:trHeight w:val="216"/>
        </w:trPr>
        <w:tc>
          <w:tcPr>
            <w:tcW w:w="4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1/3 on the second anniversary of grant</w:t>
            </w:r>
          </w:p>
        </w:tc>
      </w:tr>
      <w:tr>
        <w:trPr>
          <w:trHeight w:val="216"/>
        </w:trPr>
        <w:tc>
          <w:tcPr>
            <w:tcW w:w="4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1/3 on the third anniversary of grant</w:t>
            </w:r>
          </w:p>
        </w:tc>
      </w:tr>
      <w:tr>
        <w:trPr>
          <w:trHeight w:val="216"/>
        </w:trPr>
        <w:tc>
          <w:tcPr>
            <w:tcW w:w="4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w w:val="94"/>
              </w:rPr>
              <w:t>Each RSU will be converted into one share of Company common</w:t>
            </w:r>
          </w:p>
        </w:tc>
      </w:tr>
      <w:tr>
        <w:trPr>
          <w:trHeight w:val="230"/>
        </w:trPr>
        <w:tc>
          <w:tcPr>
            <w:tcW w:w="4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stock.</w:t>
            </w:r>
          </w:p>
        </w:tc>
      </w:tr>
      <w:tr>
        <w:trPr>
          <w:trHeight w:val="446"/>
        </w:trPr>
        <w:tc>
          <w:tcPr>
            <w:tcW w:w="5980" w:type="dxa"/>
            <w:vAlign w:val="bottom"/>
            <w:gridSpan w:val="2"/>
          </w:tcPr>
          <w:p>
            <w:pPr>
              <w:spacing w:after="0"/>
              <w:rPr>
                <w:sz w:val="20"/>
                <w:szCs w:val="20"/>
                <w:color w:val="auto"/>
              </w:rPr>
            </w:pPr>
            <w:r>
              <w:rPr>
                <w:rFonts w:ascii="Arial" w:cs="Arial" w:eastAsia="Arial" w:hAnsi="Arial"/>
                <w:sz w:val="18"/>
                <w:szCs w:val="18"/>
                <w:color w:val="auto"/>
              </w:rPr>
              <w:t>Dividend Equivalents</w:t>
            </w:r>
          </w:p>
        </w:tc>
        <w:tc>
          <w:tcPr>
            <w:tcW w:w="5340" w:type="dxa"/>
            <w:vAlign w:val="bottom"/>
          </w:tcPr>
          <w:p>
            <w:pPr>
              <w:ind w:left="420"/>
              <w:spacing w:after="0"/>
              <w:rPr>
                <w:sz w:val="20"/>
                <w:szCs w:val="20"/>
                <w:color w:val="auto"/>
              </w:rPr>
            </w:pPr>
            <w:r>
              <w:rPr>
                <w:rFonts w:ascii="Arial" w:cs="Arial" w:eastAsia="Arial" w:hAnsi="Arial"/>
                <w:sz w:val="18"/>
                <w:szCs w:val="18"/>
                <w:color w:val="auto"/>
              </w:rPr>
              <w:t>Dividends will accrue and be paid in cash upon settlement.</w:t>
            </w: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534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Death or Disability</w:t>
            </w:r>
          </w:p>
        </w:tc>
        <w:tc>
          <w:tcPr>
            <w:tcW w:w="5340" w:type="dxa"/>
            <w:vAlign w:val="bottom"/>
          </w:tcPr>
          <w:p>
            <w:pPr>
              <w:ind w:left="420"/>
              <w:spacing w:after="0"/>
              <w:rPr>
                <w:sz w:val="20"/>
                <w:szCs w:val="20"/>
                <w:color w:val="auto"/>
              </w:rPr>
            </w:pPr>
            <w:r>
              <w:rPr>
                <w:rFonts w:ascii="Arial" w:cs="Arial" w:eastAsia="Arial" w:hAnsi="Arial"/>
                <w:sz w:val="18"/>
                <w:szCs w:val="18"/>
                <w:color w:val="auto"/>
              </w:rPr>
              <w:t>All RSUs immediately vest.</w:t>
            </w:r>
          </w:p>
        </w:tc>
      </w:tr>
      <w:tr>
        <w:trPr>
          <w:trHeight w:val="418"/>
        </w:trPr>
        <w:tc>
          <w:tcPr>
            <w:tcW w:w="440" w:type="dxa"/>
            <w:vAlign w:val="bottom"/>
          </w:tcPr>
          <w:p>
            <w:pPr>
              <w:spacing w:after="0"/>
              <w:rPr>
                <w:sz w:val="24"/>
                <w:szCs w:val="24"/>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Qualifying Retirement or Involuntary Termination without Cause</w:t>
            </w:r>
          </w:p>
        </w:tc>
        <w:tc>
          <w:tcPr>
            <w:tcW w:w="5340" w:type="dxa"/>
            <w:vAlign w:val="bottom"/>
          </w:tcPr>
          <w:p>
            <w:pPr>
              <w:ind w:left="420"/>
              <w:spacing w:after="0"/>
              <w:rPr>
                <w:sz w:val="20"/>
                <w:szCs w:val="20"/>
                <w:color w:val="auto"/>
              </w:rPr>
            </w:pPr>
            <w:r>
              <w:rPr>
                <w:rFonts w:ascii="Arial" w:cs="Arial" w:eastAsia="Arial" w:hAnsi="Arial"/>
                <w:sz w:val="18"/>
                <w:szCs w:val="18"/>
                <w:color w:val="auto"/>
              </w:rPr>
              <w:t>RSUs vest on a pro rata basis and will be paid on originally</w:t>
            </w:r>
          </w:p>
        </w:tc>
      </w:tr>
      <w:tr>
        <w:trPr>
          <w:trHeight w:val="230"/>
        </w:trPr>
        <w:tc>
          <w:tcPr>
            <w:tcW w:w="4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scheduled vesting date.</w:t>
            </w:r>
          </w:p>
        </w:tc>
      </w:tr>
      <w:tr>
        <w:trPr>
          <w:trHeight w:val="432"/>
        </w:trPr>
        <w:tc>
          <w:tcPr>
            <w:tcW w:w="440" w:type="dxa"/>
            <w:vAlign w:val="bottom"/>
          </w:tcPr>
          <w:p>
            <w:pPr>
              <w:spacing w:after="0"/>
              <w:rPr>
                <w:sz w:val="24"/>
                <w:szCs w:val="24"/>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Resignation; Involuntary Termination for Cause</w:t>
            </w:r>
          </w:p>
        </w:tc>
        <w:tc>
          <w:tcPr>
            <w:tcW w:w="5340" w:type="dxa"/>
            <w:vAlign w:val="bottom"/>
          </w:tcPr>
          <w:p>
            <w:pPr>
              <w:ind w:left="420"/>
              <w:spacing w:after="0"/>
              <w:rPr>
                <w:sz w:val="20"/>
                <w:szCs w:val="20"/>
                <w:color w:val="auto"/>
              </w:rPr>
            </w:pPr>
            <w:r>
              <w:rPr>
                <w:rFonts w:ascii="Arial" w:cs="Arial" w:eastAsia="Arial" w:hAnsi="Arial"/>
                <w:sz w:val="18"/>
                <w:szCs w:val="18"/>
                <w:color w:val="auto"/>
              </w:rPr>
              <w:t>All unvested RSUs are forfeited.</w:t>
            </w:r>
          </w:p>
        </w:tc>
      </w:tr>
      <w:tr>
        <w:trPr>
          <w:trHeight w:val="418"/>
        </w:trPr>
        <w:tc>
          <w:tcPr>
            <w:tcW w:w="440" w:type="dxa"/>
            <w:vAlign w:val="bottom"/>
          </w:tcPr>
          <w:p>
            <w:pPr>
              <w:spacing w:after="0"/>
              <w:rPr>
                <w:sz w:val="24"/>
                <w:szCs w:val="24"/>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Involuntary Termination without Cause following a Change in Control</w:t>
            </w:r>
          </w:p>
        </w:tc>
        <w:tc>
          <w:tcPr>
            <w:tcW w:w="5340" w:type="dxa"/>
            <w:vAlign w:val="bottom"/>
          </w:tcPr>
          <w:p>
            <w:pPr>
              <w:ind w:left="420"/>
              <w:spacing w:after="0"/>
              <w:rPr>
                <w:sz w:val="20"/>
                <w:szCs w:val="20"/>
                <w:color w:val="auto"/>
              </w:rPr>
            </w:pPr>
            <w:r>
              <w:rPr>
                <w:rFonts w:ascii="Arial" w:cs="Arial" w:eastAsia="Arial" w:hAnsi="Arial"/>
                <w:sz w:val="18"/>
                <w:szCs w:val="18"/>
                <w:color w:val="auto"/>
                <w:w w:val="92"/>
              </w:rPr>
              <w:t>All RSUs immediately vest and will be paid on originally scheduled</w:t>
            </w:r>
          </w:p>
        </w:tc>
      </w:tr>
      <w:tr>
        <w:trPr>
          <w:trHeight w:val="230"/>
        </w:trPr>
        <w:tc>
          <w:tcPr>
            <w:tcW w:w="4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340" w:type="dxa"/>
            <w:vAlign w:val="bottom"/>
          </w:tcPr>
          <w:p>
            <w:pPr>
              <w:ind w:left="420"/>
              <w:spacing w:after="0"/>
              <w:rPr>
                <w:sz w:val="20"/>
                <w:szCs w:val="20"/>
                <w:color w:val="auto"/>
              </w:rPr>
            </w:pPr>
            <w:r>
              <w:rPr>
                <w:rFonts w:ascii="Arial" w:cs="Arial" w:eastAsia="Arial" w:hAnsi="Arial"/>
                <w:sz w:val="18"/>
                <w:szCs w:val="18"/>
                <w:color w:val="auto"/>
              </w:rPr>
              <w:t>vesting date.</w:t>
            </w:r>
          </w:p>
        </w:tc>
      </w:tr>
    </w:tbl>
    <w:p>
      <w:pPr>
        <w:sectPr>
          <w:pgSz w:w="11900" w:h="16838" w:orient="portrait"/>
          <w:cols w:equalWidth="0" w:num="1">
            <w:col w:w="11380"/>
          </w:cols>
          <w:pgMar w:left="240" w:top="270" w:right="279" w:bottom="1440" w:gutter="0" w:footer="0" w:header="0"/>
        </w:sectPr>
      </w:pPr>
    </w:p>
    <w:bookmarkStart w:id="2" w:name="page3"/>
    <w:bookmarkEnd w:id="2"/>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press release announcing Mr. Fish’s appointment to the position of President and Chief Executive Officer and election as a director is filed as Exhibit 99.1 to this report.</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10, 2016</w:t>
      </w:r>
    </w:p>
    <w:p>
      <w:pPr>
        <w:sectPr>
          <w:pgSz w:w="11900" w:h="16838" w:orient="portrait"/>
          <w:cols w:equalWidth="0" w:num="1">
            <w:col w:w="10940"/>
          </w:cols>
          <w:pgMar w:left="240" w:top="274" w:right="719"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17, 2016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Barry H. Caldwell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Corporate Affairs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Legal Officer</w:t>
      </w:r>
    </w:p>
    <w:p>
      <w:pPr>
        <w:sectPr>
          <w:pgSz w:w="11900" w:h="16838" w:orient="portrait"/>
          <w:cols w:equalWidth="0" w:num="1">
            <w:col w:w="10740"/>
          </w:cols>
          <w:pgMar w:left="240" w:top="270" w:right="91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u w:val="single" w:color="auto"/>
          <w:color w:val="auto"/>
        </w:rPr>
        <w:t>No.</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10, 2016</w:t>
      </w:r>
    </w:p>
    <w:p>
      <w:pPr>
        <w:sectPr>
          <w:pgSz w:w="11900" w:h="16838" w:orient="portrait"/>
          <w:cols w:equalWidth="0" w:num="1">
            <w:col w:w="10219"/>
          </w:cols>
          <w:pgMar w:left="240" w:top="270"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 IMMEDIATE RELEASE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Waste Management Names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James C. Fish, Jr. Chief Executive Officer</w:t>
      </w:r>
    </w:p>
    <w:p>
      <w:pPr>
        <w:spacing w:after="0" w:line="200" w:lineRule="exact"/>
        <w:rPr>
          <w:sz w:val="20"/>
          <w:szCs w:val="20"/>
          <w:color w:val="auto"/>
        </w:rPr>
      </w:pPr>
    </w:p>
    <w:p>
      <w:pPr>
        <w:spacing w:after="0" w:line="283"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HOUSTON — November 10, 2016 </w:t>
      </w:r>
      <w:r>
        <w:rPr>
          <w:rFonts w:ascii="Arial" w:cs="Arial" w:eastAsia="Arial" w:hAnsi="Arial"/>
          <w:sz w:val="18"/>
          <w:szCs w:val="18"/>
          <w:color w:val="auto"/>
        </w:rPr>
        <w:t>— Waste Management, Inc. (NYSE: WM) today announced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has named James (Jim) C. Fish, Jr. as the Company’s President and Chief Executive Officer. He has also been elected to the Board of Directors.</w:t>
      </w:r>
    </w:p>
    <w:p>
      <w:pPr>
        <w:spacing w:after="0" w:line="2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Fish succeeds David P. Steiner as CEO. Steiner served as CEO since 2004 and remains on the Board of Directors.</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 Robert Reum, Non-Executive Chairman of the Board, said: “Today’s announcement is the culmination of a succession planning process we started 18 months ago with the support of the entire Board. Over the last 15 years at Waste Management, Jim has consistently delivered results, and has the skills and leadership qualities that make him ideally suited for the role. He has a deep understanding of our strategy, impressive financial and operational acumen and strong support from employees, customers and investors. We look forward to working closely with him and the rest of the senior leadership team as the Company continues to execute on its long-term strategy.”</w:t>
      </w:r>
    </w:p>
    <w:p>
      <w:pPr>
        <w:spacing w:after="0" w:line="2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Reum continued: “On behalf of the Board, I would like to thank David for his many contributions to our Company’s success over 16 years and his dedicated and effective service as CEO for the past twelve years.”</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“It is a privilege to be named CEO of Waste Management, and I greatly appreciate the Board’s confidence in me,” said Fish. “Waste Management has executed extremely well on our overall strategy, the results of which are reflected in our very strong shareholder returns. Our strategy is sound and I look forward to working with the Board, the leadership team and all of our talented employees in continuing to provide superior service to our valued customers.”</w:t>
      </w:r>
    </w:p>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is continuing its search for a CFO. In the interim, Fish will continue to lead the finance organization.</w:t>
      </w:r>
    </w:p>
    <w:p>
      <w:pPr>
        <w:spacing w:after="0" w:line="19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Waste Management also announced that it has scheduled a shareholder-analyst conference call on November 11, 2016 at 8:00 a.m. Eastern Time to discuss Jim Fish’s election.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What: Waste Management shareholder-analyst conference call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When: Friday, November 11, 2016 at 8:00 a.m. Eastern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Where: A live audio webcast of the conference call can be accessed by logging</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onto </w:t>
      </w:r>
      <w:r>
        <w:rPr>
          <w:rFonts w:ascii="Arial" w:cs="Arial" w:eastAsia="Arial" w:hAnsi="Arial"/>
          <w:sz w:val="18"/>
          <w:szCs w:val="18"/>
          <w:u w:val="single" w:color="auto"/>
          <w:color w:val="auto"/>
        </w:rPr>
        <w:t>http://www.wm.com</w:t>
      </w:r>
      <w:r>
        <w:rPr>
          <w:rFonts w:ascii="Arial" w:cs="Arial" w:eastAsia="Arial" w:hAnsi="Arial"/>
          <w:sz w:val="18"/>
          <w:szCs w:val="18"/>
          <w:color w:val="auto"/>
        </w:rPr>
        <w:t xml:space="preserve"> and selecting “Events and Presentations” in the Investor Relations section of our website.</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may also listen to the analyst conference call by telephone by contacting the conference call operator 5-10 minutes prior to the scheduled start time and asking for the “Waste Management Conference Call — Call ID 19301943.” US/Canada Dial-In #: (877) 710-6139. Int’l/Local Dial-In #: (706) 643-7398. Participation will be in listen-only mode.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MORE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7620" w:space="660"/>
            <w:col w:w="3140"/>
          </w:cols>
          <w:pgMar w:left="240" w:top="121" w:right="239" w:bottom="1440" w:gutter="0" w:footer="0" w:header="0"/>
        </w:sectPr>
      </w:pPr>
    </w:p>
    <w:bookmarkStart w:id="6" w:name="page7"/>
    <w:bookmarkEnd w:id="6"/>
    <w:p>
      <w:pPr>
        <w:ind w:right="2799"/>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Replay: A replay of the call will be available beginning two hours after the call’s completion until 5:00 p.m. Eastern Time December 11, 2016. To hear a replay of the call over the Internet, access Waste Management’s website at </w:t>
      </w:r>
      <w:r>
        <w:rPr>
          <w:rFonts w:ascii="Arial" w:cs="Arial" w:eastAsia="Arial" w:hAnsi="Arial"/>
          <w:sz w:val="17"/>
          <w:szCs w:val="17"/>
          <w:u w:val="single" w:color="auto"/>
          <w:color w:val="auto"/>
        </w:rPr>
        <w:t>http://www.wm.com</w:t>
      </w:r>
      <w:r>
        <w:rPr>
          <w:rFonts w:ascii="Arial" w:cs="Arial" w:eastAsia="Arial" w:hAnsi="Arial"/>
          <w:sz w:val="17"/>
          <w:szCs w:val="17"/>
          <w:color w:val="auto"/>
        </w:rPr>
        <w:t>. To hear a telephonic replay of the call, dial (855) 859-2056 or (404) 537-3406 and enter conference code 19301943.</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C. Fish, Jr.</w:t>
      </w:r>
    </w:p>
    <w:p>
      <w:pPr>
        <w:spacing w:after="0" w:line="135" w:lineRule="exact"/>
        <w:rPr>
          <w:sz w:val="20"/>
          <w:szCs w:val="20"/>
          <w:color w:val="auto"/>
        </w:rPr>
      </w:pPr>
    </w:p>
    <w:p>
      <w:pPr>
        <w:ind w:right="2659"/>
        <w:spacing w:after="0" w:line="291" w:lineRule="auto"/>
        <w:rPr>
          <w:sz w:val="20"/>
          <w:szCs w:val="20"/>
          <w:color w:val="auto"/>
        </w:rPr>
      </w:pPr>
      <w:r>
        <w:rPr>
          <w:rFonts w:ascii="Arial" w:cs="Arial" w:eastAsia="Arial" w:hAnsi="Arial"/>
          <w:sz w:val="16"/>
          <w:szCs w:val="16"/>
          <w:color w:val="auto"/>
        </w:rPr>
        <w:t>Jim Fish, 54, has held several roles of increasing responsibility since he joined Waste Management in 2001. Prior to becoming CFO in 2012 and President and CFO in July 2016, he held several key positions with the Company, including Senior Vice President for the Company’s Eastern Group, Area Vice President for Pennsylvania and West Virginia, Market Area General Manager for Massachusetts and Rhode Island, Vice President of Price Management and Director of Financial Planning and Analysis. Fish earned a Bachelor of Science in accounting from Arizona State University and an MBA in finance from the University of Chicago. He is also a Certified Public Accountant.</w:t>
      </w:r>
    </w:p>
    <w:p>
      <w:pPr>
        <w:spacing w:after="0" w:line="194" w:lineRule="exact"/>
        <w:rPr>
          <w:sz w:val="20"/>
          <w:szCs w:val="20"/>
          <w:color w:val="auto"/>
        </w:rPr>
      </w:pPr>
    </w:p>
    <w:p>
      <w:pPr>
        <w:ind w:right="2879"/>
        <w:spacing w:after="0" w:line="264" w:lineRule="auto"/>
        <w:rPr>
          <w:sz w:val="20"/>
          <w:szCs w:val="20"/>
          <w:color w:val="auto"/>
        </w:rPr>
      </w:pPr>
      <w:r>
        <w:rPr>
          <w:rFonts w:ascii="Arial" w:cs="Arial" w:eastAsia="Arial" w:hAnsi="Arial"/>
          <w:sz w:val="18"/>
          <w:szCs w:val="18"/>
          <w:color w:val="auto"/>
        </w:rPr>
        <w:t>Before joining Waste Management, Fish held finance and revenue management positions at Westex, a Yellow-Roadway subsidiary; Trans World Airlines; and America West Airlines. He began his professional career at KPMG Peat Marwick.</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2639"/>
        <w:spacing w:after="0" w:line="293" w:lineRule="auto"/>
        <w:rPr>
          <w:sz w:val="20"/>
          <w:szCs w:val="20"/>
          <w:color w:val="auto"/>
        </w:rPr>
      </w:pPr>
      <w:r>
        <w:rPr>
          <w:rFonts w:ascii="Arial" w:cs="Arial" w:eastAsia="Arial" w:hAnsi="Arial"/>
          <w:sz w:val="16"/>
          <w:szCs w:val="16"/>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 — to — 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192"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w:t>
      </w:r>
    </w:p>
    <w:sectPr>
      <w:pgSz w:w="11900" w:h="16838" w:orient="portrait"/>
      <w:cols w:equalWidth="0" w:num="1">
        <w:col w:w="10219"/>
      </w:cols>
      <w:pgMar w:left="240" w:top="5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2019-12-05T20:16:47Z</dcterms:created>
  <dcterms:modified xsi:type="dcterms:W3CDTF">2019-12-05T20:16:47Z</dcterms:modified>
</cp:coreProperties>
</file>