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151130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1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(Mark One)</w:t>
      </w:r>
    </w:p>
    <w:p>
      <w:pPr>
        <w:spacing w:after="0" w:line="18" w:lineRule="exact"/>
        <w:rPr>
          <w:sz w:val="20"/>
          <w:szCs w:val="20"/>
          <w:color w:val="auto"/>
        </w:rPr>
      </w:pPr>
    </w:p>
    <w:p>
      <w:pPr>
        <w:ind w:left="1880" w:hanging="710"/>
        <w:spacing w:after="0"/>
        <w:tabs>
          <w:tab w:leader="none" w:pos="18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2007</w:t>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7" w:lineRule="exact"/>
        <w:rPr>
          <w:sz w:val="20"/>
          <w:szCs w:val="20"/>
          <w:color w:val="auto"/>
        </w:rPr>
      </w:pPr>
    </w:p>
    <w:p>
      <w:pPr>
        <w:ind w:left="1880" w:hanging="681"/>
        <w:spacing w:after="0"/>
        <w:tabs>
          <w:tab w:leader="none" w:pos="18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tbl>
      <w:tblPr>
        <w:tblLayout w:type="fixed"/>
        <w:tblInd w:w="1880" w:type="dxa"/>
        <w:tblCellMar>
          <w:top w:w="0" w:type="dxa"/>
          <w:left w:w="0" w:type="dxa"/>
          <w:bottom w:w="0" w:type="dxa"/>
          <w:right w:w="0" w:type="dxa"/>
        </w:tblCellMar>
      </w:tblPr>
      <w:tr>
        <w:trPr>
          <w:trHeight w:val="173"/>
        </w:trPr>
        <w:tc>
          <w:tcPr>
            <w:tcW w:w="1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8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99"/>
        </w:trPr>
        <w:tc>
          <w:tcPr>
            <w:tcW w:w="1980" w:type="dxa"/>
            <w:vAlign w:val="bottom"/>
          </w:tcPr>
          <w:p>
            <w:pPr>
              <w:spacing w:after="0"/>
              <w:rPr>
                <w:sz w:val="24"/>
                <w:szCs w:val="24"/>
                <w:color w:val="auto"/>
              </w:rPr>
            </w:pPr>
          </w:p>
        </w:tc>
        <w:tc>
          <w:tcPr>
            <w:tcW w:w="4800" w:type="dxa"/>
            <w:vAlign w:val="bottom"/>
          </w:tcPr>
          <w:p>
            <w:pPr>
              <w:jc w:val="center"/>
              <w:ind w:right="1092"/>
              <w:spacing w:after="0"/>
              <w:rPr>
                <w:sz w:val="20"/>
                <w:szCs w:val="20"/>
                <w:color w:val="auto"/>
              </w:rPr>
            </w:pPr>
            <w:r>
              <w:rPr>
                <w:rFonts w:ascii="Times New Roman" w:cs="Times New Roman" w:eastAsia="Times New Roman" w:hAnsi="Times New Roman"/>
                <w:sz w:val="13"/>
                <w:szCs w:val="13"/>
                <w:b w:val="1"/>
                <w:bCs w:val="1"/>
                <w:color w:val="auto"/>
              </w:rPr>
              <w:t>Commission file number 1-12154</w:t>
            </w:r>
          </w:p>
        </w:tc>
      </w:tr>
      <w:tr>
        <w:trPr>
          <w:trHeight w:val="484"/>
        </w:trPr>
        <w:tc>
          <w:tcPr>
            <w:tcW w:w="1980" w:type="dxa"/>
            <w:vAlign w:val="bottom"/>
          </w:tcPr>
          <w:p>
            <w:pPr>
              <w:spacing w:after="0"/>
              <w:rPr>
                <w:sz w:val="24"/>
                <w:szCs w:val="24"/>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31"/>
                <w:szCs w:val="31"/>
                <w:b w:val="1"/>
                <w:bCs w:val="1"/>
                <w:color w:val="auto"/>
              </w:rPr>
              <w:t>Waste Management, Inc.</w:t>
            </w:r>
          </w:p>
        </w:tc>
      </w:tr>
      <w:tr>
        <w:trPr>
          <w:trHeight w:val="137"/>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tc>
      </w:tr>
      <w:tr>
        <w:trPr>
          <w:trHeight w:val="275"/>
        </w:trPr>
        <w:tc>
          <w:tcPr>
            <w:tcW w:w="1980" w:type="dxa"/>
            <w:vAlign w:val="bottom"/>
          </w:tcPr>
          <w:p>
            <w:pPr>
              <w:jc w:val="center"/>
              <w:ind w:left="561"/>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800" w:type="dxa"/>
            <w:vAlign w:val="bottom"/>
          </w:tcPr>
          <w:p>
            <w:pPr>
              <w:jc w:val="center"/>
              <w:ind w:left="3952"/>
              <w:spacing w:after="0"/>
              <w:rPr>
                <w:sz w:val="20"/>
                <w:szCs w:val="20"/>
                <w:color w:val="auto"/>
              </w:rPr>
            </w:pPr>
            <w:r>
              <w:rPr>
                <w:rFonts w:ascii="Times New Roman" w:cs="Times New Roman" w:eastAsia="Times New Roman" w:hAnsi="Times New Roman"/>
                <w:sz w:val="13"/>
                <w:szCs w:val="13"/>
                <w:b w:val="1"/>
                <w:bCs w:val="1"/>
                <w:color w:val="auto"/>
                <w:w w:val="98"/>
              </w:rPr>
              <w:t>73-1309529</w:t>
            </w:r>
          </w:p>
        </w:tc>
      </w:tr>
      <w:tr>
        <w:trPr>
          <w:trHeight w:val="108"/>
        </w:trPr>
        <w:tc>
          <w:tcPr>
            <w:tcW w:w="1980" w:type="dxa"/>
            <w:vAlign w:val="bottom"/>
          </w:tcPr>
          <w:p>
            <w:pPr>
              <w:jc w:val="center"/>
              <w:ind w:left="581"/>
              <w:spacing w:after="0" w:line="108" w:lineRule="exact"/>
              <w:rPr>
                <w:sz w:val="20"/>
                <w:szCs w:val="20"/>
                <w:color w:val="auto"/>
              </w:rPr>
            </w:pPr>
            <w:r>
              <w:rPr>
                <w:rFonts w:ascii="Times New Roman" w:cs="Times New Roman" w:eastAsia="Times New Roman" w:hAnsi="Times New Roman"/>
                <w:sz w:val="10"/>
                <w:szCs w:val="10"/>
                <w:i w:val="1"/>
                <w:iCs w:val="1"/>
                <w:color w:val="auto"/>
              </w:rPr>
              <w:t>(State or other jurisdiction of</w:t>
            </w:r>
          </w:p>
        </w:tc>
        <w:tc>
          <w:tcPr>
            <w:tcW w:w="4800" w:type="dxa"/>
            <w:vAlign w:val="bottom"/>
          </w:tcPr>
          <w:p>
            <w:pPr>
              <w:jc w:val="center"/>
              <w:ind w:left="3952"/>
              <w:spacing w:after="0" w:line="108" w:lineRule="exact"/>
              <w:rPr>
                <w:sz w:val="20"/>
                <w:szCs w:val="20"/>
                <w:color w:val="auto"/>
              </w:rPr>
            </w:pPr>
            <w:r>
              <w:rPr>
                <w:rFonts w:ascii="Times New Roman" w:cs="Times New Roman" w:eastAsia="Times New Roman" w:hAnsi="Times New Roman"/>
                <w:sz w:val="10"/>
                <w:szCs w:val="10"/>
                <w:i w:val="1"/>
                <w:iCs w:val="1"/>
                <w:color w:val="auto"/>
              </w:rPr>
              <w:t>(I.R.S. Employer</w:t>
            </w:r>
          </w:p>
        </w:tc>
      </w:tr>
      <w:tr>
        <w:trPr>
          <w:trHeight w:val="137"/>
        </w:trPr>
        <w:tc>
          <w:tcPr>
            <w:tcW w:w="1980" w:type="dxa"/>
            <w:vAlign w:val="bottom"/>
          </w:tcPr>
          <w:p>
            <w:pPr>
              <w:jc w:val="center"/>
              <w:ind w:left="581"/>
              <w:spacing w:after="0"/>
              <w:rPr>
                <w:sz w:val="20"/>
                <w:szCs w:val="20"/>
                <w:color w:val="auto"/>
              </w:rPr>
            </w:pPr>
            <w:r>
              <w:rPr>
                <w:rFonts w:ascii="Times New Roman" w:cs="Times New Roman" w:eastAsia="Times New Roman" w:hAnsi="Times New Roman"/>
                <w:sz w:val="10"/>
                <w:szCs w:val="10"/>
                <w:i w:val="1"/>
                <w:iCs w:val="1"/>
                <w:color w:val="auto"/>
              </w:rPr>
              <w:t>incorporation or organization)</w:t>
            </w:r>
          </w:p>
        </w:tc>
        <w:tc>
          <w:tcPr>
            <w:tcW w:w="4800" w:type="dxa"/>
            <w:vAlign w:val="bottom"/>
          </w:tcPr>
          <w:p>
            <w:pPr>
              <w:jc w:val="center"/>
              <w:ind w:left="3952"/>
              <w:spacing w:after="0"/>
              <w:rPr>
                <w:sz w:val="20"/>
                <w:szCs w:val="20"/>
                <w:color w:val="auto"/>
              </w:rPr>
            </w:pPr>
            <w:r>
              <w:rPr>
                <w:rFonts w:ascii="Times New Roman" w:cs="Times New Roman" w:eastAsia="Times New Roman" w:hAnsi="Times New Roman"/>
                <w:sz w:val="10"/>
                <w:szCs w:val="10"/>
                <w:i w:val="1"/>
                <w:iCs w:val="1"/>
                <w:color w:val="auto"/>
              </w:rPr>
              <w:t>Identification No.)</w:t>
            </w:r>
          </w:p>
        </w:tc>
      </w:tr>
      <w:tr>
        <w:trPr>
          <w:trHeight w:val="268"/>
        </w:trPr>
        <w:tc>
          <w:tcPr>
            <w:tcW w:w="1980" w:type="dxa"/>
            <w:vAlign w:val="bottom"/>
          </w:tcPr>
          <w:p>
            <w:pPr>
              <w:spacing w:after="0"/>
              <w:rPr>
                <w:sz w:val="23"/>
                <w:szCs w:val="23"/>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1001 Fannin</w:t>
            </w:r>
          </w:p>
        </w:tc>
      </w:tr>
      <w:tr>
        <w:trPr>
          <w:trHeight w:val="157"/>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Suite 4000</w:t>
            </w:r>
          </w:p>
        </w:tc>
      </w:tr>
      <w:tr>
        <w:trPr>
          <w:trHeight w:val="155"/>
        </w:trPr>
        <w:tc>
          <w:tcPr>
            <w:tcW w:w="1980" w:type="dxa"/>
            <w:vAlign w:val="bottom"/>
          </w:tcPr>
          <w:p>
            <w:pPr>
              <w:spacing w:after="0"/>
              <w:rPr>
                <w:sz w:val="13"/>
                <w:szCs w:val="13"/>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Houston, Texas 77002</w:t>
            </w:r>
          </w:p>
        </w:tc>
      </w:tr>
      <w:tr>
        <w:trPr>
          <w:trHeight w:val="137"/>
        </w:trPr>
        <w:tc>
          <w:tcPr>
            <w:tcW w:w="1980" w:type="dxa"/>
            <w:vAlign w:val="bottom"/>
          </w:tcPr>
          <w:p>
            <w:pPr>
              <w:spacing w:after="0"/>
              <w:rPr>
                <w:sz w:val="11"/>
                <w:szCs w:val="11"/>
                <w:color w:val="auto"/>
              </w:rPr>
            </w:pPr>
          </w:p>
        </w:tc>
        <w:tc>
          <w:tcPr>
            <w:tcW w:w="4800" w:type="dxa"/>
            <w:vAlign w:val="bottom"/>
          </w:tcPr>
          <w:p>
            <w:pPr>
              <w:jc w:val="center"/>
              <w:ind w:right="1092"/>
              <w:spacing w:after="0"/>
              <w:rPr>
                <w:sz w:val="20"/>
                <w:szCs w:val="20"/>
                <w:color w:val="auto"/>
              </w:rPr>
            </w:pPr>
            <w:r>
              <w:rPr>
                <w:rFonts w:ascii="Times New Roman" w:cs="Times New Roman" w:eastAsia="Times New Roman" w:hAnsi="Times New Roman"/>
                <w:sz w:val="10"/>
                <w:szCs w:val="10"/>
                <w:i w:val="1"/>
                <w:iCs w:val="1"/>
                <w:color w:val="auto"/>
              </w:rPr>
              <w:t>(Address of principal executive offices)</w:t>
            </w:r>
          </w:p>
        </w:tc>
      </w:tr>
      <w:tr>
        <w:trPr>
          <w:trHeight w:val="266"/>
        </w:trPr>
        <w:tc>
          <w:tcPr>
            <w:tcW w:w="1980" w:type="dxa"/>
            <w:vAlign w:val="bottom"/>
          </w:tcPr>
          <w:p>
            <w:pPr>
              <w:spacing w:after="0"/>
              <w:rPr>
                <w:sz w:val="23"/>
                <w:szCs w:val="23"/>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3"/>
                <w:szCs w:val="13"/>
                <w:b w:val="1"/>
                <w:bCs w:val="1"/>
                <w:color w:val="auto"/>
              </w:rPr>
              <w:t>(713) 512-6200</w:t>
            </w:r>
          </w:p>
        </w:tc>
      </w:tr>
      <w:tr>
        <w:trPr>
          <w:trHeight w:val="137"/>
        </w:trPr>
        <w:tc>
          <w:tcPr>
            <w:tcW w:w="1980" w:type="dxa"/>
            <w:vAlign w:val="bottom"/>
          </w:tcPr>
          <w:p>
            <w:pPr>
              <w:spacing w:after="0"/>
              <w:rPr>
                <w:sz w:val="11"/>
                <w:szCs w:val="11"/>
                <w:color w:val="auto"/>
              </w:rPr>
            </w:pPr>
          </w:p>
        </w:tc>
        <w:tc>
          <w:tcPr>
            <w:tcW w:w="4800" w:type="dxa"/>
            <w:vAlign w:val="bottom"/>
          </w:tcPr>
          <w:p>
            <w:pPr>
              <w:jc w:val="center"/>
              <w:ind w:right="1112"/>
              <w:spacing w:after="0"/>
              <w:rPr>
                <w:sz w:val="20"/>
                <w:szCs w:val="20"/>
                <w:color w:val="auto"/>
              </w:rPr>
            </w:pPr>
            <w:r>
              <w:rPr>
                <w:rFonts w:ascii="Times New Roman" w:cs="Times New Roman" w:eastAsia="Times New Roman" w:hAnsi="Times New Roman"/>
                <w:sz w:val="10"/>
                <w:szCs w:val="10"/>
                <w:i w:val="1"/>
                <w:iCs w:val="1"/>
                <w:color w:val="auto"/>
              </w:rPr>
              <w:t>(Registrant’s telephone number, including area code)</w:t>
            </w:r>
          </w:p>
        </w:tc>
      </w:tr>
    </w:tbl>
    <w:p>
      <w:pPr>
        <w:spacing w:after="0" w:line="63" w:lineRule="exact"/>
        <w:rPr>
          <w:sz w:val="20"/>
          <w:szCs w:val="20"/>
          <w:color w:val="auto"/>
        </w:rPr>
      </w:pPr>
    </w:p>
    <w:p>
      <w:pPr>
        <w:ind w:left="680" w:right="440" w:firstLine="399"/>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o</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Accelerated filer o</w:t>
        <w:tab/>
        <w:t>Non-accelerated filer o</w:t>
      </w:r>
    </w:p>
    <w:p>
      <w:pPr>
        <w:spacing w:after="0" w:line="66" w:lineRule="exact"/>
        <w:rPr>
          <w:sz w:val="20"/>
          <w:szCs w:val="20"/>
          <w:color w:val="auto"/>
        </w:rPr>
      </w:pPr>
    </w:p>
    <w:p>
      <w:pPr>
        <w:ind w:left="1080"/>
        <w:spacing w:after="0" w:line="150" w:lineRule="exact"/>
        <w:tabs>
          <w:tab w:leader="none" w:pos="69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number of shares of Common Stock, $0.01 par value, of the registrant outstanding at July 25, 2007 was 519,108,681 (excluding treasury shares of 111,173,780).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88265</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5" w:right="10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6"/>
          <w:szCs w:val="16"/>
          <w:b w:val="1"/>
          <w:bCs w:val="1"/>
          <w:u w:val="single" w:color="auto"/>
          <w:color w:val="auto"/>
        </w:rPr>
        <w:t>TABLE OF CONTENTS</w:t>
      </w:r>
    </w:p>
    <w:p>
      <w:pPr>
        <w:spacing w:after="0" w:line="152"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PART I.</w:t>
        </w:r>
      </w:hyperlink>
    </w:p>
    <w:p>
      <w:pPr>
        <w:spacing w:after="0" w:line="4" w:lineRule="exact"/>
        <w:rPr>
          <w:sz w:val="20"/>
          <w:szCs w:val="20"/>
          <w:color w:val="auto"/>
        </w:rPr>
      </w:pPr>
    </w:p>
    <w:p>
      <w:pPr>
        <w:ind w:left="28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Item 1. Financial Statements.</w:t>
        </w:r>
      </w:hyperlink>
    </w:p>
    <w:p>
      <w:pPr>
        <w:ind w:left="280"/>
        <w:spacing w:after="0"/>
        <w:rPr>
          <w:rFonts w:ascii="Times New Roman" w:cs="Times New Roman" w:eastAsia="Times New Roman" w:hAnsi="Times New Roman"/>
          <w:sz w:val="15"/>
          <w:szCs w:val="15"/>
          <w:u w:val="single" w:color="auto"/>
          <w:color w:val="0000EE"/>
        </w:rPr>
      </w:pPr>
      <w:hyperlink w:anchor="page33">
        <w:r>
          <w:rPr>
            <w:rFonts w:ascii="Times New Roman" w:cs="Times New Roman" w:eastAsia="Times New Roman" w:hAnsi="Times New Roman"/>
            <w:sz w:val="15"/>
            <w:szCs w:val="15"/>
            <w:u w:val="single" w:color="auto"/>
            <w:color w:val="0000EE"/>
          </w:rPr>
          <w:t>Item 2. Management’s Discussion and Analysis of Financial Condition and Results of Operations.</w:t>
        </w:r>
      </w:hyperlink>
    </w:p>
    <w:p>
      <w:pPr>
        <w:ind w:left="280"/>
        <w:spacing w:after="0" w:line="236" w:lineRule="auto"/>
        <w:rPr>
          <w:rFonts w:ascii="Times New Roman" w:cs="Times New Roman" w:eastAsia="Times New Roman" w:hAnsi="Times New Roman"/>
          <w:sz w:val="16"/>
          <w:szCs w:val="16"/>
          <w:u w:val="single" w:color="auto"/>
          <w:color w:val="0000EE"/>
        </w:rPr>
      </w:pPr>
      <w:hyperlink w:anchor="page49">
        <w:r>
          <w:rPr>
            <w:rFonts w:ascii="Times New Roman" w:cs="Times New Roman" w:eastAsia="Times New Roman" w:hAnsi="Times New Roman"/>
            <w:sz w:val="16"/>
            <w:szCs w:val="16"/>
            <w:u w:val="single" w:color="auto"/>
            <w:color w:val="0000EE"/>
          </w:rPr>
          <w:t>Item 4. Controls and Procedures.</w:t>
        </w:r>
      </w:hyperlink>
    </w:p>
    <w:p>
      <w:pPr>
        <w:spacing w:after="0" w:line="231" w:lineRule="auto"/>
        <w:rPr>
          <w:rFonts w:ascii="Times New Roman" w:cs="Times New Roman" w:eastAsia="Times New Roman" w:hAnsi="Times New Roman"/>
          <w:sz w:val="16"/>
          <w:szCs w:val="16"/>
          <w:u w:val="single" w:color="auto"/>
          <w:color w:val="0000EE"/>
        </w:rPr>
      </w:pPr>
      <w:hyperlink w:anchor="page50">
        <w:r>
          <w:rPr>
            <w:rFonts w:ascii="Times New Roman" w:cs="Times New Roman" w:eastAsia="Times New Roman" w:hAnsi="Times New Roman"/>
            <w:sz w:val="16"/>
            <w:szCs w:val="16"/>
            <w:u w:val="single" w:color="auto"/>
            <w:color w:val="0000EE"/>
          </w:rPr>
          <w:t>PART II.</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50">
        <w:r>
          <w:rPr>
            <w:rFonts w:ascii="Times New Roman" w:cs="Times New Roman" w:eastAsia="Times New Roman" w:hAnsi="Times New Roman"/>
            <w:sz w:val="16"/>
            <w:szCs w:val="16"/>
            <w:u w:val="single" w:color="auto"/>
            <w:color w:val="0000EE"/>
          </w:rPr>
          <w:t>Item 1. Legal Proceedings.</w:t>
        </w:r>
      </w:hyperlink>
    </w:p>
    <w:p>
      <w:pPr>
        <w:ind w:left="280"/>
        <w:spacing w:after="0" w:line="230" w:lineRule="auto"/>
        <w:rPr>
          <w:rFonts w:ascii="Times New Roman" w:cs="Times New Roman" w:eastAsia="Times New Roman" w:hAnsi="Times New Roman"/>
          <w:sz w:val="16"/>
          <w:szCs w:val="16"/>
          <w:u w:val="single" w:color="auto"/>
          <w:color w:val="0000EE"/>
        </w:rPr>
      </w:pPr>
      <w:hyperlink w:anchor="page50">
        <w:r>
          <w:rPr>
            <w:rFonts w:ascii="Times New Roman" w:cs="Times New Roman" w:eastAsia="Times New Roman" w:hAnsi="Times New Roman"/>
            <w:sz w:val="16"/>
            <w:szCs w:val="16"/>
            <w:u w:val="single" w:color="auto"/>
            <w:color w:val="0000EE"/>
          </w:rPr>
          <w:t>Item 1A. Risk Factors.</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50">
        <w:r>
          <w:rPr>
            <w:rFonts w:ascii="Times New Roman" w:cs="Times New Roman" w:eastAsia="Times New Roman" w:hAnsi="Times New Roman"/>
            <w:sz w:val="16"/>
            <w:szCs w:val="16"/>
            <w:u w:val="single" w:color="auto"/>
            <w:color w:val="0000EE"/>
          </w:rPr>
          <w:t>Item 2. Unregistered Sales of Equity Securities and Use of Proceeds.</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51">
        <w:r>
          <w:rPr>
            <w:rFonts w:ascii="Times New Roman" w:cs="Times New Roman" w:eastAsia="Times New Roman" w:hAnsi="Times New Roman"/>
            <w:sz w:val="16"/>
            <w:szCs w:val="16"/>
            <w:u w:val="single" w:color="auto"/>
            <w:color w:val="0000EE"/>
          </w:rPr>
          <w:t>Item 4. Submission of Matters to a Vote of Security Holders.</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52">
        <w:r>
          <w:rPr>
            <w:rFonts w:ascii="Times New Roman" w:cs="Times New Roman" w:eastAsia="Times New Roman" w:hAnsi="Times New Roman"/>
            <w:sz w:val="16"/>
            <w:szCs w:val="16"/>
            <w:u w:val="single" w:color="auto"/>
            <w:color w:val="0000EE"/>
          </w:rPr>
          <w:t>Item 6. Exhibits.</w:t>
        </w:r>
      </w:hyperlink>
    </w:p>
    <w:p>
      <w:pPr>
        <w:spacing w:after="0" w:line="231" w:lineRule="auto"/>
        <w:rPr>
          <w:rFonts w:ascii="Times New Roman" w:cs="Times New Roman" w:eastAsia="Times New Roman" w:hAnsi="Times New Roman"/>
          <w:sz w:val="16"/>
          <w:szCs w:val="16"/>
          <w:u w:val="single" w:color="auto"/>
          <w:color w:val="0000EE"/>
        </w:rPr>
      </w:pPr>
      <w:hyperlink w:anchor="page53">
        <w:r>
          <w:rPr>
            <w:rFonts w:ascii="Times New Roman" w:cs="Times New Roman" w:eastAsia="Times New Roman" w:hAnsi="Times New Roman"/>
            <w:sz w:val="16"/>
            <w:szCs w:val="16"/>
            <w:u w:val="single" w:color="auto"/>
            <w:color w:val="0000EE"/>
          </w:rPr>
          <w:t>SIGNATURES</w:t>
        </w:r>
      </w:hyperlink>
    </w:p>
    <w:p>
      <w:pPr>
        <w:spacing w:after="0" w:line="230" w:lineRule="auto"/>
        <w:rPr>
          <w:rFonts w:ascii="Times New Roman" w:cs="Times New Roman" w:eastAsia="Times New Roman" w:hAnsi="Times New Roman"/>
          <w:sz w:val="16"/>
          <w:szCs w:val="16"/>
          <w:u w:val="single" w:color="auto"/>
          <w:color w:val="0000EE"/>
        </w:rPr>
      </w:pPr>
      <w:hyperlink w:anchor="page54">
        <w:r>
          <w:rPr>
            <w:rFonts w:ascii="Times New Roman" w:cs="Times New Roman" w:eastAsia="Times New Roman" w:hAnsi="Times New Roman"/>
            <w:sz w:val="16"/>
            <w:szCs w:val="16"/>
            <w:u w:val="single" w:color="auto"/>
            <w:color w:val="0000EE"/>
          </w:rPr>
          <w:t>EXHIBIT INDEX</w:t>
        </w:r>
      </w:hyperlink>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Computation of Ratio of Earnings to Fixed Charges</w:t>
      </w:r>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Section 302 Certification of the CEO</w:t>
      </w:r>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Section 302 Certification of the CFO</w:t>
      </w:r>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Section 906 Certification of the CEO</w:t>
      </w:r>
    </w:p>
    <w:p>
      <w:pPr>
        <w:spacing w:after="0"/>
        <w:rPr>
          <w:sz w:val="20"/>
          <w:szCs w:val="20"/>
          <w:color w:val="auto"/>
        </w:rPr>
      </w:pPr>
      <w:r>
        <w:rPr>
          <w:rFonts w:ascii="Times New Roman" w:cs="Times New Roman" w:eastAsia="Times New Roman" w:hAnsi="Times New Roman"/>
          <w:sz w:val="16"/>
          <w:szCs w:val="16"/>
          <w:u w:val="single" w:color="auto"/>
          <w:color w:val="0000EE"/>
        </w:rPr>
        <w:t>Section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800" w:type="dxa"/>
            <w:vAlign w:val="bottom"/>
            <w:gridSpan w:val="3"/>
          </w:tcPr>
          <w:p>
            <w:pPr>
              <w:spacing w:after="0"/>
              <w:rPr>
                <w:rFonts w:ascii="Times New Roman" w:cs="Times New Roman" w:eastAsia="Times New Roman" w:hAnsi="Times New Roman"/>
                <w:sz w:val="13"/>
                <w:szCs w:val="13"/>
                <w:b w:val="1"/>
                <w:bCs w:val="1"/>
                <w:color w:val="0000EE"/>
              </w:rPr>
            </w:pPr>
            <w:hyperlink w:anchor="page2">
              <w:r>
                <w:rPr>
                  <w:rFonts w:ascii="Times New Roman" w:cs="Times New Roman" w:eastAsia="Times New Roman" w:hAnsi="Times New Roman"/>
                  <w:sz w:val="13"/>
                  <w:szCs w:val="13"/>
                  <w:b w:val="1"/>
                  <w:bCs w:val="1"/>
                  <w:color w:val="0000EE"/>
                </w:rPr>
                <w:t>Table of Contents</w:t>
              </w:r>
            </w:hyperlink>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13"/>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2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w w:val="97"/>
              </w:rPr>
              <w:t>PART 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7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w w:val="98"/>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2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2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(In Millions, Except Share and Par Value Amounts)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0"/>
                <w:szCs w:val="10"/>
                <w:b w:val="1"/>
                <w:bCs w:val="1"/>
                <w:color w:val="auto"/>
                <w:w w:val="99"/>
              </w:rPr>
              <w:t>2007</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11"/>
                <w:szCs w:val="11"/>
                <w:color w:val="auto"/>
              </w:rPr>
            </w:pPr>
          </w:p>
        </w:tc>
      </w:tr>
      <w:tr>
        <w:trPr>
          <w:trHeight w:val="133"/>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20" w:type="dxa"/>
            <w:vAlign w:val="bottom"/>
            <w:shd w:val="clear" w:color="auto" w:fill="CCEEFF"/>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570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614</w:t>
            </w: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$45 and $51, respectively</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1,669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1,650</w:t>
            </w: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receivables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208</w:t>
            </w: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Parts and supplies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w:t>
            </w: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w:t>
            </w:r>
          </w:p>
        </w:tc>
      </w:tr>
      <w:tr>
        <w:trPr>
          <w:trHeight w:val="157"/>
        </w:trPr>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527</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3,182</w:t>
            </w:r>
          </w:p>
        </w:tc>
      </w:tr>
      <w:tr>
        <w:trPr>
          <w:trHeight w:val="157"/>
        </w:trPr>
        <w:tc>
          <w:tcPr>
            <w:tcW w:w="7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Property and equipment, net of accumulated depreciation and amortization of $12,432 and $11,993, respectively</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11,096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11,179</w:t>
            </w:r>
          </w:p>
        </w:tc>
      </w:tr>
      <w:tr>
        <w:trPr>
          <w:trHeight w:val="1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5,359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5,292</w:t>
            </w:r>
          </w:p>
        </w:tc>
      </w:tr>
      <w:tr>
        <w:trPr>
          <w:trHeight w:val="157"/>
        </w:trPr>
        <w:tc>
          <w:tcPr>
            <w:tcW w:w="7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121</w:t>
            </w:r>
          </w:p>
        </w:tc>
      </w:tr>
      <w:tr>
        <w:trPr>
          <w:trHeight w:val="157"/>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750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826</w:t>
            </w:r>
          </w:p>
        </w:tc>
      </w:tr>
      <w:tr>
        <w:trPr>
          <w:trHeight w:val="166"/>
        </w:trPr>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20,184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20,600</w:t>
            </w:r>
          </w:p>
        </w:tc>
        <w:tc>
          <w:tcPr>
            <w:tcW w:w="10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20" w:type="dxa"/>
            <w:vAlign w:val="bottom"/>
            <w:shd w:val="clear" w:color="auto" w:fill="CCEEFF"/>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563</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693</w:t>
            </w: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Accrued liabilities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1,151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1,298</w:t>
            </w: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revenues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455</w:t>
            </w: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822</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3,268</w:t>
            </w:r>
          </w:p>
        </w:tc>
      </w:tr>
      <w:tr>
        <w:trPr>
          <w:trHeight w:val="157"/>
        </w:trPr>
        <w:tc>
          <w:tcPr>
            <w:tcW w:w="7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7,723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7,495</w:t>
            </w:r>
          </w:p>
        </w:tc>
      </w:tr>
      <w:tr>
        <w:trPr>
          <w:trHeight w:val="157"/>
        </w:trPr>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1,315</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1,365</w:t>
            </w:r>
          </w:p>
        </w:tc>
      </w:tr>
      <w:tr>
        <w:trPr>
          <w:trHeight w:val="157"/>
        </w:trPr>
        <w:tc>
          <w:tcPr>
            <w:tcW w:w="7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Landfill and environmental remediation liabilities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1,292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1,234</w:t>
            </w:r>
          </w:p>
        </w:tc>
      </w:tr>
      <w:tr>
        <w:trPr>
          <w:trHeight w:val="157"/>
        </w:trPr>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809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741</w:t>
            </w:r>
          </w:p>
        </w:tc>
      </w:tr>
      <w:tr>
        <w:trPr>
          <w:trHeight w:val="157"/>
        </w:trPr>
        <w:tc>
          <w:tcPr>
            <w:tcW w:w="7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Pr>
          <w:p>
            <w:pPr>
              <w:spacing w:after="0"/>
              <w:rPr>
                <w:sz w:val="13"/>
                <w:szCs w:val="13"/>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 in subsidiaries and variable interest entities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r>
      <w:tr>
        <w:trPr>
          <w:trHeight w:val="157"/>
        </w:trPr>
        <w:tc>
          <w:tcPr>
            <w:tcW w:w="7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4,524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4,513</w:t>
            </w: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0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4,739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4,410</w:t>
            </w:r>
          </w:p>
        </w:tc>
      </w:tr>
      <w:tr>
        <w:trPr>
          <w:trHeight w:val="157"/>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180</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129</w:t>
            </w:r>
          </w:p>
        </w:tc>
      </w:tr>
      <w:tr>
        <w:trPr>
          <w:trHeight w:val="157"/>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Treasury stock at cost, 111,430,680 and 96,598,567 shares, respectively</w:t>
            </w:r>
          </w:p>
        </w:tc>
        <w:tc>
          <w:tcPr>
            <w:tcW w:w="100" w:type="dxa"/>
            <w:vAlign w:val="bottom"/>
          </w:tcPr>
          <w:p>
            <w:pPr>
              <w:spacing w:after="0"/>
              <w:rPr>
                <w:sz w:val="13"/>
                <w:szCs w:val="13"/>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(3,379)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(2,836)</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6,070</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6,222</w:t>
            </w:r>
          </w:p>
        </w:tc>
      </w:tr>
      <w:tr>
        <w:trPr>
          <w:trHeight w:val="166"/>
        </w:trPr>
        <w:tc>
          <w:tcPr>
            <w:tcW w:w="780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20,184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20,600</w:t>
            </w:r>
          </w:p>
        </w:tc>
        <w:tc>
          <w:tcPr>
            <w:tcW w:w="100" w:type="dxa"/>
            <w:vAlign w:val="bottom"/>
          </w:tcPr>
          <w:p>
            <w:pPr>
              <w:spacing w:after="0"/>
              <w:rPr>
                <w:sz w:val="14"/>
                <w:szCs w:val="14"/>
                <w:color w:val="auto"/>
              </w:rPr>
            </w:pPr>
          </w:p>
        </w:tc>
      </w:tr>
    </w:tbl>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gridSpan w:val="6"/>
          </w:tcPr>
          <w:p>
            <w:pPr>
              <w:jc w:val="right"/>
              <w:ind w:right="16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Pr>
          <w:p>
            <w:pPr>
              <w:spacing w:after="0"/>
              <w:rPr>
                <w:sz w:val="10"/>
                <w:szCs w:val="10"/>
                <w:color w:val="auto"/>
              </w:rPr>
            </w:pPr>
          </w:p>
        </w:tc>
        <w:tc>
          <w:tcPr>
            <w:tcW w:w="980" w:type="dxa"/>
            <w:vAlign w:val="bottom"/>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7"/>
        </w:trPr>
        <w:tc>
          <w:tcPr>
            <w:tcW w:w="6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98"/>
        </w:trPr>
        <w:tc>
          <w:tcPr>
            <w:tcW w:w="6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15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40" w:type="dxa"/>
            <w:vAlign w:val="bottom"/>
          </w:tcPr>
          <w:p>
            <w:pPr>
              <w:spacing w:after="0"/>
              <w:rPr>
                <w:sz w:val="8"/>
                <w:szCs w:val="8"/>
                <w:color w:val="auto"/>
              </w:rPr>
            </w:pPr>
          </w:p>
        </w:tc>
      </w:tr>
      <w:tr>
        <w:trPr>
          <w:trHeight w:val="29"/>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3,358</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3,410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5"/>
              </w:rPr>
              <w:t>6,546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6,639</w:t>
            </w:r>
          </w:p>
        </w:tc>
      </w:tr>
      <w:tr>
        <w:trPr>
          <w:trHeight w:val="157"/>
        </w:trPr>
        <w:tc>
          <w:tcPr>
            <w:tcW w:w="624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2,092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2,199</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5"/>
              </w:rPr>
              <w:t>4,126</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4,299</w:t>
            </w:r>
          </w:p>
        </w:tc>
      </w:tr>
      <w:tr>
        <w:trPr>
          <w:trHeight w:val="157"/>
        </w:trPr>
        <w:tc>
          <w:tcPr>
            <w:tcW w:w="6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jc w:val="right"/>
              <w:ind w:right="1520"/>
              <w:spacing w:after="0"/>
              <w:rPr>
                <w:sz w:val="20"/>
                <w:szCs w:val="20"/>
                <w:color w:val="auto"/>
              </w:rPr>
            </w:pPr>
            <w:r>
              <w:rPr>
                <w:rFonts w:ascii="Times New Roman" w:cs="Times New Roman" w:eastAsia="Times New Roman" w:hAnsi="Times New Roman"/>
                <w:sz w:val="13"/>
                <w:szCs w:val="13"/>
                <w:color w:val="auto"/>
              </w:rPr>
              <w:t>328</w:t>
            </w:r>
          </w:p>
        </w:tc>
        <w:tc>
          <w:tcPr>
            <w:tcW w:w="6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696</w:t>
            </w:r>
          </w:p>
        </w:tc>
        <w:tc>
          <w:tcPr>
            <w:tcW w:w="6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696</w:t>
            </w:r>
          </w:p>
        </w:tc>
      </w:tr>
      <w:tr>
        <w:trPr>
          <w:trHeight w:val="1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345</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632</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673</w:t>
            </w:r>
          </w:p>
        </w:tc>
      </w:tr>
      <w:tr>
        <w:trPr>
          <w:trHeight w:val="157"/>
        </w:trPr>
        <w:tc>
          <w:tcPr>
            <w:tcW w:w="6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Restructuring</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jc w:val="right"/>
              <w:ind w:right="15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expense from divestitures, asset impairments and unusual items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6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2,725</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2,845</w:t>
            </w:r>
          </w:p>
        </w:tc>
        <w:tc>
          <w:tcPr>
            <w:tcW w:w="15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5,432</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5,639</w:t>
            </w:r>
          </w:p>
        </w:tc>
        <w:tc>
          <w:tcPr>
            <w:tcW w:w="40" w:type="dxa"/>
            <w:vAlign w:val="bottom"/>
          </w:tcPr>
          <w:p>
            <w:pPr>
              <w:spacing w:after="0"/>
              <w:rPr>
                <w:sz w:val="13"/>
                <w:szCs w:val="13"/>
                <w:color w:val="auto"/>
              </w:rPr>
            </w:pPr>
          </w:p>
        </w:tc>
      </w:tr>
      <w:tr>
        <w:trPr>
          <w:trHeight w:val="15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633</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565</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w w:val="95"/>
              </w:rPr>
              <w:t>1,114</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1,000</w:t>
            </w:r>
          </w:p>
        </w:tc>
      </w:tr>
      <w:tr>
        <w:trPr>
          <w:trHeight w:val="157"/>
        </w:trPr>
        <w:tc>
          <w:tcPr>
            <w:tcW w:w="624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3"/>
                <w:szCs w:val="13"/>
                <w:color w:val="auto"/>
              </w:rPr>
              <w:t>(138)</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(267)</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57"/>
        </w:trPr>
        <w:tc>
          <w:tcPr>
            <w:tcW w:w="6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jc w:val="right"/>
              <w:ind w:right="1520"/>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3"/>
                <w:szCs w:val="13"/>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6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80" w:type="dxa"/>
            <w:vAlign w:val="bottom"/>
          </w:tcPr>
          <w:p>
            <w:pPr>
              <w:spacing w:after="0"/>
              <w:rPr>
                <w:sz w:val="13"/>
                <w:szCs w:val="13"/>
                <w:color w:val="auto"/>
              </w:rPr>
            </w:pPr>
          </w:p>
        </w:tc>
        <w:tc>
          <w:tcPr>
            <w:tcW w:w="700" w:type="dxa"/>
            <w:vAlign w:val="bottom"/>
            <w:gridSpan w:val="3"/>
          </w:tcPr>
          <w:p>
            <w:pPr>
              <w:jc w:val="right"/>
              <w:ind w:right="288"/>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1840" w:type="dxa"/>
            <w:vAlign w:val="bottom"/>
            <w:gridSpan w:val="2"/>
          </w:tcPr>
          <w:p>
            <w:pPr>
              <w:jc w:val="right"/>
              <w:ind w:right="1480"/>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6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5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(303)</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(264)</w:t>
            </w:r>
          </w:p>
        </w:tc>
        <w:tc>
          <w:tcPr>
            <w:tcW w:w="40" w:type="dxa"/>
            <w:vAlign w:val="bottom"/>
          </w:tcPr>
          <w:p>
            <w:pPr>
              <w:spacing w:after="0"/>
              <w:rPr>
                <w:sz w:val="13"/>
                <w:szCs w:val="13"/>
                <w:color w:val="auto"/>
              </w:rPr>
            </w:pPr>
          </w:p>
        </w:tc>
      </w:tr>
      <w:tr>
        <w:trPr>
          <w:trHeight w:val="15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480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447</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811</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736</w:t>
            </w:r>
          </w:p>
        </w:tc>
      </w:tr>
      <w:tr>
        <w:trPr>
          <w:trHeight w:val="157"/>
        </w:trPr>
        <w:tc>
          <w:tcPr>
            <w:tcW w:w="624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40" w:type="dxa"/>
            <w:vAlign w:val="bottom"/>
          </w:tcPr>
          <w:p>
            <w:pPr>
              <w:spacing w:after="0"/>
              <w:rPr>
                <w:sz w:val="13"/>
                <w:szCs w:val="13"/>
                <w:color w:val="auto"/>
              </w:rPr>
            </w:pPr>
          </w:p>
        </w:tc>
      </w:tr>
      <w:tr>
        <w:trPr>
          <w:trHeight w:val="16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338</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417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576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603</w:t>
            </w:r>
          </w:p>
        </w:tc>
      </w:tr>
      <w:tr>
        <w:trPr>
          <w:trHeight w:val="182"/>
        </w:trPr>
        <w:tc>
          <w:tcPr>
            <w:tcW w:w="6240" w:type="dxa"/>
            <w:vAlign w:val="bottom"/>
          </w:tcPr>
          <w:p>
            <w:pPr>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15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28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40" w:type="dxa"/>
            <w:vAlign w:val="bottom"/>
          </w:tcPr>
          <w:p>
            <w:pPr>
              <w:spacing w:after="0"/>
              <w:rPr>
                <w:sz w:val="15"/>
                <w:szCs w:val="15"/>
                <w:color w:val="auto"/>
              </w:rPr>
            </w:pPr>
          </w:p>
        </w:tc>
      </w:tr>
      <w:tr>
        <w:trPr>
          <w:trHeight w:val="17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0.64</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3"/>
                <w:szCs w:val="13"/>
                <w:color w:val="auto"/>
              </w:rPr>
              <w:t>0.76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1.09</w:t>
            </w:r>
          </w:p>
        </w:tc>
      </w:tr>
      <w:tr>
        <w:trPr>
          <w:trHeight w:val="154"/>
        </w:trPr>
        <w:tc>
          <w:tcPr>
            <w:tcW w:w="624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 per common share (1st quarter 2006 dividend of $0.22 per share declared in December</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6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2005, paid in March 2006)</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0.24</w:t>
            </w:r>
          </w:p>
        </w:tc>
        <w:tc>
          <w:tcPr>
            <w:tcW w:w="3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15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0.48</w:t>
            </w:r>
          </w:p>
        </w:tc>
        <w:tc>
          <w:tcPr>
            <w:tcW w:w="28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40" w:type="dxa"/>
            <w:vAlign w:val="bottom"/>
          </w:tcPr>
          <w:p>
            <w:pPr>
              <w:spacing w:after="0"/>
              <w:rPr>
                <w:sz w:val="15"/>
                <w:szCs w:val="15"/>
                <w:color w:val="auto"/>
              </w:rPr>
            </w:pPr>
          </w:p>
        </w:tc>
      </w:tr>
    </w:tbl>
    <w:p>
      <w:pPr>
        <w:spacing w:after="0" w:line="4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left="215"/>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7"/>
        </w:trPr>
        <w:tc>
          <w:tcPr>
            <w:tcW w:w="8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8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100" w:type="dxa"/>
            <w:vAlign w:val="bottom"/>
          </w:tcPr>
          <w:p>
            <w:pPr>
              <w:spacing w:after="0"/>
              <w:rPr>
                <w:sz w:val="8"/>
                <w:szCs w:val="8"/>
                <w:color w:val="auto"/>
              </w:rPr>
            </w:pPr>
          </w:p>
        </w:tc>
      </w:tr>
      <w:tr>
        <w:trPr>
          <w:trHeight w:val="29"/>
        </w:trPr>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603</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Provision for bad debts</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r>
      <w:tr>
        <w:trPr>
          <w:trHeight w:val="157"/>
        </w:trPr>
        <w:tc>
          <w:tcPr>
            <w:tcW w:w="8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673</w:t>
            </w:r>
          </w:p>
        </w:tc>
      </w:tr>
      <w:tr>
        <w:trPr>
          <w:trHeight w:val="157"/>
        </w:trPr>
        <w:tc>
          <w:tcPr>
            <w:tcW w:w="8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 provision</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r>
      <w:tr>
        <w:trPr>
          <w:trHeight w:val="157"/>
        </w:trPr>
        <w:tc>
          <w:tcPr>
            <w:tcW w:w="8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Minority interest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w:t>
            </w:r>
          </w:p>
        </w:tc>
      </w:tr>
      <w:tr>
        <w:trPr>
          <w:trHeight w:val="157"/>
        </w:trPr>
        <w:tc>
          <w:tcPr>
            <w:tcW w:w="8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 net of distributions</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8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gain from disposal of assets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r>
      <w:tr>
        <w:trPr>
          <w:trHeight w:val="157"/>
        </w:trPr>
        <w:tc>
          <w:tcPr>
            <w:tcW w:w="8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Effect of (income) expense from divestitures, asset impairments and unusual items</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w:t>
            </w:r>
          </w:p>
        </w:tc>
      </w:tr>
      <w:tr>
        <w:trPr>
          <w:trHeight w:val="157"/>
        </w:trPr>
        <w:tc>
          <w:tcPr>
            <w:tcW w:w="8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Excess tax benefits associated with equity-based transactions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8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 in operating assets and liabilities, net of effects of acquisitions and divestitures: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Receivables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86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assets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157"/>
        </w:trPr>
        <w:tc>
          <w:tcPr>
            <w:tcW w:w="86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(91)</w:t>
            </w:r>
          </w:p>
        </w:tc>
      </w:tr>
      <w:tr>
        <w:trPr>
          <w:trHeight w:val="157"/>
        </w:trPr>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Deferred revenues and other liabilities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w:t>
            </w:r>
          </w:p>
        </w:tc>
      </w:tr>
      <w:tr>
        <w:trPr>
          <w:trHeight w:val="157"/>
        </w:trPr>
        <w:tc>
          <w:tcPr>
            <w:tcW w:w="860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100" w:type="dxa"/>
            <w:vAlign w:val="bottom"/>
          </w:tcPr>
          <w:p>
            <w:pPr>
              <w:spacing w:after="0"/>
              <w:rPr>
                <w:sz w:val="13"/>
                <w:szCs w:val="13"/>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(481)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(527)</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(743)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(1,707)</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 of short-term investments</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803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1,499</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receipts from restricted trust and escrow accounts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w:t>
            </w:r>
          </w:p>
        </w:tc>
      </w:tr>
      <w:tr>
        <w:trPr>
          <w:trHeight w:val="20"/>
        </w:trPr>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(559)</w:t>
            </w:r>
          </w:p>
        </w:tc>
      </w:tr>
      <w:tr>
        <w:trPr>
          <w:trHeight w:val="157"/>
        </w:trPr>
        <w:tc>
          <w:tcPr>
            <w:tcW w:w="86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borrowings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repayments</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(683)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(627)</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dividends</w:t>
            </w:r>
          </w:p>
        </w:tc>
        <w:tc>
          <w:tcPr>
            <w:tcW w:w="8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(240)</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common stock options and warrants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111</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Excess tax benefits associated with equity-based transactions</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r>
      <w:tr>
        <w:trPr>
          <w:trHeight w:val="157"/>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 distributions paid</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r>
      <w:tr>
        <w:trPr>
          <w:trHeight w:val="157"/>
        </w:trPr>
        <w:tc>
          <w:tcPr>
            <w:tcW w:w="8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r>
      <w:tr>
        <w:trPr>
          <w:trHeight w:val="20"/>
        </w:trPr>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(937)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(718)</w:t>
            </w:r>
          </w:p>
        </w:tc>
      </w:tr>
      <w:tr>
        <w:trPr>
          <w:trHeight w:val="157"/>
        </w:trPr>
        <w:tc>
          <w:tcPr>
            <w:tcW w:w="860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(97)</w:t>
            </w:r>
          </w:p>
        </w:tc>
      </w:tr>
      <w:tr>
        <w:trPr>
          <w:trHeight w:val="157"/>
        </w:trPr>
        <w:tc>
          <w:tcPr>
            <w:tcW w:w="86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0" w:type="dxa"/>
            <w:vAlign w:val="bottom"/>
          </w:tcPr>
          <w:p>
            <w:pPr>
              <w:spacing w:after="0"/>
              <w:rPr>
                <w:sz w:val="13"/>
                <w:szCs w:val="13"/>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666</w:t>
            </w:r>
          </w:p>
        </w:tc>
      </w:tr>
      <w:tr>
        <w:trPr>
          <w:trHeight w:val="20"/>
        </w:trPr>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569</w:t>
            </w:r>
          </w:p>
        </w:tc>
      </w:tr>
      <w:tr>
        <w:trPr>
          <w:trHeight w:val="29"/>
        </w:trPr>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4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STOCKHOLDERS’ EQUITY</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8"/>
                <w:szCs w:val="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Restricted</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94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Other</w:t>
            </w:r>
          </w:p>
        </w:tc>
        <w:tc>
          <w:tcPr>
            <w:tcW w:w="100" w:type="dxa"/>
            <w:vAlign w:val="bottom"/>
          </w:tcPr>
          <w:p>
            <w:pPr>
              <w:spacing w:after="0"/>
              <w:rPr>
                <w:sz w:val="9"/>
                <w:szCs w:val="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9"/>
                <w:szCs w:val="9"/>
                <w:b w:val="1"/>
                <w:bCs w:val="1"/>
                <w:color w:val="auto"/>
              </w:rPr>
              <w:t>Stock</w:t>
            </w:r>
          </w:p>
        </w:tc>
        <w:tc>
          <w:tcPr>
            <w:tcW w:w="12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0" w:type="dxa"/>
            <w:vAlign w:val="bottom"/>
          </w:tcPr>
          <w:p>
            <w:pPr>
              <w:spacing w:after="0"/>
              <w:rPr>
                <w:sz w:val="1"/>
                <w:szCs w:val="1"/>
                <w:color w:val="auto"/>
              </w:rPr>
            </w:pPr>
          </w:p>
        </w:tc>
      </w:tr>
      <w:tr>
        <w:trPr>
          <w:trHeight w:val="104"/>
        </w:trPr>
        <w:tc>
          <w:tcPr>
            <w:tcW w:w="40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9"/>
                <w:szCs w:val="9"/>
                <w:b w:val="1"/>
                <w:bCs w:val="1"/>
                <w:color w:val="auto"/>
                <w:w w:val="96"/>
              </w:rPr>
              <w:t>Paid-In</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100" w:type="dxa"/>
            <w:vAlign w:val="bottom"/>
          </w:tcPr>
          <w:p>
            <w:pPr>
              <w:spacing w:after="0"/>
              <w:rPr>
                <w:sz w:val="9"/>
                <w:szCs w:val="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w w:val="99"/>
              </w:rPr>
              <w:t>Comprehensive</w:t>
            </w:r>
          </w:p>
        </w:tc>
        <w:tc>
          <w:tcPr>
            <w:tcW w:w="100" w:type="dxa"/>
            <w:vAlign w:val="bottom"/>
          </w:tcPr>
          <w:p>
            <w:pPr>
              <w:spacing w:after="0"/>
              <w:rPr>
                <w:sz w:val="9"/>
                <w:szCs w:val="9"/>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9"/>
                <w:szCs w:val="9"/>
                <w:b w:val="1"/>
                <w:bCs w:val="1"/>
                <w:color w:val="auto"/>
              </w:rPr>
              <w:t>Unearned</w:t>
            </w: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00" w:type="dxa"/>
            <w:vAlign w:val="bottom"/>
          </w:tcPr>
          <w:p>
            <w:pPr>
              <w:spacing w:after="0"/>
              <w:rPr>
                <w:sz w:val="7"/>
                <w:szCs w:val="7"/>
                <w:color w:val="auto"/>
              </w:rPr>
            </w:pPr>
          </w:p>
        </w:tc>
        <w:tc>
          <w:tcPr>
            <w:tcW w:w="740" w:type="dxa"/>
            <w:vAlign w:val="bottom"/>
            <w:tcBorders>
              <w:top w:val="single" w:sz="8" w:color="auto"/>
            </w:tcBorders>
            <w:gridSpan w:val="2"/>
          </w:tcPr>
          <w:p>
            <w:pPr>
              <w:ind w:left="14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Times New Roman" w:cs="Times New Roman" w:eastAsia="Times New Roman" w:hAnsi="Times New Roman"/>
                <w:sz w:val="9"/>
                <w:szCs w:val="9"/>
                <w:b w:val="1"/>
                <w:bCs w:val="1"/>
                <w:color w:val="auto"/>
                <w:w w:val="98"/>
              </w:rPr>
              <w:t>Capital</w:t>
            </w:r>
          </w:p>
        </w:tc>
        <w:tc>
          <w:tcPr>
            <w:tcW w:w="60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9"/>
                <w:szCs w:val="9"/>
                <w:b w:val="1"/>
                <w:bCs w:val="1"/>
                <w:color w:val="auto"/>
              </w:rPr>
              <w:t>Earnings</w:t>
            </w:r>
          </w:p>
        </w:tc>
        <w:tc>
          <w:tcPr>
            <w:tcW w:w="100" w:type="dxa"/>
            <w:vAlign w:val="bottom"/>
          </w:tcPr>
          <w:p>
            <w:pPr>
              <w:spacing w:after="0"/>
              <w:rPr>
                <w:sz w:val="7"/>
                <w:szCs w:val="7"/>
                <w:color w:val="auto"/>
              </w:rPr>
            </w:pPr>
          </w:p>
        </w:tc>
        <w:tc>
          <w:tcPr>
            <w:tcW w:w="980" w:type="dxa"/>
            <w:vAlign w:val="bottom"/>
            <w:gridSpan w:val="2"/>
          </w:tcPr>
          <w:p>
            <w:pPr>
              <w:jc w:val="center"/>
              <w:ind w:right="300"/>
              <w:spacing w:after="0" w:line="88" w:lineRule="exact"/>
              <w:rPr>
                <w:sz w:val="20"/>
                <w:szCs w:val="20"/>
                <w:color w:val="auto"/>
              </w:rPr>
            </w:pPr>
            <w:r>
              <w:rPr>
                <w:rFonts w:ascii="Times New Roman" w:cs="Times New Roman" w:eastAsia="Times New Roman" w:hAnsi="Times New Roman"/>
                <w:sz w:val="9"/>
                <w:szCs w:val="9"/>
                <w:b w:val="1"/>
                <w:bCs w:val="1"/>
                <w:color w:val="auto"/>
              </w:rPr>
              <w:t>Income (Loss)</w:t>
            </w: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8" w:lineRule="exact"/>
              <w:rPr>
                <w:sz w:val="20"/>
                <w:szCs w:val="20"/>
                <w:color w:val="auto"/>
              </w:rPr>
            </w:pPr>
            <w:r>
              <w:rPr>
                <w:rFonts w:ascii="Times New Roman" w:cs="Times New Roman" w:eastAsia="Times New Roman" w:hAnsi="Times New Roman"/>
                <w:sz w:val="9"/>
                <w:szCs w:val="9"/>
                <w:b w:val="1"/>
                <w:bCs w:val="1"/>
                <w:color w:val="auto"/>
              </w:rPr>
              <w:t>Compensation</w:t>
            </w:r>
          </w:p>
        </w:tc>
        <w:tc>
          <w:tcPr>
            <w:tcW w:w="780" w:type="dxa"/>
            <w:vAlign w:val="bottom"/>
            <w:tcBorders>
              <w:top w:val="single" w:sz="8" w:color="auto"/>
            </w:tcBorders>
            <w:gridSpan w:val="2"/>
          </w:tcPr>
          <w:p>
            <w:pPr>
              <w:jc w:val="right"/>
              <w:ind w:right="360"/>
              <w:spacing w:after="0" w:line="88" w:lineRule="exact"/>
              <w:rPr>
                <w:sz w:val="20"/>
                <w:szCs w:val="20"/>
                <w:color w:val="auto"/>
              </w:rPr>
            </w:pPr>
            <w:r>
              <w:rPr>
                <w:rFonts w:ascii="Times New Roman" w:cs="Times New Roman" w:eastAsia="Times New Roman" w:hAnsi="Times New Roman"/>
                <w:sz w:val="9"/>
                <w:szCs w:val="9"/>
                <w:b w:val="1"/>
                <w:bCs w:val="1"/>
                <w:color w:val="auto"/>
              </w:rPr>
              <w:t>Shares</w:t>
            </w:r>
          </w:p>
        </w:tc>
        <w:tc>
          <w:tcPr>
            <w:tcW w:w="4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31, 2005</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630,282</w:t>
            </w:r>
          </w:p>
        </w:tc>
        <w:tc>
          <w:tcPr>
            <w:tcW w:w="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4,486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(78,029)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5"/>
              </w:rPr>
              <w:t>$ (2,110)</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1,149</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dividends adjustment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Equity-based compensation transactions, net of taxes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11,483</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321</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stock repurchases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(30,965)</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(1,073)</w:t>
            </w:r>
          </w:p>
        </w:tc>
        <w:tc>
          <w:tcPr>
            <w:tcW w:w="0" w:type="dxa"/>
            <w:vAlign w:val="bottom"/>
          </w:tcPr>
          <w:p>
            <w:pPr>
              <w:spacing w:after="0"/>
              <w:rPr>
                <w:sz w:val="1"/>
                <w:szCs w:val="1"/>
                <w:color w:val="auto"/>
              </w:rPr>
            </w:pPr>
          </w:p>
        </w:tc>
      </w:tr>
      <w:tr>
        <w:trPr>
          <w:trHeight w:val="138"/>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Unrealized losses resulting from changes in fair values of derivative</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instruments, net of taxes of $7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Realized losses on derivative instruments reclassified into earnings, net of taxes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of $3</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Unrealized gains on marketable securities, net of taxes of $3</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Translation adjustment of foreign currency statements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Underfunded post-retirement benefit obligations, net of taxes of $3</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912</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31, 2006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4,513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(96,599)</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5"/>
              </w:rPr>
              <w:t>$ (2,836)</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576</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dividends declared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Equity-based compensation transactions, net of taxes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4,500</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134</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 repurchases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(19,627)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(686)</w:t>
            </w:r>
          </w:p>
        </w:tc>
        <w:tc>
          <w:tcPr>
            <w:tcW w:w="0" w:type="dxa"/>
            <w:vAlign w:val="bottom"/>
          </w:tcPr>
          <w:p>
            <w:pPr>
              <w:spacing w:after="0"/>
              <w:rPr>
                <w:sz w:val="1"/>
                <w:szCs w:val="1"/>
                <w:color w:val="auto"/>
              </w:rPr>
            </w:pPr>
          </w:p>
        </w:tc>
      </w:tr>
      <w:tr>
        <w:trPr>
          <w:trHeight w:val="138"/>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losses resulting from changes in fair values of derivative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instruments, net of taxes of $14</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Realized losses on derivative instruments reclassified into earnings, net of taxes</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of $16</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Translation adjustment of foreign currency statements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Cumulative effect of change in accounting principle</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0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295</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June 30, 2007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630,282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4,739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(111,431)</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5"/>
              </w:rPr>
              <w:t>$ (3,379)</w:t>
            </w:r>
          </w:p>
        </w:tc>
        <w:tc>
          <w:tcPr>
            <w:tcW w:w="0" w:type="dxa"/>
            <w:vAlign w:val="bottom"/>
          </w:tcPr>
          <w:p>
            <w:pPr>
              <w:spacing w:after="0"/>
              <w:rPr>
                <w:sz w:val="1"/>
                <w:szCs w:val="1"/>
                <w:color w:val="auto"/>
              </w:rPr>
            </w:pPr>
          </w:p>
        </w:tc>
      </w:tr>
      <w:tr>
        <w:trPr>
          <w:trHeight w:val="29"/>
        </w:trPr>
        <w:tc>
          <w:tcPr>
            <w:tcW w:w="40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9" w:lineRule="exact"/>
        <w:rPr>
          <w:sz w:val="20"/>
          <w:szCs w:val="20"/>
          <w:color w:val="auto"/>
        </w:rPr>
      </w:pPr>
    </w:p>
    <w:p>
      <w:pPr>
        <w:ind w:left="1000" w:hanging="313"/>
        <w:spacing w:after="0"/>
        <w:tabs>
          <w:tab w:leader="none" w:pos="100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Presentation</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62"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more detail on the financial position, results of operations and cash flows of WMI, WM Holdings and their subsidiaries, see Note 13.</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Waste Management Recycle America (“WMRA”) Group. We also provide additional waste management services that are not managed through our six Groups, which are presented in this report as “Other.”</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Condensed Consolidated Financial Statements as of and for the three and six months ended June 30, 2007 and 2006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2006.</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Actual results could differ materially from the estimates and assumptions that we use in the preparation of our financial statements.</w:t>
      </w:r>
    </w:p>
    <w:p>
      <w:pPr>
        <w:spacing w:after="0" w:line="62"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Accounting Change </w:t>
      </w:r>
      <w:r>
        <w:rPr>
          <w:rFonts w:ascii="Times New Roman" w:cs="Times New Roman" w:eastAsia="Times New Roman" w:hAnsi="Times New Roman"/>
          <w:sz w:val="13"/>
          <w:szCs w:val="13"/>
          <w:color w:val="auto"/>
        </w:rPr>
        <w:t>— In June 2006, the Financial Accounting Standards Board (“FASB”) issued Interpretation No. 48,</w:t>
      </w:r>
      <w:r>
        <w:rPr>
          <w:rFonts w:ascii="Times New Roman" w:cs="Times New Roman" w:eastAsia="Times New Roman" w:hAnsi="Times New Roman"/>
          <w:sz w:val="13"/>
          <w:szCs w:val="13"/>
          <w:i w:val="1"/>
          <w:iCs w:val="1"/>
          <w:color w:val="auto"/>
        </w:rPr>
        <w:t xml:space="preserve"> Accounting for Uncertainty in Income Taxes (an interpretation of FASB Statement No. 109) </w:t>
      </w:r>
      <w:r>
        <w:rPr>
          <w:rFonts w:ascii="Times New Roman" w:cs="Times New Roman" w:eastAsia="Times New Roman" w:hAnsi="Times New Roman"/>
          <w:sz w:val="13"/>
          <w:szCs w:val="13"/>
          <w:color w:val="auto"/>
        </w:rPr>
        <w:t>(“FIN 48”). FIN 48 prescribes a recognition threshold and measurement attribute for financial statement recognition and measurement of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positions taken or expected to be taken in tax returns. In addition, FIN 48 provides guidance on the de-recognition, classification and disclosure of tax positions, as well as the accounting for related interest and penalties.</w:t>
      </w:r>
    </w:p>
    <w:p>
      <w:pPr>
        <w:spacing w:after="0" w:line="62"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As disclosed in our Form 10-Q for the quarterly period ended March 31, 2007, we adopted FIN 48 effective January 1, 2007. As a result of the implementation of FIN 48, on January 1, 2007, we recognized, as a cumulative effect of change in accounting principle, a $121 million increase in our liability for unrecognized tax benefits, a $36 million increase in our non-current deferred tax assets and an $85 million reduction to our beginning retained earnings.</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 xml:space="preserve">On May 2, 2007, after our first quarter 2007 Form 10-Q was filed, the FASB issued FASB Staff Position (“FSP”) No. FIN 48-1, </w:t>
      </w:r>
      <w:r>
        <w:rPr>
          <w:rFonts w:ascii="Times New Roman" w:cs="Times New Roman" w:eastAsia="Times New Roman" w:hAnsi="Times New Roman"/>
          <w:sz w:val="13"/>
          <w:szCs w:val="13"/>
          <w:i w:val="1"/>
          <w:iCs w:val="1"/>
          <w:color w:val="auto"/>
        </w:rPr>
        <w:t>Definition of Settlement in FASB Interpretation</w:t>
      </w:r>
    </w:p>
    <w:p>
      <w:pPr>
        <w:spacing w:after="0" w:line="23" w:lineRule="exact"/>
        <w:rPr>
          <w:sz w:val="20"/>
          <w:szCs w:val="20"/>
          <w:color w:val="auto"/>
        </w:rPr>
      </w:pPr>
    </w:p>
    <w:p>
      <w:pPr>
        <w:jc w:val="both"/>
        <w:ind w:left="680" w:right="840"/>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No. 48 </w:t>
      </w:r>
      <w:r>
        <w:rPr>
          <w:rFonts w:ascii="Times New Roman" w:cs="Times New Roman" w:eastAsia="Times New Roman" w:hAnsi="Times New Roman"/>
          <w:sz w:val="13"/>
          <w:szCs w:val="13"/>
          <w:color w:val="auto"/>
        </w:rPr>
        <w:t>(“FSP No. 48-1”), to provide guidance associated with the criteria that must be evaluated in determining if a tax position has been effectively settled and should be recognized as a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benefit. Companies that did not initially apply FIN 48 in a manner consistent with provisions of FSP No. 48-1 are required to retrospectively apply the provisions of the FSP as of the date of initial adoption of FIN 48.</w:t>
      </w:r>
    </w:p>
    <w:p>
      <w:pPr>
        <w:spacing w:after="0" w:line="65" w:lineRule="exact"/>
        <w:rPr>
          <w:sz w:val="20"/>
          <w:szCs w:val="20"/>
          <w:color w:val="auto"/>
        </w:rPr>
      </w:pPr>
    </w:p>
    <w:p>
      <w:pPr>
        <w:ind w:left="680" w:right="840" w:firstLine="399"/>
        <w:spacing w:after="0" w:line="259" w:lineRule="auto"/>
        <w:rPr>
          <w:sz w:val="20"/>
          <w:szCs w:val="20"/>
          <w:color w:val="auto"/>
        </w:rPr>
      </w:pPr>
      <w:r>
        <w:rPr>
          <w:rFonts w:ascii="Times New Roman" w:cs="Times New Roman" w:eastAsia="Times New Roman" w:hAnsi="Times New Roman"/>
          <w:sz w:val="13"/>
          <w:szCs w:val="13"/>
          <w:color w:val="auto"/>
        </w:rPr>
        <w:t>The additional guidance provided by FSP No. 48-1 significantly changed the impact of our implementation of FIN 48. This is generally because our initial implementation resulted in the re-establishment of liabilities for tax positions that did not meet the ultimate settlement guidelines initially established by FIN 48 because the applicable statutes of limitations had not expired. We believe these tax positions were effectively settled as of January 1, 2007 as described by the provisions of FSP No. 48-1 largely because these positions were covered by settlements with the relevant taxing authorities. Accordingly, we have made a retrospective adjustment to our January 1, 2007 balance sheet to incorporate the effects of FSP No. 48-1. Our revised cumulative effect of change in accounting principle is a $28 million increase in our liabilities for unrecognized tax benefits, a $32 million increase in our non-current deferred tax assets and a $4 million increase in our beginning retained earnings.</w:t>
      </w:r>
    </w:p>
    <w:p>
      <w:pPr>
        <w:spacing w:after="0" w:line="64" w:lineRule="exact"/>
        <w:rPr>
          <w:sz w:val="20"/>
          <w:szCs w:val="20"/>
          <w:color w:val="auto"/>
        </w:rPr>
      </w:pPr>
    </w:p>
    <w:p>
      <w:pPr>
        <w:ind w:left="680" w:right="1100" w:firstLine="399"/>
        <w:spacing w:after="0" w:line="263" w:lineRule="auto"/>
        <w:rPr>
          <w:sz w:val="20"/>
          <w:szCs w:val="20"/>
          <w:color w:val="auto"/>
        </w:rPr>
      </w:pPr>
      <w:r>
        <w:rPr>
          <w:rFonts w:ascii="Times New Roman" w:cs="Times New Roman" w:eastAsia="Times New Roman" w:hAnsi="Times New Roman"/>
          <w:sz w:val="13"/>
          <w:szCs w:val="13"/>
          <w:color w:val="auto"/>
        </w:rPr>
        <w:t>In addition, during the first quarter of 2007, we reached a tax audit settlement, which, in accordance with the provisions of FIN 48 prior to the issuance of FSP No. 48-1, was not recognized in our Condensed Consolidated Statement of Operations as the applicable statutes of limitations had not expired. Applying FSP No. 48-1 retrospectively to January 1, 2007 resulted in the previously unrecognized tax benefit associated with this tax audit settlement being reflected as a reduction to our “Provision for income taxes,” increasing our previously reported “Net income” for the three months ended March 31, 2007 by $16 million, or $0.03 per diluted share.</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Refer to Note 5 for additional information about our unrecognized tax benefits.</w:t>
      </w:r>
    </w:p>
    <w:p>
      <w:pPr>
        <w:spacing w:after="0" w:line="94" w:lineRule="exact"/>
        <w:rPr>
          <w:sz w:val="20"/>
          <w:szCs w:val="20"/>
          <w:color w:val="auto"/>
        </w:rPr>
      </w:pPr>
    </w:p>
    <w:p>
      <w:pPr>
        <w:ind w:left="680" w:right="8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Reclassification of Cash Flow Information </w:t>
      </w:r>
      <w:r>
        <w:rPr>
          <w:rFonts w:ascii="Times New Roman" w:cs="Times New Roman" w:eastAsia="Times New Roman" w:hAnsi="Times New Roman"/>
          <w:sz w:val="13"/>
          <w:szCs w:val="13"/>
          <w:color w:val="auto"/>
        </w:rPr>
        <w:t>— Our 2006 Consolidated Statement of Cash Flows, as reported in the 2006 Annual Report on Form 10-K, included the effect of a change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classification of cash flows to exclude accrued capital spending from our reported capital expenditures and changes in accounts payable and accrued liabilities. Because this change was incorporated into our cash flow reporting processes for the first time in the fourth quarter of 2006, we will make reclassifications to our interim 2006 Condensed Consolidated Statements of Cash Flows to be included within our 2007 Quarterly Reports on Form 10-Q to conform with our current approach.</w:t>
      </w:r>
    </w:p>
    <w:p>
      <w:pPr>
        <w:spacing w:after="0" w:line="60" w:lineRule="exact"/>
        <w:rPr>
          <w:sz w:val="20"/>
          <w:szCs w:val="20"/>
          <w:color w:val="auto"/>
        </w:rPr>
      </w:pPr>
    </w:p>
    <w:p>
      <w:pPr>
        <w:ind w:left="680" w:right="11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Reclassification of Segment Information </w:t>
      </w:r>
      <w:r>
        <w:rPr>
          <w:rFonts w:ascii="Times New Roman" w:cs="Times New Roman" w:eastAsia="Times New Roman" w:hAnsi="Times New Roman"/>
          <w:sz w:val="13"/>
          <w:szCs w:val="13"/>
          <w:color w:val="auto"/>
        </w:rPr>
        <w:t>— In the first quarter of 2007, we realigned our Eastern, Midwest and Western Group organizations to facilitate improved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execution. We moved certain market areas in the Eastern and Midwest Groups to the Midwest and Western Groups, respectively. We have reflected the impact of this realignment for all periods presented to provide financial information that consistently reflects our current approach to managing our operations. Refer to Note 11.</w:t>
      </w:r>
    </w:p>
    <w:p>
      <w:pPr>
        <w:spacing w:after="0" w:line="133" w:lineRule="exact"/>
        <w:rPr>
          <w:sz w:val="20"/>
          <w:szCs w:val="20"/>
          <w:color w:val="auto"/>
        </w:rPr>
      </w:pPr>
    </w:p>
    <w:p>
      <w:pPr>
        <w:ind w:left="1000" w:hanging="313"/>
        <w:spacing w:after="0"/>
        <w:tabs>
          <w:tab w:leader="none" w:pos="100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Landfill and Environmental Remediation Liabilities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Liabilities for landfill and environmental remediation costs are presented in the table below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June 30, 2007</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December 31, 2006</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680" w:type="dxa"/>
            <w:vAlign w:val="bottom"/>
          </w:tcPr>
          <w:p>
            <w:pPr>
              <w:spacing w:after="0"/>
              <w:rPr>
                <w:sz w:val="6"/>
                <w:szCs w:val="6"/>
                <w:color w:val="auto"/>
              </w:rPr>
            </w:pPr>
          </w:p>
        </w:tc>
        <w:tc>
          <w:tcPr>
            <w:tcW w:w="3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w w:val="98"/>
              </w:rPr>
              <w:t>Landfill</w:t>
            </w:r>
          </w:p>
        </w:tc>
        <w:tc>
          <w:tcPr>
            <w:tcW w:w="90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Environmental</w:t>
            </w: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Landfill</w:t>
            </w:r>
          </w:p>
        </w:tc>
        <w:tc>
          <w:tcPr>
            <w:tcW w:w="100" w:type="dxa"/>
            <w:vAlign w:val="bottom"/>
          </w:tcPr>
          <w:p>
            <w:pPr>
              <w:spacing w:after="0"/>
              <w:rPr>
                <w:sz w:val="6"/>
                <w:szCs w:val="6"/>
                <w:color w:val="auto"/>
              </w:rPr>
            </w:pPr>
          </w:p>
        </w:tc>
        <w:tc>
          <w:tcPr>
            <w:tcW w:w="1400" w:type="dxa"/>
            <w:vAlign w:val="bottom"/>
            <w:gridSpan w:val="2"/>
          </w:tcPr>
          <w:p>
            <w:pPr>
              <w:jc w:val="center"/>
              <w:ind w:right="480"/>
              <w:spacing w:after="0" w:line="79" w:lineRule="exact"/>
              <w:rPr>
                <w:sz w:val="20"/>
                <w:szCs w:val="20"/>
                <w:color w:val="auto"/>
              </w:rPr>
            </w:pPr>
            <w:r>
              <w:rPr>
                <w:rFonts w:ascii="Times New Roman" w:cs="Times New Roman" w:eastAsia="Times New Roman" w:hAnsi="Times New Roman"/>
                <w:sz w:val="9"/>
                <w:szCs w:val="9"/>
                <w:b w:val="1"/>
                <w:bCs w:val="1"/>
                <w:color w:val="auto"/>
              </w:rPr>
              <w:t>Environmental</w:t>
            </w:r>
          </w:p>
        </w:tc>
        <w:tc>
          <w:tcPr>
            <w:tcW w:w="100" w:type="dxa"/>
            <w:vAlign w:val="bottom"/>
          </w:tcPr>
          <w:p>
            <w:pPr>
              <w:spacing w:after="0"/>
              <w:rPr>
                <w:sz w:val="6"/>
                <w:szCs w:val="6"/>
                <w:color w:val="auto"/>
              </w:rPr>
            </w:pP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0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110</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3"/>
                <w:szCs w:val="13"/>
                <w:color w:val="auto"/>
              </w:rPr>
              <w:t>Long-term</w:t>
            </w:r>
          </w:p>
        </w:tc>
        <w:tc>
          <w:tcPr>
            <w:tcW w:w="6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1,062</w:t>
            </w:r>
          </w:p>
        </w:tc>
        <w:tc>
          <w:tcPr>
            <w:tcW w:w="9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2"/>
              </w:rPr>
              <w:t>230</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1,292</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1,172</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2"/>
              </w:rPr>
              <w:t>273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1,445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Borders>
              <w:top w:val="single" w:sz="8" w:color="auto"/>
            </w:tcBorders>
          </w:tcPr>
          <w:p>
            <w:pPr>
              <w:jc w:val="right"/>
              <w:ind w:right="466"/>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The changes to landfill and environmental remediation liabilities for the year ended December 31, 2006 and the six months ended June 30, 2007 are reflected in the table below (in millions):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Environmental</w:t>
            </w:r>
          </w:p>
        </w:tc>
        <w:tc>
          <w:tcPr>
            <w:tcW w:w="0" w:type="dxa"/>
            <w:vAlign w:val="bottom"/>
          </w:tcPr>
          <w:p>
            <w:pPr>
              <w:spacing w:after="0"/>
              <w:rPr>
                <w:sz w:val="1"/>
                <w:szCs w:val="1"/>
                <w:color w:val="auto"/>
              </w:rPr>
            </w:pPr>
          </w:p>
        </w:tc>
      </w:tr>
      <w:tr>
        <w:trPr>
          <w:trHeight w:val="127"/>
        </w:trPr>
        <w:tc>
          <w:tcPr>
            <w:tcW w:w="7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2005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1,052</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2006</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1,121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30, 2007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1,172</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$227 million at June 30, 2007, and is primarily included as long-term “Other assets” in our Condensed Consolidated Balance Sheet. Balances maintained in these trust funds and escrow accounts will fluctuate based on (i) 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139" w:lineRule="exact"/>
        <w:rPr>
          <w:sz w:val="20"/>
          <w:szCs w:val="20"/>
          <w:color w:val="auto"/>
        </w:rPr>
      </w:pPr>
    </w:p>
    <w:p>
      <w:pPr>
        <w:ind w:left="1000" w:hanging="313"/>
        <w:spacing w:after="0"/>
        <w:tabs>
          <w:tab w:leader="none" w:pos="100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Current Other Assets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primary components of current “Other assets” as of June 30, 2007 and December 31, 2006 were as follows:</w:t>
      </w:r>
    </w:p>
    <w:p>
      <w:pPr>
        <w:spacing w:after="0" w:line="94" w:lineRule="exact"/>
        <w:rPr>
          <w:sz w:val="20"/>
          <w:szCs w:val="20"/>
          <w:color w:val="auto"/>
        </w:rPr>
      </w:pPr>
    </w:p>
    <w:p>
      <w:pPr>
        <w:ind w:left="1080" w:right="20" w:firstLine="383"/>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Short-term investments available for use </w:t>
      </w:r>
      <w:r>
        <w:rPr>
          <w:rFonts w:ascii="Times New Roman" w:cs="Times New Roman" w:eastAsia="Times New Roman" w:hAnsi="Times New Roman"/>
          <w:sz w:val="13"/>
          <w:szCs w:val="13"/>
          <w:color w:val="auto"/>
        </w:rPr>
        <w:t>— We invest in auction rate securities and variable rate demand notes, which are debt instruments with long-term scheduled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maturities and periodic interest rate reset dates. The interest rate reset mechanism for these instruments results in periodic remarketing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 As of June 30, 2007 and December 31, 2006, $124 million and $184 million, respectively, of investments in auction rates securities and variable rate demand notes have been included as a component of current “Other assets.” Gross purchases and sales of these investments are presented within “Cash flows from investing activities” in our Condensed Consolidated Statements of Cash Flows.</w:t>
      </w:r>
    </w:p>
    <w:p>
      <w:pPr>
        <w:spacing w:after="0" w:line="64" w:lineRule="exact"/>
        <w:rPr>
          <w:sz w:val="20"/>
          <w:szCs w:val="20"/>
          <w:color w:val="auto"/>
        </w:rPr>
      </w:pPr>
    </w:p>
    <w:p>
      <w:pPr>
        <w:ind w:left="1080" w:right="2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Assets held for sale </w:t>
      </w:r>
      <w:r>
        <w:rPr>
          <w:rFonts w:ascii="Times New Roman" w:cs="Times New Roman" w:eastAsia="Times New Roman" w:hAnsi="Times New Roman"/>
          <w:sz w:val="13"/>
          <w:szCs w:val="13"/>
          <w:color w:val="auto"/>
        </w:rPr>
        <w:t>— As of June 30, 2007 and December 31, 2006, our current “Other assets” included $54 million and $250 million, respectively, of operations and property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held for sale. Held-for-sale assets are recorded at the lower of their carrying amount or their fair value less the estimated cost to sell. The decrease in our assets held-for-sale during 2007 is primarily due to the divestiture of operations in our Eastern, Western and Southern Groups. Refer to Note 12 for additional information.</w:t>
      </w:r>
    </w:p>
    <w:p>
      <w:pPr>
        <w:spacing w:after="0" w:line="56" w:lineRule="exact"/>
        <w:rPr>
          <w:sz w:val="20"/>
          <w:szCs w:val="20"/>
          <w:color w:val="auto"/>
        </w:rPr>
      </w:pPr>
    </w:p>
    <w:p>
      <w:pPr>
        <w:ind w:left="1080" w:right="100" w:firstLine="383"/>
        <w:spacing w:after="0" w:line="286" w:lineRule="auto"/>
        <w:rPr>
          <w:sz w:val="20"/>
          <w:szCs w:val="20"/>
          <w:color w:val="auto"/>
        </w:rPr>
      </w:pPr>
      <w:r>
        <w:rPr>
          <w:rFonts w:ascii="Times New Roman" w:cs="Times New Roman" w:eastAsia="Times New Roman" w:hAnsi="Times New Roman"/>
          <w:sz w:val="13"/>
          <w:szCs w:val="13"/>
          <w:color w:val="auto"/>
        </w:rPr>
        <w:t>Our quarterly assessment of held-for-sale operations includes an analysis to determine if they qualify for discontinued operations accounting. Discontinued operations are not expected to be material to our results of</w:t>
      </w: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operations or cash flows due to the current integration and anticipated continuing involvement of these businesses with our remaining operations.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4.</w:t>
            </w:r>
          </w:p>
        </w:tc>
        <w:tc>
          <w:tcPr>
            <w:tcW w:w="78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120" w:type="dxa"/>
            <w:vAlign w:val="bottom"/>
          </w:tcPr>
          <w:p>
            <w:pPr>
              <w:spacing w:after="0"/>
              <w:rPr>
                <w:sz w:val="21"/>
                <w:szCs w:val="21"/>
                <w:color w:val="auto"/>
              </w:rPr>
            </w:pPr>
          </w:p>
        </w:tc>
        <w:tc>
          <w:tcPr>
            <w:tcW w:w="7880" w:type="dxa"/>
            <w:vAlign w:val="bottom"/>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Debt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7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debt at each balance sheet date (in millions):</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7"/>
        </w:trPr>
        <w:tc>
          <w:tcPr>
            <w:tcW w:w="1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7"/>
        </w:trPr>
        <w:tc>
          <w:tcPr>
            <w:tcW w:w="1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11"/>
                <w:szCs w:val="11"/>
                <w:color w:val="auto"/>
              </w:rPr>
            </w:pPr>
          </w:p>
        </w:tc>
      </w:tr>
      <w:tr>
        <w:trPr>
          <w:trHeight w:val="29"/>
        </w:trPr>
        <w:tc>
          <w:tcPr>
            <w:tcW w:w="1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Revolving credit and letter of credit facilities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8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Canadian credit facility (weighted average interest rate of 5.1% at June 30, 2007 and 4.8% at December 31, 2006)</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310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308</w:t>
            </w:r>
          </w:p>
        </w:tc>
      </w:tr>
      <w:tr>
        <w:trPr>
          <w:trHeight w:val="144"/>
        </w:trPr>
        <w:tc>
          <w:tcPr>
            <w:tcW w:w="80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Senior notes and debentures, maturing through 2032, interest rates ranging from 5.00% to 8.75% (weighted average interest rate of 7.0% at June 30,</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120" w:type="dxa"/>
            <w:vAlign w:val="bottom"/>
            <w:shd w:val="clear" w:color="auto" w:fill="CCEEFF"/>
          </w:tcPr>
          <w:p>
            <w:pPr>
              <w:spacing w:after="0"/>
              <w:rPr>
                <w:sz w:val="14"/>
                <w:szCs w:val="14"/>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2007 and December 31, 2006)</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4,807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4,829</w:t>
            </w:r>
          </w:p>
        </w:tc>
      </w:tr>
      <w:tr>
        <w:trPr>
          <w:trHeight w:val="144"/>
        </w:trPr>
        <w:tc>
          <w:tcPr>
            <w:tcW w:w="80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Tax-exempt bonds maturing through 2039, fixed and variable interest rates ranging from 2.9% to 7.4% (weighted average interest rate of 4.5% at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June 30, 2007 and December 31, 2006)</w:t>
            </w:r>
          </w:p>
        </w:tc>
        <w:tc>
          <w:tcPr>
            <w:tcW w:w="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2,443</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2,440</w:t>
            </w:r>
          </w:p>
        </w:tc>
      </w:tr>
      <w:tr>
        <w:trPr>
          <w:trHeight w:val="144"/>
        </w:trPr>
        <w:tc>
          <w:tcPr>
            <w:tcW w:w="80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Tax-exempt project bonds, principal payable in periodic installments, maturing through 2027, fixed and variable interest rates ranging from 3.8% to</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120" w:type="dxa"/>
            <w:vAlign w:val="bottom"/>
            <w:shd w:val="clear" w:color="auto" w:fill="CCEEFF"/>
          </w:tcPr>
          <w:p>
            <w:pPr>
              <w:spacing w:after="0"/>
              <w:rPr>
                <w:sz w:val="14"/>
                <w:szCs w:val="14"/>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9.3% (weighted average interest rate of 5.3% at June 30, 2007 and 5.4% at December 31, 2006)</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352</w:t>
            </w:r>
          </w:p>
        </w:tc>
      </w:tr>
      <w:tr>
        <w:trPr>
          <w:trHeight w:val="157"/>
        </w:trPr>
        <w:tc>
          <w:tcPr>
            <w:tcW w:w="8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leases and other, maturing through 2036, interest rates up to 12%</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338</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388</w:t>
            </w:r>
          </w:p>
        </w:tc>
      </w:tr>
      <w:tr>
        <w:trPr>
          <w:trHeight w:val="20"/>
        </w:trPr>
        <w:tc>
          <w:tcPr>
            <w:tcW w:w="1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8,249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8,317</w:t>
            </w:r>
          </w:p>
        </w:tc>
      </w:tr>
      <w:tr>
        <w:trPr>
          <w:trHeight w:val="157"/>
        </w:trPr>
        <w:tc>
          <w:tcPr>
            <w:tcW w:w="8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current portion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526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822</w:t>
            </w:r>
          </w:p>
        </w:tc>
      </w:tr>
      <w:tr>
        <w:trPr>
          <w:trHeight w:val="20"/>
        </w:trPr>
        <w:tc>
          <w:tcPr>
            <w:tcW w:w="1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8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7,723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7,495</w:t>
            </w:r>
          </w:p>
        </w:tc>
      </w:tr>
      <w:tr>
        <w:trPr>
          <w:trHeight w:val="29"/>
        </w:trPr>
        <w:tc>
          <w:tcPr>
            <w:tcW w:w="1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changes in our debt balances from December 31, 2006 are primarily related to the following:</w:t>
      </w:r>
    </w:p>
    <w:p>
      <w:pPr>
        <w:spacing w:after="0" w:line="94" w:lineRule="exact"/>
        <w:rPr>
          <w:sz w:val="20"/>
          <w:szCs w:val="20"/>
          <w:color w:val="auto"/>
        </w:rPr>
      </w:pPr>
    </w:p>
    <w:p>
      <w:pPr>
        <w:ind w:left="1280" w:right="80" w:hanging="190"/>
        <w:spacing w:after="0" w:line="289" w:lineRule="auto"/>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Canadian credit facility </w:t>
      </w:r>
      <w:r>
        <w:rPr>
          <w:rFonts w:ascii="Times New Roman" w:cs="Times New Roman" w:eastAsia="Times New Roman" w:hAnsi="Times New Roman"/>
          <w:sz w:val="13"/>
          <w:szCs w:val="13"/>
          <w:color w:val="auto"/>
        </w:rPr>
        <w:t>— Approximately $34 million of advances matured and were repaid with available cash. The decrease in the carrying value of this obligation due to debt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repayments was more than offset by increases in the carrying value of this obligation due to currency translation adjustments and interest accretion.</w:t>
      </w:r>
    </w:p>
    <w:p>
      <w:pPr>
        <w:spacing w:after="0" w:line="33"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Senior notes </w:t>
      </w:r>
      <w:r>
        <w:rPr>
          <w:rFonts w:ascii="Times New Roman" w:cs="Times New Roman" w:eastAsia="Times New Roman" w:hAnsi="Times New Roman"/>
          <w:sz w:val="13"/>
          <w:szCs w:val="13"/>
          <w:color w:val="auto"/>
        </w:rPr>
        <w:t>— Fair value hedge accounting for interest rate swap contracts resulted in a $23 million decrease in the carrying value of our senior notes.</w:t>
      </w:r>
    </w:p>
    <w:p>
      <w:pPr>
        <w:spacing w:after="0" w:line="86" w:lineRule="exact"/>
        <w:rPr>
          <w:rFonts w:ascii="Times New Roman" w:cs="Times New Roman" w:eastAsia="Times New Roman" w:hAnsi="Times New Roman"/>
          <w:sz w:val="13"/>
          <w:szCs w:val="13"/>
          <w:color w:val="auto"/>
        </w:rPr>
      </w:pPr>
    </w:p>
    <w:p>
      <w:pPr>
        <w:ind w:left="1280" w:right="40" w:hanging="190"/>
        <w:spacing w:after="0" w:line="261" w:lineRule="auto"/>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Tax-exempt bonds </w:t>
      </w:r>
      <w:r>
        <w:rPr>
          <w:rFonts w:ascii="Times New Roman" w:cs="Times New Roman" w:eastAsia="Times New Roman" w:hAnsi="Times New Roman"/>
          <w:sz w:val="13"/>
          <w:szCs w:val="13"/>
          <w:color w:val="auto"/>
        </w:rPr>
        <w:t>— Approximately $52 million of outstanding bonds were repaid with available cash in accordance with the bonds’ scheduled maturities. We issued $55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tax-exempt bonds during the second quarter of 2007. The proceeds from the issuance of the bonds were deposited directly into a trust fund and may only be used for the specific purpose for which the money was raised, which is generally the construction of collection and disposal facilities and for the equipment necessary to provide waste management services. Accordingly, the restricted funds provided by these financing activities have not been included in “New borrowings” in our Condensed Consolidated Statement of Cash Flows.</w:t>
      </w:r>
    </w:p>
    <w:p>
      <w:pPr>
        <w:spacing w:after="0" w:line="52" w:lineRule="exact"/>
        <w:rPr>
          <w:rFonts w:ascii="Times New Roman" w:cs="Times New Roman" w:eastAsia="Times New Roman" w:hAnsi="Times New Roman"/>
          <w:sz w:val="13"/>
          <w:szCs w:val="13"/>
          <w:color w:val="auto"/>
        </w:rPr>
      </w:pPr>
    </w:p>
    <w:p>
      <w:pPr>
        <w:ind w:left="1280" w:right="540" w:hanging="190"/>
        <w:spacing w:after="0" w:line="289" w:lineRule="auto"/>
        <w:tabs>
          <w:tab w:leader="none" w:pos="12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Capital leases and other </w:t>
      </w:r>
      <w:r>
        <w:rPr>
          <w:rFonts w:ascii="Times New Roman" w:cs="Times New Roman" w:eastAsia="Times New Roman" w:hAnsi="Times New Roman"/>
          <w:sz w:val="13"/>
          <w:szCs w:val="13"/>
          <w:color w:val="auto"/>
        </w:rPr>
        <w:t>— Approximately $51 million of our capital lease and other obligations were repaid with cash. These cash payments were largely related to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investments in the two coal-based synthetic fuel facilities discussed in Note 5.</w:t>
      </w:r>
    </w:p>
    <w:p>
      <w:pPr>
        <w:spacing w:after="0" w:line="45"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The significant decline in the current portion of our debt from December 31, 2006 is largely due to our classification of $240 million of the borrowings under the Canadian credit facility as long-term as of June 30, 2007.</w:t>
      </w: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120"/>
        <w:spacing w:after="0" w:line="269" w:lineRule="auto"/>
        <w:rPr>
          <w:sz w:val="20"/>
          <w:szCs w:val="20"/>
          <w:color w:val="auto"/>
        </w:rPr>
      </w:pPr>
      <w:r>
        <w:rPr>
          <w:rFonts w:ascii="Times New Roman" w:cs="Times New Roman" w:eastAsia="Times New Roman" w:hAnsi="Times New Roman"/>
          <w:sz w:val="13"/>
          <w:szCs w:val="13"/>
          <w:color w:val="auto"/>
        </w:rPr>
        <w:t>As of June 30, 2007, we expect to repay $70 million of the outstanding advances with available cash within one year and renew the remaining borrowings under the terms of the facility, which matures in November 2008. As of December 31, 2006, we had classified all borrowings under the Canadian credit facility as current liabilities based on our expectation, at that time, that we would repay the borrowings within one year with available cash.</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Our revolving credit facility and certain other financing agreements contain financial covenants. The most restrictive of these financial covenants are contained in our revolving credit facility. 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June 30, 2007, we were in compliance with the covenants and restrictions under all of our debt agreements.</w:t>
      </w:r>
    </w:p>
    <w:p>
      <w:pPr>
        <w:spacing w:after="0" w:line="139" w:lineRule="exact"/>
        <w:rPr>
          <w:sz w:val="20"/>
          <w:szCs w:val="20"/>
          <w:color w:val="auto"/>
        </w:rPr>
      </w:pPr>
    </w:p>
    <w:p>
      <w:pPr>
        <w:ind w:left="1000" w:hanging="313"/>
        <w:spacing w:after="0"/>
        <w:tabs>
          <w:tab w:leader="none" w:pos="100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w:t>
      </w:r>
    </w:p>
    <w:p>
      <w:pPr>
        <w:spacing w:after="0" w:line="98"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The Company is subject to income tax in the United States, Canada and Puerto Rico. Current tax obligations associated with our provision for income taxes are reflected in the accompanying Condensed Consolidated Balance Sheets as a component of “Accrued liabilities,” and the deferred tax obligations are reflected in “Deferred income taxes.” As discussed in Note 1, we adopted FIN 48 and have retrospectively applied FSP No. 48-1 effective January 1, 2007. As a result of both of these adoptions, we recognized, as a cumulative effect of change in accounting principle, a $28 million increase in our liabilities for unrecognized tax benefits, a $32 million increase in our non-current deferred tax assets and a $4 million increase in our beginning retained earnings.</w:t>
      </w:r>
    </w:p>
    <w:p>
      <w:pPr>
        <w:spacing w:after="0" w:line="62" w:lineRule="exact"/>
        <w:rPr>
          <w:sz w:val="20"/>
          <w:szCs w:val="20"/>
          <w:color w:val="auto"/>
        </w:rPr>
      </w:pPr>
    </w:p>
    <w:p>
      <w:pPr>
        <w:ind w:left="680" w:right="240" w:firstLine="399"/>
        <w:spacing w:after="0" w:line="257" w:lineRule="auto"/>
        <w:rPr>
          <w:sz w:val="20"/>
          <w:szCs w:val="20"/>
          <w:color w:val="auto"/>
        </w:rPr>
      </w:pPr>
      <w:r>
        <w:rPr>
          <w:rFonts w:ascii="Times New Roman" w:cs="Times New Roman" w:eastAsia="Times New Roman" w:hAnsi="Times New Roman"/>
          <w:sz w:val="13"/>
          <w:szCs w:val="13"/>
          <w:color w:val="auto"/>
        </w:rPr>
        <w:t>Upon adoption of FIN 48 and the retrospective application of the provisions of FSP No. 48-1, our income tax liabilities included a total of approximately $101 million for unrecognized tax benefits, excluding accrued interest liabilities, which are discussed below. These liabilities are primarily included as a component of long-term “Other liabilities” in our Condensed Consolidated Balance Sheet because the Company generally does not anticipate that settlement of the liabilities will require payment of cash within the next twelve months. During the three and six months ended June 30, 2007, we reached audit settlements on various federal and state tax matters that resulted in the effective settlement of $11 million and</w:t>
      </w:r>
    </w:p>
    <w:p>
      <w:pPr>
        <w:spacing w:after="0" w:line="2" w:lineRule="exact"/>
        <w:rPr>
          <w:sz w:val="20"/>
          <w:szCs w:val="20"/>
          <w:color w:val="auto"/>
        </w:rPr>
      </w:pPr>
    </w:p>
    <w:p>
      <w:pPr>
        <w:ind w:left="680"/>
        <w:spacing w:after="0" w:line="264" w:lineRule="auto"/>
        <w:rPr>
          <w:sz w:val="20"/>
          <w:szCs w:val="20"/>
          <w:color w:val="auto"/>
        </w:rPr>
      </w:pPr>
      <w:r>
        <w:rPr>
          <w:rFonts w:ascii="Times New Roman" w:cs="Times New Roman" w:eastAsia="Times New Roman" w:hAnsi="Times New Roman"/>
          <w:sz w:val="13"/>
          <w:szCs w:val="13"/>
          <w:color w:val="auto"/>
        </w:rPr>
        <w:t>$27 million, respectively, of previously unrecognized tax benefits. The recognition of these previously unrecognized tax benefits reduced our “Provisions for income taxes” and increased our “Net income.” All of our unrecognized tax benefits, if recognized in future periods, would impact our effective tax rate.</w:t>
      </w:r>
    </w:p>
    <w:p>
      <w:pPr>
        <w:spacing w:after="0" w:line="61"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To the extent interest and penalties may be assessed by taxing authorities on any underpayment of income tax, such amounts have been accrued and are classified as a component of income tax expense in our Condensed Consolidated Statements of Operations. We elected this accounting policy, which is a continuation of our historical policy, in connection with our adoption of FIN 48. As of January 1, 2007, we had accrued interest liabilities of $16 million related to unrecognized tax benefits, which are also primarily included as a component of long-term “Other liabilities.” We do not have any accrued liabilities for penalties related to unrecognized tax benefits.</w:t>
      </w:r>
    </w:p>
    <w:p>
      <w:pPr>
        <w:spacing w:after="0" w:line="62"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Company is currently under federal audit by the Internal Revenue Service for the tax years 2006 and 2007, as well as by several state and local jurisdictions dating back to 1999. In addition, several of the Company’s subsidiaries are open to examination in Canada dating back to 2002. We anticipate that approximately $7 million of unrecognized tax benefits, including accrued interest, and $2 million of related deferred tax assets may be reversed within the next twelve months.</w:t>
      </w:r>
    </w:p>
    <w:p>
      <w:pPr>
        <w:spacing w:after="0" w:line="58"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The difference between federal income taxes computed at the federal statutory rate and reported income taxes for the three and six months ended June 30, 2007 is primarily due to the effects of the favorable impact of non-conventional fuel tax credits and tax audit settlements, discussed below, which were partially offset by the unfavorable impact of state and local income taxes and nondeductible goodwill associated with divestitures. In addition, during the second quarter of 2007, we recognized tax benefits related to scheduled tax rate reductions in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Canada and an $8 million increase in state tax credits, both of which resulted in the revaluation of our related deferred tax balances.</w:t>
      </w:r>
    </w:p>
    <w:p>
      <w:pPr>
        <w:spacing w:after="0" w:line="9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The difference between federal income taxes computed at the federal statutory rate and reported income taxes for the three and six months ended June 30, 2006 is primarily due to favorable effects of tax audit settlements offset in part by state and local income taxes and the impact of nondeductible goodwill associated with our divestitures. Non-conventional fuel tax credits also had an unfavorable impact on our effective tax rate for the three months ended June 30, 2006, but favorably affected our effective tax rate for the six months ended June 30, 2006. Additionally, in the second quarter of 2006 we realized a tax benefit due to scheduled tax rate reductions in Canada and the resulting revaluation of related deferred tax balances.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evaluate our effective tax rate at each interim period and adjust it accordingly as facts and circumstances warrant.</w:t>
      </w:r>
    </w:p>
    <w:p>
      <w:pPr>
        <w:spacing w:after="0" w:line="94" w:lineRule="exact"/>
        <w:rPr>
          <w:sz w:val="20"/>
          <w:szCs w:val="20"/>
          <w:color w:val="auto"/>
        </w:rPr>
      </w:pPr>
    </w:p>
    <w:p>
      <w:pPr>
        <w:jc w:val="both"/>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Non-conventional fuel tax credits </w:t>
      </w:r>
      <w:r>
        <w:rPr>
          <w:rFonts w:ascii="Times New Roman" w:cs="Times New Roman" w:eastAsia="Times New Roman" w:hAnsi="Times New Roman"/>
          <w:sz w:val="13"/>
          <w:szCs w:val="13"/>
          <w:color w:val="auto"/>
        </w:rPr>
        <w:t>— The impact of non-conventional fuel tax credits on our effective tax rate is derived from methane gas projects at our landfills and our investments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two coal-based, synthetic fuel production facilities (the “Facilities”). The fuel generated from our landfills and the Facilities qualifies for tax credits through 2007 pursuant to Section 45K of the Internal Revenue Code.</w:t>
      </w:r>
    </w:p>
    <w:p>
      <w:pPr>
        <w:spacing w:after="0" w:line="56"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Section 45K tax credits begin phasing out if the price of crude oil exceeds an annual average price threshold determined by the U.S. Internal Revenue Service. Our effective tax rate for the three and six months ended June 30, 2007 reflects our current expectations for the partial phase-out of Section 45K tax credits generated during 2007. We have developed our current expectations for the phase-out of 29% of Section 45K credits using market information for current and forward-looking oil prices as of June 30, 2007. Accordingly, our current estimated effective tax rate could be materially different than our actual 2007 effective tax rate if our expectations for oil prices for the year are inconsistent with actual results.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effective tax rate for the three and six months ended June 30, 2006 reflected (i) our expectations for the phase-out of 78% of Section 45K tax credits generated during 2006 and</w:t>
      </w:r>
    </w:p>
    <w:p>
      <w:pPr>
        <w:spacing w:after="0" w:line="21" w:lineRule="exact"/>
        <w:rPr>
          <w:sz w:val="20"/>
          <w:szCs w:val="20"/>
          <w:color w:val="auto"/>
        </w:rPr>
      </w:pPr>
    </w:p>
    <w:p>
      <w:pPr>
        <w:ind w:left="880" w:hanging="193"/>
        <w:spacing w:after="0"/>
        <w:tabs>
          <w:tab w:leader="none" w:pos="8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the suspension of operations at the Facilities, which occurred in May 2006. When considering these items, our estimated recurring effective tax rate as of June 30, 2006 was</w:t>
      </w:r>
    </w:p>
    <w:p>
      <w:pPr>
        <w:spacing w:after="0" w:line="7" w:lineRule="exact"/>
        <w:rPr>
          <w:rFonts w:ascii="Times New Roman" w:cs="Times New Roman" w:eastAsia="Times New Roman" w:hAnsi="Times New Roman"/>
          <w:sz w:val="13"/>
          <w:szCs w:val="13"/>
          <w:color w:val="auto"/>
        </w:rPr>
      </w:pPr>
    </w:p>
    <w:p>
      <w:pPr>
        <w:ind w:left="680" w:right="80"/>
        <w:spacing w:after="0" w:line="26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39.3%, a 2.2 percentage point increase in our estimated effective tax rate from March 31, 2006. This increase resulted in additional provision for income taxes and a reduction in our net income of $16 million for the three and six months ended June 30, 2006. Our estimate of the 2006 phase-out was revised quarterly and, at year-end, was estimated to be approximately 36%.</w:t>
      </w:r>
    </w:p>
    <w:p>
      <w:pPr>
        <w:spacing w:after="0" w:line="61"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On April 4, 2007, the IRS established the final phase-out of Section 45K credits generated during 2006 at approximately 33%. The impacts of this revision in estimate were included in our “Equity in net losses of unconsolidated entities” and our “Provision for income taxes” for the three months ended March 31, 2007.</w:t>
      </w:r>
    </w:p>
    <w:p>
      <w:pPr>
        <w:spacing w:after="0" w:line="47"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Our minority ownership interests in the Facilities result in the recognition of our pro-rata share of the Facilities’ losses, the amortization of our investments and additional expense associated with other estimated obligations all being recorded as “Equity in net losses of unconsolidated entities” within our Condensed Consolidated Statements of Operations. The equity losses and associated tax benefits would not have been incurred if we had not acquired the minority ownership interest in the Facilities. If it were determined the tax credits generated by the Facilities were no longer allowable under Section 45K of the Internal Revenue Code, we could cease making payments in the period that determination is made and not incur these losses in future periods. As discussed above, our effective tax rates for the three and six months ended June 30, 2007 and 2006 include the effect of a partial phase-out of Section 45K credits generated during 2007 and 2006. Our “Equity in net losses of unconsolidated entities” for the three and six months ended June 30, 2007 and 2006 also reflect the impact of a partial phase-out of Section 45K credits on our contractual obligations to fund the Facilities’ losses. Although we currently project that we will not be able to recognize 29% of the tax credits generated during 2007, we are required to fund 100% of our pro-rata portion of the Facilities’ losses and production costs for 2007 operations. Amounts paid to the Facilities’ for which we do not ultimately realize a tax benefit are refundable to us, subject to certain limitations.</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summarizes the impact of our investments in the Facilities on our Condensed Consolidated Statements of Operations (in millions):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130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jc w:val="center"/>
              <w:ind w:right="8"/>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center"/>
              <w:ind w:left="79"/>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7"/>
        </w:trPr>
        <w:tc>
          <w:tcPr>
            <w:tcW w:w="130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left="78"/>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220" w:type="dxa"/>
            <w:vAlign w:val="bottom"/>
            <w:tcBorders>
              <w:bottom w:val="single" w:sz="8" w:color="auto"/>
            </w:tcBorders>
            <w:gridSpan w:val="2"/>
          </w:tcPr>
          <w:p>
            <w:pPr>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86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220" w:type="dxa"/>
            <w:vAlign w:val="bottom"/>
          </w:tcPr>
          <w:p>
            <w:pPr>
              <w:spacing w:after="0"/>
              <w:rPr>
                <w:sz w:val="8"/>
                <w:szCs w:val="8"/>
                <w:color w:val="auto"/>
              </w:rPr>
            </w:pPr>
          </w:p>
        </w:tc>
        <w:tc>
          <w:tcPr>
            <w:tcW w:w="240" w:type="dxa"/>
            <w:vAlign w:val="bottom"/>
            <w:tcBorders>
              <w:bottom w:val="single" w:sz="8" w:color="auto"/>
            </w:tcBorders>
            <w:gridSpan w:val="2"/>
          </w:tcPr>
          <w:p>
            <w:pPr>
              <w:ind w:left="20"/>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4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r>
      <w:tr>
        <w:trPr>
          <w:trHeight w:val="157"/>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3"/>
                <w:szCs w:val="13"/>
                <w:color w:val="auto"/>
              </w:rPr>
            </w:pPr>
          </w:p>
        </w:tc>
        <w:tc>
          <w:tcPr>
            <w:tcW w:w="60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98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(2)</w:t>
            </w: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r>
      <w:tr>
        <w:trPr>
          <w:trHeight w:val="157"/>
        </w:trPr>
        <w:tc>
          <w:tcPr>
            <w:tcW w:w="7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Provision for (benefit from) income taxes(b)</w:t>
            </w:r>
          </w:p>
        </w:tc>
        <w:tc>
          <w:tcPr>
            <w:tcW w:w="100" w:type="dxa"/>
            <w:vAlign w:val="bottom"/>
          </w:tcPr>
          <w:p>
            <w:pPr>
              <w:spacing w:after="0"/>
              <w:rPr>
                <w:sz w:val="13"/>
                <w:szCs w:val="13"/>
                <w:color w:val="auto"/>
              </w:rPr>
            </w:pPr>
          </w:p>
        </w:tc>
        <w:tc>
          <w:tcPr>
            <w:tcW w:w="60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980" w:type="dxa"/>
            <w:vAlign w:val="bottom"/>
            <w:gridSpan w:val="2"/>
          </w:tcPr>
          <w:p>
            <w:pPr>
              <w:jc w:val="right"/>
              <w:ind w:right="8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(9)</w:t>
            </w: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r>
      <w:tr>
        <w:trPr>
          <w:trHeight w:val="108"/>
        </w:trPr>
        <w:tc>
          <w:tcPr>
            <w:tcW w:w="13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36" w:lineRule="exact"/>
        <w:rPr>
          <w:sz w:val="20"/>
          <w:szCs w:val="20"/>
          <w:color w:val="auto"/>
        </w:rPr>
      </w:pPr>
    </w:p>
    <w:p>
      <w:pPr>
        <w:ind w:left="1000" w:right="60" w:hanging="313"/>
        <w:spacing w:after="0" w:line="269" w:lineRule="auto"/>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three and six months ended June 30, 2006, our “Equity in net earnings (losses) of unconsolidated entities” included (i) the recognition of expense for contractual obligations associated with the Facilities’ operations during 2006, which was more than offset by (ii) a cumulative adjustment necessary to appropriately reflect our life-to-date obligations to fund the costs of operating the Facilities and the value of our investment. We determined that the recognition of the cumulative adjustment was not material to our Statements of Operations.</w:t>
      </w:r>
    </w:p>
    <w:p>
      <w:pPr>
        <w:spacing w:after="0" w:line="8" w:lineRule="exact"/>
        <w:rPr>
          <w:rFonts w:ascii="Times New Roman" w:cs="Times New Roman" w:eastAsia="Times New Roman" w:hAnsi="Times New Roman"/>
          <w:sz w:val="13"/>
          <w:szCs w:val="13"/>
          <w:color w:val="auto"/>
        </w:rPr>
      </w:pPr>
    </w:p>
    <w:p>
      <w:pPr>
        <w:ind w:left="1000" w:hanging="313"/>
        <w:spacing w:after="0"/>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benefit from income taxes attributable to the Facilities includes tax credits of $21 million and $44 million for the three and six months ended June 30, 2007, respectively, and</w:t>
      </w:r>
    </w:p>
    <w:p>
      <w:pPr>
        <w:spacing w:after="0" w:line="21" w:lineRule="exact"/>
        <w:rPr>
          <w:rFonts w:ascii="Times New Roman" w:cs="Times New Roman" w:eastAsia="Times New Roman" w:hAnsi="Times New Roman"/>
          <w:sz w:val="13"/>
          <w:szCs w:val="13"/>
          <w:color w:val="auto"/>
        </w:rPr>
      </w:pPr>
    </w:p>
    <w:p>
      <w:pPr>
        <w:ind w:left="1000" w:right="40"/>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million and $8 million for the three and six months ended June 30, 2006, respectively. For the three months ended June 30, 2006, our “Provision for (benefit from) income taxes” included the reversal of a portion of the tax credits recognized during the first quarter of 2006, which more than offset the tax benefits associated with activity for the second quarter of 2006. We reversed a portion of the tax credits recognized during the three months ended March 31, 2006 to reflect (i) the Facilities’ suspension of operations from mid-May 2006 to late September 2006, which results in the tax credits generated during the first and second quarters of 2006 being recognized ratably over the entire year; and (ii) the change in our expectations associated with the phase-out of Section 45K credits, which we had increased from an estimated phase-out of 61% at March 31, 2006 to a phase-out of 78% as of June 30, 2006.</w:t>
      </w:r>
    </w:p>
    <w:p>
      <w:pPr>
        <w:spacing w:after="0" w:line="69"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The tax credits generated by our landfills are provided by our Renewable Energy Program, under which we develop, operate and promote the beneficial use of landfill gas. Our recorded taxes for the three and six months ended June 30, 2007 include benefits of $8 million and $14 million, respectively, from tax credits generated by our landfill gas-to-energy projects. This compares with $1 million and $3 million, respectively, for the same periods in 2006.</w:t>
      </w:r>
    </w:p>
    <w:p>
      <w:pPr>
        <w:spacing w:after="0" w:line="56" w:lineRule="exact"/>
        <w:rPr>
          <w:sz w:val="20"/>
          <w:szCs w:val="20"/>
          <w:color w:val="auto"/>
        </w:rPr>
      </w:pPr>
    </w:p>
    <w:p>
      <w:pPr>
        <w:ind w:left="680" w:right="4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Tax audit settlements </w:t>
      </w:r>
      <w:r>
        <w:rPr>
          <w:rFonts w:ascii="Times New Roman" w:cs="Times New Roman" w:eastAsia="Times New Roman" w:hAnsi="Times New Roman"/>
          <w:sz w:val="13"/>
          <w:szCs w:val="13"/>
          <w:color w:val="auto"/>
        </w:rPr>
        <w:t>— During the three and six months ended June 30, 2007, we settled various federal and state tax audits, resulting in a reduction in income tax expense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$11 million, or $0.02 per diluted share, for the three months ended June 30, 2007 and $27 million, or $0.05 per diluted share, for the six months ended June 30, 2007.</w:t>
      </w:r>
    </w:p>
    <w:p>
      <w:pPr>
        <w:spacing w:after="0" w:line="45"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When excluding the effect of interest income, the settlement of various federal and state tax audit matters during the second quarter of 2006 resulted in a reduction in income tax expense of $128 million, or $0.23 per diluted share, for the three months ended June 30, 2006 and $134 million, or $0.24 per diluted share, for the six months ended June 30, 2006. These tax audit settlements resulted in a 28.7 percentage point reduction in our effective tax rate for the three months ended June 30, 2006 and an 18.2 percentage point reduction in our effective tax rate for the six months ended June 30, 2006. We also recognized $5 million of interest income, or $3 million net of tax, as a result of these settlements during the three and six months ended June 30, 2006.</w:t>
      </w:r>
    </w:p>
    <w:p>
      <w:pPr>
        <w:spacing w:after="0" w:line="60"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Canada statutory rate change </w:t>
      </w:r>
      <w:r>
        <w:rPr>
          <w:rFonts w:ascii="Times New Roman" w:cs="Times New Roman" w:eastAsia="Times New Roman" w:hAnsi="Times New Roman"/>
          <w:sz w:val="13"/>
          <w:szCs w:val="13"/>
          <w:color w:val="auto"/>
        </w:rPr>
        <w:t>— During the second quarter of 2007, the Canadian federal government enacted tax rate reductions. During the second quarter of 2006, the Canadian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federal government and several Canadian provinces enacted tax rate reductions. Statement of Financial Accounting Standards (“SFAS”) No. 109, </w:t>
      </w:r>
      <w:r>
        <w:rPr>
          <w:rFonts w:ascii="Times New Roman" w:cs="Times New Roman" w:eastAsia="Times New Roman" w:hAnsi="Times New Roman"/>
          <w:sz w:val="13"/>
          <w:szCs w:val="13"/>
          <w:i w:val="1"/>
          <w:iCs w:val="1"/>
          <w:color w:val="auto"/>
        </w:rPr>
        <w:t>Accounting for Income Taxes</w:t>
      </w:r>
      <w:r>
        <w:rPr>
          <w:rFonts w:ascii="Times New Roman" w:cs="Times New Roman" w:eastAsia="Times New Roman" w:hAnsi="Times New Roman"/>
          <w:sz w:val="13"/>
          <w:szCs w:val="13"/>
          <w:color w:val="auto"/>
        </w:rPr>
        <w:t>, requires that deferred tax balances be revalued to reflect the tax rate changes. The revaluations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resulted in a $3 million tax benefit for the three and six months ended June 30, 2007 and a $20 million tax benefit for the three and six months ended June 30, 2006.</w:t>
      </w:r>
    </w:p>
    <w:p>
      <w:pPr>
        <w:spacing w:after="0" w:line="173" w:lineRule="exact"/>
        <w:rPr>
          <w:sz w:val="20"/>
          <w:szCs w:val="20"/>
          <w:color w:val="auto"/>
        </w:rPr>
      </w:pPr>
    </w:p>
    <w:p>
      <w:pPr>
        <w:ind w:left="1000" w:hanging="313"/>
        <w:spacing w:after="0"/>
        <w:tabs>
          <w:tab w:leader="none" w:pos="100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Comprehensive Income</w:t>
      </w:r>
    </w:p>
    <w:p>
      <w:pPr>
        <w:spacing w:after="0" w:line="98" w:lineRule="exact"/>
        <w:rPr>
          <w:sz w:val="20"/>
          <w:szCs w:val="20"/>
          <w:color w:val="auto"/>
        </w:rPr>
      </w:pPr>
    </w:p>
    <w:p>
      <w:pPr>
        <w:ind w:left="680" w:right="1160" w:firstLine="399"/>
        <w:spacing w:after="0" w:line="286" w:lineRule="auto"/>
        <w:rPr>
          <w:sz w:val="20"/>
          <w:szCs w:val="20"/>
          <w:color w:val="auto"/>
        </w:rPr>
      </w:pPr>
      <w:r>
        <w:rPr>
          <w:rFonts w:ascii="Times New Roman" w:cs="Times New Roman" w:eastAsia="Times New Roman" w:hAnsi="Times New Roman"/>
          <w:sz w:val="13"/>
          <w:szCs w:val="13"/>
          <w:color w:val="auto"/>
        </w:rPr>
        <w:t>Comprehensive income represents all changes in our equity except for changes resulting from investments by, and distributions to, stockholders. Comprehensive income was as follows (in millions):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60" w:type="dxa"/>
            <w:vAlign w:val="bottom"/>
          </w:tcPr>
          <w:p>
            <w:pPr>
              <w:spacing w:after="0"/>
              <w:rPr>
                <w:sz w:val="10"/>
                <w:szCs w:val="10"/>
                <w:color w:val="auto"/>
              </w:rPr>
            </w:pPr>
          </w:p>
        </w:tc>
        <w:tc>
          <w:tcPr>
            <w:tcW w:w="1860" w:type="dxa"/>
            <w:vAlign w:val="bottom"/>
            <w:gridSpan w:val="5"/>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7"/>
        </w:trPr>
        <w:tc>
          <w:tcPr>
            <w:tcW w:w="7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98"/>
        </w:trPr>
        <w:tc>
          <w:tcPr>
            <w:tcW w:w="716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880" w:type="dxa"/>
            <w:vAlign w:val="bottom"/>
          </w:tcPr>
          <w:p>
            <w:pPr>
              <w:spacing w:after="0"/>
              <w:rPr>
                <w:sz w:val="8"/>
                <w:szCs w:val="8"/>
                <w:color w:val="auto"/>
              </w:rPr>
            </w:pPr>
          </w:p>
        </w:tc>
        <w:tc>
          <w:tcPr>
            <w:tcW w:w="300" w:type="dxa"/>
            <w:vAlign w:val="bottom"/>
            <w:tcBorders>
              <w:top w:val="single" w:sz="8" w:color="auto"/>
              <w:bottom w:val="single" w:sz="8" w:color="auto"/>
            </w:tcBorders>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34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 w:type="dxa"/>
            <w:vAlign w:val="bottom"/>
          </w:tcPr>
          <w:p>
            <w:pPr>
              <w:spacing w:after="0"/>
              <w:rPr>
                <w:sz w:val="8"/>
                <w:szCs w:val="8"/>
                <w:color w:val="auto"/>
              </w:rPr>
            </w:pPr>
          </w:p>
        </w:tc>
      </w:tr>
      <w:tr>
        <w:trPr>
          <w:trHeight w:val="29"/>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5"/>
              </w:rPr>
              <w:t>$ 338</w:t>
            </w:r>
          </w:p>
        </w:tc>
        <w:tc>
          <w:tcPr>
            <w:tcW w:w="3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w w:val="88"/>
              </w:rPr>
              <w:t>$ 417</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w w:val="95"/>
              </w:rPr>
              <w:t>$ 576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603</w:t>
            </w:r>
          </w:p>
        </w:tc>
      </w:tr>
      <w:tr>
        <w:trPr>
          <w:trHeight w:val="157"/>
        </w:trPr>
        <w:tc>
          <w:tcPr>
            <w:tcW w:w="716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3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gains (losses) resulting from changes in the fair value of derivative instruments, net of taxes</w:t>
            </w:r>
          </w:p>
        </w:tc>
        <w:tc>
          <w:tcPr>
            <w:tcW w:w="70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3"/>
                <w:szCs w:val="13"/>
                <w:color w:val="auto"/>
              </w:rPr>
              <w:t>(18)</w:t>
            </w:r>
          </w:p>
        </w:tc>
        <w:tc>
          <w:tcPr>
            <w:tcW w:w="11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rPr>
              <w:t>4</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7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losses on derivative instruments reclassified into earnings, net of 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w:t>
            </w:r>
          </w:p>
        </w:tc>
        <w:tc>
          <w:tcPr>
            <w:tcW w:w="380" w:type="dxa"/>
            <w:vAlign w:val="bottom"/>
          </w:tcPr>
          <w:p>
            <w:pPr>
              <w:spacing w:after="0"/>
              <w:rPr>
                <w:sz w:val="13"/>
                <w:szCs w:val="13"/>
                <w:color w:val="auto"/>
              </w:rPr>
            </w:pP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color w:val="auto"/>
              </w:rPr>
              <w:t>1</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gains (losses) on marketable securities, net of taxes</w:t>
            </w:r>
          </w:p>
        </w:tc>
        <w:tc>
          <w:tcPr>
            <w:tcW w:w="70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r>
      <w:tr>
        <w:trPr>
          <w:trHeight w:val="157"/>
        </w:trPr>
        <w:tc>
          <w:tcPr>
            <w:tcW w:w="7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Translation adjustment of foreign currency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color w:val="auto"/>
              </w:rPr>
              <w:t>28</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r>
      <w:tr>
        <w:trPr>
          <w:trHeight w:val="20"/>
        </w:trPr>
        <w:tc>
          <w:tcPr>
            <w:tcW w:w="7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3"/>
                <w:szCs w:val="13"/>
                <w:color w:val="auto"/>
              </w:rPr>
              <w:t>31</w:t>
            </w: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r>
      <w:tr>
        <w:trPr>
          <w:trHeight w:val="166"/>
        </w:trPr>
        <w:tc>
          <w:tcPr>
            <w:tcW w:w="71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$ 385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$ 448</w:t>
            </w:r>
          </w:p>
        </w:tc>
        <w:tc>
          <w:tcPr>
            <w:tcW w:w="8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$ 627</w:t>
            </w:r>
          </w:p>
        </w:tc>
        <w:tc>
          <w:tcPr>
            <w:tcW w:w="3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99"/>
              </w:rPr>
              <w:t>$</w:t>
            </w:r>
            <w:r>
              <w:rPr>
                <w:rFonts w:ascii="Times New Roman" w:cs="Times New Roman" w:eastAsia="Times New Roman" w:hAnsi="Times New Roman"/>
                <w:sz w:val="13"/>
                <w:szCs w:val="13"/>
                <w:color w:val="auto"/>
                <w:w w:val="99"/>
              </w:rPr>
              <w:t>626</w:t>
            </w:r>
          </w:p>
        </w:tc>
        <w:tc>
          <w:tcPr>
            <w:tcW w:w="40" w:type="dxa"/>
            <w:vAlign w:val="bottom"/>
          </w:tcPr>
          <w:p>
            <w:pPr>
              <w:spacing w:after="0"/>
              <w:rPr>
                <w:sz w:val="14"/>
                <w:szCs w:val="14"/>
                <w:color w:val="auto"/>
              </w:rPr>
            </w:pPr>
          </w:p>
        </w:tc>
      </w:tr>
    </w:tbl>
    <w:p>
      <w:pPr>
        <w:spacing w:after="0" w:line="86" w:lineRule="exact"/>
        <w:rPr>
          <w:sz w:val="20"/>
          <w:szCs w:val="20"/>
          <w:color w:val="auto"/>
        </w:rPr>
      </w:pPr>
    </w:p>
    <w:p>
      <w:pPr>
        <w:jc w:val="both"/>
        <w:ind w:left="680" w:right="920" w:firstLine="399"/>
        <w:spacing w:after="0" w:line="263" w:lineRule="auto"/>
        <w:rPr>
          <w:sz w:val="20"/>
          <w:szCs w:val="20"/>
          <w:color w:val="auto"/>
        </w:rPr>
      </w:pPr>
      <w:r>
        <w:rPr>
          <w:rFonts w:ascii="Times New Roman" w:cs="Times New Roman" w:eastAsia="Times New Roman" w:hAnsi="Times New Roman"/>
          <w:sz w:val="13"/>
          <w:szCs w:val="13"/>
          <w:color w:val="auto"/>
        </w:rPr>
        <w:t>The unrealized losses resulting from changes in the fair value of derivative instruments and realized losses on derivative instruments reclassified into earnings recognized during the three and six months ended June 30, 2007 are largely related to currency derivatives we have outstanding to hedge the impact of foreign currency translation on cash flows of intercompany Canadian-currency denominated debt transactions. These derivative contracts effectively mitigated the impact of the hedged transactions, resulting in an immaterial impact to our results of operations for the periods presented.</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components of accumulated other comprehensive income were as follows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0" w:type="dxa"/>
            <w:vAlign w:val="bottom"/>
          </w:tcPr>
          <w:p>
            <w:pPr>
              <w:spacing w:after="0"/>
              <w:rPr>
                <w:sz w:val="10"/>
                <w:szCs w:val="10"/>
                <w:color w:val="auto"/>
              </w:rPr>
            </w:pPr>
          </w:p>
        </w:tc>
      </w:tr>
      <w:tr>
        <w:trPr>
          <w:trHeight w:val="127"/>
        </w:trPr>
        <w:tc>
          <w:tcPr>
            <w:tcW w:w="6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unrealized loss on derivative instruments, net of tax benefit</w:t>
            </w:r>
          </w:p>
        </w:tc>
        <w:tc>
          <w:tcPr>
            <w:tcW w:w="3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Accumulated unrealized gain on marketable securities, net of taxes</w:t>
            </w:r>
          </w:p>
        </w:tc>
        <w:tc>
          <w:tcPr>
            <w:tcW w:w="36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translation adjustment of foreign currency statements</w:t>
            </w:r>
          </w:p>
        </w:tc>
        <w:tc>
          <w:tcPr>
            <w:tcW w:w="368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Underfunded post-retirement benefit obligations, net of taxes</w:t>
            </w:r>
          </w:p>
        </w:tc>
        <w:tc>
          <w:tcPr>
            <w:tcW w:w="36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3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129</w:t>
            </w: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80" w:type="dxa"/>
            <w:vAlign w:val="bottom"/>
          </w:tcPr>
          <w:p>
            <w:pPr>
              <w:jc w:val="right"/>
              <w:ind w:right="2934"/>
              <w:spacing w:after="0"/>
              <w:rPr>
                <w:sz w:val="20"/>
                <w:szCs w:val="20"/>
                <w:color w:val="auto"/>
              </w:rPr>
            </w:pPr>
            <w:r>
              <w:rPr>
                <w:rFonts w:ascii="Times New Roman" w:cs="Times New Roman" w:eastAsia="Times New Roman" w:hAnsi="Times New Roman"/>
                <w:sz w:val="13"/>
                <w:szCs w:val="13"/>
                <w:color w:val="auto"/>
              </w:rPr>
              <w:t>12</w:t>
            </w: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1000" w:hanging="313"/>
        <w:spacing w:after="0"/>
        <w:tabs>
          <w:tab w:leader="none" w:pos="1000" w:val="left"/>
        </w:tabs>
        <w:numPr>
          <w:ilvl w:val="0"/>
          <w:numId w:val="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Earnings Per Share</w:t>
      </w:r>
    </w:p>
    <w:p>
      <w:pPr>
        <w:spacing w:after="0" w:line="177"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following reconciles the number of shares outstanding at June 30 of each year to the number of weighted average basic shares outstanding and the number of weighted average diluted shares outstanding for the purpose of calculating basic and diluted earnings per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00" w:type="dxa"/>
            <w:vAlign w:val="bottom"/>
          </w:tcPr>
          <w:p>
            <w:pPr>
              <w:spacing w:after="0"/>
              <w:rPr>
                <w:sz w:val="10"/>
                <w:szCs w:val="10"/>
                <w:color w:val="auto"/>
              </w:rPr>
            </w:pPr>
          </w:p>
        </w:tc>
        <w:tc>
          <w:tcPr>
            <w:tcW w:w="160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860" w:type="dxa"/>
            <w:vAlign w:val="bottom"/>
            <w:gridSpan w:val="2"/>
          </w:tcPr>
          <w:p>
            <w:pPr>
              <w:jc w:val="center"/>
              <w:ind w:left="277"/>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gridSpan w:val="3"/>
          </w:tcPr>
          <w:p>
            <w:pPr>
              <w:jc w:val="center"/>
              <w:ind w:right="80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400" w:type="dxa"/>
            <w:vAlign w:val="bottom"/>
          </w:tcPr>
          <w:p>
            <w:pPr>
              <w:spacing w:after="0"/>
              <w:rPr>
                <w:sz w:val="9"/>
                <w:szCs w:val="9"/>
                <w:color w:val="auto"/>
              </w:rPr>
            </w:pPr>
          </w:p>
        </w:tc>
        <w:tc>
          <w:tcPr>
            <w:tcW w:w="460" w:type="dxa"/>
            <w:vAlign w:val="bottom"/>
          </w:tcPr>
          <w:p>
            <w:pPr>
              <w:jc w:val="center"/>
              <w:ind w:right="8"/>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7"/>
        </w:trPr>
        <w:tc>
          <w:tcPr>
            <w:tcW w:w="7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jc w:val="center"/>
              <w:ind w:right="8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00" w:type="dxa"/>
            <w:vAlign w:val="bottom"/>
          </w:tcPr>
          <w:p>
            <w:pPr>
              <w:spacing w:after="0"/>
              <w:rPr>
                <w:sz w:val="11"/>
                <w:szCs w:val="11"/>
                <w:color w:val="auto"/>
              </w:rPr>
            </w:pPr>
          </w:p>
        </w:tc>
        <w:tc>
          <w:tcPr>
            <w:tcW w:w="46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7100" w:type="dxa"/>
            <w:vAlign w:val="bottom"/>
          </w:tcPr>
          <w:p>
            <w:pPr>
              <w:spacing w:after="0"/>
              <w:rPr>
                <w:sz w:val="8"/>
                <w:szCs w:val="8"/>
                <w:color w:val="auto"/>
              </w:rPr>
            </w:pPr>
          </w:p>
        </w:tc>
        <w:tc>
          <w:tcPr>
            <w:tcW w:w="420" w:type="dxa"/>
            <w:vAlign w:val="bottom"/>
            <w:tcBorders>
              <w:top w:val="single" w:sz="8" w:color="auto"/>
            </w:tcBorders>
          </w:tcPr>
          <w:p>
            <w:pPr>
              <w:jc w:val="right"/>
              <w:ind w:right="3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800" w:type="dxa"/>
            <w:vAlign w:val="bottom"/>
            <w:tcBorders>
              <w:top w:val="single" w:sz="8" w:color="auto"/>
            </w:tcBorders>
            <w:gridSpan w:val="2"/>
          </w:tcPr>
          <w:p>
            <w:pPr>
              <w:jc w:val="right"/>
              <w:ind w:right="34"/>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tcPr>
          <w:p>
            <w:pPr>
              <w:spacing w:after="0"/>
              <w:rPr>
                <w:sz w:val="8"/>
                <w:szCs w:val="8"/>
                <w:color w:val="auto"/>
              </w:rPr>
            </w:pPr>
          </w:p>
        </w:tc>
        <w:tc>
          <w:tcPr>
            <w:tcW w:w="400" w:type="dxa"/>
            <w:vAlign w:val="bottom"/>
            <w:tcBorders>
              <w:top w:val="single" w:sz="8" w:color="auto"/>
            </w:tcBorders>
          </w:tcPr>
          <w:p>
            <w:pPr>
              <w:jc w:val="right"/>
              <w:ind w:right="3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common shares outstanding at end of period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518.9</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541.9</w:t>
            </w: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518.9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541.9</w:t>
            </w:r>
          </w:p>
        </w:tc>
      </w:tr>
      <w:tr>
        <w:trPr>
          <w:trHeight w:val="157"/>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80" w:type="dxa"/>
            <w:vAlign w:val="bottom"/>
          </w:tcPr>
          <w:p>
            <w:pPr>
              <w:spacing w:after="0"/>
              <w:rPr>
                <w:sz w:val="13"/>
                <w:szCs w:val="13"/>
                <w:color w:val="auto"/>
              </w:rPr>
            </w:pPr>
          </w:p>
        </w:tc>
        <w:tc>
          <w:tcPr>
            <w:tcW w:w="8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5.3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w:t>
            </w:r>
          </w:p>
        </w:tc>
      </w:tr>
      <w:tr>
        <w:trPr>
          <w:trHeight w:val="20"/>
        </w:trPr>
        <w:tc>
          <w:tcPr>
            <w:tcW w:w="7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519.0</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544.3</w:t>
            </w:r>
          </w:p>
        </w:tc>
        <w:tc>
          <w:tcPr>
            <w:tcW w:w="3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524.2</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545.3</w:t>
            </w:r>
          </w:p>
        </w:tc>
      </w:tr>
      <w:tr>
        <w:trPr>
          <w:trHeight w:val="157"/>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4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80" w:type="dxa"/>
            <w:vAlign w:val="bottom"/>
          </w:tcPr>
          <w:p>
            <w:pPr>
              <w:spacing w:after="0"/>
              <w:rPr>
                <w:sz w:val="13"/>
                <w:szCs w:val="13"/>
                <w:color w:val="auto"/>
              </w:rPr>
            </w:pPr>
          </w:p>
        </w:tc>
        <w:tc>
          <w:tcPr>
            <w:tcW w:w="8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4.9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w:t>
            </w:r>
          </w:p>
        </w:tc>
      </w:tr>
      <w:tr>
        <w:trPr>
          <w:trHeight w:val="20"/>
        </w:trPr>
        <w:tc>
          <w:tcPr>
            <w:tcW w:w="7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523.9</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3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529.1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550.9</w:t>
            </w:r>
          </w:p>
        </w:tc>
      </w:tr>
      <w:tr>
        <w:trPr>
          <w:trHeight w:val="167"/>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Potentially issuable shares</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4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38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460" w:type="dxa"/>
            <w:vAlign w:val="bottom"/>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4"/>
                <w:szCs w:val="14"/>
                <w:color w:val="auto"/>
              </w:rPr>
            </w:pP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anti-dilutive potentially issuable shares excluded from diluted common shares outstanding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4.5</w:t>
            </w:r>
          </w:p>
        </w:tc>
        <w:tc>
          <w:tcPr>
            <w:tcW w:w="860" w:type="dxa"/>
            <w:vAlign w:val="bottom"/>
            <w:tcBorders>
              <w:right w:val="single" w:sz="8" w:color="CCEEFF"/>
            </w:tcBorders>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3.1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w:t>
            </w:r>
          </w:p>
        </w:tc>
      </w:tr>
    </w:tbl>
    <w:p>
      <w:pPr>
        <w:spacing w:after="0" w:line="152" w:lineRule="exact"/>
        <w:rPr>
          <w:sz w:val="20"/>
          <w:szCs w:val="20"/>
          <w:color w:val="auto"/>
        </w:rPr>
      </w:pPr>
    </w:p>
    <w:p>
      <w:pPr>
        <w:ind w:left="1000" w:hanging="313"/>
        <w:spacing w:after="0"/>
        <w:tabs>
          <w:tab w:leader="none" w:pos="10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Common Stock Dividends and Common Stock Repurchases</w:t>
      </w:r>
    </w:p>
    <w:p>
      <w:pPr>
        <w:spacing w:after="0" w:line="98" w:lineRule="exact"/>
        <w:rPr>
          <w:sz w:val="20"/>
          <w:szCs w:val="20"/>
          <w:color w:val="auto"/>
        </w:rPr>
      </w:pPr>
    </w:p>
    <w:p>
      <w:pPr>
        <w:jc w:val="both"/>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In October 2004, our Board of Directors approved a capital allocation program that provided for up to $1.2 billion of combined stock repurchases and dividend payments for each of 2005, 2006 and 2007. In June 2006, our Board of Directors increased the amount of capital available for share repurchases in 2006 by $350 million. In March 2007, our Board of Directors approved up to $600 million of additional share repurchases for 2007, increasing the maximum amount of capital to be allocated to our share repurchases and dividend payments in 2007 to $1.8 billion. Aggregate dividend payments and share repurchases under the capital allocation program were $300 million and $371 million during the three months ended June 30, 2007 and 2006, respectively, and $937 million and $879 million during the six months ended June 30, 2007 and 2006, respectively.</w:t>
      </w:r>
    </w:p>
    <w:p>
      <w:pPr>
        <w:spacing w:after="0" w:line="62"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We declared and paid a $0.24 per share dividend in both the first and second quarters of 2007. The first quarter dividend was declared in March 2007 and paid on March 23, 2007 to shareholders of record as of March 12, 2007 for an aggregate of $126 million. The second quarter dividend was declared in May 2007 and paid on June 22, 2007 to shareholders of record as of June 4, 2007 for an aggregate of $125 million. We paid a $0.22 per share dividend in both the first and second quarters of 2006. The first quarter dividend was declared in December 2005 and paid on March 24, 2006 to shareholders of record as of March 6, 2006 for an aggregate of $121 million. The second quarter dividend was declared in May 2006 and paid on June 23, 2006 to shareholders of record as of June 5, 2006 for an aggregate of $119 million.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is a summary of activity under our stock repurchase programs for each period presented:</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960" w:type="dxa"/>
            <w:vAlign w:val="bottom"/>
            <w:gridSpan w:val="3"/>
          </w:tcPr>
          <w:p>
            <w:pPr>
              <w:jc w:val="center"/>
              <w:ind w:left="1182"/>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900" w:type="dxa"/>
            <w:vAlign w:val="bottom"/>
            <w:gridSpan w:val="3"/>
          </w:tcPr>
          <w:p>
            <w:pPr>
              <w:jc w:val="center"/>
              <w:ind w:right="1214"/>
              <w:spacing w:after="0"/>
              <w:rPr>
                <w:sz w:val="20"/>
                <w:szCs w:val="20"/>
                <w:color w:val="auto"/>
              </w:rPr>
            </w:pPr>
            <w:r>
              <w:rPr>
                <w:rFonts w:ascii="Times New Roman" w:cs="Times New Roman" w:eastAsia="Times New Roman" w:hAnsi="Times New Roman"/>
                <w:sz w:val="10"/>
                <w:szCs w:val="10"/>
                <w:b w:val="1"/>
                <w:bCs w:val="1"/>
                <w:color w:val="auto"/>
              </w:rPr>
              <w:t>Six Months</w:t>
            </w: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960" w:type="dxa"/>
            <w:vAlign w:val="bottom"/>
            <w:gridSpan w:val="3"/>
          </w:tcPr>
          <w:p>
            <w:pPr>
              <w:jc w:val="center"/>
              <w:ind w:left="1202"/>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00" w:type="dxa"/>
            <w:vAlign w:val="bottom"/>
            <w:gridSpan w:val="3"/>
          </w:tcPr>
          <w:p>
            <w:pPr>
              <w:jc w:val="center"/>
              <w:ind w:right="1214"/>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27"/>
        </w:trPr>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960" w:type="dxa"/>
            <w:vAlign w:val="bottom"/>
            <w:tcBorders>
              <w:bottom w:val="single" w:sz="8" w:color="auto"/>
            </w:tcBorders>
            <w:gridSpan w:val="3"/>
          </w:tcPr>
          <w:p>
            <w:pPr>
              <w:jc w:val="center"/>
              <w:ind w:left="1202"/>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center"/>
              <w:ind w:right="1214"/>
              <w:spacing w:after="0"/>
              <w:rPr>
                <w:sz w:val="20"/>
                <w:szCs w:val="20"/>
                <w:color w:val="auto"/>
              </w:rPr>
            </w:pPr>
            <w:r>
              <w:rPr>
                <w:rFonts w:ascii="Times New Roman" w:cs="Times New Roman" w:eastAsia="Times New Roman" w:hAnsi="Times New Roman"/>
                <w:sz w:val="10"/>
                <w:szCs w:val="10"/>
                <w:b w:val="1"/>
                <w:bCs w:val="1"/>
                <w:color w:val="auto"/>
              </w:rPr>
              <w:t>June 30,</w:t>
            </w:r>
          </w:p>
        </w:tc>
      </w:tr>
      <w:tr>
        <w:trPr>
          <w:trHeight w:val="98"/>
        </w:trPr>
        <w:tc>
          <w:tcPr>
            <w:tcW w:w="1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960" w:type="dxa"/>
            <w:vAlign w:val="bottom"/>
            <w:gridSpan w:val="3"/>
          </w:tcPr>
          <w:p>
            <w:pPr>
              <w:jc w:val="center"/>
              <w:ind w:right="440"/>
              <w:spacing w:after="0" w:line="98" w:lineRule="exact"/>
              <w:rPr>
                <w:sz w:val="20"/>
                <w:szCs w:val="20"/>
                <w:color w:val="auto"/>
              </w:rPr>
            </w:pPr>
            <w:r>
              <w:rPr>
                <w:rFonts w:ascii="Times New Roman" w:cs="Times New Roman" w:eastAsia="Times New Roman" w:hAnsi="Times New Roman"/>
                <w:sz w:val="10"/>
                <w:szCs w:val="10"/>
                <w:b w:val="1"/>
                <w:bCs w:val="1"/>
                <w:color w:val="auto"/>
              </w:rPr>
              <w:t>2007(a)</w:t>
            </w:r>
          </w:p>
        </w:tc>
        <w:tc>
          <w:tcPr>
            <w:tcW w:w="1240" w:type="dxa"/>
            <w:vAlign w:val="bottom"/>
          </w:tcPr>
          <w:p>
            <w:pPr>
              <w:jc w:val="center"/>
              <w:ind w:right="198"/>
              <w:spacing w:after="0" w:line="98" w:lineRule="exact"/>
              <w:rPr>
                <w:sz w:val="20"/>
                <w:szCs w:val="20"/>
                <w:color w:val="auto"/>
              </w:rPr>
            </w:pPr>
            <w:r>
              <w:rPr>
                <w:rFonts w:ascii="Times New Roman" w:cs="Times New Roman" w:eastAsia="Times New Roman" w:hAnsi="Times New Roman"/>
                <w:sz w:val="10"/>
                <w:szCs w:val="10"/>
                <w:b w:val="1"/>
                <w:bCs w:val="1"/>
                <w:color w:val="auto"/>
              </w:rPr>
              <w:t>2006(b)</w:t>
            </w:r>
          </w:p>
        </w:tc>
        <w:tc>
          <w:tcPr>
            <w:tcW w:w="200" w:type="dxa"/>
            <w:vAlign w:val="bottom"/>
          </w:tcPr>
          <w:p>
            <w:pPr>
              <w:spacing w:after="0"/>
              <w:rPr>
                <w:sz w:val="8"/>
                <w:szCs w:val="8"/>
                <w:color w:val="auto"/>
              </w:rPr>
            </w:pPr>
          </w:p>
        </w:tc>
        <w:tc>
          <w:tcPr>
            <w:tcW w:w="1280" w:type="dxa"/>
            <w:vAlign w:val="bottom"/>
          </w:tcPr>
          <w:p>
            <w:pPr>
              <w:jc w:val="center"/>
              <w:ind w:left="161"/>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1900" w:type="dxa"/>
            <w:vAlign w:val="bottom"/>
            <w:gridSpan w:val="3"/>
          </w:tcPr>
          <w:p>
            <w:pPr>
              <w:jc w:val="center"/>
              <w:ind w:left="363"/>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r>
      <w:tr>
        <w:trPr>
          <w:trHeight w:val="29"/>
        </w:trPr>
        <w:tc>
          <w:tcPr>
            <w:tcW w:w="1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r>
      <w:tr>
        <w:trPr>
          <w:trHeight w:val="157"/>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repurchased (in thousands)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4,957</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98"/>
              <w:spacing w:after="0"/>
              <w:rPr>
                <w:sz w:val="20"/>
                <w:szCs w:val="20"/>
                <w:color w:val="auto"/>
              </w:rPr>
            </w:pPr>
            <w:r>
              <w:rPr>
                <w:rFonts w:ascii="Times New Roman" w:cs="Times New Roman" w:eastAsia="Times New Roman" w:hAnsi="Times New Roman"/>
                <w:sz w:val="13"/>
                <w:szCs w:val="13"/>
                <w:color w:val="auto"/>
              </w:rPr>
              <w:t>6,938</w:t>
            </w:r>
          </w:p>
        </w:tc>
        <w:tc>
          <w:tcPr>
            <w:tcW w:w="148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3"/>
                <w:szCs w:val="13"/>
                <w:color w:val="auto"/>
              </w:rPr>
              <w:t>19,627</w:t>
            </w:r>
          </w:p>
        </w:tc>
        <w:tc>
          <w:tcPr>
            <w:tcW w:w="1900" w:type="dxa"/>
            <w:vAlign w:val="bottom"/>
            <w:gridSpan w:val="3"/>
            <w:shd w:val="clear" w:color="auto" w:fill="CCEEFF"/>
          </w:tcPr>
          <w:p>
            <w:pPr>
              <w:jc w:val="center"/>
              <w:ind w:left="363"/>
              <w:spacing w:after="0"/>
              <w:rPr>
                <w:sz w:val="20"/>
                <w:szCs w:val="20"/>
                <w:color w:val="auto"/>
              </w:rPr>
            </w:pPr>
            <w:r>
              <w:rPr>
                <w:rFonts w:ascii="Times New Roman" w:cs="Times New Roman" w:eastAsia="Times New Roman" w:hAnsi="Times New Roman"/>
                <w:sz w:val="13"/>
                <w:szCs w:val="13"/>
                <w:color w:val="auto"/>
              </w:rPr>
              <w:t>18,787</w:t>
            </w:r>
          </w:p>
        </w:tc>
      </w:tr>
      <w:tr>
        <w:trPr>
          <w:trHeight w:val="157"/>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 share purchase price</w:t>
            </w:r>
          </w:p>
        </w:tc>
        <w:tc>
          <w:tcPr>
            <w:tcW w:w="196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color w:val="auto"/>
              </w:rPr>
              <w:t>$34.16 — $39.99</w:t>
            </w: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3"/>
                <w:szCs w:val="13"/>
                <w:color w:val="auto"/>
              </w:rPr>
              <w:t>$34.46 — $38.16</w:t>
            </w:r>
          </w:p>
        </w:tc>
        <w:tc>
          <w:tcPr>
            <w:tcW w:w="200" w:type="dxa"/>
            <w:vAlign w:val="bottom"/>
          </w:tcPr>
          <w:p>
            <w:pPr>
              <w:spacing w:after="0"/>
              <w:rPr>
                <w:sz w:val="13"/>
                <w:szCs w:val="13"/>
                <w:color w:val="auto"/>
              </w:rPr>
            </w:pPr>
          </w:p>
        </w:tc>
        <w:tc>
          <w:tcPr>
            <w:tcW w:w="1280" w:type="dxa"/>
            <w:vAlign w:val="bottom"/>
          </w:tcPr>
          <w:p>
            <w:pPr>
              <w:jc w:val="center"/>
              <w:ind w:left="141"/>
              <w:spacing w:after="0"/>
              <w:rPr>
                <w:sz w:val="20"/>
                <w:szCs w:val="20"/>
                <w:color w:val="auto"/>
              </w:rPr>
            </w:pPr>
            <w:r>
              <w:rPr>
                <w:rFonts w:ascii="Times New Roman" w:cs="Times New Roman" w:eastAsia="Times New Roman" w:hAnsi="Times New Roman"/>
                <w:sz w:val="13"/>
                <w:szCs w:val="13"/>
                <w:color w:val="auto"/>
              </w:rPr>
              <w:t>$33.02 — $39.99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$32.23 — $38.16</w:t>
            </w:r>
          </w:p>
        </w:tc>
      </w:tr>
      <w:tr>
        <w:trPr>
          <w:trHeight w:val="157"/>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repurchases (in millions)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$175</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98"/>
              <w:spacing w:after="0"/>
              <w:rPr>
                <w:sz w:val="20"/>
                <w:szCs w:val="20"/>
                <w:color w:val="auto"/>
              </w:rPr>
            </w:pPr>
            <w:r>
              <w:rPr>
                <w:rFonts w:ascii="Times New Roman" w:cs="Times New Roman" w:eastAsia="Times New Roman" w:hAnsi="Times New Roman"/>
                <w:sz w:val="13"/>
                <w:szCs w:val="13"/>
                <w:color w:val="auto"/>
                <w:w w:val="99"/>
              </w:rPr>
              <w:t>$252</w:t>
            </w:r>
          </w:p>
        </w:tc>
        <w:tc>
          <w:tcPr>
            <w:tcW w:w="1480" w:type="dxa"/>
            <w:vAlign w:val="bottom"/>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3"/>
                <w:szCs w:val="13"/>
                <w:color w:val="auto"/>
                <w:w w:val="99"/>
              </w:rPr>
              <w:t>$686</w:t>
            </w:r>
          </w:p>
        </w:tc>
        <w:tc>
          <w:tcPr>
            <w:tcW w:w="1900" w:type="dxa"/>
            <w:vAlign w:val="bottom"/>
            <w:gridSpan w:val="3"/>
            <w:shd w:val="clear" w:color="auto" w:fill="CCEEFF"/>
          </w:tcPr>
          <w:p>
            <w:pPr>
              <w:jc w:val="center"/>
              <w:ind w:left="343"/>
              <w:spacing w:after="0"/>
              <w:rPr>
                <w:sz w:val="20"/>
                <w:szCs w:val="20"/>
                <w:color w:val="auto"/>
              </w:rPr>
            </w:pPr>
            <w:r>
              <w:rPr>
                <w:rFonts w:ascii="Times New Roman" w:cs="Times New Roman" w:eastAsia="Times New Roman" w:hAnsi="Times New Roman"/>
                <w:sz w:val="13"/>
                <w:szCs w:val="13"/>
                <w:color w:val="auto"/>
                <w:w w:val="99"/>
              </w:rPr>
              <w:t>$639</w:t>
            </w:r>
          </w:p>
        </w:tc>
      </w:tr>
      <w:tr>
        <w:trPr>
          <w:trHeight w:val="98"/>
        </w:trPr>
        <w:tc>
          <w:tcPr>
            <w:tcW w:w="13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r>
    </w:tbl>
    <w:p>
      <w:pPr>
        <w:spacing w:after="0" w:line="36" w:lineRule="exact"/>
        <w:rPr>
          <w:sz w:val="20"/>
          <w:szCs w:val="20"/>
          <w:color w:val="auto"/>
        </w:rPr>
      </w:pPr>
    </w:p>
    <w:p>
      <w:pPr>
        <w:ind w:left="1180" w:hanging="235"/>
        <w:spacing w:after="0"/>
        <w:tabs>
          <w:tab w:leader="none" w:pos="11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$3 million of our second quarter 2007 share repurchases was paid in July 2007.</w:t>
      </w:r>
    </w:p>
    <w:p>
      <w:pPr>
        <w:spacing w:after="0" w:line="47" w:lineRule="exact"/>
        <w:rPr>
          <w:rFonts w:ascii="Times New Roman" w:cs="Times New Roman" w:eastAsia="Times New Roman" w:hAnsi="Times New Roman"/>
          <w:sz w:val="13"/>
          <w:szCs w:val="13"/>
          <w:color w:val="auto"/>
        </w:rPr>
      </w:pPr>
    </w:p>
    <w:p>
      <w:pPr>
        <w:ind w:left="1180" w:hanging="243"/>
        <w:spacing w:after="0"/>
        <w:tabs>
          <w:tab w:leader="none" w:pos="11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$12 million of our second quarter 2006 share repurchases was paid in July 2006.</w:t>
      </w:r>
    </w:p>
    <w:p>
      <w:pPr>
        <w:spacing w:after="0" w:line="96"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Future share repurchases will be made within the limits approved by our Board of Directors at the discretion of management, and will depend on factors similar to those considered by the Board in making dividend declarations.</w:t>
      </w:r>
    </w:p>
    <w:p>
      <w:pPr>
        <w:spacing w:after="0" w:line="123" w:lineRule="exact"/>
        <w:rPr>
          <w:sz w:val="20"/>
          <w:szCs w:val="20"/>
          <w:color w:val="auto"/>
        </w:rPr>
      </w:pPr>
    </w:p>
    <w:p>
      <w:pPr>
        <w:ind w:left="1000" w:hanging="313"/>
        <w:spacing w:after="0"/>
        <w:tabs>
          <w:tab w:leader="none" w:pos="100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96"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Financial instruments </w:t>
      </w:r>
      <w:r>
        <w:rPr>
          <w:rFonts w:ascii="Times New Roman" w:cs="Times New Roman" w:eastAsia="Times New Roman" w:hAnsi="Times New Roman"/>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45"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We obtain surety bonds and insurance policies from two entities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62"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0" w:lineRule="exact"/>
        <w:rPr>
          <w:sz w:val="20"/>
          <w:szCs w:val="20"/>
          <w:color w:val="auto"/>
        </w:rPr>
      </w:pPr>
    </w:p>
    <w:p>
      <w:pPr>
        <w:ind w:left="680" w:right="1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Insurance </w:t>
      </w:r>
      <w:r>
        <w:rPr>
          <w:rFonts w:ascii="Times New Roman" w:cs="Times New Roman" w:eastAsia="Times New Roman" w:hAnsi="Times New Roman"/>
          <w:sz w:val="13"/>
          <w:szCs w:val="13"/>
          <w:color w:val="auto"/>
        </w:rPr>
        <w:t>— We carry insurance coverage for protection of our assets and operations from certain risks including automobile liability, general liability, real and personal property,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62"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58"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For the 14 months ended January 1, 2000, we insured certain risks, including auto, general liability and workers’ compensation, with Reliance National Insurance Company, whose parent filed for bankruptcy in June</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340"/>
        <w:spacing w:after="0" w:line="269" w:lineRule="auto"/>
        <w:rPr>
          <w:sz w:val="20"/>
          <w:szCs w:val="20"/>
          <w:color w:val="auto"/>
        </w:rPr>
      </w:pPr>
      <w:r>
        <w:rPr>
          <w:rFonts w:ascii="Times New Roman" w:cs="Times New Roman" w:eastAsia="Times New Roman" w:hAnsi="Times New Roman"/>
          <w:sz w:val="13"/>
          <w:szCs w:val="13"/>
          <w:color w:val="auto"/>
        </w:rPr>
        <w:t>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do not expect the impact of any known casualty, property, environmental or other contingency to have a material impact on our financial condition, results of operations or cash</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flows.</w:t>
      </w:r>
    </w:p>
    <w:p>
      <w:pPr>
        <w:spacing w:after="0" w:line="81"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Guarantees </w:t>
      </w:r>
      <w:r>
        <w:rPr>
          <w:rFonts w:ascii="Times New Roman" w:cs="Times New Roman" w:eastAsia="Times New Roman" w:hAnsi="Times New Roman"/>
          <w:sz w:val="13"/>
          <w:szCs w:val="13"/>
          <w:color w:val="auto"/>
        </w:rPr>
        <w:t>— In the ordinary course of our business, WMI and WM Holdings enter into guarantee agreements associated with their subsidiaries’ operations. These include both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debt obligations, including tax-exempt bonds, of the subsidiaries and the subsidiaries’ lease, financial and general operating obligations.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2"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We also have guaranteed the obligations of third parties. These guarantee agreements include guarantees of unconsolidated entities’ financial obligations maturing through 2020 for maximum future payments of approximately $15 million; agreements spanning the life of certain landfills guaranteeing the market value of homeowners’ properties adjacent to landfills; and the guarantee of interest rate swap obligations of the funding entity in connection with our letter of credit facility. We currently do not believe it is reasonably likely that we would be called on to perform under these guarantees and do not believe that any of the obligations would have a material effect on our financial position, results of operations and cash flows.</w:t>
      </w:r>
    </w:p>
    <w:p>
      <w:pPr>
        <w:spacing w:after="0" w:line="62"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We also provide indemnification to third parties in the normal course of business, most notably in connection with the sales of businesses or assets. These indemnifications generally provide that we will be responsible for liabilities associated with events that occurred prior to closing the transaction.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60" w:lineRule="exact"/>
        <w:rPr>
          <w:sz w:val="20"/>
          <w:szCs w:val="20"/>
          <w:color w:val="auto"/>
        </w:rPr>
      </w:pPr>
    </w:p>
    <w:p>
      <w:pPr>
        <w:ind w:left="6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Environmental matters </w:t>
      </w:r>
      <w:r>
        <w:rPr>
          <w:rFonts w:ascii="Times New Roman" w:cs="Times New Roman" w:eastAsia="Times New Roman" w:hAnsi="Times New Roman"/>
          <w:sz w:val="13"/>
          <w:szCs w:val="13"/>
          <w:color w:val="auto"/>
        </w:rPr>
        <w:t>— We are subject to an array of laws and regulations relating to the protection of the environment. Under current laws and regulations, we may have liabilities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environmental damage caused by operations, or for damage caused by conditions that existed before we acquired a site. Such liabilities include potentially responsible party (“PRP”) investigations, settlements, certain legal and consultant fees, as well as costs directly associated with site investigation and clean up, such as materials and incremental internal costs directly related to the remedy.</w:t>
      </w:r>
    </w:p>
    <w:p>
      <w:pPr>
        <w:spacing w:after="0" w:line="62" w:lineRule="exact"/>
        <w:rPr>
          <w:sz w:val="20"/>
          <w:szCs w:val="20"/>
          <w:color w:val="auto"/>
        </w:rPr>
      </w:pPr>
    </w:p>
    <w:p>
      <w:pPr>
        <w:ind w:left="680" w:firstLine="399"/>
        <w:spacing w:after="0" w:line="257" w:lineRule="auto"/>
        <w:rPr>
          <w:sz w:val="20"/>
          <w:szCs w:val="20"/>
          <w:color w:val="auto"/>
        </w:rPr>
      </w:pPr>
      <w:r>
        <w:rPr>
          <w:rFonts w:ascii="Times New Roman" w:cs="Times New Roman" w:eastAsia="Times New Roman" w:hAnsi="Times New Roman"/>
          <w:sz w:val="13"/>
          <w:szCs w:val="13"/>
          <w:color w:val="auto"/>
        </w:rPr>
        <w:t xml:space="preserve">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Times New Roman" w:cs="Times New Roman" w:eastAsia="Times New Roman" w:hAnsi="Times New Roman"/>
          <w:sz w:val="13"/>
          <w:szCs w:val="13"/>
          <w:i w:val="1"/>
          <w:iCs w:val="1"/>
          <w:color w:val="auto"/>
        </w:rPr>
        <w:t>Accounting for Contingencies</w:t>
      </w:r>
      <w:r>
        <w:rPr>
          <w:rFonts w:ascii="Times New Roman" w:cs="Times New Roman" w:eastAsia="Times New Roman" w:hAnsi="Times New Roman"/>
          <w:sz w:val="13"/>
          <w:szCs w:val="13"/>
          <w:color w:val="auto"/>
        </w:rPr>
        <w:t>, and its interpretations. If we used the high ends of such ranges, our aggregate potential liability would be approximately $190 million higher than the $273 million recorded in the Condensed Consolidated Financial Statements as of June 30, 2007. Our ongoing review of our remediation liabilities could result in revisions that could cause upward or downward adjustments to income from operations. These adjustments could also be material in any given period.</w:t>
      </w: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As of June 30, 2007, we had been notified that we are a PRP in connection with 75 locations listed on the EPA’s National Priorities List (“NPL”). Of the 75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other 59 NPL sites, which we do not own, are at various procedural stages under the Comprehensive Environmental Response, Compensation and Liability Act of 1980, as amended, which is known as CERCLA or Superfund.</w:t>
      </w:r>
    </w:p>
    <w:p>
      <w:pPr>
        <w:spacing w:after="0" w:line="64"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62"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Litigation </w:t>
      </w:r>
      <w:r>
        <w:rPr>
          <w:rFonts w:ascii="Times New Roman" w:cs="Times New Roman" w:eastAsia="Times New Roman" w:hAnsi="Times New Roman"/>
          <w:sz w:val="13"/>
          <w:szCs w:val="13"/>
          <w:color w:val="auto"/>
        </w:rPr>
        <w:t>— In December 1999, an individual brought an action against the Company, five former officers of WM Holdings, and WM Holdings’ former independent auditor, Arthur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had removed the case to federal court, but in 2006 agreed to the matter being handled in state court as originally filed. The Company believes recent U.S. Supreme Court decisions in other cases require the Illinois trial court to rule that this matter cannot proceed as a class action. Only limited discovery has occurred and the defendants continue to defend themselves vigorously. The extent of possible damages, if any, in this action cannot yet be determined.</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April 2002, a former participant in WM Holdings’ ERISA plans and another individual filed a lawsuit in Washington, D.C. against WMI, WM Holdings and others, attempting to</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increase the recovery of a class of ERISA plan participants based on allegations related to both the events alleged in, and the settlements relating to, the securities class action against</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WM Holdings that was settled in 1998 and the securities class action against us that was settled in November 2001. Subsequently, the issues related to the latter class action were dropped as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to WMI, its officers and directors. The case is ongoing with respect to WM Holdings and others, and WM Holdings intends to defend itself vigorously.</w:t>
      </w:r>
    </w:p>
    <w:p>
      <w:pPr>
        <w:spacing w:after="0" w:line="83" w:lineRule="exact"/>
        <w:rPr>
          <w:sz w:val="20"/>
          <w:szCs w:val="20"/>
          <w:color w:val="auto"/>
        </w:rPr>
      </w:pPr>
    </w:p>
    <w:p>
      <w:pPr>
        <w:jc w:val="both"/>
        <w:ind w:left="680" w:right="280" w:firstLine="399"/>
        <w:spacing w:after="0" w:line="259" w:lineRule="auto"/>
        <w:rPr>
          <w:sz w:val="20"/>
          <w:szCs w:val="20"/>
          <w:color w:val="auto"/>
        </w:rPr>
      </w:pPr>
      <w:r>
        <w:rPr>
          <w:rFonts w:ascii="Times New Roman" w:cs="Times New Roman" w:eastAsia="Times New Roman" w:hAnsi="Times New Roman"/>
          <w:sz w:val="13"/>
          <w:szCs w:val="13"/>
          <w:color w:val="auto"/>
        </w:rPr>
        <w:t>From time to time, we pay fines or penalties in environmental proceedings relating primarily to waste treatment, storage or disposal facilities. At June 30, 2007, there were four proceedings involving our subsidiaries where we reasonably believe that the sanctions could exceed $100,000. The matters involve allegations that subsidiaries (i) failed to comply with leachate storage requirements at an operating landfill; (ii) violated a number of state solid waste regulations and permit conditions and federal air regulations at an operating landfill;</w:t>
      </w:r>
    </w:p>
    <w:p>
      <w:pPr>
        <w:spacing w:after="0" w:line="1" w:lineRule="exact"/>
        <w:rPr>
          <w:sz w:val="20"/>
          <w:szCs w:val="20"/>
          <w:color w:val="auto"/>
        </w:rPr>
      </w:pPr>
    </w:p>
    <w:p>
      <w:pPr>
        <w:ind w:left="680" w:right="60" w:firstLine="7"/>
        <w:spacing w:after="0" w:line="264" w:lineRule="auto"/>
        <w:tabs>
          <w:tab w:leader="none" w:pos="909"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failed to meet reporting requirements under federal air regulations at an operating landfill; and (iv) failed to perform state emissions tests for diesel-powered vehicles. We do not believe that the fines or other penalties in any of these matters will, individually or in the aggregate, have a material adverse effect on our financial condition or results of operations.</w:t>
      </w: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64"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 related claims, including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62"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color w:val="auto"/>
        </w:rPr>
        <w:t>Under Delaware law, corporations are allowed to indemnify their officers, directors and employees against claims arising from their actions in such capacities if the individuals acted in good faith and in a manner they believed to be in, or not opposed to, the best interests of the corporation. Further, corporations are allowed to advance expenses to the individuals in such matters, contingent upon the receipt of an undertaking by the individuals to repay all expenses if it is ultimately determined that they did not act in good faith and in a manner they believed to be in, or not opposed to, the best interests of the corporation. WMI’s charter and bylaws currently require indemnification of its officers and directors if these standards have been met and allow the advancement of expenses to these individuals (the documents previously required indemnification to all employees if the standards were met). Additionally, WMI has entered into separate indemnification agreements with each of the members of its Board of Directors as well as its Chief Executive Officer, its President and its Chief Financial Officer. The charter and bylaw documents of certain of WMI’s subsidiaries, including WM Holdings, also include similar indemnification provisions, and some subsidiaries, including WM Holdings, entered into separate indemnification agreements with their officers and directors prior to our acquisition of them that provide for even greater rights and protections for the individuals than WMI’s charter and bylaws.</w:t>
      </w:r>
    </w:p>
    <w:p>
      <w:pPr>
        <w:spacing w:after="0" w:line="69"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The Company’s obligations to indemnify and advance expenses are determined based on the governing documents in effect and the status of the individual at the time the actions giving rise to the claim occurred. As a result, we may have obligations to individuals after they leave the Company and also may have obligations to individuals that are or were employees of the Company, but who were neither an officer or a director, even though the current documents only require indemnification and advancement to officers and directors.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60"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Tax matters </w:t>
      </w:r>
      <w:r>
        <w:rPr>
          <w:rFonts w:ascii="Times New Roman" w:cs="Times New Roman" w:eastAsia="Times New Roman" w:hAnsi="Times New Roman"/>
          <w:sz w:val="13"/>
          <w:szCs w:val="13"/>
          <w:color w:val="auto"/>
        </w:rPr>
        <w:t>— We are currently under audit by the IRS and from time to time are audited by other taxing authorities. We fully cooperate with all audits, but defend our positions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vigorously. Our audits are in various stages of completion. We have concluded several audits in the last two years. In the first quarter of 2007, we concluded the IRS audit for the years 2004 and 2005. We are currently in the examination phase of an IRS audit for the years 2006 and 2007. We expect this audit to be completed within the next 18 months. Audits associated with state and local jurisdictions date back to 1999 and examinations associated with Canada date back to 2002. To provide for certain</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00"/>
        <w:spacing w:after="0" w:line="269" w:lineRule="auto"/>
        <w:rPr>
          <w:sz w:val="20"/>
          <w:szCs w:val="20"/>
          <w:color w:val="auto"/>
        </w:rPr>
      </w:pPr>
      <w:r>
        <w:rPr>
          <w:rFonts w:ascii="Times New Roman" w:cs="Times New Roman" w:eastAsia="Times New Roman" w:hAnsi="Times New Roman"/>
          <w:sz w:val="13"/>
          <w:szCs w:val="13"/>
          <w:color w:val="auto"/>
        </w:rPr>
        <w:t>potential tax exposures, we maintain a liability for unrecognized tax benefits, the balance of which management believes is adequate. For additional information related to our liability for unrecognized tax benefits refer to Note 5.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5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As discussed in Note 4, we have approximately $2.8 billion of tax-exempt financings as of June 30, 2007.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 and results of operations.</w:t>
      </w:r>
    </w:p>
    <w:p>
      <w:pPr>
        <w:spacing w:after="0" w:line="62" w:lineRule="exact"/>
        <w:rPr>
          <w:sz w:val="20"/>
          <w:szCs w:val="20"/>
          <w:color w:val="auto"/>
        </w:rPr>
      </w:pPr>
    </w:p>
    <w:p>
      <w:pPr>
        <w:ind w:left="680" w:firstLine="399"/>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Unclaimed property audit </w:t>
      </w:r>
      <w:r>
        <w:rPr>
          <w:rFonts w:ascii="Times New Roman" w:cs="Times New Roman" w:eastAsia="Times New Roman" w:hAnsi="Times New Roman"/>
          <w:sz w:val="13"/>
          <w:szCs w:val="13"/>
          <w:color w:val="auto"/>
        </w:rPr>
        <w:t>— We are currently undergoing unclaimed property audits. The property subject to review in this audit process generally includes unclaimed wages, vendor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payments and customer refunds. State escheat laws generally require entities to report and remit abandoned and unclaimed property. Failure to timely report and remit the property can result in assessments that include substantial interest and penalties, in addition to the payment of the escheat liability itself. During 2006, we submitted unclaimed property filings with all of the states except those where we were under audit, and, as a result of our findings, we determined that we had estimated unrecorded obligations associated with unclaimed property for escheatable items for various periods between 1980 and 2004. Our “Selling, general and administrative” expenses for the three months ended March 31, 2006, included a charge of approximately $19 million to fully record our estimated obligations for unclaimed property. During the three months ended March 31, 2006, we also recognized $1 million of estimated interest obligations associated with our findings. During the first quarter of 2007, we reached a settlement with the state where we had the most significant exposure related to our ongoing unclaimed property audits and recorded an additional charge of $7 million, including $4 million of “Selling, general and administrative” expenses and $3 million of “Interest expense.” We have determined that the impact of these adjustments is not material to current or prior periods’ results of operations. Although we cannot currently estimate the potential financial impacts that remaining audit findings or settlements may have, we do not expect any resulting obligations to have a material adverse effect on our consolidated results of operations or cash flows.</w:t>
      </w:r>
    </w:p>
    <w:p>
      <w:pPr>
        <w:spacing w:after="0" w:line="145" w:lineRule="exact"/>
        <w:rPr>
          <w:sz w:val="20"/>
          <w:szCs w:val="20"/>
          <w:color w:val="auto"/>
        </w:rPr>
      </w:pPr>
    </w:p>
    <w:p>
      <w:pPr>
        <w:ind w:left="1180" w:hanging="493"/>
        <w:spacing w:after="0"/>
        <w:tabs>
          <w:tab w:leader="none" w:pos="1180" w:val="left"/>
        </w:tabs>
        <w:numPr>
          <w:ilvl w:val="0"/>
          <w:numId w:val="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Restructuring</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the first quarter of 2007, certain operations and functions were restructured resulting in the recognition of a charge of approximately $9 million. We incurred an additional</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$1 million of costs for this restructuring during the second quarter of 2007, increasing the costs incurred to date to $10 million. Approximately $7 million of our restructuring costs was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incurred by our Corporate organization, $2 million was incurred by our Midwest Group and $1 million was incurred by our Western Group. These charges included approximately $8 million</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for employee severance and benefit costs and approximately $2 million related to operating lease agreements.</w:t>
      </w:r>
    </w:p>
    <w:p>
      <w:pPr>
        <w:spacing w:after="0" w:line="83"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Through June 30, 2007, we had paid approximately $1 million of the employee severance and benefit costs incurred as a result of this restructuring. The length of time we are obligated to make severance payments varies, with the longest obligation continuing through the first quarter of 2009.</w:t>
      </w:r>
    </w:p>
    <w:p>
      <w:pPr>
        <w:spacing w:after="0" w:line="123" w:lineRule="exact"/>
        <w:rPr>
          <w:sz w:val="20"/>
          <w:szCs w:val="20"/>
          <w:color w:val="auto"/>
        </w:rPr>
      </w:pPr>
    </w:p>
    <w:p>
      <w:pPr>
        <w:ind w:left="1180" w:hanging="493"/>
        <w:spacing w:after="0"/>
        <w:tabs>
          <w:tab w:leader="none" w:pos="118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Segment and Related Information</w:t>
      </w:r>
    </w:p>
    <w:p>
      <w:pPr>
        <w:spacing w:after="0" w:line="98" w:lineRule="exact"/>
        <w:rPr>
          <w:sz w:val="20"/>
          <w:szCs w:val="20"/>
          <w:color w:val="auto"/>
        </w:rPr>
      </w:pPr>
    </w:p>
    <w:p>
      <w:pPr>
        <w:ind w:left="680" w:right="40" w:firstLine="399"/>
        <w:spacing w:after="0" w:line="286" w:lineRule="auto"/>
        <w:rPr>
          <w:sz w:val="20"/>
          <w:szCs w:val="20"/>
          <w:color w:val="auto"/>
        </w:rPr>
      </w:pPr>
      <w:r>
        <w:rPr>
          <w:rFonts w:ascii="Times New Roman" w:cs="Times New Roman" w:eastAsia="Times New Roman" w:hAnsi="Times New Roman"/>
          <w:sz w:val="13"/>
          <w:szCs w:val="13"/>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920"/>
        <w:spacing w:after="0" w:line="269" w:lineRule="auto"/>
        <w:rPr>
          <w:sz w:val="20"/>
          <w:szCs w:val="20"/>
          <w:color w:val="auto"/>
        </w:rPr>
      </w:pPr>
      <w:r>
        <w:rPr>
          <w:rFonts w:ascii="Times New Roman" w:cs="Times New Roman" w:eastAsia="Times New Roman" w:hAnsi="Times New Roman"/>
          <w:sz w:val="13"/>
          <w:szCs w:val="13"/>
          <w:color w:val="auto"/>
        </w:rPr>
        <w:t>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58" w:lineRule="exact"/>
        <w:rPr>
          <w:sz w:val="20"/>
          <w:szCs w:val="20"/>
          <w:color w:val="auto"/>
        </w:rPr>
      </w:pPr>
    </w:p>
    <w:p>
      <w:pPr>
        <w:ind w:left="680" w:right="900" w:firstLine="399"/>
        <w:spacing w:after="0" w:line="261" w:lineRule="auto"/>
        <w:rPr>
          <w:sz w:val="20"/>
          <w:szCs w:val="20"/>
          <w:color w:val="auto"/>
        </w:rPr>
      </w:pPr>
      <w:r>
        <w:rPr>
          <w:rFonts w:ascii="Times New Roman" w:cs="Times New Roman" w:eastAsia="Times New Roman" w:hAnsi="Times New Roman"/>
          <w:sz w:val="13"/>
          <w:szCs w:val="13"/>
          <w:color w:val="auto"/>
        </w:rPr>
        <w:t>Effective January 1, 2007, we realigned our Eastern, Midwest and Western Group organizations to facilitate improved business execution. We reassigned responsibility for the management of certain Eastern Group markets areas representing $799 million in assets, including $163 million in goodwill, to the Midwest Group; and we reassigned responsibility for the management of certain Midwest Group market areas representing $435 million in assets, including $231 million in goodwill, to the Western Group. The prior period segment information provided in the following table has been reclassified to reflect the impact of our market area realignments to provide financial information that consistently reflects our current approach to managing our operations.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Summarized financial information concerning our reportable segments for the three and six months ended June 30 is shown in the following tables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Intercompany</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Net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T</w:t>
            </w:r>
            <w:r>
              <w:rPr>
                <w:rFonts w:ascii="Times New Roman" w:cs="Times New Roman" w:eastAsia="Times New Roman" w:hAnsi="Times New Roman"/>
                <w:sz w:val="10"/>
                <w:szCs w:val="10"/>
                <w:b w:val="1"/>
                <w:bCs w:val="1"/>
                <w:color w:val="auto"/>
              </w:rPr>
              <w:t>hree Months Ended:</w:t>
            </w: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Operations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20" w:type="dxa"/>
            <w:vAlign w:val="bottom"/>
          </w:tcPr>
          <w:p>
            <w:pPr>
              <w:spacing w:after="0"/>
              <w:rPr>
                <w:sz w:val="11"/>
                <w:szCs w:val="11"/>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Revenues(c)</w:t>
            </w:r>
          </w:p>
        </w:tc>
        <w:tc>
          <w:tcPr>
            <w:tcW w:w="120" w:type="dxa"/>
            <w:vAlign w:val="bottom"/>
          </w:tcPr>
          <w:p>
            <w:pPr>
              <w:spacing w:after="0"/>
              <w:rPr>
                <w:sz w:val="11"/>
                <w:szCs w:val="11"/>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Revenues(d)</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(d),(e),(f)</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June 30, 2007</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Eastern</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849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Midwest</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773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(131)</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Southern</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928</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Western</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883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WMRA</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Other(a)</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(595)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2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June 30, 2006</w:t>
            </w:r>
          </w:p>
        </w:tc>
        <w:tc>
          <w:tcPr>
            <w:tcW w:w="2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940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954</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896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3"/>
                <w:szCs w:val="13"/>
                <w:color w:val="auto"/>
              </w:rPr>
              <w:t>WMRA</w:t>
            </w: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Other(a)</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2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2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0"/>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1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Intercompany</w:t>
            </w:r>
          </w:p>
        </w:tc>
        <w:tc>
          <w:tcPr>
            <w:tcW w:w="120" w:type="dxa"/>
            <w:vAlign w:val="bottom"/>
          </w:tcPr>
          <w:p>
            <w:pPr>
              <w:spacing w:after="0"/>
              <w:rPr>
                <w:sz w:val="10"/>
                <w:szCs w:val="10"/>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Net</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Income from</w:t>
            </w:r>
          </w:p>
        </w:tc>
        <w:tc>
          <w:tcPr>
            <w:tcW w:w="0" w:type="dxa"/>
            <w:vAlign w:val="bottom"/>
          </w:tcPr>
          <w:p>
            <w:pPr>
              <w:spacing w:after="0"/>
              <w:rPr>
                <w:sz w:val="1"/>
                <w:szCs w:val="1"/>
                <w:color w:val="auto"/>
              </w:rPr>
            </w:pPr>
          </w:p>
        </w:tc>
      </w:tr>
      <w:tr>
        <w:trPr>
          <w:trHeight w:val="118"/>
        </w:trPr>
        <w:tc>
          <w:tcPr>
            <w:tcW w:w="5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S</w:t>
            </w:r>
            <w:r>
              <w:rPr>
                <w:rFonts w:ascii="Times New Roman" w:cs="Times New Roman" w:eastAsia="Times New Roman" w:hAnsi="Times New Roman"/>
                <w:sz w:val="10"/>
                <w:szCs w:val="10"/>
                <w:b w:val="1"/>
                <w:bCs w:val="1"/>
                <w:color w:val="auto"/>
              </w:rPr>
              <w:t>ix Months Ended:</w:t>
            </w:r>
          </w:p>
        </w:tc>
        <w:tc>
          <w:tcPr>
            <w:tcW w:w="100" w:type="dxa"/>
            <w:vAlign w:val="bottom"/>
          </w:tcPr>
          <w:p>
            <w:pPr>
              <w:spacing w:after="0"/>
              <w:rPr>
                <w:sz w:val="10"/>
                <w:szCs w:val="10"/>
                <w:color w:val="auto"/>
              </w:rPr>
            </w:pPr>
          </w:p>
        </w:tc>
        <w:tc>
          <w:tcPr>
            <w:tcW w:w="10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Operating</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Operations</w:t>
            </w:r>
          </w:p>
        </w:tc>
        <w:tc>
          <w:tcPr>
            <w:tcW w:w="0" w:type="dxa"/>
            <w:vAlign w:val="bottom"/>
          </w:tcPr>
          <w:p>
            <w:pPr>
              <w:spacing w:after="0"/>
              <w:rPr>
                <w:sz w:val="1"/>
                <w:szCs w:val="1"/>
                <w:color w:val="auto"/>
              </w:rPr>
            </w:pPr>
          </w:p>
        </w:tc>
      </w:tr>
      <w:tr>
        <w:trPr>
          <w:trHeight w:val="127"/>
        </w:trPr>
        <w:tc>
          <w:tcPr>
            <w:tcW w:w="5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20" w:type="dxa"/>
            <w:vAlign w:val="bottom"/>
          </w:tcPr>
          <w:p>
            <w:pPr>
              <w:spacing w:after="0"/>
              <w:rPr>
                <w:sz w:val="11"/>
                <w:szCs w:val="11"/>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Revenues(c)</w:t>
            </w:r>
          </w:p>
        </w:tc>
        <w:tc>
          <w:tcPr>
            <w:tcW w:w="120" w:type="dxa"/>
            <w:vAlign w:val="bottom"/>
          </w:tcPr>
          <w:p>
            <w:pPr>
              <w:spacing w:after="0"/>
              <w:rPr>
                <w:sz w:val="11"/>
                <w:szCs w:val="11"/>
                <w:color w:val="auto"/>
              </w:rPr>
            </w:pPr>
          </w:p>
        </w:tc>
        <w:tc>
          <w:tcPr>
            <w:tcW w:w="118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Revenues(d)</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(d),(e),(f)</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June 30, 2007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Eastern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1,639</w:t>
            </w:r>
          </w:p>
        </w:tc>
        <w:tc>
          <w:tcPr>
            <w:tcW w:w="38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(317)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Midwest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1,453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1,209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Southern</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1,847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416</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Western</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1,734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(224)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1,510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WMRA</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Other(a)</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(1,137)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6,546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1,373</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7,683</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(1,137)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6,546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1,114</w:t>
            </w:r>
          </w:p>
        </w:tc>
        <w:tc>
          <w:tcPr>
            <w:tcW w:w="0" w:type="dxa"/>
            <w:vAlign w:val="bottom"/>
          </w:tcPr>
          <w:p>
            <w:pPr>
              <w:spacing w:after="0"/>
              <w:rPr>
                <w:sz w:val="1"/>
                <w:szCs w:val="1"/>
                <w:color w:val="auto"/>
              </w:rPr>
            </w:pPr>
          </w:p>
        </w:tc>
      </w:tr>
      <w:tr>
        <w:trPr>
          <w:trHeight w:val="167"/>
        </w:trPr>
        <w:tc>
          <w:tcPr>
            <w:tcW w:w="5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June 30, 2006</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1,801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1,474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1,217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1,889</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(288)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1,499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444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WMRA</w:t>
            </w:r>
          </w:p>
        </w:tc>
        <w:tc>
          <w:tcPr>
            <w:tcW w:w="10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Other(a)</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7"/>
        </w:trPr>
        <w:tc>
          <w:tcPr>
            <w:tcW w:w="5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7,874</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6,639</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10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66"/>
        </w:trPr>
        <w:tc>
          <w:tcPr>
            <w:tcW w:w="5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7,874</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118745</wp:posOffset>
            </wp:positionV>
            <wp:extent cx="82359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3" w:lineRule="exact"/>
        <w:rPr>
          <w:sz w:val="20"/>
          <w:szCs w:val="20"/>
          <w:color w:val="auto"/>
        </w:rPr>
      </w:pPr>
    </w:p>
    <w:p>
      <w:pPr>
        <w:ind w:left="1180" w:right="40" w:hanging="268"/>
        <w:spacing w:after="0" w:line="263"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“Other” revenues are from in-plant services, methane gas recovery and certain third party sub-contract and administration revenues managed by our Renewable Energy, National Accounts and Upstream organizations. “Other” operating results reflect the combined impact of (i) the services described above; (ii) non-operating entities that provide financial assurance and self-insurance support for the operating Groups or financing for our Canadian operations; and (iii) certain quarter-end adjustments recorded in consolidation related to the reportable segments that, due to timing, were not included in the measure of segment profit or loss used to assess their performance for the periods disclosed.</w:t>
      </w:r>
    </w:p>
    <w:p>
      <w:pPr>
        <w:spacing w:after="0" w:line="13" w:lineRule="exact"/>
        <w:rPr>
          <w:rFonts w:ascii="Times New Roman" w:cs="Times New Roman" w:eastAsia="Times New Roman" w:hAnsi="Times New Roman"/>
          <w:sz w:val="13"/>
          <w:szCs w:val="13"/>
          <w:color w:val="auto"/>
        </w:rPr>
      </w:pPr>
    </w:p>
    <w:p>
      <w:pPr>
        <w:jc w:val="both"/>
        <w:ind w:left="1180" w:right="220" w:hanging="276"/>
        <w:spacing w:after="0" w:line="269"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Corporate operating results reflect the costs incurred for various support services that are not allocated to our six operating Groups. These support services include, among other functions, treasury, legal, information technology, tax, insurance, centralized service center processes, other administrative functions and the maintenance of our closed landfills. Income from operations for “Corporate and Other” also includes costs associated with our long-term incentive program.</w:t>
      </w:r>
    </w:p>
    <w:p>
      <w:pPr>
        <w:spacing w:after="0" w:line="8" w:lineRule="exact"/>
        <w:rPr>
          <w:rFonts w:ascii="Times New Roman" w:cs="Times New Roman" w:eastAsia="Times New Roman" w:hAnsi="Times New Roman"/>
          <w:sz w:val="13"/>
          <w:szCs w:val="13"/>
          <w:color w:val="auto"/>
        </w:rPr>
      </w:pPr>
    </w:p>
    <w:p>
      <w:pPr>
        <w:ind w:left="1180" w:right="160" w:hanging="268"/>
        <w:spacing w:after="0" w:line="284"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ind w:left="1180" w:right="240" w:hanging="276"/>
        <w:spacing w:after="0" w:line="286"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our operating results between quarters may be caused by many factors, including period-to-period changes in the relative contribution of revenue by each line of business and operating segment and general economic conditions. Our revenues and income from operations typically reflect seasonal patterns.</w:t>
      </w:r>
    </w:p>
    <w:p>
      <w:pPr>
        <w:spacing w:after="0" w:line="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1180" w:right="40"/>
        <w:spacing w:after="0" w:line="258" w:lineRule="auto"/>
        <w:rPr>
          <w:sz w:val="20"/>
          <w:szCs w:val="20"/>
          <w:color w:val="auto"/>
        </w:rPr>
      </w:pPr>
      <w:r>
        <w:rPr>
          <w:rFonts w:ascii="Times New Roman" w:cs="Times New Roman" w:eastAsia="Times New Roman" w:hAnsi="Times New Roman"/>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during 2004 and 2005,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5" w:lineRule="exact"/>
        <w:rPr>
          <w:sz w:val="20"/>
          <w:szCs w:val="20"/>
          <w:color w:val="auto"/>
        </w:rPr>
      </w:pPr>
    </w:p>
    <w:p>
      <w:pPr>
        <w:ind w:left="1180" w:right="120" w:hanging="268"/>
        <w:spacing w:after="0" w:line="259" w:lineRule="auto"/>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have historically been higher than the margins provided by our base business generally due to the combined impact of long-term disposal and energy contracts and the disposal demands of the regions in which our facilities are concentrated. Income from operations provided by WMRA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w:t>
      </w:r>
    </w:p>
    <w:p>
      <w:pPr>
        <w:spacing w:after="0" w:line="143" w:lineRule="exact"/>
        <w:rPr>
          <w:sz w:val="20"/>
          <w:szCs w:val="20"/>
          <w:color w:val="auto"/>
        </w:rPr>
      </w:pPr>
    </w:p>
    <w:p>
      <w:pPr>
        <w:ind w:left="1080" w:right="80"/>
        <w:spacing w:after="0" w:line="261" w:lineRule="auto"/>
        <w:rPr>
          <w:sz w:val="20"/>
          <w:szCs w:val="20"/>
          <w:color w:val="auto"/>
        </w:rPr>
      </w:pPr>
      <w:r>
        <w:rPr>
          <w:rFonts w:ascii="Times New Roman" w:cs="Times New Roman" w:eastAsia="Times New Roman" w:hAnsi="Times New Roman"/>
          <w:sz w:val="13"/>
          <w:szCs w:val="13"/>
          <w:color w:val="auto"/>
        </w:rPr>
        <w:t>During the first quarter of 2007, the operating results of our Eastern Group were improved by approximately $15 million due to the favorable resolution of a disposal tax matter, which was recognized as a reduction to disposal fees and taxes within our “Operating” expenses. Our Wheelabrator Group’s income from operations for the first quarter of 2007 was negatively affected by approximately $21 million of charges incurred for the early termination of a lease agreement in connection with the purchase of one of our independent power production plants. This charge was recorded as “Operating” expenses. Refer to Note 12 for an explanation of additional non-recurring transactions and events affecting the operating results of our reportable segments for the three and six months ended June 30, 2007 and 2006.</w:t>
      </w:r>
    </w:p>
    <w:p>
      <w:pPr>
        <w:spacing w:after="0" w:line="23" w:lineRule="exact"/>
        <w:rPr>
          <w:sz w:val="20"/>
          <w:szCs w:val="20"/>
          <w:color w:val="auto"/>
        </w:rPr>
      </w:pPr>
    </w:p>
    <w:p>
      <w:pPr>
        <w:ind w:left="1180" w:right="280" w:hanging="254"/>
        <w:spacing w:after="0" w:line="286" w:lineRule="auto"/>
        <w:tabs>
          <w:tab w:leader="none" w:pos="11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items included in the determination of income from operations, the accounting policies of our segments are the same as those described in the summary of significant accounting policies included in our Form 10-K for the year ended December 31, 2006.</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table below shows the total revenues contributed by our principal lines of business (in millions):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tcPr>
          <w:p>
            <w:pPr>
              <w:jc w:val="center"/>
              <w:ind w:left="197"/>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left="277"/>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3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center"/>
              <w:ind w:right="114"/>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7"/>
        </w:trPr>
        <w:tc>
          <w:tcPr>
            <w:tcW w:w="13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center"/>
              <w:ind w:right="9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2,193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2,251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4,314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4,410</w:t>
            </w:r>
          </w:p>
        </w:tc>
      </w:tr>
      <w:tr>
        <w:trPr>
          <w:trHeight w:val="157"/>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Landfill</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834</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1,511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1,584</w:t>
            </w:r>
          </w:p>
        </w:tc>
      </w:tr>
      <w:tr>
        <w:trPr>
          <w:trHeight w:val="15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Transfer</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433</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822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900</w:t>
            </w:r>
          </w:p>
        </w:tc>
      </w:tr>
      <w:tr>
        <w:trPr>
          <w:trHeight w:val="157"/>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219</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427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444</w:t>
            </w:r>
          </w:p>
        </w:tc>
      </w:tr>
      <w:tr>
        <w:trPr>
          <w:trHeight w:val="157"/>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 and other(a)</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317</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r>
      <w:tr>
        <w:trPr>
          <w:trHeight w:val="157"/>
        </w:trPr>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Intercompany(b)</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(645)</w:t>
            </w: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(1,137)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(1,235)</w:t>
            </w:r>
          </w:p>
        </w:tc>
      </w:tr>
      <w:tr>
        <w:trPr>
          <w:trHeight w:val="20"/>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3,410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6,546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6,639</w:t>
            </w:r>
          </w:p>
        </w:tc>
      </w:tr>
      <w:tr>
        <w:trPr>
          <w:trHeight w:val="108"/>
        </w:trPr>
        <w:tc>
          <w:tcPr>
            <w:tcW w:w="130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right="20" w:hanging="268"/>
        <w:spacing w:after="0" w:line="286" w:lineRule="auto"/>
        <w:tabs>
          <w:tab w:leader="none" w:pos="11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revenue generated by WMRA, we have included revenues generated within our four geographic operating Groups derived from recycling, methane gas operations and Port-O-Let</w:t>
      </w:r>
      <w:r>
        <w:rPr>
          <w:rFonts w:ascii="Times New Roman" w:cs="Times New Roman" w:eastAsia="Times New Roman" w:hAnsi="Times New Roman"/>
          <w:sz w:val="11"/>
          <w:szCs w:val="11"/>
          <w:color w:val="auto"/>
        </w:rPr>
        <w:t>®</w:t>
      </w:r>
      <w:r>
        <w:rPr>
          <w:rFonts w:ascii="Times New Roman" w:cs="Times New Roman" w:eastAsia="Times New Roman" w:hAnsi="Times New Roman"/>
          <w:sz w:val="13"/>
          <w:szCs w:val="13"/>
          <w:color w:val="auto"/>
        </w:rPr>
        <w:t xml:space="preserve"> services in the “recycling and other” line-of-business.</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1180" w:hanging="276"/>
        <w:spacing w:after="0"/>
        <w:tabs>
          <w:tab w:leader="none" w:pos="118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Intercompany revenues between lines of business are eliminated within the Condensed Consolidated Financial Statements included herein.</w:t>
      </w:r>
    </w:p>
    <w:p>
      <w:pPr>
        <w:spacing w:after="0" w:line="172" w:lineRule="exact"/>
        <w:rPr>
          <w:rFonts w:ascii="Times New Roman" w:cs="Times New Roman" w:eastAsia="Times New Roman" w:hAnsi="Times New Roman"/>
          <w:sz w:val="13"/>
          <w:szCs w:val="13"/>
          <w:color w:val="auto"/>
        </w:rPr>
      </w:pPr>
    </w:p>
    <w:p>
      <w:pPr>
        <w:ind w:left="1180" w:hanging="493"/>
        <w:spacing w:after="0"/>
        <w:tabs>
          <w:tab w:leader="none" w:pos="1180"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Expense from Divestitures, Asset Impairments and Unusual Items</w:t>
      </w:r>
    </w:p>
    <w:p>
      <w:pPr>
        <w:spacing w:after="0" w:line="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Income from divestitures (net of held-for-sale impairments) </w:t>
      </w:r>
      <w:r>
        <w:rPr>
          <w:rFonts w:ascii="Times New Roman" w:cs="Times New Roman" w:eastAsia="Times New Roman" w:hAnsi="Times New Roman"/>
          <w:sz w:val="13"/>
          <w:szCs w:val="13"/>
          <w:color w:val="auto"/>
        </w:rPr>
        <w:t>— We recognized $33 million and $42 million of net gains from divestitures during the three and six months ended</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June 30, 2007, respectively. The net gains recognized during the first quarter of 2007 were primarily related to the divestiture of collection and disposal operations in our Southern Group and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net gains recognized during the second quarter of 2007 were primarily related to the divestiture of collection and transfer operations in our Eastern Group, WMRA operations and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collection operations in our Western Group. Total proceeds from divestitures completed during the six months ended June 30, 2007 were $183 million, which were primarily received in cash.</w:t>
      </w:r>
    </w:p>
    <w:p>
      <w:pPr>
        <w:spacing w:after="0" w:line="83"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 xml:space="preserve">During the three months ended June 30, 2006, we recognized $40 million of net gains as a result of the divestiture of certain operations in our Western Group. The gains were offset by a $13 million charge for operations in the Eastern group that we intended to sell as part of our divestiture program. The charge was required to reduce the carrying value of the operations to their estimated fair value less the cost to sell in accordance with the provisions of SFAS No. 144, </w:t>
      </w:r>
      <w:r>
        <w:rPr>
          <w:rFonts w:ascii="Times New Roman" w:cs="Times New Roman" w:eastAsia="Times New Roman" w:hAnsi="Times New Roman"/>
          <w:sz w:val="13"/>
          <w:szCs w:val="13"/>
          <w:i w:val="1"/>
          <w:iCs w:val="1"/>
          <w:color w:val="auto"/>
        </w:rPr>
        <w:t>Accounting for the Impairment or Disposal of Long-Lived Assets</w:t>
      </w:r>
      <w:r>
        <w:rPr>
          <w:rFonts w:ascii="Times New Roman" w:cs="Times New Roman" w:eastAsia="Times New Roman" w:hAnsi="Times New Roman"/>
          <w:sz w:val="13"/>
          <w:szCs w:val="13"/>
          <w:color w:val="auto"/>
        </w:rPr>
        <w:t>, for assets to be disposed of by sale. In addition, in the first quarter of 2006, we recognized $2 million of net gains from divestitures, consisting primarily of a sale of assets and operations in our Western Group. Total proceeds from divestitures completed during the six months ended June 30, 2006 were $124 million, all of which were received in cash.</w:t>
      </w:r>
    </w:p>
    <w:p>
      <w:pPr>
        <w:spacing w:after="0" w:line="60" w:lineRule="exact"/>
        <w:rPr>
          <w:sz w:val="20"/>
          <w:szCs w:val="20"/>
          <w:color w:val="auto"/>
        </w:rPr>
      </w:pPr>
    </w:p>
    <w:p>
      <w:pPr>
        <w:ind w:left="680" w:right="3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Impairments of assets held-for-use </w:t>
      </w:r>
      <w:r>
        <w:rPr>
          <w:rFonts w:ascii="Times New Roman" w:cs="Times New Roman" w:eastAsia="Times New Roman" w:hAnsi="Times New Roman"/>
          <w:sz w:val="13"/>
          <w:szCs w:val="13"/>
          <w:color w:val="auto"/>
        </w:rPr>
        <w:t>— During the first quarter of 2007, we recorded impairment charges of $10 million attributable to two landfills in our Southern Group.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133" w:lineRule="exact"/>
        <w:rPr>
          <w:sz w:val="20"/>
          <w:szCs w:val="20"/>
          <w:color w:val="auto"/>
        </w:rPr>
      </w:pPr>
    </w:p>
    <w:p>
      <w:pPr>
        <w:ind w:left="1180" w:hanging="493"/>
        <w:spacing w:after="0"/>
        <w:tabs>
          <w:tab w:leader="none" w:pos="1180" w:val="left"/>
        </w:tabs>
        <w:numPr>
          <w:ilvl w:val="0"/>
          <w:numId w:val="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Condensed Consolidating Financial Statements</w:t>
      </w:r>
    </w:p>
    <w:p>
      <w:pPr>
        <w:spacing w:after="0" w:line="9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CONDENSED CONSOLIDATING BALANCE SHEETS</w:t>
      </w:r>
    </w:p>
    <w:p>
      <w:pPr>
        <w:spacing w:after="0" w:line="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b w:val="1"/>
          <w:bCs w:val="1"/>
          <w:color w:val="auto"/>
        </w:rPr>
        <w:t>June 30, 2007</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2,167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2,167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11,096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9,628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9,946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(19,574)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6,187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9,961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(19,588)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2,296</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3,790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3,047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3,295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9,231</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9,046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9,935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(18,981)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9,961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19,450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(19,588)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20,184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2006</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ASSETS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current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11,179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9,692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9,282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(18,974)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6,200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19,763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(19,035)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2,397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2,868</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less current portion</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3,810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Due to affiliates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1,404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(1,404)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3,225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4,357</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10,295</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 in subsidiaries and variable interest entities</w:t>
            </w: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8,377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9,193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(17,570)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19,763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(19,035)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20,600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24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OPERATIONS</w:t>
      </w:r>
    </w:p>
    <w:p>
      <w:pPr>
        <w:spacing w:after="0" w:line="9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Three Months Ended June 30, 2007</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2,725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subsidiaries, net of taxes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385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 and other, net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(780)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$ 338</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0" w:type="dxa"/>
            <w:vAlign w:val="bottom"/>
            <w:gridSpan w:val="7"/>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Three Months Ended June 30, 2006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700" w:type="dxa"/>
            <w:vAlign w:val="bottom"/>
            <w:gridSpan w:val="4"/>
          </w:tcPr>
          <w:p>
            <w:pPr>
              <w:jc w:val="center"/>
              <w:ind w:left="39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23"/>
                <w:szCs w:val="23"/>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23"/>
                <w:szCs w:val="23"/>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23"/>
                <w:szCs w:val="23"/>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23"/>
                <w:szCs w:val="2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2,845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subsidiaries, net of taxes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462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 and other, net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391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5"/>
              </w:rPr>
              <w:t>$ 417</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00" w:type="dxa"/>
            <w:vAlign w:val="bottom"/>
            <w:gridSpan w:val="3"/>
          </w:tcPr>
          <w:p>
            <w:pPr>
              <w:jc w:val="center"/>
              <w:ind w:left="794"/>
              <w:spacing w:after="0"/>
              <w:rPr>
                <w:sz w:val="20"/>
                <w:szCs w:val="20"/>
                <w:color w:val="auto"/>
              </w:rPr>
            </w:pPr>
            <w:r>
              <w:rPr>
                <w:rFonts w:ascii="Times New Roman" w:cs="Times New Roman" w:eastAsia="Times New Roman" w:hAnsi="Times New Roman"/>
                <w:sz w:val="13"/>
                <w:szCs w:val="13"/>
                <w:color w:val="auto"/>
                <w:w w:val="91"/>
              </w:rPr>
              <w:t>25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OPERATIONS</w:t>
      </w:r>
    </w:p>
    <w:p>
      <w:pPr>
        <w:spacing w:after="0" w:line="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Six Months Ended June 30, 2007</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6,546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5,432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5,432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subsidiaries, net of taxes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 and other, net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60" w:type="dxa"/>
            <w:vAlign w:val="bottom"/>
            <w:gridSpan w:val="7"/>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Six Months Ended June 30, 2006</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60" w:type="dxa"/>
            <w:vAlign w:val="bottom"/>
            <w:gridSpan w:val="4"/>
          </w:tcPr>
          <w:p>
            <w:pPr>
              <w:jc w:val="center"/>
              <w:ind w:left="35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6,639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5,639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5,639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 (expense)</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subsidiaries, net of taxes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 and other, net</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1"/>
              </w:rPr>
              <w:t>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CASH FLOWS</w:t>
      </w:r>
    </w:p>
    <w:p>
      <w:pPr>
        <w:spacing w:after="0" w:line="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Six Months Ended June 30, 2007</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576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earnings of subsidiaries, net of taxes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(669)</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adjustments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527</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1,217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(743)</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sales of short-term investments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803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receipts from restricted trust and escrow accounts and other, net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borrowings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repayments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repurchases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(683)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dividends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(251)</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common stock options and warrants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 distributions paid and other</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intercompany and investments, net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823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Increase in cash and cash equivalents</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675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CASH FLOWS</w:t>
      </w:r>
    </w:p>
    <w:p>
      <w:pPr>
        <w:spacing w:after="0" w:line="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Six Months Ended June 30, 2006</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WMI</w:t>
            </w:r>
          </w:p>
        </w:tc>
        <w:tc>
          <w:tcPr>
            <w:tcW w:w="120" w:type="dxa"/>
            <w:vAlign w:val="bottom"/>
          </w:tcPr>
          <w:p>
            <w:pPr>
              <w:spacing w:after="0"/>
              <w:rPr>
                <w:sz w:val="10"/>
                <w:szCs w:val="10"/>
                <w:color w:val="auto"/>
              </w:rPr>
            </w:pP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WM</w:t>
            </w:r>
          </w:p>
        </w:tc>
        <w:tc>
          <w:tcPr>
            <w:tcW w:w="10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Non-Guarantor</w:t>
            </w:r>
          </w:p>
        </w:tc>
        <w:tc>
          <w:tcPr>
            <w:tcW w:w="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Holdings</w:t>
            </w:r>
          </w:p>
        </w:tc>
        <w:tc>
          <w:tcPr>
            <w:tcW w:w="100" w:type="dxa"/>
            <w:vAlign w:val="bottom"/>
          </w:tcPr>
          <w:p>
            <w:pPr>
              <w:spacing w:after="0"/>
              <w:rPr>
                <w:sz w:val="11"/>
                <w:szCs w:val="11"/>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Subsidiaries</w:t>
            </w: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603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719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earnings of subsidiaries, net of taxes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(693)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adjustments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1,325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(527)</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of short-term investments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(1,707)</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sales of short-term investments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1,493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receipts from restricted trust and escrow accounts and other, net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borrowings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repayments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repurchases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dividends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common stock options and warrants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202</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 distributions paid and 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intercompany and investments, net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873</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5" w:lineRule="exact"/>
        <w:rPr>
          <w:sz w:val="20"/>
          <w:szCs w:val="20"/>
          <w:color w:val="auto"/>
        </w:rPr>
      </w:pPr>
    </w:p>
    <w:p>
      <w:pPr>
        <w:ind w:left="1180" w:hanging="493"/>
        <w:spacing w:after="0"/>
        <w:tabs>
          <w:tab w:leader="none" w:pos="118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New Accounting Pronouncements</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SFAS No. 157 — Fair Value Measurements</w:t>
      </w:r>
    </w:p>
    <w:p>
      <w:pPr>
        <w:spacing w:after="0" w:line="98" w:lineRule="exact"/>
        <w:rPr>
          <w:sz w:val="20"/>
          <w:szCs w:val="20"/>
          <w:color w:val="auto"/>
        </w:rPr>
      </w:pPr>
    </w:p>
    <w:p>
      <w:pPr>
        <w:ind w:left="680" w:right="80" w:firstLine="399"/>
        <w:spacing w:after="0" w:line="264" w:lineRule="auto"/>
        <w:rPr>
          <w:sz w:val="20"/>
          <w:szCs w:val="20"/>
          <w:color w:val="auto"/>
        </w:rPr>
      </w:pPr>
      <w:r>
        <w:rPr>
          <w:rFonts w:ascii="Times New Roman" w:cs="Times New Roman" w:eastAsia="Times New Roman" w:hAnsi="Times New Roman"/>
          <w:sz w:val="13"/>
          <w:szCs w:val="13"/>
          <w:color w:val="auto"/>
        </w:rPr>
        <w:t xml:space="preserve">In September 2006, the FASB issued SFAS No. 157, </w:t>
      </w:r>
      <w:r>
        <w:rPr>
          <w:rFonts w:ascii="Times New Roman" w:cs="Times New Roman" w:eastAsia="Times New Roman" w:hAnsi="Times New Roman"/>
          <w:sz w:val="13"/>
          <w:szCs w:val="13"/>
          <w:i w:val="1"/>
          <w:iCs w:val="1"/>
          <w:color w:val="auto"/>
        </w:rPr>
        <w:t>Fair Value Measurements</w:t>
      </w:r>
      <w:r>
        <w:rPr>
          <w:rFonts w:ascii="Times New Roman" w:cs="Times New Roman" w:eastAsia="Times New Roman" w:hAnsi="Times New Roman"/>
          <w:sz w:val="13"/>
          <w:szCs w:val="13"/>
          <w:color w:val="auto"/>
        </w:rPr>
        <w:t>, (“SFAS No. 157”), which defines fair value, establishes a framework for measuring fair value, and expands disclosures about fair value measurements. SFAS No. 157 will be effective for the Company beginning January 1, 2008. We are currently in the process of assessing the provisions of SFAS No. 157 and determining how this framework for measuring fair value will affect our current accounting policies and procedures and our financial statements. We have not determined whether the adoption of SFAS No. 157 will have a material impact on our consolidated financial statements.</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SFAS No. 159 — Fair Value Option for Financial Assets and Financial Liabilities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 xml:space="preserve">In February 2007, the FASB issued SFAS No. 159, </w:t>
      </w:r>
      <w:r>
        <w:rPr>
          <w:rFonts w:ascii="Times New Roman" w:cs="Times New Roman" w:eastAsia="Times New Roman" w:hAnsi="Times New Roman"/>
          <w:sz w:val="13"/>
          <w:szCs w:val="13"/>
          <w:i w:val="1"/>
          <w:iCs w:val="1"/>
          <w:color w:val="auto"/>
        </w:rPr>
        <w:t>Fair Value Option for Financial Assets and Financial Liabilities</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i w:val="1"/>
          <w:iCs w:val="1"/>
          <w:color w:val="auto"/>
        </w:rPr>
        <w:t>Including an amendment of FASB Statement No. 115</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(“SFAS No. 159”), which permits entities to choose to measure many financial instruments and certain other items at fair value. We are currently in the process of assessing the provisions of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SFAS No. 159 and determining how the elective application of these fair value measurements would affect our current accounting policies and procedures. We have not determined whether</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we will elect to measure items subject to SFAS No. 159 at fair value and, as a result, have not assessed any potential impacts of adoption on our consolidated financial statements.</w:t>
      </w: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47" w:lineRule="exact"/>
        <w:rPr>
          <w:sz w:val="20"/>
          <w:szCs w:val="20"/>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projections about accounting and finances;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plans and objectives for the future;</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projections or estimates about assumptions relating to our performance; and</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opinions, views or beliefs about current or future events, circumstances or performance.</w:t>
      </w:r>
    </w:p>
    <w:p>
      <w:pPr>
        <w:spacing w:after="0" w:line="96"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You should view these statements with caution. These statements are not guarantees of future performance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Some of the risks that we face and that could affect our business and financial statements for 2007 and beyond include:</w:t>
      </w:r>
    </w:p>
    <w:p>
      <w:pPr>
        <w:spacing w:after="0" w:line="96" w:lineRule="exact"/>
        <w:rPr>
          <w:sz w:val="20"/>
          <w:szCs w:val="20"/>
          <w:color w:val="auto"/>
        </w:rPr>
      </w:pPr>
    </w:p>
    <w:p>
      <w:pPr>
        <w:ind w:left="1280" w:hanging="190"/>
        <w:spacing w:after="0" w:line="286"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maintain or expand margins if we are unable to control costs;</w:t>
      </w:r>
    </w:p>
    <w:p>
      <w:pPr>
        <w:spacing w:after="0" w:line="86" w:lineRule="exact"/>
        <w:rPr>
          <w:rFonts w:ascii="Times New Roman" w:cs="Times New Roman" w:eastAsia="Times New Roman" w:hAnsi="Times New Roman"/>
          <w:sz w:val="13"/>
          <w:szCs w:val="13"/>
          <w:color w:val="auto"/>
        </w:rPr>
      </w:pPr>
    </w:p>
    <w:p>
      <w:pPr>
        <w:ind w:left="1280" w:right="80" w:hanging="190"/>
        <w:spacing w:after="0" w:line="269"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successfully execute or continue our operational or other margin improvement plans and programs, such as pricing increases; passing on increased costs to our customers; reducing costs due to our operational improvement programs; and divesting under-performing assets and purchasing accretive businesses, any of which could negatively affect our revenues and margins;</w:t>
      </w:r>
    </w:p>
    <w:p>
      <w:pPr>
        <w:spacing w:after="0" w:line="47"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conditions cause our quarter-to-quarter results to fluctuate, and extremely harsh weather or natural disasters may cause us to temporarily shut down operations;</w:t>
      </w:r>
    </w:p>
    <w:p>
      <w:pPr>
        <w:spacing w:after="0" w:line="86" w:lineRule="exact"/>
        <w:rPr>
          <w:rFonts w:ascii="Times New Roman" w:cs="Times New Roman" w:eastAsia="Times New Roman" w:hAnsi="Times New Roman"/>
          <w:sz w:val="13"/>
          <w:szCs w:val="13"/>
          <w:color w:val="auto"/>
        </w:rPr>
      </w:pPr>
    </w:p>
    <w:p>
      <w:pPr>
        <w:ind w:left="1280" w:right="120" w:hanging="190"/>
        <w:spacing w:after="0" w:line="286"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inflation and resulting higher interest rates as well as other general and local economic conditions may negatively affect the volumes of waste generated, our financing costs and other expenses;</w:t>
      </w:r>
    </w:p>
    <w:p>
      <w:pPr>
        <w:spacing w:after="0" w:line="36" w:lineRule="exact"/>
        <w:rPr>
          <w:rFonts w:ascii="Times New Roman" w:cs="Times New Roman" w:eastAsia="Times New Roman" w:hAnsi="Times New Roman"/>
          <w:sz w:val="13"/>
          <w:szCs w:val="13"/>
          <w:color w:val="auto"/>
        </w:rPr>
      </w:pPr>
    </w:p>
    <w:p>
      <w:pPr>
        <w:ind w:left="1280" w:right="40" w:hanging="190"/>
        <w:spacing w:after="0" w:line="286"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changes in our estimates of site remediation requirements, final capping, closure and post-closure obligations, compliance and regulatory developments may increase our expenses;</w:t>
      </w:r>
    </w:p>
    <w:p>
      <w:pPr>
        <w:spacing w:after="0" w:line="36" w:lineRule="exact"/>
        <w:rPr>
          <w:rFonts w:ascii="Times New Roman" w:cs="Times New Roman" w:eastAsia="Times New Roman" w:hAnsi="Times New Roman"/>
          <w:sz w:val="13"/>
          <w:szCs w:val="13"/>
          <w:color w:val="auto"/>
        </w:rPr>
      </w:pPr>
    </w:p>
    <w:p>
      <w:pPr>
        <w:ind w:left="1280" w:right="220" w:hanging="190"/>
        <w:spacing w:after="0" w:line="286"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obtain and maintain permits needed to open, operate, and/or expand our facilities, our results of operations will be negatively impacted;</w:t>
      </w:r>
    </w:p>
    <w:p>
      <w:pPr>
        <w:spacing w:after="0" w:line="86" w:lineRule="exact"/>
        <w:rPr>
          <w:rFonts w:ascii="Times New Roman" w:cs="Times New Roman" w:eastAsia="Times New Roman" w:hAnsi="Times New Roman"/>
          <w:sz w:val="13"/>
          <w:szCs w:val="13"/>
          <w:color w:val="auto"/>
        </w:rPr>
      </w:pPr>
    </w:p>
    <w:p>
      <w:pPr>
        <w:ind w:left="1280" w:right="100" w:hanging="190"/>
        <w:spacing w:after="0" w:line="286"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or bans on disposal or transportation of out-of-state, cross-border, or certain categories of waste, as well as mandates regarding the disposal of waste, can increase our expenses and reduce our revenues;</w:t>
      </w:r>
    </w:p>
    <w:p>
      <w:pPr>
        <w:spacing w:after="0" w:line="36" w:lineRule="exact"/>
        <w:rPr>
          <w:rFonts w:ascii="Times New Roman" w:cs="Times New Roman" w:eastAsia="Times New Roman" w:hAnsi="Times New Roman"/>
          <w:sz w:val="13"/>
          <w:szCs w:val="13"/>
          <w:color w:val="auto"/>
        </w:rPr>
      </w:pPr>
    </w:p>
    <w:p>
      <w:pPr>
        <w:ind w:left="1280" w:right="80" w:hanging="190"/>
        <w:spacing w:after="0" w:line="286" w:lineRule="auto"/>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fuel price increases or fuel supply shortages may increase our expenses, including our tax expense if Section 45K credits are phased out due to continued high crude oil prices, or restrict our ability to operate;</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costs to obtain financial assurance or the inadequacy of our insurance coverages could negatively impact our liquidity and increase our liabilities;</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280" w:hanging="190"/>
        <w:spacing w:after="0"/>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charges as a result of shut-down operations, uncompleted development or expansion projects or other events may negatively affect earnings;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fluctuating commodity prices may have negative effects on our operating revenues and expenses;</w:t>
      </w:r>
    </w:p>
    <w:p>
      <w:pPr>
        <w:spacing w:after="0" w:line="86" w:lineRule="exact"/>
        <w:rPr>
          <w:rFonts w:ascii="Times New Roman" w:cs="Times New Roman" w:eastAsia="Times New Roman" w:hAnsi="Times New Roman"/>
          <w:sz w:val="13"/>
          <w:szCs w:val="13"/>
          <w:color w:val="auto"/>
        </w:rPr>
      </w:pPr>
    </w:p>
    <w:p>
      <w:pPr>
        <w:ind w:left="1280" w:right="120" w:hanging="190"/>
        <w:spacing w:after="0" w:line="286" w:lineRule="auto"/>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36" w:lineRule="exact"/>
        <w:rPr>
          <w:rFonts w:ascii="Times New Roman" w:cs="Times New Roman" w:eastAsia="Times New Roman" w:hAnsi="Times New Roman"/>
          <w:sz w:val="13"/>
          <w:szCs w:val="13"/>
          <w:color w:val="auto"/>
        </w:rPr>
      </w:pPr>
    </w:p>
    <w:p>
      <w:pPr>
        <w:ind w:left="1280" w:right="160" w:hanging="190"/>
        <w:spacing w:after="0" w:line="269" w:lineRule="auto"/>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47" w:lineRule="exact"/>
        <w:rPr>
          <w:rFonts w:ascii="Times New Roman" w:cs="Times New Roman" w:eastAsia="Times New Roman" w:hAnsi="Times New Roman"/>
          <w:sz w:val="13"/>
          <w:szCs w:val="13"/>
          <w:color w:val="auto"/>
        </w:rPr>
      </w:pPr>
    </w:p>
    <w:p>
      <w:pPr>
        <w:ind w:left="1280" w:right="260" w:hanging="190"/>
        <w:spacing w:after="0" w:line="286" w:lineRule="auto"/>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36" w:lineRule="exact"/>
        <w:rPr>
          <w:rFonts w:ascii="Times New Roman" w:cs="Times New Roman" w:eastAsia="Times New Roman" w:hAnsi="Times New Roman"/>
          <w:sz w:val="13"/>
          <w:szCs w:val="13"/>
          <w:color w:val="auto"/>
        </w:rPr>
      </w:pPr>
    </w:p>
    <w:p>
      <w:pPr>
        <w:ind w:left="1280" w:hanging="190"/>
        <w:spacing w:after="0" w:line="286" w:lineRule="auto"/>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problems with the operation of our current information technology or the development and deployment of new information systems may decrease our efficiencies and increase our costs to operate;</w:t>
      </w:r>
    </w:p>
    <w:p>
      <w:pPr>
        <w:spacing w:after="0" w:line="36" w:lineRule="exact"/>
        <w:rPr>
          <w:rFonts w:ascii="Times New Roman" w:cs="Times New Roman" w:eastAsia="Times New Roman" w:hAnsi="Times New Roman"/>
          <w:sz w:val="13"/>
          <w:szCs w:val="13"/>
          <w:color w:val="auto"/>
        </w:rPr>
      </w:pPr>
    </w:p>
    <w:p>
      <w:pPr>
        <w:ind w:left="1280" w:right="560" w:hanging="190"/>
        <w:spacing w:after="0" w:line="286" w:lineRule="auto"/>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new accounting standards or interpretations may cause fluctuations in reported quarterly results of operations or adversely impact our reported results of operations; and</w:t>
      </w:r>
    </w:p>
    <w:p>
      <w:pPr>
        <w:spacing w:after="0" w:line="36" w:lineRule="exact"/>
        <w:rPr>
          <w:rFonts w:ascii="Times New Roman" w:cs="Times New Roman" w:eastAsia="Times New Roman" w:hAnsi="Times New Roman"/>
          <w:sz w:val="13"/>
          <w:szCs w:val="13"/>
          <w:color w:val="auto"/>
        </w:rPr>
      </w:pPr>
    </w:p>
    <w:p>
      <w:pPr>
        <w:ind w:left="1280" w:right="120" w:hanging="190"/>
        <w:spacing w:after="0" w:line="286" w:lineRule="auto"/>
        <w:tabs>
          <w:tab w:leader="none" w:pos="12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reduce or eliminate our dividend or share repurchase program or we may need to raise additional capital if cash flows are less than we expect or capital expenditures are more than we expect, and we may not be able to obtain any needed capital on acceptable terms.</w:t>
      </w:r>
    </w:p>
    <w:p>
      <w:pPr>
        <w:spacing w:after="0" w:line="47"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These are not the only risks that we face. There may be other risks that we do not presently know or that we currently believe are immaterial which could also impair our business and financial position.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8"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58"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62"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We manage and evaluate our operations primarily through our Eastern, Midwest, Southern, Western, Wheelabrator (which includes our waste-to-energy facilities and independent power production plants, or IPPs) and WMRA Groups. These six operating Groups are our reportable segments.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98"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Earnings Growth and Margin Improvement </w:t>
      </w:r>
      <w:r>
        <w:rPr>
          <w:rFonts w:ascii="Times New Roman" w:cs="Times New Roman" w:eastAsia="Times New Roman" w:hAnsi="Times New Roman"/>
          <w:sz w:val="13"/>
          <w:szCs w:val="13"/>
          <w:color w:val="auto"/>
        </w:rPr>
        <w:t>— In the second quarter of 2007, our operating results continued to reflect our progress in earnings growth and margin expansion as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result of the strength of our pricing, cost control and fix-or-sell initiatives. Our income from operations for the second quarter of 2007 was $633 million, an increase of $68 million, or 12.0%, as compared with the second quarter of 2006. Income from operations as a percentage of revenue was 18.9% as compared to 16.6% in the prior year period. For the three months ended June 30, 2007, our revenues decreased by $52 million, or 1.5%, as compared with the prior year period primarily as a result of lower volumes. The loss of volumes resulted primarily from shedding low margin or unprofitable customers, divestitures</w:t>
      </w:r>
    </w:p>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1" w:lineRule="auto"/>
        <w:rPr>
          <w:sz w:val="20"/>
          <w:szCs w:val="20"/>
          <w:color w:val="auto"/>
        </w:rPr>
      </w:pPr>
      <w:r>
        <w:rPr>
          <w:rFonts w:ascii="Times New Roman" w:cs="Times New Roman" w:eastAsia="Times New Roman" w:hAnsi="Times New Roman"/>
          <w:sz w:val="13"/>
          <w:szCs w:val="13"/>
          <w:color w:val="auto"/>
        </w:rPr>
        <w:t>and, to some extent, economic softening in certain lines of our business. We believe that the current period loss of volumes attributable to our initiatives and programs contributed to our improved operating margins. Our operating expenses for the quarter decreased by $107 million, or 4.9%, and as a percentage of revenue, operating expenses decreased to 62.3% from 64.5% in the prior year period. Selling, general and administrative expenses increased by $15 million, or 4.6%, but these increases were primarily a result of salary and wage increases and continued costs associated with our implementation and execution of strategic initiatives to improve operations and processes, including costs for the support and development of our new revenue management system.</w:t>
      </w:r>
    </w:p>
    <w:p>
      <w:pPr>
        <w:spacing w:after="0" w:line="6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Free Cash Flow </w:t>
      </w:r>
      <w:r>
        <w:rPr>
          <w:rFonts w:ascii="Times New Roman" w:cs="Times New Roman" w:eastAsia="Times New Roman" w:hAnsi="Times New Roman"/>
          <w:sz w:val="13"/>
          <w:szCs w:val="13"/>
          <w:color w:val="auto"/>
        </w:rPr>
        <w:t>— We have included free cash flow, which is a non-GAAP measure of liquidity, in our disclosures because we use this measure in the evaluation and management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business and believe it is indicative of our ability to pay our quarterly dividends, repurchase our common stock and fund acquisitions. Free cash flow is not intended to replace the GAAP measure of “Net cash provided by operating activities.” However, by subtracting cash used for capital expenditures and adding the cash proceeds from divestitures and other asset sales, we believe free cash flow gives investors greater insight into our liquidity. The following table presents our free cash flow for the three and six months ended June 30, 2007 and 2006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6"/>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20" w:type="dxa"/>
            <w:vAlign w:val="bottom"/>
          </w:tcPr>
          <w:p>
            <w:pPr>
              <w:spacing w:after="0"/>
              <w:rPr>
                <w:sz w:val="10"/>
                <w:szCs w:val="10"/>
                <w:color w:val="auto"/>
              </w:rPr>
            </w:pPr>
          </w:p>
        </w:tc>
        <w:tc>
          <w:tcPr>
            <w:tcW w:w="880" w:type="dxa"/>
            <w:vAlign w:val="bottom"/>
            <w:gridSpan w:val="3"/>
          </w:tcPr>
          <w:p>
            <w:pPr>
              <w:jc w:val="center"/>
              <w:ind w:left="219"/>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3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7"/>
        </w:trPr>
        <w:tc>
          <w:tcPr>
            <w:tcW w:w="13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9"/>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537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1,180</w:t>
            </w:r>
          </w:p>
        </w:tc>
      </w:tr>
      <w:tr>
        <w:trPr>
          <w:trHeight w:val="157"/>
        </w:trPr>
        <w:tc>
          <w:tcPr>
            <w:tcW w:w="6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expenditures(a)</w:t>
            </w:r>
          </w:p>
        </w:tc>
        <w:tc>
          <w:tcPr>
            <w:tcW w:w="100" w:type="dxa"/>
            <w:vAlign w:val="bottom"/>
          </w:tcPr>
          <w:p>
            <w:pPr>
              <w:spacing w:after="0"/>
              <w:rPr>
                <w:sz w:val="13"/>
                <w:szCs w:val="13"/>
                <w:color w:val="auto"/>
              </w:rPr>
            </w:pPr>
          </w:p>
        </w:tc>
        <w:tc>
          <w:tcPr>
            <w:tcW w:w="720" w:type="dxa"/>
            <w:vAlign w:val="bottom"/>
            <w:gridSpan w:val="3"/>
          </w:tcPr>
          <w:p>
            <w:pPr>
              <w:jc w:val="right"/>
              <w:ind w:right="308"/>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(296)</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(527)</w:t>
            </w:r>
          </w:p>
        </w:tc>
      </w:tr>
      <w:tr>
        <w:trPr>
          <w:trHeight w:val="157"/>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r>
      <w:tr>
        <w:trPr>
          <w:trHeight w:val="166"/>
        </w:trPr>
        <w:tc>
          <w:tcPr>
            <w:tcW w:w="6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right="640" w:hanging="235"/>
        <w:spacing w:after="0" w:line="286" w:lineRule="auto"/>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1 of our Condensed Consolidated Financial Statements for information related to the reclassification of prior year information to conform with our current presentation.</w:t>
      </w:r>
    </w:p>
    <w:p>
      <w:pPr>
        <w:spacing w:after="0" w:line="47" w:lineRule="exact"/>
        <w:rPr>
          <w:sz w:val="20"/>
          <w:szCs w:val="20"/>
          <w:color w:val="auto"/>
        </w:rPr>
      </w:pPr>
    </w:p>
    <w:p>
      <w:pPr>
        <w:ind w:left="680" w:right="60" w:firstLine="399"/>
        <w:spacing w:after="0" w:line="259" w:lineRule="auto"/>
        <w:rPr>
          <w:sz w:val="20"/>
          <w:szCs w:val="20"/>
          <w:color w:val="auto"/>
        </w:rPr>
      </w:pPr>
      <w:r>
        <w:rPr>
          <w:rFonts w:ascii="Times New Roman" w:cs="Times New Roman" w:eastAsia="Times New Roman" w:hAnsi="Times New Roman"/>
          <w:sz w:val="13"/>
          <w:szCs w:val="13"/>
          <w:color w:val="auto"/>
        </w:rPr>
        <w:t>Free cash flow for the three months ended June 30, 2007 increased by $77 million, or 19.3%, when compared with the three months ended June 30, 2006 due to a decline in capital expenditures and an increase in proceeds from divestitures, which were partially offset by a decrease in net cash provided by operating activities. The 29.4% decrease in capital expenditures is due primarily to a decrease in spending on our fleet during the first half of 2007 resulting from increased fleet spending during the latter part of 2006. Proceeds from divestitures of businesses (net of cash divested) and other sales of assets for the second quarter of 2007 were driven by the sale of collection, transfer and recycling operations in the eastern United States. While cash flow from operations declined by $20 million, or 3.6%, when compared with the prior year period, we believe that our operating cash flows for the three and six months ended June 30, 2007 continue to reflect our ability to generate strong cash flows.</w:t>
      </w:r>
    </w:p>
    <w:p>
      <w:pPr>
        <w:spacing w:after="0" w:line="62" w:lineRule="exact"/>
        <w:rPr>
          <w:sz w:val="20"/>
          <w:szCs w:val="20"/>
          <w:color w:val="auto"/>
        </w:rPr>
      </w:pPr>
    </w:p>
    <w:p>
      <w:pPr>
        <w:ind w:left="680" w:right="8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Labor Dispute — </w:t>
      </w:r>
      <w:r>
        <w:rPr>
          <w:rFonts w:ascii="Times New Roman" w:cs="Times New Roman" w:eastAsia="Times New Roman" w:hAnsi="Times New Roman"/>
          <w:sz w:val="13"/>
          <w:szCs w:val="13"/>
          <w:color w:val="auto"/>
        </w:rPr>
        <w:t>The Company’s collective bargaining agreement with the Teamsters Local 70 (the “Union”) expired on June 30, 2007. Prior to the expiration of the agreement,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Union had declined to either accept the Company’s proposals or negotiate with the Company. Without an agreement in place, the Company determined it necessary to bring temporary workers to its facilities, and instructed Union members not to report to work. The Company implemented the contingency plan it has in place in the case of labor disputes, which had no material impact on the Company’s financial results in the second quarter. On July 28, 2007, a new collective bargaining agreement was ratified by Union members, who reported to work on July 29, 2007. Our expenses in the third quarter 2007 will be higher than normal due to increased operating expenses, and we may incur additional expenses related to claims or proceedings associated with the labor dispute.</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Basis of Presentation of Consolidated and Segment Financial Information</w:t>
      </w:r>
    </w:p>
    <w:p>
      <w:pPr>
        <w:spacing w:after="0" w:line="98"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Accounting Change — </w:t>
      </w:r>
      <w:r>
        <w:rPr>
          <w:rFonts w:ascii="Times New Roman" w:cs="Times New Roman" w:eastAsia="Times New Roman" w:hAnsi="Times New Roman"/>
          <w:sz w:val="13"/>
          <w:szCs w:val="13"/>
          <w:color w:val="auto"/>
        </w:rPr>
        <w:t>Effective January 1, 2007, we adopted FIN 48 and FSP No. 48-1. FIN 48 prescribes a recognition threshold and measurement attribute for financial statement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recognition and measurement of tax positions taken or expected to be taken in tax returns. In addition, FIN 48 provides guidance on the de-recognition, classification and disclosure of tax positions, as well as the accounting for related interest and penalties. FSP</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right="20"/>
        <w:spacing w:after="0" w:line="269" w:lineRule="auto"/>
        <w:rPr>
          <w:sz w:val="20"/>
          <w:szCs w:val="20"/>
          <w:color w:val="auto"/>
        </w:rPr>
      </w:pPr>
      <w:r>
        <w:rPr>
          <w:rFonts w:ascii="Times New Roman" w:cs="Times New Roman" w:eastAsia="Times New Roman" w:hAnsi="Times New Roman"/>
          <w:sz w:val="13"/>
          <w:szCs w:val="13"/>
          <w:color w:val="auto"/>
        </w:rPr>
        <w:t>No. 48-1 provides guidance associated with the criteria that must be evaluated in determining if a tax position has been effectively settled and should be recognized as a tax benefit. Refer to Note 1 of our Condensed Consolidated Financial Statements for additional information related to the impact of the implementation of these new accounting pronouncements on our results of operations and financial position.</w:t>
      </w:r>
    </w:p>
    <w:p>
      <w:pPr>
        <w:spacing w:after="0" w:line="56" w:lineRule="exact"/>
        <w:rPr>
          <w:sz w:val="20"/>
          <w:szCs w:val="20"/>
          <w:color w:val="auto"/>
        </w:rPr>
      </w:pPr>
    </w:p>
    <w:p>
      <w:pPr>
        <w:ind w:left="680" w:right="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Reclassification of Cash Flow Information </w:t>
      </w:r>
      <w:r>
        <w:rPr>
          <w:rFonts w:ascii="Times New Roman" w:cs="Times New Roman" w:eastAsia="Times New Roman" w:hAnsi="Times New Roman"/>
          <w:sz w:val="13"/>
          <w:szCs w:val="13"/>
          <w:color w:val="auto"/>
        </w:rPr>
        <w:t>— Our 2006 Consolidated Statement of Cash Flows, as reported in the 2006 Annual Report on Form 10-K, included the effect of a change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classification of cash flows to exclude accrued capital spending from our reported capital expenditures and changes in accounts payable and accrued liabilities. Because this change was incorporated into our cash flow reporting processes for the first time in the fourth quarter of 2006, we will make reclassifications to our interim 2006 Condensed Consolidated Statements of Cash Flows to be included within our 2007 Quarterly Reports on Form 10-Q to conform with our current approach.</w:t>
      </w:r>
    </w:p>
    <w:p>
      <w:pPr>
        <w:spacing w:after="0" w:line="60" w:lineRule="exact"/>
        <w:rPr>
          <w:sz w:val="20"/>
          <w:szCs w:val="20"/>
          <w:color w:val="auto"/>
        </w:rPr>
      </w:pPr>
    </w:p>
    <w:p>
      <w:pPr>
        <w:ind w:left="680" w:right="3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Reclassification of Segment Information </w:t>
      </w:r>
      <w:r>
        <w:rPr>
          <w:rFonts w:ascii="Times New Roman" w:cs="Times New Roman" w:eastAsia="Times New Roman" w:hAnsi="Times New Roman"/>
          <w:sz w:val="13"/>
          <w:szCs w:val="13"/>
          <w:color w:val="auto"/>
        </w:rPr>
        <w:t>— In the first quarter of 2007, we realigned our Eastern, Midwest and Western Group organizations to facilitate improved business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execution. We moved certain market areas in the Eastern and Midwest Groups to the Midwest and Western Groups, respectively. We have reflected the impact of this realignment for all periods presented to provide financial information that consistently reflects our current approach to managing our operations.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Critical Accounting Estimates and Assumptions</w:t>
      </w:r>
    </w:p>
    <w:p>
      <w:pPr>
        <w:spacing w:after="0" w:line="100"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in Item 7 of our Annual Report on Form 10-K for the year ended December 31, 2006.</w:t>
      </w:r>
    </w:p>
    <w:p>
      <w:pPr>
        <w:spacing w:after="0" w:line="1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Operating Revenues</w:t>
      </w:r>
    </w:p>
    <w:p>
      <w:pPr>
        <w:spacing w:after="0" w:line="100" w:lineRule="exact"/>
        <w:rPr>
          <w:sz w:val="20"/>
          <w:szCs w:val="20"/>
          <w:color w:val="auto"/>
        </w:rPr>
      </w:pPr>
    </w:p>
    <w:p>
      <w:pPr>
        <w:ind w:left="680" w:right="20" w:firstLine="399"/>
        <w:spacing w:after="0" w:line="279" w:lineRule="auto"/>
        <w:rPr>
          <w:sz w:val="20"/>
          <w:szCs w:val="20"/>
          <w:color w:val="auto"/>
        </w:rPr>
      </w:pPr>
      <w:r>
        <w:rPr>
          <w:rFonts w:ascii="Times New Roman" w:cs="Times New Roman" w:eastAsia="Times New Roman" w:hAnsi="Times New Roman"/>
          <w:sz w:val="13"/>
          <w:szCs w:val="13"/>
          <w:color w:val="auto"/>
        </w:rPr>
        <w:t>Our operating revenues for the three and six months ended June 30, 2007 were $3.4 billion and $6.5 billion, respectively, compared with $3.4 billion and $6.6 billion for the three and six months ended June 30, 2006, respectively. Shown below (in millions) is the contribution to revenues during each period provided by our six operating Groups and our other waste services:</w:t>
      </w:r>
    </w:p>
    <w:p>
      <w:pPr>
        <w:spacing w:after="0" w:line="21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left="197"/>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left="277"/>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7"/>
        </w:trPr>
        <w:tc>
          <w:tcPr>
            <w:tcW w:w="6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6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r>
      <w:tr>
        <w:trPr>
          <w:trHeight w:val="29"/>
        </w:trPr>
        <w:tc>
          <w:tcPr>
            <w:tcW w:w="6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940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1,639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1,801</w:t>
            </w:r>
          </w:p>
        </w:tc>
      </w:tr>
      <w:tr>
        <w:trPr>
          <w:trHeight w:val="157"/>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773</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1,453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1,474</w:t>
            </w:r>
          </w:p>
        </w:tc>
      </w:tr>
      <w:tr>
        <w:trPr>
          <w:trHeight w:val="1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928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954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1,847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1,889</w:t>
            </w:r>
          </w:p>
        </w:tc>
      </w:tr>
      <w:tr>
        <w:trPr>
          <w:trHeight w:val="157"/>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883</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896</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1,734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1,738</w:t>
            </w:r>
          </w:p>
        </w:tc>
      </w:tr>
      <w:tr>
        <w:trPr>
          <w:trHeight w:val="1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444</w:t>
            </w:r>
          </w:p>
        </w:tc>
      </w:tr>
      <w:tr>
        <w:trPr>
          <w:trHeight w:val="157"/>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WMRA</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230</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187</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445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381</w:t>
            </w:r>
          </w:p>
        </w:tc>
      </w:tr>
      <w:tr>
        <w:trPr>
          <w:trHeight w:val="15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147</w:t>
            </w:r>
          </w:p>
        </w:tc>
      </w:tr>
      <w:tr>
        <w:trPr>
          <w:trHeight w:val="157"/>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Intercompany</w:t>
            </w:r>
          </w:p>
        </w:tc>
        <w:tc>
          <w:tcPr>
            <w:tcW w:w="120" w:type="dxa"/>
            <w:vAlign w:val="bottom"/>
          </w:tcPr>
          <w:p>
            <w:pPr>
              <w:spacing w:after="0"/>
              <w:rPr>
                <w:sz w:val="13"/>
                <w:szCs w:val="13"/>
                <w:color w:val="auto"/>
              </w:rPr>
            </w:pPr>
          </w:p>
        </w:tc>
        <w:tc>
          <w:tcPr>
            <w:tcW w:w="80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(595)</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(645)</w:t>
            </w: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(1,137)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(1,235)</w:t>
            </w: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3,410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6,546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6,639</w:t>
            </w:r>
          </w:p>
        </w:tc>
      </w:tr>
      <w:tr>
        <w:trPr>
          <w:trHeight w:val="29"/>
        </w:trPr>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jc w:val="both"/>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Our operating revenues generally come from fees charged for our collection, disposal, transfer, Wheelabrator and recycling services. Revenues from our disposal operations consist of tipping fees, which are generally based on</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3"/>
          <w:szCs w:val="13"/>
          <w:color w:val="auto"/>
        </w:rPr>
        <w:t>the weight, volume and type of waste being disposed of at our disposal facilities. Fees charged at transfer stations are generally based on the volume of waste deposited, taking into account our cost of loading, transporting and disposing of the solid waste at a disposal site. Our Wheelabrator revenues are based on the type and volume of waste received at our waste-to-energy facilities and IPPs and fees charged for the sale of energy and steam. Recycling revenue, which is generated by WMRA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left="197"/>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left="277"/>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130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7"/>
        </w:trPr>
        <w:tc>
          <w:tcPr>
            <w:tcW w:w="13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98"/>
        </w:trPr>
        <w:tc>
          <w:tcPr>
            <w:tcW w:w="13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2,193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2,251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4,314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4,410</w:t>
            </w:r>
          </w:p>
        </w:tc>
      </w:tr>
      <w:tr>
        <w:trPr>
          <w:trHeight w:val="157"/>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Landfill(a)</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791</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834</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1,511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1,584</w:t>
            </w:r>
          </w:p>
        </w:tc>
      </w:tr>
      <w:tr>
        <w:trPr>
          <w:trHeight w:val="15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Transfer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433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822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900</w:t>
            </w:r>
          </w:p>
        </w:tc>
      </w:tr>
      <w:tr>
        <w:trPr>
          <w:trHeight w:val="157"/>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2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86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427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444</w:t>
            </w:r>
          </w:p>
        </w:tc>
      </w:tr>
      <w:tr>
        <w:trPr>
          <w:trHeight w:val="15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 and other</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317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r>
      <w:tr>
        <w:trPr>
          <w:trHeight w:val="157"/>
        </w:trPr>
        <w:tc>
          <w:tcPr>
            <w:tcW w:w="6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Intercompany(a)</w:t>
            </w:r>
          </w:p>
        </w:tc>
        <w:tc>
          <w:tcPr>
            <w:tcW w:w="120" w:type="dxa"/>
            <w:vAlign w:val="bottom"/>
          </w:tcPr>
          <w:p>
            <w:pPr>
              <w:spacing w:after="0"/>
              <w:rPr>
                <w:sz w:val="13"/>
                <w:szCs w:val="13"/>
                <w:color w:val="auto"/>
              </w:rPr>
            </w:pPr>
          </w:p>
        </w:tc>
        <w:tc>
          <w:tcPr>
            <w:tcW w:w="80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(595)</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(645)</w:t>
            </w:r>
          </w:p>
        </w:tc>
        <w:tc>
          <w:tcPr>
            <w:tcW w:w="12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(1,137)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(1,235)</w:t>
            </w:r>
          </w:p>
        </w:tc>
      </w:tr>
      <w:tr>
        <w:trPr>
          <w:trHeight w:val="20"/>
        </w:trPr>
        <w:tc>
          <w:tcPr>
            <w:tcW w:w="1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3,410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6,546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6,639</w:t>
            </w:r>
          </w:p>
        </w:tc>
      </w:tr>
      <w:tr>
        <w:trPr>
          <w:trHeight w:val="108"/>
        </w:trPr>
        <w:tc>
          <w:tcPr>
            <w:tcW w:w="130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180" w:right="40" w:hanging="235"/>
        <w:spacing w:after="0" w:line="269" w:lineRule="auto"/>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decrease in revenues from our “Landfill” line of business when comparing the three and six months ended June 30, 2007 with the three and six months ended June 30, 2006 is largely due to decreases in “Intercompany” revenue, which have been caused by reductions in our third-party collection and transfer volumes. As the decline in “Landfill” revenues was primarily related to less “Intercompany” landfill volumes, this decrease did not significantly affect the change in our “Total” operating revenues for the periods presented.</w:t>
      </w:r>
    </w:p>
    <w:p>
      <w:pPr>
        <w:spacing w:after="0" w:line="58"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5"/>
          </w:tcPr>
          <w:p>
            <w:pPr>
              <w:jc w:val="center"/>
              <w:ind w:right="560"/>
              <w:spacing w:after="0"/>
              <w:rPr>
                <w:sz w:val="20"/>
                <w:szCs w:val="20"/>
                <w:color w:val="auto"/>
              </w:rPr>
            </w:pPr>
            <w:r>
              <w:rPr>
                <w:rFonts w:ascii="Times New Roman" w:cs="Times New Roman" w:eastAsia="Times New Roman" w:hAnsi="Times New Roman"/>
                <w:sz w:val="10"/>
                <w:szCs w:val="10"/>
                <w:b w:val="1"/>
                <w:bCs w:val="1"/>
                <w:color w:val="auto"/>
              </w:rPr>
              <w:t>Period-to-Period</w:t>
            </w:r>
          </w:p>
        </w:tc>
        <w:tc>
          <w:tcPr>
            <w:tcW w:w="120" w:type="dxa"/>
            <w:vAlign w:val="bottom"/>
          </w:tcPr>
          <w:p>
            <w:pPr>
              <w:spacing w:after="0"/>
              <w:rPr>
                <w:sz w:val="10"/>
                <w:szCs w:val="10"/>
                <w:color w:val="auto"/>
              </w:rPr>
            </w:pPr>
          </w:p>
        </w:tc>
        <w:tc>
          <w:tcPr>
            <w:tcW w:w="1140" w:type="dxa"/>
            <w:vAlign w:val="bottom"/>
            <w:gridSpan w:val="5"/>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Period-to-Period</w:t>
            </w: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19"/>
              <w:spacing w:after="0" w:line="108" w:lineRule="exact"/>
              <w:rPr>
                <w:sz w:val="20"/>
                <w:szCs w:val="20"/>
                <w:color w:val="auto"/>
              </w:rPr>
            </w:pPr>
            <w:r>
              <w:rPr>
                <w:rFonts w:ascii="Times New Roman" w:cs="Times New Roman" w:eastAsia="Times New Roman" w:hAnsi="Times New Roman"/>
                <w:sz w:val="10"/>
                <w:szCs w:val="10"/>
                <w:b w:val="1"/>
                <w:bCs w:val="1"/>
                <w:color w:val="auto"/>
              </w:rPr>
              <w:t>Change for the</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39"/>
              <w:spacing w:after="0" w:line="108" w:lineRule="exact"/>
              <w:rPr>
                <w:sz w:val="20"/>
                <w:szCs w:val="20"/>
                <w:color w:val="auto"/>
              </w:rPr>
            </w:pPr>
            <w:r>
              <w:rPr>
                <w:rFonts w:ascii="Times New Roman" w:cs="Times New Roman" w:eastAsia="Times New Roman" w:hAnsi="Times New Roman"/>
                <w:sz w:val="10"/>
                <w:szCs w:val="10"/>
                <w:b w:val="1"/>
                <w:bCs w:val="1"/>
                <w:color w:val="auto"/>
              </w:rPr>
              <w:t>Change for the</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39"/>
              <w:spacing w:after="0" w:line="108" w:lineRule="exact"/>
              <w:rPr>
                <w:sz w:val="20"/>
                <w:szCs w:val="20"/>
                <w:color w:val="auto"/>
              </w:rPr>
            </w:pPr>
            <w:r>
              <w:rPr>
                <w:rFonts w:ascii="Times New Roman" w:cs="Times New Roman" w:eastAsia="Times New Roman" w:hAnsi="Times New Roman"/>
                <w:sz w:val="10"/>
                <w:szCs w:val="10"/>
                <w:b w:val="1"/>
                <w:bCs w:val="1"/>
                <w:color w:val="auto"/>
              </w:rPr>
              <w:t>Three Months</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39"/>
              <w:spacing w:after="0" w:line="108" w:lineRule="exact"/>
              <w:rPr>
                <w:sz w:val="20"/>
                <w:szCs w:val="20"/>
                <w:color w:val="auto"/>
              </w:rPr>
            </w:pPr>
            <w:r>
              <w:rPr>
                <w:rFonts w:ascii="Times New Roman" w:cs="Times New Roman" w:eastAsia="Times New Roman" w:hAnsi="Times New Roman"/>
                <w:sz w:val="10"/>
                <w:szCs w:val="10"/>
                <w:b w:val="1"/>
                <w:bCs w:val="1"/>
                <w:color w:val="auto"/>
              </w:rPr>
              <w:t>Six Months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19"/>
              <w:spacing w:after="0" w:line="108" w:lineRule="exact"/>
              <w:rPr>
                <w:sz w:val="20"/>
                <w:szCs w:val="20"/>
                <w:color w:val="auto"/>
              </w:rPr>
            </w:pPr>
            <w:r>
              <w:rPr>
                <w:rFonts w:ascii="Times New Roman" w:cs="Times New Roman" w:eastAsia="Times New Roman" w:hAnsi="Times New Roman"/>
                <w:sz w:val="10"/>
                <w:szCs w:val="10"/>
                <w:b w:val="1"/>
                <w:bCs w:val="1"/>
                <w:color w:val="auto"/>
              </w:rPr>
              <w:t>June 30,</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left="39"/>
              <w:spacing w:after="0" w:line="108" w:lineRule="exact"/>
              <w:rPr>
                <w:sz w:val="20"/>
                <w:szCs w:val="20"/>
                <w:color w:val="auto"/>
              </w:rPr>
            </w:pPr>
            <w:r>
              <w:rPr>
                <w:rFonts w:ascii="Times New Roman" w:cs="Times New Roman" w:eastAsia="Times New Roman" w:hAnsi="Times New Roman"/>
                <w:sz w:val="10"/>
                <w:szCs w:val="10"/>
                <w:b w:val="1"/>
                <w:bCs w:val="1"/>
                <w:color w:val="auto"/>
              </w:rPr>
              <w:t>June 30,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left="39"/>
              <w:spacing w:after="0"/>
              <w:rPr>
                <w:sz w:val="20"/>
                <w:szCs w:val="20"/>
                <w:color w:val="auto"/>
              </w:rPr>
            </w:pPr>
            <w:r>
              <w:rPr>
                <w:rFonts w:ascii="Times New Roman" w:cs="Times New Roman" w:eastAsia="Times New Roman" w:hAnsi="Times New Roman"/>
                <w:sz w:val="10"/>
                <w:szCs w:val="10"/>
                <w:b w:val="1"/>
                <w:bCs w:val="1"/>
                <w:color w:val="auto"/>
              </w:rPr>
              <w:t>2007 and 2006</w:t>
            </w: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jc w:val="center"/>
              <w:ind w:left="39"/>
              <w:spacing w:after="0"/>
              <w:rPr>
                <w:sz w:val="20"/>
                <w:szCs w:val="20"/>
                <w:color w:val="auto"/>
              </w:rPr>
            </w:pPr>
            <w:r>
              <w:rPr>
                <w:rFonts w:ascii="Times New Roman" w:cs="Times New Roman" w:eastAsia="Times New Roman" w:hAnsi="Times New Roman"/>
                <w:sz w:val="10"/>
                <w:szCs w:val="10"/>
                <w:b w:val="1"/>
                <w:bCs w:val="1"/>
                <w:color w:val="auto"/>
              </w:rPr>
              <w:t>2007 and 2006</w:t>
            </w: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yield:</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Base business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335"/>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355"/>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5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7"/>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Electricity (IPPs)</w:t>
            </w:r>
          </w:p>
        </w:tc>
        <w:tc>
          <w:tcPr>
            <w:tcW w:w="120" w:type="dxa"/>
            <w:vAlign w:val="bottom"/>
          </w:tcPr>
          <w:p>
            <w:pPr>
              <w:spacing w:after="0"/>
              <w:rPr>
                <w:sz w:val="13"/>
                <w:szCs w:val="13"/>
                <w:color w:val="auto"/>
              </w:rPr>
            </w:pPr>
          </w:p>
        </w:tc>
        <w:tc>
          <w:tcPr>
            <w:tcW w:w="660" w:type="dxa"/>
            <w:vAlign w:val="bottom"/>
            <w:gridSpan w:val="2"/>
          </w:tcPr>
          <w:p>
            <w:pPr>
              <w:jc w:val="right"/>
              <w:ind w:right="335"/>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35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Fuel surcharges and fees</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88"/>
              </w:rPr>
              <w:t>(4.4)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(4.7)</w:t>
            </w:r>
          </w:p>
        </w:tc>
        <w:tc>
          <w:tcPr>
            <w:tcW w:w="0" w:type="dxa"/>
            <w:vAlign w:val="bottom"/>
          </w:tcPr>
          <w:p>
            <w:pPr>
              <w:spacing w:after="0"/>
              <w:rPr>
                <w:sz w:val="1"/>
                <w:szCs w:val="1"/>
                <w:color w:val="auto"/>
              </w:rPr>
            </w:pP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Internal revenue growth</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Acquisitions</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7"/>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Divestitures</w:t>
            </w:r>
          </w:p>
        </w:tc>
        <w:tc>
          <w:tcPr>
            <w:tcW w:w="120" w:type="dxa"/>
            <w:vAlign w:val="bottom"/>
          </w:tcPr>
          <w:p>
            <w:pPr>
              <w:spacing w:after="0"/>
              <w:rPr>
                <w:sz w:val="13"/>
                <w:szCs w:val="13"/>
                <w:color w:val="auto"/>
              </w:rPr>
            </w:pPr>
          </w:p>
        </w:tc>
        <w:tc>
          <w:tcPr>
            <w:tcW w:w="660" w:type="dxa"/>
            <w:vAlign w:val="bottom"/>
            <w:gridSpan w:val="2"/>
          </w:tcPr>
          <w:p>
            <w:pPr>
              <w:jc w:val="right"/>
              <w:ind w:right="295"/>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88"/>
              </w:rPr>
              <w:t>(3.1)</w:t>
            </w:r>
          </w:p>
        </w:tc>
        <w:tc>
          <w:tcPr>
            <w:tcW w:w="120" w:type="dxa"/>
            <w:vAlign w:val="bottom"/>
          </w:tcPr>
          <w:p>
            <w:pPr>
              <w:spacing w:after="0"/>
              <w:rPr>
                <w:sz w:val="13"/>
                <w:szCs w:val="13"/>
                <w:color w:val="auto"/>
              </w:rPr>
            </w:pPr>
          </w:p>
        </w:tc>
        <w:tc>
          <w:tcPr>
            <w:tcW w:w="680" w:type="dxa"/>
            <w:vAlign w:val="bottom"/>
            <w:gridSpan w:val="2"/>
          </w:tcPr>
          <w:p>
            <w:pPr>
              <w:jc w:val="right"/>
              <w:ind w:right="315"/>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6"/>
              </w:rPr>
              <w:t>(2.6)</w:t>
            </w:r>
          </w:p>
        </w:tc>
        <w:tc>
          <w:tcPr>
            <w:tcW w:w="0" w:type="dxa"/>
            <w:vAlign w:val="bottom"/>
          </w:tcPr>
          <w:p>
            <w:pPr>
              <w:spacing w:after="0"/>
              <w:rPr>
                <w:sz w:val="1"/>
                <w:szCs w:val="1"/>
                <w:color w:val="auto"/>
              </w:rPr>
            </w:pPr>
          </w:p>
        </w:tc>
      </w:tr>
      <w:tr>
        <w:trPr>
          <w:trHeight w:val="157"/>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95"/>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315"/>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w w:val="95"/>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5"/>
              </w:rPr>
              <w:t>(1.4)%</w:t>
            </w:r>
          </w:p>
        </w:tc>
        <w:tc>
          <w:tcPr>
            <w:tcW w:w="0" w:type="dxa"/>
            <w:vAlign w:val="bottom"/>
          </w:tcPr>
          <w:p>
            <w:pPr>
              <w:spacing w:after="0"/>
              <w:rPr>
                <w:sz w:val="1"/>
                <w:szCs w:val="1"/>
                <w:color w:val="auto"/>
              </w:rPr>
            </w:pPr>
          </w:p>
        </w:tc>
      </w:tr>
      <w:tr>
        <w:trPr>
          <w:trHeight w:val="29"/>
        </w:trPr>
        <w:tc>
          <w:tcPr>
            <w:tcW w:w="7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Base Business </w:t>
      </w:r>
      <w:r>
        <w:rPr>
          <w:rFonts w:ascii="Times New Roman" w:cs="Times New Roman" w:eastAsia="Times New Roman" w:hAnsi="Times New Roman"/>
          <w:sz w:val="13"/>
          <w:szCs w:val="13"/>
          <w:color w:val="auto"/>
        </w:rPr>
        <w:t>— Yield on base business reflects the effect on our revenue from the pricing activities of our collection, transfer, disposal and waste-to-energy operations, exclusive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volume changes. Revenue growth from base business yield includes not only price increases, but also (i) price decreases to retain customers; (ii) changes in</w:t>
      </w: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580"/>
        <w:spacing w:after="0" w:line="286" w:lineRule="auto"/>
        <w:rPr>
          <w:sz w:val="20"/>
          <w:szCs w:val="20"/>
          <w:color w:val="auto"/>
        </w:rPr>
      </w:pPr>
      <w:r>
        <w:rPr>
          <w:rFonts w:ascii="Times New Roman" w:cs="Times New Roman" w:eastAsia="Times New Roman" w:hAnsi="Times New Roman"/>
          <w:sz w:val="13"/>
          <w:szCs w:val="13"/>
          <w:color w:val="auto"/>
        </w:rPr>
        <w:t>average price from new and lost business; and (iii) certain average price changes related to the overall mix of services, which are due to both the types of services provided and the geographic locations where our services are provided.</w:t>
      </w:r>
    </w:p>
    <w:p>
      <w:pPr>
        <w:spacing w:after="0" w:line="47"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When comparing the three and six months ended June 30, 2007 with the comparable prior year periods, our pricing excellence initiative continues to be the primary contributor to internal revenue growth. The increases in base business yield were driven by our collection operations, which experienced substantial yield growth in all lines of business and in every geographic operating group. The significant increase in base business yield in the collection line of business is primarily the result of our continued focus on pricing our services based on market specific factors, including our costs. As discussed below, the significant increase in our collection revenues due to pricing has been partially offset by revenue declines from lower collection volumes. In assessing the impact of higher collection yield on our volumes, we continue to find that, in spite of volume declines, increased yield on base business and a focus on controlling variable costs are providing notable margin improvements. In addition to the improvements in the collection line of business, we experienced contributions to revenues from yield from our transfer stations and on municipal solid waste and construction and demolition waste streams at our landfills due to our pricing excellence initiative.</w:t>
      </w:r>
    </w:p>
    <w:p>
      <w:pPr>
        <w:spacing w:after="0" w:line="64" w:lineRule="exact"/>
        <w:rPr>
          <w:sz w:val="20"/>
          <w:szCs w:val="20"/>
          <w:color w:val="auto"/>
        </w:rPr>
      </w:pPr>
    </w:p>
    <w:p>
      <w:pPr>
        <w:ind w:left="680" w:right="20" w:firstLine="399"/>
        <w:spacing w:after="0" w:line="269" w:lineRule="auto"/>
        <w:rPr>
          <w:sz w:val="20"/>
          <w:szCs w:val="20"/>
          <w:color w:val="auto"/>
        </w:rPr>
      </w:pPr>
      <w:r>
        <w:rPr>
          <w:rFonts w:ascii="Times New Roman" w:cs="Times New Roman" w:eastAsia="Times New Roman" w:hAnsi="Times New Roman"/>
          <w:sz w:val="13"/>
          <w:szCs w:val="13"/>
          <w:color w:val="auto"/>
        </w:rPr>
        <w:t>For the three months ended June 30, 2007, we experienced increases in revenue from yield at our waste-to-energy facilities. However, when comparing the six months ended June 30, 2007 with the same period of the prior year, we experienced declines in revenue from yield at our waste-to-energy facilities. The changes in revenue from yield provided by our waste-to-energy business are largely due to fluctuations in rates charged for electricity under our long-term contracts, which generally are indexed to natural gas prices.</w:t>
      </w:r>
    </w:p>
    <w:p>
      <w:pPr>
        <w:spacing w:after="0" w:line="58"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Revenues from our environmental fee, which is included in base business yield, were $31 million and $53 million during the three and six months ended June 30, 2007, respectively, compared with $20 million and $32 million in the comparable prior year periods.</w:t>
      </w:r>
    </w:p>
    <w:p>
      <w:pPr>
        <w:spacing w:after="0" w:line="45" w:lineRule="exact"/>
        <w:rPr>
          <w:sz w:val="20"/>
          <w:szCs w:val="20"/>
          <w:color w:val="auto"/>
        </w:rPr>
      </w:pPr>
    </w:p>
    <w:p>
      <w:pPr>
        <w:jc w:val="both"/>
        <w:ind w:left="68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Commodity </w:t>
      </w:r>
      <w:r>
        <w:rPr>
          <w:rFonts w:ascii="Times New Roman" w:cs="Times New Roman" w:eastAsia="Times New Roman" w:hAnsi="Times New Roman"/>
          <w:sz w:val="13"/>
          <w:szCs w:val="13"/>
          <w:color w:val="auto"/>
        </w:rPr>
        <w:t>— Revenues attributable to recycling commodities increased in both the three and six months ended June 30, 2007 when compared with 2006 due to price increases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recycling commodities that we process. During the first six months of 2007, average prices for old corrugated cardboard increased by about 66%, from $64 per ton in 2006 to $106 per ton in 2007. Average prices for old newsprint have also increased by about 43%, from $75 per ton in the first six months of 2006 to $107 per ton in the first six months of 2007. The majority of the increase in revenue from yield on our recycling operations is associated with our brokerage activities.</w:t>
      </w:r>
    </w:p>
    <w:p>
      <w:pPr>
        <w:spacing w:after="0" w:line="60" w:lineRule="exact"/>
        <w:rPr>
          <w:sz w:val="20"/>
          <w:szCs w:val="20"/>
          <w:color w:val="auto"/>
        </w:rPr>
      </w:pPr>
    </w:p>
    <w:p>
      <w:pPr>
        <w:ind w:left="680" w:right="1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Volume — </w:t>
      </w:r>
      <w:r>
        <w:rPr>
          <w:rFonts w:ascii="Times New Roman" w:cs="Times New Roman" w:eastAsia="Times New Roman" w:hAnsi="Times New Roman"/>
          <w:sz w:val="13"/>
          <w:szCs w:val="13"/>
          <w:color w:val="auto"/>
        </w:rPr>
        <w:t>The $145 million and $297 million declines in our revenues due to lower volumes when comparing the three and six months ended June 30, 2007 with the corresponding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prior year periods have been driven by declines in our collection volumes and, to a lesser extent, lower disposal, transfer station and recycling volumes.</w:t>
      </w:r>
    </w:p>
    <w:p>
      <w:pPr>
        <w:spacing w:after="0" w:line="45"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Declines in revenues due to reduced volumes in our collection business accounted for $102 million of the decrease for the three-month period and $209 million of the decrease for the six-month period. Reduced volumes were primarily due to our focus on improving margins through increased pricing. The decline in revenues due to reduced volume affected all of our collection lines of business, but was the most significant in our industrial collection business, with our Southern, Midwest and Eastern Groups experiencing the most notable decreases. We believe that volume declines were the most significant in our industrial collection business because these volumes have also been affected by the slowdown in the housing market.</w:t>
      </w:r>
    </w:p>
    <w:p>
      <w:pPr>
        <w:spacing w:after="0" w:line="62" w:lineRule="exact"/>
        <w:rPr>
          <w:sz w:val="20"/>
          <w:szCs w:val="20"/>
          <w:color w:val="auto"/>
        </w:rPr>
      </w:pPr>
    </w:p>
    <w:p>
      <w:pPr>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When comparing the six months ended June 30, 2007 with the comparable prior year period, declines in revenue at our landfills due to reduced disposal volumes were the most significant for our construction and demolition waste stream, particularly in our Southern Group, and our municipal solid waste stream, particularly in our Midwest and Southern Groups. In addition, we experienced a notable decline in revenues due to lower special waste volumes in the Southern Group during the second quarter of 2007. These volume declines were due primarily to our focus on pricing increases, although the slowdown of the housing market has also significantly affected our construction and demolition waste stream.</w:t>
      </w:r>
    </w:p>
    <w:p>
      <w:pPr>
        <w:spacing w:after="0" w:line="62"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Declines in revenues due to lower volumes in our transfer station operations were experienced in every geographic operating Group, with the most notable decline in our Eastern Group. The volume-related revenue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decline in our recycling business is primarily attributable to decreases in certain brokerage activities and the closure of a plastics processing facility.</w:t>
      </w:r>
    </w:p>
    <w:p>
      <w:pPr>
        <w:spacing w:after="0" w:line="94"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Divestitures </w:t>
      </w:r>
      <w:r>
        <w:rPr>
          <w:rFonts w:ascii="Times New Roman" w:cs="Times New Roman" w:eastAsia="Times New Roman" w:hAnsi="Times New Roman"/>
          <w:sz w:val="13"/>
          <w:szCs w:val="13"/>
          <w:color w:val="auto"/>
        </w:rPr>
        <w:t>— Divestitures of under-performing or non-strategic operations accounted for decreased revenues of $104 million and $169 million for the three and six months 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June 30, 2007. These divestitures were primarily comprised of collection operations and, to a lesser extent, recycling and transfer station operations.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00"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of independent haulers who transport our waste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our operating expenses, including the impact of foreign currency translation, for the three- and six-month periods ended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June 30 (dollars in millions):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6"/>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20" w:type="dxa"/>
            <w:vAlign w:val="bottom"/>
          </w:tcPr>
          <w:p>
            <w:pPr>
              <w:spacing w:after="0"/>
              <w:rPr>
                <w:sz w:val="10"/>
                <w:szCs w:val="10"/>
                <w:color w:val="auto"/>
              </w:rPr>
            </w:pPr>
          </w:p>
        </w:tc>
        <w:tc>
          <w:tcPr>
            <w:tcW w:w="660" w:type="dxa"/>
            <w:vAlign w:val="bottom"/>
            <w:gridSpan w:val="2"/>
            <w:vMerge w:val="restart"/>
          </w:tcPr>
          <w:p>
            <w:pPr>
              <w:jc w:val="center"/>
              <w:ind w:left="117"/>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left="197"/>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center"/>
              <w:ind w:left="137"/>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center"/>
              <w:ind w:left="237"/>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left="137"/>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left="117"/>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center"/>
              <w:ind w:left="137"/>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3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5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jc w:val="center"/>
              <w:ind w:left="117"/>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 and related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(26)</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1,240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7"/>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Transfer and disposal costs</w:t>
            </w: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(32)</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626</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(51)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Maintenance and repairs</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(18)</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579</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(33)</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57"/>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Subcontractor costs</w:t>
            </w: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251</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489</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(50)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w:t>
            </w:r>
          </w:p>
        </w:tc>
        <w:tc>
          <w:tcPr>
            <w:tcW w:w="8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157"/>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Fuel</w:t>
            </w: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156</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(11)</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(17)</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Disposal and franchise fees and taxes</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316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7"/>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Landfill operating costs</w:t>
            </w: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3"/>
                <w:szCs w:val="13"/>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tcPr>
          <w:p>
            <w:pPr>
              <w:spacing w:after="0"/>
              <w:rPr>
                <w:sz w:val="13"/>
                <w:szCs w:val="13"/>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 management</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(40)</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57"/>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(12)</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(107)</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4,299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(173)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9"/>
        </w:trPr>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decreases in both the three and six months ended June 30, 2007 as compared with the prior year periods primarily can be attributed to our efforts to maximize margin expansion by focusing on managing our fixed costs and reducing our variable costs as volumes decline due to our pricing program and divestiture activity. In addition to lowering overall costs, our operating expenses as a percentage of revenues decreased by 2.2 percentage points for the three months ended June 30, 2007, from 64.5% in the second quarter 2006 to 62.3% in the current quarter. Operating expenses as a percentage of revenues decreased by 1.8 percentage points for the six months ended June 30, 2007, from 64.8% in the first half of 2006 to 63.0% in the first half of 2007. The improvement in operating expenses as a percentage of revenues reflects our continued focus on identifying operational efficiencies that translate into cost savings, shedding low margin volumes and divesting operations that are not improving.</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Other items affecting the comparability of our operating expenses by category for the three and six months ended June 30, 2007 and 2006 include:</w:t>
      </w:r>
    </w:p>
    <w:p>
      <w:pPr>
        <w:spacing w:after="0" w:line="96" w:lineRule="exact"/>
        <w:rPr>
          <w:sz w:val="20"/>
          <w:szCs w:val="20"/>
          <w:color w:val="auto"/>
        </w:rPr>
      </w:pPr>
    </w:p>
    <w:p>
      <w:pPr>
        <w:ind w:left="1280" w:hanging="190"/>
        <w:spacing w:after="0"/>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“Labor and related benefits” cost increases due to annual merit increases;</w:t>
      </w:r>
    </w:p>
    <w:p>
      <w:pPr>
        <w:spacing w:after="0" w:line="86" w:lineRule="exact"/>
        <w:rPr>
          <w:rFonts w:ascii="Times New Roman" w:cs="Times New Roman" w:eastAsia="Times New Roman" w:hAnsi="Times New Roman"/>
          <w:sz w:val="13"/>
          <w:szCs w:val="13"/>
          <w:color w:val="auto"/>
        </w:rPr>
      </w:pPr>
    </w:p>
    <w:p>
      <w:pPr>
        <w:ind w:left="1280" w:right="1260" w:hanging="190"/>
        <w:spacing w:after="0" w:line="286" w:lineRule="auto"/>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“Maintenance and repairs” cost decreases due to changes in the scope and timing of maintenance projects at our waste-to-energy facilities and various fleet initiatives that favorably affected our maintenance, parts and supplies costs;</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higher “Subcontractor costs” in 2006 due to our utilization of subcontractors during the first quarter of 2006 to assist in providing hurricane related services;</w:t>
      </w:r>
    </w:p>
    <w:p>
      <w:pPr>
        <w:spacing w:after="0" w:line="8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goods sold” increases due to higher market prices for commodities;</w:t>
      </w:r>
    </w:p>
    <w:p>
      <w:pPr>
        <w:spacing w:after="0" w:line="86" w:lineRule="exact"/>
        <w:rPr>
          <w:rFonts w:ascii="Times New Roman" w:cs="Times New Roman" w:eastAsia="Times New Roman" w:hAnsi="Times New Roman"/>
          <w:sz w:val="13"/>
          <w:szCs w:val="13"/>
          <w:color w:val="auto"/>
        </w:rPr>
      </w:pPr>
    </w:p>
    <w:p>
      <w:pPr>
        <w:ind w:left="1280" w:right="1420" w:hanging="190"/>
        <w:spacing w:after="0" w:line="286" w:lineRule="auto"/>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decline in “Disposal and franchise fees and taxes” due to the favorable resolution of a disposal tax matter in our Eastern Group, which resulted in the recognition of a $15 million favorable adjustment to operating costs during the first quarter of 2007;</w:t>
      </w:r>
    </w:p>
    <w:p>
      <w:pPr>
        <w:spacing w:after="0" w:line="36" w:lineRule="exact"/>
        <w:rPr>
          <w:rFonts w:ascii="Times New Roman" w:cs="Times New Roman" w:eastAsia="Times New Roman" w:hAnsi="Times New Roman"/>
          <w:sz w:val="13"/>
          <w:szCs w:val="13"/>
          <w:color w:val="auto"/>
        </w:rPr>
      </w:pPr>
    </w:p>
    <w:p>
      <w:pPr>
        <w:ind w:left="1280" w:hanging="190"/>
        <w:spacing w:after="0"/>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“Landfill operating costs” increase due to charges for revisions in our estimates associated with remediation obligations, particularly during the first quarter of 2007;</w:t>
      </w:r>
    </w:p>
    <w:p>
      <w:pPr>
        <w:spacing w:after="0" w:line="86" w:lineRule="exact"/>
        <w:rPr>
          <w:rFonts w:ascii="Times New Roman" w:cs="Times New Roman" w:eastAsia="Times New Roman" w:hAnsi="Times New Roman"/>
          <w:sz w:val="13"/>
          <w:szCs w:val="13"/>
          <w:color w:val="auto"/>
        </w:rPr>
      </w:pPr>
    </w:p>
    <w:p>
      <w:pPr>
        <w:ind w:left="1280" w:right="940" w:hanging="190"/>
        <w:spacing w:after="0" w:line="286" w:lineRule="auto"/>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 management” expense decreases, particularly for reduced actuarial projections of claim losses for workers’ compensation and auto and general liability claims, which can be attributed to our continued focus on safety and reduced accident and injury rates; and</w:t>
      </w:r>
    </w:p>
    <w:p>
      <w:pPr>
        <w:spacing w:after="0" w:line="36" w:lineRule="exact"/>
        <w:rPr>
          <w:rFonts w:ascii="Times New Roman" w:cs="Times New Roman" w:eastAsia="Times New Roman" w:hAnsi="Times New Roman"/>
          <w:sz w:val="13"/>
          <w:szCs w:val="13"/>
          <w:color w:val="auto"/>
        </w:rPr>
      </w:pPr>
    </w:p>
    <w:p>
      <w:pPr>
        <w:ind w:left="1280" w:right="840" w:hanging="190"/>
        <w:spacing w:after="0" w:line="261" w:lineRule="auto"/>
        <w:tabs>
          <w:tab w:leader="none" w:pos="12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decrease in “Other” expenses in the current quarter due in large part to lower costs for security and travel expenses attributable to labor disputes. This is primarily due to a strike in the New York City area during the second quarter of 2006, but was partially offset by similar costs incurred in June 2007 related to a labor dispute in California. Our “Other” operating expenses for the six months ended June 30, 2007 include $21 million of lease termination costs incurred during the first quarter of 2007 associated with purchasing one of our independent power production plants that was previously operated through a lease agreement. The termination of this lease agreement and our divestiture of under-performing operations have both resulted in a decline in our on-going lease costs, which has also contributed to the decline in our “Other” operating expenses in the current year.</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w:t>
      </w:r>
    </w:p>
    <w:p>
      <w:pPr>
        <w:spacing w:after="0" w:line="100" w:lineRule="exact"/>
        <w:rPr>
          <w:sz w:val="20"/>
          <w:szCs w:val="20"/>
          <w:color w:val="auto"/>
        </w:rPr>
      </w:pPr>
    </w:p>
    <w:p>
      <w:pPr>
        <w:ind w:left="680" w:right="860" w:firstLine="399"/>
        <w:spacing w:after="0" w:line="263" w:lineRule="auto"/>
        <w:rPr>
          <w:sz w:val="20"/>
          <w:szCs w:val="20"/>
          <w:color w:val="auto"/>
        </w:rPr>
      </w:pPr>
      <w:r>
        <w:rPr>
          <w:rFonts w:ascii="Times New Roman" w:cs="Times New Roman" w:eastAsia="Times New Roman" w:hAnsi="Times New Roman"/>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w:t>
      </w:r>
    </w:p>
    <w:p>
      <w:pPr>
        <w:spacing w:after="0" w:line="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our selling, general and administrative costs for the three- and six-month periods ended June 30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380" w:type="dxa"/>
            <w:vAlign w:val="bottom"/>
            <w:gridSpan w:val="4"/>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4"/>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3"/>
          </w:tcPr>
          <w:p>
            <w:pPr>
              <w:jc w:val="center"/>
              <w:ind w:right="680"/>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jc w:val="center"/>
              <w:ind w:right="68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680" w:type="dxa"/>
            <w:vAlign w:val="bottom"/>
            <w:tcBorders>
              <w:top w:val="single" w:sz="8" w:color="auto"/>
            </w:tcBorders>
            <w:gridSpan w:val="2"/>
          </w:tcPr>
          <w:p>
            <w:pPr>
              <w:jc w:val="right"/>
              <w:ind w:right="40"/>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400"/>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 and related benefits</w:t>
            </w:r>
          </w:p>
        </w:tc>
        <w:tc>
          <w:tcPr>
            <w:tcW w:w="6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w w:val="95"/>
              </w:rPr>
              <w:t>$ 204</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5"/>
              </w:rPr>
              <w:t>$ 195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3"/>
                <w:szCs w:val="13"/>
                <w:color w:val="auto"/>
              </w:rPr>
              <w:t>9</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$ 413</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$ 400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6"/>
              </w:rPr>
              <w:t>$ 13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36</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3"/>
                <w:szCs w:val="13"/>
                <w:color w:val="auto"/>
              </w:rPr>
            </w:pPr>
          </w:p>
        </w:tc>
        <w:tc>
          <w:tcPr>
            <w:tcW w:w="62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color w:val="auto"/>
              </w:rPr>
              <w:t>(3)</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(7.7)</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78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bad debts</w:t>
            </w:r>
          </w:p>
        </w:tc>
        <w:tc>
          <w:tcPr>
            <w:tcW w:w="6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gridSpan w:val="2"/>
          </w:tcPr>
          <w:p>
            <w:pPr>
              <w:jc w:val="right"/>
              <w:ind w:right="328"/>
              <w:spacing w:after="0"/>
              <w:rPr>
                <w:sz w:val="20"/>
                <w:szCs w:val="20"/>
                <w:color w:val="auto"/>
              </w:rPr>
            </w:pPr>
            <w:r>
              <w:rPr>
                <w:rFonts w:ascii="Times New Roman" w:cs="Times New Roman" w:eastAsia="Times New Roman" w:hAnsi="Times New Roman"/>
                <w:sz w:val="13"/>
                <w:szCs w:val="13"/>
                <w:color w:val="auto"/>
              </w:rPr>
              <w:t>93</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3"/>
                <w:szCs w:val="13"/>
                <w:color w:val="auto"/>
              </w:rPr>
            </w:pPr>
          </w:p>
        </w:tc>
        <w:tc>
          <w:tcPr>
            <w:tcW w:w="620" w:type="dxa"/>
            <w:vAlign w:val="bottom"/>
            <w:gridSpan w:val="2"/>
          </w:tcPr>
          <w:p>
            <w:pPr>
              <w:jc w:val="right"/>
              <w:ind w:right="428"/>
              <w:spacing w:after="0"/>
              <w:rPr>
                <w:sz w:val="20"/>
                <w:szCs w:val="20"/>
                <w:color w:val="auto"/>
              </w:rPr>
            </w:pPr>
            <w:r>
              <w:rPr>
                <w:rFonts w:ascii="Times New Roman" w:cs="Times New Roman" w:eastAsia="Times New Roman" w:hAnsi="Times New Roman"/>
                <w:sz w:val="13"/>
                <w:szCs w:val="13"/>
                <w:color w:val="auto"/>
              </w:rPr>
              <w:t>7</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196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3"/>
                <w:szCs w:val="13"/>
                <w:color w:val="auto"/>
                <w:w w:val="95"/>
              </w:rPr>
              <w:t>$ 343</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5"/>
              </w:rPr>
              <w:t>$ 328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3"/>
                <w:szCs w:val="13"/>
                <w:color w:val="auto"/>
                <w:w w:val="91"/>
              </w:rPr>
              <w:t>15</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$ 696</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$ 696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6"/>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3"/>
        </w:trPr>
        <w:tc>
          <w:tcPr>
            <w:tcW w:w="6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8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37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7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The increases in our “Labor and related benefits” costs, “Professional fees” and “Other” general and administrative costs when comparing the three and six months ended June 30, 2007 with the corresponding prior year periods are largely attributable to increased spending for our strategic initiatives, including the support and development of our revenue management system. These cost increases have been offset slightly by reductions in our “Selling, general and administrative” expenses due to our divestiture of under-performing operations. Other significant changes in these costs are summarized below.</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Labor and related benefits </w:t>
      </w:r>
      <w:r>
        <w:rPr>
          <w:rFonts w:ascii="Times New Roman" w:cs="Times New Roman" w:eastAsia="Times New Roman" w:hAnsi="Times New Roman"/>
          <w:sz w:val="13"/>
          <w:szCs w:val="13"/>
          <w:color w:val="auto"/>
        </w:rPr>
        <w:t>— The remaining current year increases are primarily attributable to higher salaries and hourly wages driven by annual merit increases.</w:t>
      </w:r>
    </w:p>
    <w:p>
      <w:pPr>
        <w:spacing w:after="0" w:line="96" w:lineRule="exact"/>
        <w:rPr>
          <w:sz w:val="20"/>
          <w:szCs w:val="20"/>
          <w:color w:val="auto"/>
        </w:rPr>
      </w:pPr>
    </w:p>
    <w:p>
      <w:pPr>
        <w:ind w:left="680" w:right="6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We are currently undergoing unclaimed property audits. The property subject to review in this audit process generally includes unclaimed wages, vendor payments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customer refunds. During 2006, we submitted unclaimed property filings with all states except those where we were under audit, and, as a result of our findings, we determined that we had estimated unrecorded obligations associated with unclaimed property for escheatable items for various periods between 1980 and 2004. Our “Selling, general and administrative” expenses for the six months ended June 30, 2006 included a charge of approximately $19 million to fully record our estimated obligations for unclaimed property. During the first quarter of 2007, we reached a settlement with the state where we had the most significant exposure related to our ongoing unclaimed property audits and, as a result, recorded an additional charge of $7 million, of which $4 million was recorded as “Selling, general and administrative” expenses and $3 million was recorded as “Interest expense.” Refer to Note 9 of our Condensed Consolidated Financial Statements for additional information related to the nature of this charge.</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Depreciation and Amortization</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Depreciation and amortization includes (i) depreciation of property and equipment, including assets recorded due to capital leases, on a straight-line basis from three to 50 years;</w:t>
      </w:r>
    </w:p>
    <w:p>
      <w:pPr>
        <w:spacing w:after="0" w:line="21" w:lineRule="exact"/>
        <w:rPr>
          <w:sz w:val="20"/>
          <w:szCs w:val="20"/>
          <w:color w:val="auto"/>
        </w:rPr>
      </w:pPr>
    </w:p>
    <w:p>
      <w:pPr>
        <w:ind w:left="680" w:firstLine="7"/>
        <w:spacing w:after="0" w:line="256" w:lineRule="auto"/>
        <w:tabs>
          <w:tab w:leader="none" w:pos="87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66" w:lineRule="exact"/>
        <w:rPr>
          <w:sz w:val="20"/>
          <w:szCs w:val="20"/>
          <w:color w:val="auto"/>
        </w:rPr>
      </w:pPr>
    </w:p>
    <w:p>
      <w:pPr>
        <w:jc w:val="both"/>
        <w:ind w:left="680" w:right="80" w:firstLine="399"/>
        <w:spacing w:after="0" w:line="263" w:lineRule="auto"/>
        <w:rPr>
          <w:sz w:val="20"/>
          <w:szCs w:val="20"/>
          <w:color w:val="auto"/>
        </w:rPr>
      </w:pPr>
      <w:r>
        <w:rPr>
          <w:rFonts w:ascii="Times New Roman" w:cs="Times New Roman" w:eastAsia="Times New Roman" w:hAnsi="Times New Roman"/>
          <w:sz w:val="13"/>
          <w:szCs w:val="13"/>
          <w:color w:val="auto"/>
        </w:rPr>
        <w:t>Depreciation and amortization expense for the three months ended June 30, 2007 was $322 million, or 9.6% of revenues, compared with $345 million, or 10.1% of revenues, for the comparable prior year period. Depreciation and amortization expense for the six months ended June 30, 2007 was $632 million, or 9.7% of revenues, compared with $673 million, or 10.1% of revenues for the comparable prior year period. The decrease in depreciation and amortization expense in 2007 as compared with 2006 is due to (i) landfill volume declines; (ii) divestitures; and (iii) the discontinuation of depreciation of enterprise-wide software that is now fully depreciated.</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p>
      <w:pPr>
        <w:spacing w:after="0" w:line="100" w:lineRule="exact"/>
        <w:rPr>
          <w:sz w:val="20"/>
          <w:szCs w:val="20"/>
          <w:color w:val="auto"/>
        </w:rPr>
      </w:pPr>
    </w:p>
    <w:p>
      <w:pPr>
        <w:jc w:val="both"/>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In the first quarter of 2007, certain operations and functions were restructured resulting in the recognition of a pre-tax charge of approximately $9 million. We incurred an additional $1 million of pre-tax costs for this restructuring during the second quarter of 2007, increasing the pre-tax costs incurred to date to $10 million. Approximately $7 million of our restructuring costs was incurred by our Corporate organization, $2 million was incurred by our Midwest Group and $1 million was incurred by our Western Group. These charges included approximately $8 million for employee severance and benefit costs and approximately $2 million related to operating lease agreements.</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(Income) Expense from Divestitures, Asset Impairments and Unusual Items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Income from divestitures (net of held-for-sale impairments) </w:t>
      </w:r>
      <w:r>
        <w:rPr>
          <w:rFonts w:ascii="Times New Roman" w:cs="Times New Roman" w:eastAsia="Times New Roman" w:hAnsi="Times New Roman"/>
          <w:sz w:val="13"/>
          <w:szCs w:val="13"/>
          <w:color w:val="auto"/>
        </w:rPr>
        <w:t>— We recognized $33 million and $42 million of net gains from divestitures during the three and six months ended</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June 30, 2007, respectively. The net gains recognized during the first quarter of 2007 were primarily related to the divestiture of collection and disposal operations in our Southern Group and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net gains recognized during the second quarter of 2007 were primarily related to the divestiture of collection and transfer operations in our Eastern Group, WMRA operations and</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collection operations in our Western Group. Total proceeds from divestitures completed during the six months ended June 30, 2007 were $183 million, which were primarily received in cash.</w:t>
      </w:r>
    </w:p>
    <w:p>
      <w:pPr>
        <w:spacing w:after="0" w:line="83" w:lineRule="exact"/>
        <w:rPr>
          <w:sz w:val="20"/>
          <w:szCs w:val="20"/>
          <w:color w:val="auto"/>
        </w:rPr>
      </w:pPr>
    </w:p>
    <w:p>
      <w:pPr>
        <w:ind w:left="680" w:right="80" w:firstLine="399"/>
        <w:spacing w:after="0" w:line="261" w:lineRule="auto"/>
        <w:rPr>
          <w:sz w:val="20"/>
          <w:szCs w:val="20"/>
          <w:color w:val="auto"/>
        </w:rPr>
      </w:pPr>
      <w:r>
        <w:rPr>
          <w:rFonts w:ascii="Times New Roman" w:cs="Times New Roman" w:eastAsia="Times New Roman" w:hAnsi="Times New Roman"/>
          <w:sz w:val="13"/>
          <w:szCs w:val="13"/>
          <w:color w:val="auto"/>
        </w:rPr>
        <w:t xml:space="preserve">During the three months ended June 30, 2006, we recognized $40 million of net gains as a result of the divestiture of certain operations in our Western Group. The gains were offset by a $13 million charge for operations in the Eastern group that we intended to sell as part of our divestiture program. The charge was required to reduce the carrying value of the operations to their estimated fair value less the cost to sell in accordance with the provisions of SFAS No. 144, </w:t>
      </w:r>
      <w:r>
        <w:rPr>
          <w:rFonts w:ascii="Times New Roman" w:cs="Times New Roman" w:eastAsia="Times New Roman" w:hAnsi="Times New Roman"/>
          <w:sz w:val="13"/>
          <w:szCs w:val="13"/>
          <w:i w:val="1"/>
          <w:iCs w:val="1"/>
          <w:color w:val="auto"/>
        </w:rPr>
        <w:t>Accounting for the Impairment or Disposal of Long-Lived Assets</w:t>
      </w:r>
      <w:r>
        <w:rPr>
          <w:rFonts w:ascii="Times New Roman" w:cs="Times New Roman" w:eastAsia="Times New Roman" w:hAnsi="Times New Roman"/>
          <w:sz w:val="13"/>
          <w:szCs w:val="13"/>
          <w:color w:val="auto"/>
        </w:rPr>
        <w:t>, for assets to be disposed of by sale. In addition, in the first quarter of 2006, we recognized $2 million of net gains from divestitures, consisting primarily of a sale of assets and operations in our Western Group. Total proceeds from divestitures completed during the six months ended June 30, 2006 were $124 million, all of which were received in cash.</w:t>
      </w:r>
    </w:p>
    <w:p>
      <w:pPr>
        <w:spacing w:after="0" w:line="60" w:lineRule="exact"/>
        <w:rPr>
          <w:sz w:val="20"/>
          <w:szCs w:val="20"/>
          <w:color w:val="auto"/>
        </w:rPr>
      </w:pPr>
    </w:p>
    <w:p>
      <w:pPr>
        <w:ind w:left="680" w:right="3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Impairments of assets held-for-use </w:t>
      </w:r>
      <w:r>
        <w:rPr>
          <w:rFonts w:ascii="Times New Roman" w:cs="Times New Roman" w:eastAsia="Times New Roman" w:hAnsi="Times New Roman"/>
          <w:sz w:val="13"/>
          <w:szCs w:val="13"/>
          <w:color w:val="auto"/>
        </w:rPr>
        <w:t>— During the first quarter of 2007, we recorded impairment charges of $10 million attributable to two landfills in our Southern Group.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impairments were necessary as a result of the re-evaluation of our business alternatives for one landfill and the expiration of a contract that we had expected would be renewed that had significantly contributed to the volumes for the second landfill.</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Income From Operations by Reportable Segment</w:t>
      </w:r>
    </w:p>
    <w:p>
      <w:pPr>
        <w:spacing w:after="0" w:line="100"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income from operations by reportable segment for the three- and six-month periods ended June 30 and provides explanations of significant factors contributing to the identified variances (dollars in millions):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217"/>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Eastern</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40</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68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57"/>
        </w:trPr>
        <w:tc>
          <w:tcPr>
            <w:tcW w:w="3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Midwest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10</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19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57"/>
        </w:trPr>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Southern</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8</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tcPr>
          <w:p>
            <w:pPr>
              <w:spacing w:after="0"/>
              <w:rPr>
                <w:sz w:val="13"/>
                <w:szCs w:val="13"/>
                <w:color w:val="auto"/>
              </w:rPr>
            </w:pP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7"/>
        </w:trPr>
        <w:tc>
          <w:tcPr>
            <w:tcW w:w="3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Western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3"/>
                <w:szCs w:val="13"/>
                <w:color w:val="auto"/>
              </w:rPr>
              <w:t>(22)</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7"/>
        </w:trPr>
        <w:tc>
          <w:tcPr>
            <w:tcW w:w="39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Wheelabrator</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2</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3"/>
                <w:szCs w:val="13"/>
                <w:color w:val="auto"/>
              </w:rPr>
            </w:pPr>
          </w:p>
        </w:tc>
        <w:tc>
          <w:tcPr>
            <w:tcW w:w="68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color w:val="auto"/>
              </w:rPr>
              <w:t>(21)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57"/>
        </w:trPr>
        <w:tc>
          <w:tcPr>
            <w:tcW w:w="3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WMRA</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13</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25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3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8</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68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color w:val="auto"/>
              </w:rPr>
              <w:t>(8)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59</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1,276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97</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57"/>
        </w:trPr>
        <w:tc>
          <w:tcPr>
            <w:tcW w:w="3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8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3"/>
                <w:szCs w:val="13"/>
                <w:color w:val="auto"/>
              </w:rPr>
            </w:pPr>
          </w:p>
        </w:tc>
        <w:tc>
          <w:tcPr>
            <w:tcW w:w="66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9</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3"/>
                <w:szCs w:val="13"/>
                <w:color w:val="auto"/>
              </w:rPr>
            </w:pP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3"/>
                <w:szCs w:val="13"/>
                <w:color w:val="auto"/>
              </w:rPr>
              <w:t>17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633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68</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3"/>
                <w:szCs w:val="13"/>
                <w:color w:val="auto"/>
              </w:rPr>
              <w:t>1,114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3"/>
                <w:szCs w:val="13"/>
                <w:color w:val="auto"/>
              </w:rPr>
              <w:t>114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900" w:hanging="213"/>
        <w:spacing w:after="0"/>
        <w:tabs>
          <w:tab w:leader="none" w:pos="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change does not provide a meaningful comparison.</w:t>
      </w:r>
    </w:p>
    <w:p>
      <w:pPr>
        <w:spacing w:after="0" w:line="94"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Operating segments </w:t>
      </w:r>
      <w:r>
        <w:rPr>
          <w:rFonts w:ascii="Times New Roman" w:cs="Times New Roman" w:eastAsia="Times New Roman" w:hAnsi="Times New Roman"/>
          <w:sz w:val="13"/>
          <w:szCs w:val="13"/>
          <w:color w:val="auto"/>
        </w:rPr>
        <w:t>— Increased yield on base business, particularly in our collection operations, and our continued focus on controlling costs through operating efficiencies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significantly improved the operating income of our geographic Groups for the three and six months ended June 30, 2007. While these improvements in operating income were partially offset by the effects of declines in revenues due to lower volumes, particularly in our collection line of business, we have seen that our Groups’ operating margins have been favorably affected by the shedding of this lower margin business.</w:t>
      </w:r>
    </w:p>
    <w:p>
      <w:pPr>
        <w:spacing w:after="0" w:line="2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60" w:firstLine="399"/>
        <w:spacing w:after="0" w:line="286" w:lineRule="auto"/>
        <w:rPr>
          <w:sz w:val="20"/>
          <w:szCs w:val="20"/>
          <w:color w:val="auto"/>
        </w:rPr>
      </w:pPr>
      <w:r>
        <w:rPr>
          <w:rFonts w:ascii="Times New Roman" w:cs="Times New Roman" w:eastAsia="Times New Roman" w:hAnsi="Times New Roman"/>
          <w:sz w:val="13"/>
          <w:szCs w:val="13"/>
          <w:color w:val="auto"/>
        </w:rPr>
        <w:t>Other significant items affecting the comparability of the operating segments’ results of operations for the three- and six-month periods ended June 30, 2007 and 2006 are summarized below:</w:t>
      </w:r>
    </w:p>
    <w:p>
      <w:pPr>
        <w:spacing w:after="0" w:line="45" w:lineRule="exact"/>
        <w:rPr>
          <w:sz w:val="20"/>
          <w:szCs w:val="20"/>
          <w:color w:val="auto"/>
        </w:rPr>
      </w:pPr>
    </w:p>
    <w:p>
      <w:pPr>
        <w:ind w:left="1080" w:right="20" w:firstLine="383"/>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Eastern </w:t>
      </w:r>
      <w:r>
        <w:rPr>
          <w:rFonts w:ascii="Times New Roman" w:cs="Times New Roman" w:eastAsia="Times New Roman" w:hAnsi="Times New Roman"/>
          <w:sz w:val="13"/>
          <w:szCs w:val="13"/>
          <w:color w:val="auto"/>
        </w:rPr>
        <w:t>— The Group’s operating income during the second quarter of 2007 includes a $25 million net gain from divestitures. Additionally, the first quarter of 2007 includes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$15 million decrease in disposal fees and taxes due to the favorable resolution of a disposal tax matter. In the second quarter of 2006, we incurred $10 million of costs related to labor strikes, primarily in the New York City area. The impact of the disposal tax resolution and the labor strike costs are included as components of “Operating” expenses in our Statements of Operations.</w:t>
      </w:r>
    </w:p>
    <w:p>
      <w:pPr>
        <w:spacing w:after="0" w:line="60" w:lineRule="exact"/>
        <w:rPr>
          <w:sz w:val="20"/>
          <w:szCs w:val="20"/>
          <w:color w:val="auto"/>
        </w:rPr>
      </w:pPr>
    </w:p>
    <w:p>
      <w:pPr>
        <w:ind w:left="1080" w:right="12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Southern </w:t>
      </w:r>
      <w:r>
        <w:rPr>
          <w:rFonts w:ascii="Times New Roman" w:cs="Times New Roman" w:eastAsia="Times New Roman" w:hAnsi="Times New Roman"/>
          <w:sz w:val="13"/>
          <w:szCs w:val="13"/>
          <w:color w:val="auto"/>
        </w:rPr>
        <w:t>— During the first quarter of 2007, the Group recorded $10 million of impairment charges attributable to two of its landfills. These charges were largely offset by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gain on divestiture of $7 million, which was also recognized during the first quarter of 2007.</w:t>
      </w:r>
    </w:p>
    <w:p>
      <w:pPr>
        <w:spacing w:after="0" w:line="43" w:lineRule="exact"/>
        <w:rPr>
          <w:sz w:val="20"/>
          <w:szCs w:val="20"/>
          <w:color w:val="auto"/>
        </w:rPr>
      </w:pPr>
    </w:p>
    <w:p>
      <w:pPr>
        <w:ind w:left="1080" w:right="54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Western </w:t>
      </w:r>
      <w:r>
        <w:rPr>
          <w:rFonts w:ascii="Times New Roman" w:cs="Times New Roman" w:eastAsia="Times New Roman" w:hAnsi="Times New Roman"/>
          <w:sz w:val="13"/>
          <w:szCs w:val="13"/>
          <w:color w:val="auto"/>
        </w:rPr>
        <w:t>— Gains from divestitures of operations totaling $7 million were recognized in the second quarter of 2007 as compared with $42 million in divestiture gains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recognized during the second quarter of 2006.</w:t>
      </w:r>
    </w:p>
    <w:p>
      <w:pPr>
        <w:spacing w:after="0" w:line="43" w:lineRule="exact"/>
        <w:rPr>
          <w:sz w:val="20"/>
          <w:szCs w:val="20"/>
          <w:color w:val="auto"/>
        </w:rPr>
      </w:pPr>
    </w:p>
    <w:p>
      <w:pPr>
        <w:ind w:left="1080" w:right="8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Wheelabrator </w:t>
      </w:r>
      <w:r>
        <w:rPr>
          <w:rFonts w:ascii="Times New Roman" w:cs="Times New Roman" w:eastAsia="Times New Roman" w:hAnsi="Times New Roman"/>
          <w:sz w:val="13"/>
          <w:szCs w:val="13"/>
          <w:color w:val="auto"/>
        </w:rPr>
        <w:t>— During the first quarter of 2007, the Group purchased an independent power production plant that it had previously operated through a lease agreement.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early termination of the lease agreement resulted in charges of approximately $21 million. These charges have been included in other “Operating” expenses in our Statement of Operations.</w:t>
      </w:r>
    </w:p>
    <w:p>
      <w:pPr>
        <w:spacing w:after="0" w:line="54" w:lineRule="exact"/>
        <w:rPr>
          <w:sz w:val="20"/>
          <w:szCs w:val="20"/>
          <w:color w:val="auto"/>
        </w:rPr>
      </w:pPr>
    </w:p>
    <w:p>
      <w:pPr>
        <w:ind w:left="1080" w:right="340" w:firstLine="383"/>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WMRA </w:t>
      </w:r>
      <w:r>
        <w:rPr>
          <w:rFonts w:ascii="Times New Roman" w:cs="Times New Roman" w:eastAsia="Times New Roman" w:hAnsi="Times New Roman"/>
          <w:sz w:val="13"/>
          <w:szCs w:val="13"/>
          <w:color w:val="auto"/>
        </w:rPr>
        <w:t>— The Group’s operating income for the first and second quarters of 2007 benefited from substantial increases in market prices for commodities. In addition,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Group has experienced significant returns from operational improvements, including an increased focus on maintaining or reducing rebates made to suppliers.</w:t>
      </w:r>
    </w:p>
    <w:p>
      <w:pPr>
        <w:spacing w:after="0" w:line="45" w:lineRule="exact"/>
        <w:rPr>
          <w:sz w:val="20"/>
          <w:szCs w:val="20"/>
          <w:color w:val="auto"/>
        </w:rPr>
      </w:pPr>
    </w:p>
    <w:p>
      <w:pPr>
        <w:ind w:left="680" w:right="520" w:firstLine="399"/>
        <w:spacing w:after="0" w:line="286" w:lineRule="auto"/>
        <w:rPr>
          <w:sz w:val="20"/>
          <w:szCs w:val="20"/>
          <w:color w:val="auto"/>
        </w:rPr>
      </w:pPr>
      <w:r>
        <w:rPr>
          <w:rFonts w:ascii="Times New Roman" w:cs="Times New Roman" w:eastAsia="Times New Roman" w:hAnsi="Times New Roman"/>
          <w:sz w:val="13"/>
          <w:szCs w:val="13"/>
          <w:color w:val="auto"/>
        </w:rPr>
        <w:t>Significant items affecting the comparability of the remaining components of our results of operations for the three-and six-month periods ended June 30, 2007 and 2006 are summarized below:</w:t>
      </w:r>
    </w:p>
    <w:p>
      <w:pPr>
        <w:spacing w:after="0" w:line="45" w:lineRule="exact"/>
        <w:rPr>
          <w:sz w:val="20"/>
          <w:szCs w:val="20"/>
          <w:color w:val="auto"/>
        </w:rPr>
      </w:pPr>
    </w:p>
    <w:p>
      <w:pPr>
        <w:jc w:val="both"/>
        <w:ind w:left="108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The changes in operating results are largely related to certain quarter-end adjustments recorded in consolidation related to our reportable segments that, due to timing,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were not included in the measure of segment income from operations used to assess their performance for the periods disclosed. Most significantly, during the second quarter of 2006, we recognized a $13 million held-for-sale impairment to reduce the carrying value of operations in our Eastern group to their estimated fair value less the expected cost to sell.</w:t>
      </w:r>
    </w:p>
    <w:p>
      <w:pPr>
        <w:spacing w:after="0" w:line="56" w:lineRule="exact"/>
        <w:rPr>
          <w:sz w:val="20"/>
          <w:szCs w:val="20"/>
          <w:color w:val="auto"/>
        </w:rPr>
      </w:pPr>
    </w:p>
    <w:p>
      <w:pPr>
        <w:ind w:left="1080" w:right="380" w:firstLine="383"/>
        <w:spacing w:after="0" w:line="286" w:lineRule="auto"/>
        <w:rPr>
          <w:sz w:val="20"/>
          <w:szCs w:val="20"/>
          <w:color w:val="auto"/>
        </w:rPr>
      </w:pPr>
      <w:r>
        <w:rPr>
          <w:rFonts w:ascii="Times New Roman" w:cs="Times New Roman" w:eastAsia="Times New Roman" w:hAnsi="Times New Roman"/>
          <w:sz w:val="13"/>
          <w:szCs w:val="13"/>
          <w:color w:val="auto"/>
        </w:rPr>
        <w:t>The unfavorable change in operating results for the year-to-date period can also be attributed in part to the deconsolidation of a variable interest entity in April 2006 and increased costs associated with our landfill gas-to-energy program.</w:t>
      </w:r>
    </w:p>
    <w:p>
      <w:pPr>
        <w:spacing w:after="0" w:line="45" w:lineRule="exact"/>
        <w:rPr>
          <w:sz w:val="20"/>
          <w:szCs w:val="20"/>
          <w:color w:val="auto"/>
        </w:rPr>
      </w:pPr>
    </w:p>
    <w:p>
      <w:pPr>
        <w:ind w:left="1080" w:firstLine="383"/>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 The decline in expenses in 2007 as compared with 2006 is primarily due to (i) a $19 million charge during the first quarter of 2006 to record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estimate of unrecorded obligations associated with unclaimed property as compared with $4 million of similar charges recognized during the first quarter of 2007 as a result of a settlement reached with one of the states participating in our unclaimed property audits; (ii) the current year decline in risk management expenses; and (iii) the discontinuation of depreciation for enterprise-wide software that is now fully depreciated. Partially offsetting these favorable changes are (i) the recognition of approximately $6 million of restructuring charges during the first quarter of 2007 for employee severance and benefit costs; (ii) increased landfill operating costs for our closed sites management group due to revisions in our estimates associated with remediation obligations; and (iii) increased spending for our strategic initiatives, including the support and development of our revenue management system.</w:t>
      </w:r>
    </w:p>
    <w:p>
      <w:pPr>
        <w:spacing w:after="0" w:line="2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Other Components of Net Income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summarizes the other major components of our net income for the three- and six-month periods ended June 30 (dollars in millions):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380" w:type="dxa"/>
            <w:vAlign w:val="bottom"/>
            <w:gridSpan w:val="5"/>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680" w:type="dxa"/>
            <w:vAlign w:val="bottom"/>
            <w:vMerge w:val="restart"/>
          </w:tcPr>
          <w:p>
            <w:pPr>
              <w:jc w:val="center"/>
              <w:ind w:left="179"/>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80" w:type="dxa"/>
            <w:vAlign w:val="bottom"/>
            <w:gridSpan w:val="5"/>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680" w:type="dxa"/>
            <w:vAlign w:val="bottom"/>
            <w:vMerge w:val="restart"/>
          </w:tcPr>
          <w:p>
            <w:pPr>
              <w:jc w:val="center"/>
              <w:ind w:left="179"/>
              <w:spacing w:after="0"/>
              <w:rPr>
                <w:sz w:val="20"/>
                <w:szCs w:val="20"/>
                <w:color w:val="auto"/>
              </w:rPr>
            </w:pPr>
            <w:r>
              <w:rPr>
                <w:rFonts w:ascii="Times New Roman" w:cs="Times New Roman" w:eastAsia="Times New Roman" w:hAnsi="Times New Roman"/>
                <w:sz w:val="10"/>
                <w:szCs w:val="10"/>
                <w:b w:val="1"/>
                <w:bCs w:val="1"/>
                <w:color w:val="auto"/>
              </w:rPr>
              <w:t>Period 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78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ind w:left="199"/>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bottom w:val="single" w:sz="8" w:color="auto"/>
            </w:tcBorders>
            <w:gridSpan w:val="3"/>
          </w:tcPr>
          <w:p>
            <w:pPr>
              <w:jc w:val="center"/>
              <w:ind w:left="259"/>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ind w:left="159"/>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700" w:type="dxa"/>
            <w:vAlign w:val="bottom"/>
          </w:tcPr>
          <w:p>
            <w:pPr>
              <w:spacing w:after="0"/>
              <w:rPr>
                <w:sz w:val="8"/>
                <w:szCs w:val="8"/>
                <w:color w:val="auto"/>
              </w:rPr>
            </w:pPr>
          </w:p>
        </w:tc>
        <w:tc>
          <w:tcPr>
            <w:tcW w:w="400" w:type="dxa"/>
            <w:vAlign w:val="bottom"/>
            <w:tcBorders>
              <w:bottom w:val="single" w:sz="8" w:color="auto"/>
            </w:tcBorders>
          </w:tcPr>
          <w:p>
            <w:pPr>
              <w:jc w:val="right"/>
              <w:ind w:right="39"/>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300" w:type="dxa"/>
            <w:vAlign w:val="bottom"/>
          </w:tcPr>
          <w:p>
            <w:pPr>
              <w:spacing w:after="0"/>
              <w:rPr>
                <w:sz w:val="8"/>
                <w:szCs w:val="8"/>
                <w:color w:val="auto"/>
              </w:rPr>
            </w:pPr>
          </w:p>
        </w:tc>
        <w:tc>
          <w:tcPr>
            <w:tcW w:w="680" w:type="dxa"/>
            <w:vAlign w:val="bottom"/>
            <w:tcBorders>
              <w:bottom w:val="single" w:sz="8" w:color="auto"/>
            </w:tcBorders>
          </w:tcPr>
          <w:p>
            <w:pPr>
              <w:jc w:val="center"/>
              <w:ind w:left="199"/>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bottom w:val="single" w:sz="8" w:color="auto"/>
            </w:tcBorders>
          </w:tcPr>
          <w:p>
            <w:pPr>
              <w:jc w:val="right"/>
              <w:ind w:right="39"/>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Times New Roman" w:cs="Times New Roman" w:eastAsia="Times New Roman" w:hAnsi="Times New Roman"/>
                <w:sz w:val="10"/>
                <w:szCs w:val="10"/>
                <w:b w:val="1"/>
                <w:bCs w:val="1"/>
                <w:color w:val="auto"/>
                <w:w w:val="99"/>
              </w:rPr>
              <w:t>2006</w:t>
            </w:r>
          </w:p>
        </w:tc>
        <w:tc>
          <w:tcPr>
            <w:tcW w:w="300" w:type="dxa"/>
            <w:vAlign w:val="bottom"/>
          </w:tcPr>
          <w:p>
            <w:pPr>
              <w:spacing w:after="0"/>
              <w:rPr>
                <w:sz w:val="8"/>
                <w:szCs w:val="8"/>
                <w:color w:val="auto"/>
              </w:rPr>
            </w:pPr>
          </w:p>
        </w:tc>
        <w:tc>
          <w:tcPr>
            <w:tcW w:w="680" w:type="dxa"/>
            <w:vAlign w:val="bottom"/>
            <w:tcBorders>
              <w:bottom w:val="single" w:sz="8" w:color="auto"/>
            </w:tcBorders>
          </w:tcPr>
          <w:p>
            <w:pPr>
              <w:jc w:val="center"/>
              <w:ind w:left="159"/>
              <w:spacing w:after="0" w:line="98" w:lineRule="exact"/>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7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3"/>
                <w:szCs w:val="13"/>
                <w:color w:val="auto"/>
              </w:rPr>
              <w:t>$  (132)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(138)</w:t>
            </w:r>
          </w:p>
        </w:tc>
        <w:tc>
          <w:tcPr>
            <w:tcW w:w="6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   6</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w:t>
            </w:r>
          </w:p>
        </w:tc>
        <w:tc>
          <w:tcPr>
            <w:tcW w:w="7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3"/>
                <w:szCs w:val="13"/>
                <w:color w:val="auto"/>
              </w:rPr>
              <w:t>$  (267)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(274)</w:t>
            </w:r>
          </w:p>
        </w:tc>
        <w:tc>
          <w:tcPr>
            <w:tcW w:w="6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   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20</w:t>
            </w:r>
          </w:p>
        </w:tc>
        <w:tc>
          <w:tcPr>
            <w:tcW w:w="68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(9)</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29</w:t>
            </w: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w:t>
            </w:r>
          </w:p>
        </w:tc>
        <w:tc>
          <w:tcPr>
            <w:tcW w:w="7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w:t>
            </w:r>
          </w:p>
        </w:tc>
        <w:tc>
          <w:tcPr>
            <w:tcW w:w="6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(48)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w:t>
            </w:r>
          </w:p>
        </w:tc>
        <w:tc>
          <w:tcPr>
            <w:tcW w:w="68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w w:val="96"/>
              </w:rPr>
              <w:t>10.0</w:t>
            </w:r>
          </w:p>
        </w:tc>
        <w:tc>
          <w:tcPr>
            <w:tcW w:w="70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(22)</w:t>
            </w: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net</w:t>
            </w:r>
          </w:p>
        </w:tc>
        <w:tc>
          <w:tcPr>
            <w:tcW w:w="7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1</w:t>
            </w:r>
          </w:p>
        </w:tc>
        <w:tc>
          <w:tcPr>
            <w:tcW w:w="7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w:t>
            </w:r>
          </w:p>
        </w:tc>
        <w:tc>
          <w:tcPr>
            <w:tcW w:w="6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30</w:t>
            </w: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112</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color w:val="auto"/>
              </w:rPr>
              <w:t>235</w:t>
            </w:r>
          </w:p>
        </w:tc>
        <w:tc>
          <w:tcPr>
            <w:tcW w:w="8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133</w:t>
            </w:r>
          </w:p>
        </w:tc>
        <w:tc>
          <w:tcPr>
            <w:tcW w:w="680" w:type="dxa"/>
            <w:vAlign w:val="bottom"/>
          </w:tcPr>
          <w:p>
            <w:pPr>
              <w:jc w:val="right"/>
              <w:ind w:right="319"/>
              <w:spacing w:after="0"/>
              <w:rPr>
                <w:sz w:val="20"/>
                <w:szCs w:val="20"/>
                <w:color w:val="auto"/>
              </w:rPr>
            </w:pPr>
            <w:r>
              <w:rPr>
                <w:rFonts w:ascii="Times New Roman" w:cs="Times New Roman" w:eastAsia="Times New Roman" w:hAnsi="Times New Roman"/>
                <w:sz w:val="13"/>
                <w:szCs w:val="13"/>
                <w:color w:val="auto"/>
              </w:rPr>
              <w:t>102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1" w:lineRule="exact"/>
        <w:rPr>
          <w:sz w:val="20"/>
          <w:szCs w:val="20"/>
          <w:color w:val="auto"/>
        </w:rPr>
      </w:pPr>
    </w:p>
    <w:p>
      <w:pPr>
        <w:ind w:left="900" w:hanging="21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Percentage change does not provide a meaningful comparison.</w:t>
      </w:r>
    </w:p>
    <w:p>
      <w:pPr>
        <w:spacing w:after="0" w:line="94" w:lineRule="exact"/>
        <w:rPr>
          <w:sz w:val="20"/>
          <w:szCs w:val="20"/>
          <w:color w:val="auto"/>
        </w:rPr>
      </w:pPr>
    </w:p>
    <w:p>
      <w:pPr>
        <w:jc w:val="both"/>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Interest expense </w:t>
      </w:r>
      <w:r>
        <w:rPr>
          <w:rFonts w:ascii="Times New Roman" w:cs="Times New Roman" w:eastAsia="Times New Roman" w:hAnsi="Times New Roman"/>
          <w:sz w:val="13"/>
          <w:szCs w:val="13"/>
          <w:color w:val="auto"/>
        </w:rPr>
        <w:t>— The decrease in interest expense is generally attributable to a decline in our debt balances on a year-over-year basis, partially offset by higher market interest rates,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impact the interest expense associated with the variable portion of our debt obligations. As of June 30, 2007, interest expense on 37% of our total debt is driven by variability in market interest rates. As of June 30, 2006, 35% of our debt was at variable interest rates.</w:t>
      </w:r>
    </w:p>
    <w:p>
      <w:pPr>
        <w:spacing w:after="0" w:line="54" w:lineRule="exact"/>
        <w:rPr>
          <w:sz w:val="20"/>
          <w:szCs w:val="20"/>
          <w:color w:val="auto"/>
        </w:rPr>
      </w:pPr>
    </w:p>
    <w:p>
      <w:pPr>
        <w:ind w:left="680" w:right="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Interest income </w:t>
      </w:r>
      <w:r>
        <w:rPr>
          <w:rFonts w:ascii="Times New Roman" w:cs="Times New Roman" w:eastAsia="Times New Roman" w:hAnsi="Times New Roman"/>
          <w:sz w:val="13"/>
          <w:szCs w:val="13"/>
          <w:color w:val="auto"/>
        </w:rPr>
        <w:t>— Although interest income is relatively flat when comparing the six months ended June 30, 2007 and 2006, we did experience significant fluctuations in interest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income when comparing each quarterly period with the corresponding prior year period. These variances were largely related to (i) $7 million of interest income received during the first quarter of 2007 in connection with a favorable resolution of a disposal tax matter in our Eastern Group; (ii) a decrease in our average cash and investment balances on a year-over-year basis; and (iii) the realization of interest income as a result of tax audit settlements, particularly in the second quarter of 2006.</w:t>
      </w:r>
    </w:p>
    <w:p>
      <w:pPr>
        <w:spacing w:after="0" w:line="60" w:lineRule="exact"/>
        <w:rPr>
          <w:sz w:val="20"/>
          <w:szCs w:val="20"/>
          <w:color w:val="auto"/>
        </w:rPr>
      </w:pPr>
    </w:p>
    <w:p>
      <w:pPr>
        <w:ind w:left="680" w:right="40" w:firstLine="399"/>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Equity in net earnings (losses) of unconsolidated entities </w:t>
      </w:r>
      <w:r>
        <w:rPr>
          <w:rFonts w:ascii="Times New Roman" w:cs="Times New Roman" w:eastAsia="Times New Roman" w:hAnsi="Times New Roman"/>
          <w:sz w:val="13"/>
          <w:szCs w:val="13"/>
          <w:color w:val="auto"/>
        </w:rPr>
        <w:t>— Our “Equity in net losses of unconsolidated entities” for the three- and six-month periods ended June 30, 2007 and 2006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are primarily related to our equity interests in two coal-based synthetic production facilities. Our equity in the losses of these facilities was $23 million and $50 million for the three and six months ended June 30, 2007, respectively. We recognized income of $9 million during the three months ended June 30, 2006 and a loss of $1 million during the six months ended June 30, 2006 due to the activities of these facilities. The increase in equity in losses of unconsolidated entities in 2007 as compared with the prior year is partially attributable to the effect of a partial phase-out of Section 45K credits on our contractual obligations associated with funding the facilities’ losses. The three and six months ended June 30, 2007 includes the impact of an estimated 29% phase-out while the three and six months ended June 30, 2006 included the impact of an estimated 78% phase-out. In addition, the facilities suspended operations in May 2006, further reducing our obligations associated with funding the facilities’ losses for the three and six months ended June 30, 2006. During the three months ended June 30, 2006, we also recognized a cumulative adjustment necessary to appropriately reflect our life-to-date obligations to fund the costs of operating the facilities and the value of our investment. The equity losses generated by the facilities are offset by the tax benefit realized as a result of these investments as discussed below within </w:t>
      </w:r>
      <w:r>
        <w:rPr>
          <w:rFonts w:ascii="Times New Roman" w:cs="Times New Roman" w:eastAsia="Times New Roman" w:hAnsi="Times New Roman"/>
          <w:sz w:val="13"/>
          <w:szCs w:val="13"/>
          <w:i w:val="1"/>
          <w:iCs w:val="1"/>
          <w:color w:val="auto"/>
        </w:rPr>
        <w:t>Provision for income taxes.</w:t>
      </w:r>
    </w:p>
    <w:p>
      <w:pPr>
        <w:spacing w:after="0" w:line="63" w:lineRule="exact"/>
        <w:rPr>
          <w:sz w:val="20"/>
          <w:szCs w:val="20"/>
          <w:color w:val="auto"/>
        </w:rPr>
      </w:pPr>
    </w:p>
    <w:p>
      <w:pPr>
        <w:jc w:val="both"/>
        <w:ind w:left="680" w:right="1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Provision for income taxes </w:t>
      </w:r>
      <w:r>
        <w:rPr>
          <w:rFonts w:ascii="Times New Roman" w:cs="Times New Roman" w:eastAsia="Times New Roman" w:hAnsi="Times New Roman"/>
          <w:sz w:val="13"/>
          <w:szCs w:val="13"/>
          <w:color w:val="auto"/>
        </w:rPr>
        <w:t>— The comparability of our reported income taxes for the three and six months ended June 30, 2007 and 2006 is primarily affected by differences in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impacts of (i) tax audit settlements; (ii) non-conventional fuel tax credits and (iii) tax rate reductions in Canada. In addition, during the second quarter of 2007, we recognized an $8 million benefit related to an increase in state tax credits.</w:t>
      </w:r>
    </w:p>
    <w:p>
      <w:pPr>
        <w:spacing w:after="0" w:line="56" w:lineRule="exact"/>
        <w:rPr>
          <w:sz w:val="20"/>
          <w:szCs w:val="20"/>
          <w:color w:val="auto"/>
        </w:rPr>
      </w:pPr>
    </w:p>
    <w:p>
      <w:pPr>
        <w:ind w:left="680" w:right="420" w:firstLine="399"/>
        <w:spacing w:after="0" w:line="286" w:lineRule="auto"/>
        <w:rPr>
          <w:sz w:val="20"/>
          <w:szCs w:val="20"/>
          <w:color w:val="auto"/>
        </w:rPr>
      </w:pPr>
      <w:r>
        <w:rPr>
          <w:rFonts w:ascii="Times New Roman" w:cs="Times New Roman" w:eastAsia="Times New Roman" w:hAnsi="Times New Roman"/>
          <w:sz w:val="13"/>
          <w:szCs w:val="13"/>
          <w:color w:val="auto"/>
        </w:rPr>
        <w:t>During the three and six months ended June 30, 2007, we settled various federal and state tax audits, resulting in a reduction in income tax expense of $11 million for the three months ended June 30, 2007 and $27 million for the six months ended June 30, 2007. When excluding the effect of interest income, the settlement of various federal and</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80"/>
        <w:spacing w:after="0" w:line="269" w:lineRule="auto"/>
        <w:rPr>
          <w:sz w:val="20"/>
          <w:szCs w:val="20"/>
          <w:color w:val="auto"/>
        </w:rPr>
      </w:pPr>
      <w:r>
        <w:rPr>
          <w:rFonts w:ascii="Times New Roman" w:cs="Times New Roman" w:eastAsia="Times New Roman" w:hAnsi="Times New Roman"/>
          <w:sz w:val="13"/>
          <w:szCs w:val="13"/>
          <w:color w:val="auto"/>
        </w:rPr>
        <w:t>state tax audit matters during the second quarter of 2006 resulted in a reduction in our provision for income taxes of $128 million for the three months ended June 30, 2006, representing a 28.7 percentage point reduction in our effective tax rate. Tax audit settlements resulted in a reduction in our provision for income taxes of $134 million for the six months ended June 30, 2006, representing an 18.2 percentage point reduction in our effective tax rate.</w:t>
      </w:r>
    </w:p>
    <w:p>
      <w:pPr>
        <w:spacing w:after="0" w:line="56"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color w:val="auto"/>
        </w:rPr>
        <w:t xml:space="preserve">Non-conventional fuel tax credits are derived from our landfills and our investments in the two coal-based, synthetic fuel production facilities discussed in the </w:t>
      </w:r>
      <w:r>
        <w:rPr>
          <w:rFonts w:ascii="Times New Roman" w:cs="Times New Roman" w:eastAsia="Times New Roman" w:hAnsi="Times New Roman"/>
          <w:sz w:val="13"/>
          <w:szCs w:val="13"/>
          <w:i w:val="1"/>
          <w:iCs w:val="1"/>
          <w:color w:val="auto"/>
        </w:rPr>
        <w:t>Equity in net losses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unconsolidated entities </w:t>
      </w:r>
      <w:r>
        <w:rPr>
          <w:rFonts w:ascii="Times New Roman" w:cs="Times New Roman" w:eastAsia="Times New Roman" w:hAnsi="Times New Roman"/>
          <w:sz w:val="13"/>
          <w:szCs w:val="13"/>
          <w:color w:val="auto"/>
        </w:rPr>
        <w:t>section above. These tax credits expire at the end of 2007 pursuant to Section 45K of the Internal Revenue Code. Accordingly, at current income levels, we expect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our 2008 effective tax rate will be approximately 40% without the benefit of the tax credits.</w:t>
      </w:r>
    </w:p>
    <w:p>
      <w:pPr>
        <w:spacing w:after="0" w:line="56"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Section 45K tax credits begin phasing out if the price of oil exceeds a threshold annual average price determined by the IRS. We have developed our current expectations for the phase-out of 29% of Section 45K credits using market information for current and forward-looking oil prices as of June 30, 2007. Accordingly, our current estimated effective tax rate could be materially different than our actual 2007 effective tax rate if our expectations for oil prices for the year are inconsistent with actual results. Our synthetic fuel production facility investments resulted in a decrease in our tax provision of $31 million for the three months ended June 30, 2007 and $64 million for the six months ended June 30, 2007. Our effective tax rate for the three and six months ended June 30, 2006 reflected (i) our expectations for the phase-out of 78% of Section 45K tax credits generated during 2006 and (ii) the impact of the suspension of operations at the facility from mid-May 2006 to late September 2006, resulting in an increase in our tax provision of $3 million for the three months ended June 30, 2006 and a decrease in our tax provision of $9 million for the six months ended June 30, 2006.</w:t>
      </w:r>
    </w:p>
    <w:p>
      <w:pPr>
        <w:spacing w:after="0" w:line="64" w:lineRule="exact"/>
        <w:rPr>
          <w:sz w:val="20"/>
          <w:szCs w:val="20"/>
          <w:color w:val="auto"/>
        </w:rPr>
      </w:pPr>
    </w:p>
    <w:p>
      <w:pPr>
        <w:ind w:left="680" w:right="580" w:firstLine="399"/>
        <w:spacing w:after="0" w:line="286" w:lineRule="auto"/>
        <w:rPr>
          <w:sz w:val="20"/>
          <w:szCs w:val="20"/>
          <w:color w:val="auto"/>
        </w:rPr>
      </w:pPr>
      <w:r>
        <w:rPr>
          <w:rFonts w:ascii="Times New Roman" w:cs="Times New Roman" w:eastAsia="Times New Roman" w:hAnsi="Times New Roman"/>
          <w:sz w:val="13"/>
          <w:szCs w:val="13"/>
          <w:color w:val="auto"/>
        </w:rPr>
        <w:t>Canadian tax rate reductions and the related revaluation of deferred tax balances resulted in a $3 million tax benefit for the three and six months ended June 30, 2007 and a $20 million tax benefit for the three and six months ended June 30, 2006.</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98"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 (iv) the container and equipment needs of our operations; (v) capping, closure and post-closure activities at our landfills; and (vi) repaying debt and discharging other obligations. We are also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is a summary of our cash, restricted trust and escrow accounts and debt balances as of June 30, 2007 and December 31, 2006 (in millions):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7"/>
        </w:trPr>
        <w:tc>
          <w:tcPr>
            <w:tcW w:w="8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570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 available for use</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cash, cash equivalents and short-term investments available for use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694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798</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Restricted trust and escrow accounts:</w:t>
            </w: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Tax-exempt bond funds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Closure, post-closure and environmental remediation funds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service funds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restricted trust and escrow accounts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363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Debt:</w:t>
            </w: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526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822</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portion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7,723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7,495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8,249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8,317</w:t>
            </w:r>
          </w:p>
        </w:tc>
        <w:tc>
          <w:tcPr>
            <w:tcW w:w="0" w:type="dxa"/>
            <w:vAlign w:val="bottom"/>
          </w:tcPr>
          <w:p>
            <w:pPr>
              <w:spacing w:after="0"/>
              <w:rPr>
                <w:sz w:val="1"/>
                <w:szCs w:val="1"/>
                <w:color w:val="auto"/>
              </w:rPr>
            </w:pPr>
          </w:p>
        </w:tc>
      </w:tr>
      <w:tr>
        <w:trPr>
          <w:trHeight w:val="29"/>
        </w:trPr>
        <w:tc>
          <w:tcPr>
            <w:tcW w:w="8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(Decrease) increase in carrying value of debt due to hedge accounting for interest rate swaps</w:t>
            </w: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0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0" w:firstLine="399"/>
        <w:spacing w:after="0" w:line="258" w:lineRule="auto"/>
        <w:rPr>
          <w:sz w:val="20"/>
          <w:szCs w:val="20"/>
          <w:color w:val="auto"/>
        </w:rPr>
      </w:pPr>
      <w:r>
        <w:rPr>
          <w:rFonts w:ascii="Times New Roman" w:cs="Times New Roman" w:eastAsia="Times New Roman" w:hAnsi="Times New Roman"/>
          <w:sz w:val="13"/>
          <w:szCs w:val="13"/>
          <w:color w:val="auto"/>
        </w:rPr>
        <w:t>As of June 30, 2007, the most significant components of the current portion of our debt included $300 million of 7.125% senior notes that mature in October 2007, $70 million of advances outstanding under our Canadian credit facility and $62 million of tax-exempt project bonds. The significant decline in the current portion of our debt from December 31, 2006 is largely due to our classification of $240 million of the borrowings under the Canadian credit facility as long-term as of June 30, 2007. As of June 30, 2007, we expect to repay $70 million of the outstanding advances with available cash within one year and renew the remaining borrowings under the terms of the facility, which matures in November 2008. As of December 31, 2006, we had classified all borrowings under the Canadian credit facility as current liabilities based on our expectation, at that time, that we would repay the borrowings within one year with available cash. Generally, we expect to repay our current debt obligations as of June 30, 2007 with available cash at maturity. However, we may also consider refinancing current debt obligations on a long-term basis when we believe that alternative uses for our cash flow would provide greater returns for our business.</w:t>
      </w:r>
    </w:p>
    <w:p>
      <w:pPr>
        <w:spacing w:after="0" w:line="64"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We maintain a five-year, $2.4 billion revolving credit facility that matures in August 2011. This facility is currently used to support letters of credit issued for our bonding and financial assurance needs, but may also be used as a source of liquidity.</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Summary of Cash Flow Activity</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is a summary of our cash flows for the six month periods ended June 30 (in millions):</w:t>
      </w:r>
    </w:p>
    <w:p>
      <w:pPr>
        <w:spacing w:after="0" w:line="100"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Six Months</w:t>
      </w:r>
    </w:p>
    <w:p>
      <w:pPr>
        <w:jc w:val="center"/>
        <w:ind w:left="8280"/>
        <w:spacing w:after="0"/>
        <w:rPr>
          <w:sz w:val="20"/>
          <w:szCs w:val="20"/>
          <w:color w:val="auto"/>
        </w:rPr>
      </w:pPr>
      <w:r>
        <w:rPr>
          <w:rFonts w:ascii="Times New Roman" w:cs="Times New Roman" w:eastAsia="Times New Roman" w:hAnsi="Times New Roman"/>
          <w:sz w:val="10"/>
          <w:szCs w:val="10"/>
          <w:b w:val="1"/>
          <w:bCs w:val="1"/>
          <w:color w:val="auto"/>
        </w:rPr>
        <w:t>Ended</w:t>
      </w:r>
    </w:p>
    <w:p>
      <w:pPr>
        <w:jc w:val="center"/>
        <w:ind w:left="8280"/>
        <w:spacing w:after="0" w:line="23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85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3"/>
                <w:szCs w:val="13"/>
                <w:color w:val="auto"/>
              </w:rPr>
              <w:t>1,075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1,180</w:t>
            </w:r>
          </w:p>
        </w:tc>
      </w:tr>
      <w:tr>
        <w:trPr>
          <w:trHeight w:val="181"/>
        </w:trPr>
        <w:tc>
          <w:tcPr>
            <w:tcW w:w="85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400" w:type="dxa"/>
            <w:vAlign w:val="bottom"/>
          </w:tcPr>
          <w:p>
            <w:pPr>
              <w:jc w:val="right"/>
              <w:ind w:right="3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2"/>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r>
      <w:tr>
        <w:trPr>
          <w:trHeight w:val="29"/>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4" w:lineRule="exact"/>
        <w:rPr>
          <w:sz w:val="20"/>
          <w:szCs w:val="20"/>
          <w:color w:val="auto"/>
        </w:rPr>
      </w:pPr>
    </w:p>
    <w:p>
      <w:pPr>
        <w:ind w:left="680" w:right="7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Net Cash Provided by Operating Activities </w:t>
      </w:r>
      <w:r>
        <w:rPr>
          <w:rFonts w:ascii="Times New Roman" w:cs="Times New Roman" w:eastAsia="Times New Roman" w:hAnsi="Times New Roman"/>
          <w:sz w:val="13"/>
          <w:szCs w:val="13"/>
          <w:color w:val="auto"/>
        </w:rPr>
        <w:t>— Cash flows from operations declined $105 million, or 8.9%, when comparing the six months ended June 30, 2007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corresponding prior year period. The most significant</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items affecting the comparison of our operating cash flows for the six months ended June 30, 2007 with the 2006 period are summarized below.</w:t>
      </w:r>
    </w:p>
    <w:p>
      <w:pPr>
        <w:spacing w:after="0" w:line="94" w:lineRule="exact"/>
        <w:rPr>
          <w:sz w:val="20"/>
          <w:szCs w:val="20"/>
          <w:color w:val="auto"/>
        </w:rPr>
      </w:pPr>
    </w:p>
    <w:p>
      <w:pPr>
        <w:ind w:left="1280" w:right="160" w:hanging="190"/>
        <w:spacing w:after="0" w:line="289" w:lineRule="auto"/>
        <w:tabs>
          <w:tab w:leader="none" w:pos="12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Risk management assets and liabilities — </w:t>
      </w:r>
      <w:r>
        <w:rPr>
          <w:rFonts w:ascii="Times New Roman" w:cs="Times New Roman" w:eastAsia="Times New Roman" w:hAnsi="Times New Roman"/>
          <w:sz w:val="13"/>
          <w:szCs w:val="13"/>
          <w:color w:val="auto"/>
        </w:rPr>
        <w:t>During 2006 and 2007, we made changes in the timing of payments for insurance premiums and our per-incident deductibles for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auto insurance programs. These changes negatively affected the comparison of our cash flow from operations by approximately $75 million.</w:t>
      </w:r>
    </w:p>
    <w:p>
      <w:pPr>
        <w:spacing w:after="0" w:line="33" w:lineRule="exact"/>
        <w:rPr>
          <w:rFonts w:ascii="Times New Roman" w:cs="Times New Roman" w:eastAsia="Times New Roman" w:hAnsi="Times New Roman"/>
          <w:sz w:val="13"/>
          <w:szCs w:val="13"/>
          <w:color w:val="auto"/>
        </w:rPr>
      </w:pPr>
    </w:p>
    <w:p>
      <w:pPr>
        <w:ind w:left="1280" w:right="140" w:hanging="190"/>
        <w:spacing w:after="0" w:line="289" w:lineRule="auto"/>
        <w:tabs>
          <w:tab w:leader="none" w:pos="12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Improvement in income from operations </w:t>
      </w:r>
      <w:r>
        <w:rPr>
          <w:rFonts w:ascii="Times New Roman" w:cs="Times New Roman" w:eastAsia="Times New Roman" w:hAnsi="Times New Roman"/>
          <w:sz w:val="13"/>
          <w:szCs w:val="13"/>
          <w:color w:val="auto"/>
        </w:rPr>
        <w:t>— Our income from operations, net of depreciation and amortization, increased by $73 million when comparing the six months 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June 30, 2007 with the comparable prior year period. The increase in operating income has positively affected our cash flows from operations in 2007.</w:t>
      </w:r>
    </w:p>
    <w:p>
      <w:pPr>
        <w:spacing w:after="0" w:line="33" w:lineRule="exact"/>
        <w:rPr>
          <w:rFonts w:ascii="Times New Roman" w:cs="Times New Roman" w:eastAsia="Times New Roman" w:hAnsi="Times New Roman"/>
          <w:sz w:val="13"/>
          <w:szCs w:val="13"/>
          <w:color w:val="auto"/>
        </w:rPr>
      </w:pPr>
    </w:p>
    <w:p>
      <w:pPr>
        <w:ind w:left="1280" w:hanging="190"/>
        <w:spacing w:after="0" w:line="271" w:lineRule="auto"/>
        <w:tabs>
          <w:tab w:leader="none" w:pos="12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Increased bonus payments </w:t>
      </w:r>
      <w:r>
        <w:rPr>
          <w:rFonts w:ascii="Times New Roman" w:cs="Times New Roman" w:eastAsia="Times New Roman" w:hAnsi="Times New Roman"/>
          <w:sz w:val="13"/>
          <w:szCs w:val="13"/>
          <w:color w:val="auto"/>
        </w:rPr>
        <w:t>— Our bonus payments for 2006, which were paid in the first quarter of 2007, were higher than bonus payments for 2005 paid in 2006 due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overall improvement in our financial performance. The comparative changes in our liabilities for bonuses negatively affected the comparison of our cash flow from operations by approximately $55 million.</w:t>
      </w:r>
    </w:p>
    <w:p>
      <w:pPr>
        <w:spacing w:after="0" w:line="44" w:lineRule="exact"/>
        <w:rPr>
          <w:rFonts w:ascii="Times New Roman" w:cs="Times New Roman" w:eastAsia="Times New Roman" w:hAnsi="Times New Roman"/>
          <w:sz w:val="13"/>
          <w:szCs w:val="13"/>
          <w:color w:val="auto"/>
        </w:rPr>
      </w:pPr>
    </w:p>
    <w:p>
      <w:pPr>
        <w:ind w:left="1280" w:right="100" w:hanging="190"/>
        <w:spacing w:after="0" w:line="271" w:lineRule="auto"/>
        <w:tabs>
          <w:tab w:leader="none" w:pos="12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Liabilities for unclaimed property — </w:t>
      </w:r>
      <w:r>
        <w:rPr>
          <w:rFonts w:ascii="Times New Roman" w:cs="Times New Roman" w:eastAsia="Times New Roman" w:hAnsi="Times New Roman"/>
          <w:sz w:val="13"/>
          <w:szCs w:val="13"/>
          <w:color w:val="auto"/>
        </w:rPr>
        <w:t>In 2007, we have made significant cash payments for our obligations associated with unclaimed property, reducing our liabilities. In 2006,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liabilities for unclaimed property increased, primarily due to the charge to earnings required to fully record our obligations. The changes in our recorded obligations for unclaimed property negatively affected the comparison of our cash flow from operations by approximately $20 million.</w:t>
      </w:r>
    </w:p>
    <w:p>
      <w:pPr>
        <w:spacing w:after="0" w:line="44" w:lineRule="exact"/>
        <w:rPr>
          <w:rFonts w:ascii="Times New Roman" w:cs="Times New Roman" w:eastAsia="Times New Roman" w:hAnsi="Times New Roman"/>
          <w:sz w:val="13"/>
          <w:szCs w:val="13"/>
          <w:color w:val="auto"/>
        </w:rPr>
      </w:pPr>
    </w:p>
    <w:p>
      <w:pPr>
        <w:ind w:left="1280" w:right="220" w:hanging="190"/>
        <w:spacing w:after="0" w:line="289" w:lineRule="auto"/>
        <w:tabs>
          <w:tab w:leader="none" w:pos="12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Increased income tax payments </w:t>
      </w:r>
      <w:r>
        <w:rPr>
          <w:rFonts w:ascii="Times New Roman" w:cs="Times New Roman" w:eastAsia="Times New Roman" w:hAnsi="Times New Roman"/>
          <w:sz w:val="13"/>
          <w:szCs w:val="13"/>
          <w:color w:val="auto"/>
        </w:rPr>
        <w:t>— Cash paid for income taxes, net of excess tax benefits associated with equity-based transactions, were approximately $20 million higher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2007 due to higher taxable income.</w:t>
      </w:r>
    </w:p>
    <w:p>
      <w:pPr>
        <w:spacing w:after="0" w:line="45"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The Company recognized a $134 million reduction in its provision for income taxes for the six months ended June 30, 2006 for the settlement of various federal and state tax audit matters. The resolution of these tax matters did not significantly impact our cash taxes paid or our operating cash flows for the six months ended June 30, 2006. This is because the tax benefit of the settlement was recorded as a reduction in our recorded liability balances. Accordingly, the impacts of the tax audit settlements are reflected in the Condensed Consolidated Statement of Cash Flows for the six months ended June 30, 2006 as an increase in net income and as a change in accounts payable and accrued liabilities.</w:t>
      </w:r>
    </w:p>
    <w:p>
      <w:pPr>
        <w:spacing w:after="0" w:line="60" w:lineRule="exact"/>
        <w:rPr>
          <w:sz w:val="20"/>
          <w:szCs w:val="20"/>
          <w:color w:val="auto"/>
        </w:rPr>
      </w:pPr>
    </w:p>
    <w:p>
      <w:pPr>
        <w:ind w:left="680" w:right="1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Net Cash Used in Investing Activities </w:t>
      </w:r>
      <w:r>
        <w:rPr>
          <w:rFonts w:ascii="Times New Roman" w:cs="Times New Roman" w:eastAsia="Times New Roman" w:hAnsi="Times New Roman"/>
          <w:sz w:val="13"/>
          <w:szCs w:val="13"/>
          <w:color w:val="auto"/>
        </w:rPr>
        <w:t>— We used $184 million of our cash resources for investing activities during the six months ended June 30, 2007, a decrease of $375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when compared with the six months ended June 30, 2006. This decrease is primarily due to the following:</w:t>
      </w:r>
    </w:p>
    <w:p>
      <w:pPr>
        <w:spacing w:after="0" w:line="43" w:lineRule="exact"/>
        <w:rPr>
          <w:sz w:val="20"/>
          <w:szCs w:val="20"/>
          <w:color w:val="auto"/>
        </w:rPr>
      </w:pPr>
    </w:p>
    <w:p>
      <w:pPr>
        <w:ind w:left="1280" w:right="20" w:hanging="190"/>
        <w:spacing w:after="0" w:line="271" w:lineRule="auto"/>
        <w:tabs>
          <w:tab w:leader="none" w:pos="12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Change in cash flows from purchases and sales of short-term investments — </w:t>
      </w:r>
      <w:r>
        <w:rPr>
          <w:rFonts w:ascii="Times New Roman" w:cs="Times New Roman" w:eastAsia="Times New Roman" w:hAnsi="Times New Roman"/>
          <w:sz w:val="13"/>
          <w:szCs w:val="13"/>
          <w:color w:val="auto"/>
        </w:rPr>
        <w:t>In the first half of 2007, net sales of short-term investments provided $60 million of cash. In the first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half of 2006, we used $208 million of our cash for net purchases of short-term investments. In 2007, we have used cash provided by net sales of short-term investments to fund our common stock repurchases, dividend payments and debt repayments, all of which have increased when compared with 2006.</w:t>
      </w:r>
    </w:p>
    <w:p>
      <w:pPr>
        <w:spacing w:after="0" w:line="44" w:lineRule="exact"/>
        <w:rPr>
          <w:rFonts w:ascii="Times New Roman" w:cs="Times New Roman" w:eastAsia="Times New Roman" w:hAnsi="Times New Roman"/>
          <w:sz w:val="13"/>
          <w:szCs w:val="13"/>
          <w:color w:val="auto"/>
        </w:rPr>
      </w:pPr>
    </w:p>
    <w:p>
      <w:pPr>
        <w:ind w:left="1280" w:right="160" w:hanging="190"/>
        <w:spacing w:after="0" w:line="271" w:lineRule="auto"/>
        <w:tabs>
          <w:tab w:leader="none" w:pos="12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Increased proceeds from divestitures </w:t>
      </w:r>
      <w:r>
        <w:rPr>
          <w:rFonts w:ascii="Times New Roman" w:cs="Times New Roman" w:eastAsia="Times New Roman" w:hAnsi="Times New Roman"/>
          <w:sz w:val="13"/>
          <w:szCs w:val="13"/>
          <w:color w:val="auto"/>
        </w:rPr>
        <w:t>— Proceeds from divestitures of businesses (net of cash divested) and other sales of assets increased $61 million when comparing the six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months ended June 30, 2007 with the comparable prior year period. In 2007, our proceeds from divestitures have been driven by the sale of collection, transfer and recycling operations in the eastern United States.</w:t>
      </w:r>
    </w:p>
    <w:p>
      <w:pPr>
        <w:spacing w:after="0" w:line="44" w:lineRule="exact"/>
        <w:rPr>
          <w:rFonts w:ascii="Times New Roman" w:cs="Times New Roman" w:eastAsia="Times New Roman" w:hAnsi="Times New Roman"/>
          <w:sz w:val="13"/>
          <w:szCs w:val="13"/>
          <w:color w:val="auto"/>
        </w:rPr>
      </w:pPr>
    </w:p>
    <w:p>
      <w:pPr>
        <w:ind w:left="1280" w:right="360" w:hanging="190"/>
        <w:spacing w:after="0" w:line="289" w:lineRule="auto"/>
        <w:tabs>
          <w:tab w:leader="none" w:pos="12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Decline in capital expenditures </w:t>
      </w:r>
      <w:r>
        <w:rPr>
          <w:rFonts w:ascii="Times New Roman" w:cs="Times New Roman" w:eastAsia="Times New Roman" w:hAnsi="Times New Roman"/>
          <w:sz w:val="13"/>
          <w:szCs w:val="13"/>
          <w:color w:val="auto"/>
        </w:rPr>
        <w:t>— Capital expenditures during the six months ended June 30, 2007 were $46 million less than in the first half of 2006. The decrease is due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primarily to a decrease in spending on our fleet during the first half of 2007 resulting from increased fleet spending during the latter part of 2006.</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Net Cash Used in Financing Activities </w:t>
      </w:r>
      <w:r>
        <w:rPr>
          <w:rFonts w:ascii="Times New Roman" w:cs="Times New Roman" w:eastAsia="Times New Roman" w:hAnsi="Times New Roman"/>
          <w:sz w:val="13"/>
          <w:szCs w:val="13"/>
          <w:color w:val="auto"/>
        </w:rPr>
        <w:t>— We used $937 million of our cash resources for financing activities during 2007, an increase of $219 million when compared with 2006.</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This increase is primarily due to the following:</w:t>
      </w:r>
    </w:p>
    <w:p>
      <w:pPr>
        <w:spacing w:after="0" w:line="81" w:lineRule="exact"/>
        <w:rPr>
          <w:sz w:val="20"/>
          <w:szCs w:val="20"/>
          <w:color w:val="auto"/>
        </w:rPr>
      </w:pPr>
    </w:p>
    <w:p>
      <w:pPr>
        <w:ind w:left="1280" w:right="20" w:hanging="190"/>
        <w:spacing w:after="0" w:line="289" w:lineRule="auto"/>
        <w:tabs>
          <w:tab w:leader="none" w:pos="12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Decline in proceeds and tax benefits from the exercise of options and warrants — </w:t>
      </w:r>
      <w:r>
        <w:rPr>
          <w:rFonts w:ascii="Times New Roman" w:cs="Times New Roman" w:eastAsia="Times New Roman" w:hAnsi="Times New Roman"/>
          <w:sz w:val="13"/>
          <w:szCs w:val="13"/>
          <w:color w:val="auto"/>
        </w:rPr>
        <w:t>The exercise of common stock options and warrants and related excess tax benefits generated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total of $131 million of financing cash flow during 2007, a decrease of $102 million from the comparable prior year period. We believe that stock</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1" w:right="1079"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1280" w:right="160"/>
        <w:spacing w:after="0" w:line="286" w:lineRule="auto"/>
        <w:rPr>
          <w:sz w:val="20"/>
          <w:szCs w:val="20"/>
          <w:color w:val="auto"/>
        </w:rPr>
      </w:pPr>
      <w:r>
        <w:rPr>
          <w:rFonts w:ascii="Times New Roman" w:cs="Times New Roman" w:eastAsia="Times New Roman" w:hAnsi="Times New Roman"/>
          <w:sz w:val="13"/>
          <w:szCs w:val="13"/>
          <w:color w:val="auto"/>
        </w:rPr>
        <w:t>option and warrant exercises were relatively higher in the first half of 2006 due to the accelerated vesting of all outstanding stock options in December 2005 and the substantial increase in the market price of our common stock during 2006.</w:t>
      </w:r>
    </w:p>
    <w:p>
      <w:pPr>
        <w:spacing w:after="0" w:line="45" w:lineRule="exact"/>
        <w:rPr>
          <w:sz w:val="20"/>
          <w:szCs w:val="20"/>
          <w:color w:val="auto"/>
        </w:rPr>
      </w:pPr>
    </w:p>
    <w:p>
      <w:pPr>
        <w:ind w:left="1280" w:right="20" w:hanging="190"/>
        <w:spacing w:after="0" w:line="289" w:lineRule="auto"/>
        <w:tabs>
          <w:tab w:leader="none" w:pos="12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 in net debt repayments — </w:t>
      </w:r>
      <w:r>
        <w:rPr>
          <w:rFonts w:ascii="Times New Roman" w:cs="Times New Roman" w:eastAsia="Times New Roman" w:hAnsi="Times New Roman"/>
          <w:sz w:val="13"/>
          <w:szCs w:val="13"/>
          <w:color w:val="auto"/>
        </w:rPr>
        <w:t>During the first half of 2007, net debt repayments were approximately $137 million as compared with $53 million in the first half of 2006.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repayment of tax-exempt bonds and outstanding advances under our Canadian credit facility were the primary components of our current year net debt repayment activity.</w:t>
      </w:r>
    </w:p>
    <w:p>
      <w:pPr>
        <w:spacing w:after="0" w:line="33" w:lineRule="exact"/>
        <w:rPr>
          <w:rFonts w:ascii="Times New Roman" w:cs="Times New Roman" w:eastAsia="Times New Roman" w:hAnsi="Times New Roman"/>
          <w:sz w:val="13"/>
          <w:szCs w:val="13"/>
          <w:color w:val="auto"/>
        </w:rPr>
      </w:pPr>
    </w:p>
    <w:p>
      <w:pPr>
        <w:ind w:left="1280" w:hanging="190"/>
        <w:spacing w:after="0" w:line="264" w:lineRule="auto"/>
        <w:tabs>
          <w:tab w:leader="none" w:pos="128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Increased share repurchases and dividend payments — </w:t>
      </w:r>
      <w:r>
        <w:rPr>
          <w:rFonts w:ascii="Times New Roman" w:cs="Times New Roman" w:eastAsia="Times New Roman" w:hAnsi="Times New Roman"/>
          <w:sz w:val="13"/>
          <w:szCs w:val="13"/>
          <w:color w:val="auto"/>
        </w:rPr>
        <w:t>During the first half of 2007, we repurchased 19.6 million shares of our common stock in open market transactions for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aggregate of $686 million. Approximately $3 million of our second quarter share repurchases was paid in July 2007. We repurchased 18.8 million shares of our common stock for $639 million during the first half of 2006, of which $12 million was settled in cash in July 2006. During the first half of 2007, the Company paid two quarterly dividends of $0.24 per share for an aggregate of $251 million compared with $0.22 per share quarterly dividends paid in the first half of 2006 for an aggregate of $240 million.</w:t>
      </w:r>
    </w:p>
    <w:p>
      <w:pPr>
        <w:spacing w:after="0" w:line="13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Liquidity Impacts of Uncertain Tax Positions</w:t>
      </w:r>
    </w:p>
    <w:p>
      <w:pPr>
        <w:spacing w:after="0" w:line="100"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As discussed in Note 5 to our Condensed Consolidated Financial Statements, we have liabilities associated with unrecognized tax benefits and related interest. These liabilities are primarily included as a component of long-term “Other liabilities” in our Condensed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96" w:lineRule="exact"/>
        <w:rPr>
          <w:sz w:val="20"/>
          <w:szCs w:val="20"/>
          <w:color w:val="auto"/>
        </w:rPr>
      </w:pPr>
    </w:p>
    <w:p>
      <w:pPr>
        <w:ind w:left="680" w:firstLine="399"/>
        <w:spacing w:after="0" w:line="268" w:lineRule="auto"/>
        <w:rPr>
          <w:sz w:val="20"/>
          <w:szCs w:val="20"/>
          <w:color w:val="auto"/>
        </w:rPr>
      </w:pPr>
      <w:r>
        <w:rPr>
          <w:rFonts w:ascii="Times New Roman" w:cs="Times New Roman" w:eastAsia="Times New Roman" w:hAnsi="Times New Roman"/>
          <w:sz w:val="13"/>
          <w:szCs w:val="13"/>
          <w:color w:val="auto"/>
        </w:rPr>
        <w:t xml:space="preserve">We are party to guarantee arrangements with unconsolidated entities as discussed in the </w:t>
      </w:r>
      <w:r>
        <w:rPr>
          <w:rFonts w:ascii="Times New Roman" w:cs="Times New Roman" w:eastAsia="Times New Roman" w:hAnsi="Times New Roman"/>
          <w:sz w:val="13"/>
          <w:szCs w:val="13"/>
          <w:i w:val="1"/>
          <w:iCs w:val="1"/>
          <w:color w:val="auto"/>
        </w:rPr>
        <w:t>Guarantees</w:t>
      </w:r>
      <w:r>
        <w:rPr>
          <w:rFonts w:ascii="Times New Roman" w:cs="Times New Roman" w:eastAsia="Times New Roman" w:hAnsi="Times New Roman"/>
          <w:sz w:val="13"/>
          <w:szCs w:val="13"/>
          <w:color w:val="auto"/>
        </w:rPr>
        <w:t xml:space="preserve"> section of Note 9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six months ended June 30, 2007 nor are they expected to have a material impact on our future financial position, results of operations or liquidity.</w:t>
      </w:r>
    </w:p>
    <w:p>
      <w:pPr>
        <w:spacing w:after="0" w:line="29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Seasonal Trends and Inflation</w:t>
      </w:r>
    </w:p>
    <w:p>
      <w:pPr>
        <w:spacing w:after="0" w:line="98" w:lineRule="exact"/>
        <w:rPr>
          <w:sz w:val="20"/>
          <w:szCs w:val="20"/>
          <w:color w:val="auto"/>
        </w:rPr>
      </w:pPr>
    </w:p>
    <w:p>
      <w:pPr>
        <w:ind w:left="680" w:right="100" w:firstLine="399"/>
        <w:spacing w:after="0" w:line="258" w:lineRule="auto"/>
        <w:rPr>
          <w:sz w:val="20"/>
          <w:szCs w:val="20"/>
          <w:color w:val="auto"/>
        </w:rPr>
      </w:pPr>
      <w:r>
        <w:rPr>
          <w:rFonts w:ascii="Times New Roman" w:cs="Times New Roman" w:eastAsia="Times New Roman" w:hAnsi="Times New Roman"/>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experienced in 2004 and 2005, can actually increase our revenues in the areas affected. However, for several reasons, including significant start-up costs, such revenue often generates comparatively lower margins. Certain weather conditions may actually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64"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Controls and Procedures.</w:t>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Effectiveness of Controls and Procedures</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1" w:right="1139"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2"/>
          <w:szCs w:val="12"/>
          <w:b w:val="1"/>
          <w:bCs w:val="1"/>
          <w:i w:val="1"/>
          <w:iCs w:val="1"/>
          <w:color w:val="auto"/>
        </w:rPr>
        <w:t>Legal Proceedings.</w:t>
      </w:r>
    </w:p>
    <w:p>
      <w:pPr>
        <w:spacing w:after="0" w:line="98" w:lineRule="exact"/>
        <w:rPr>
          <w:sz w:val="20"/>
          <w:szCs w:val="20"/>
          <w:color w:val="auto"/>
        </w:rPr>
      </w:pPr>
    </w:p>
    <w:p>
      <w:pPr>
        <w:ind w:left="680" w:right="400" w:firstLine="399"/>
        <w:spacing w:after="0" w:line="289" w:lineRule="auto"/>
        <w:rPr>
          <w:sz w:val="20"/>
          <w:szCs w:val="20"/>
          <w:color w:val="auto"/>
        </w:rPr>
      </w:pPr>
      <w:r>
        <w:rPr>
          <w:rFonts w:ascii="Times New Roman" w:cs="Times New Roman" w:eastAsia="Times New Roman" w:hAnsi="Times New Roman"/>
          <w:sz w:val="13"/>
          <w:szCs w:val="13"/>
          <w:color w:val="auto"/>
        </w:rPr>
        <w:t xml:space="preserve">Information regarding our legal proceedings can be found under the “Litigation” section of Note 9, </w:t>
      </w:r>
      <w:r>
        <w:rPr>
          <w:rFonts w:ascii="Times New Roman" w:cs="Times New Roman" w:eastAsia="Times New Roman" w:hAnsi="Times New Roman"/>
          <w:sz w:val="13"/>
          <w:szCs w:val="13"/>
          <w:i w:val="1"/>
          <w:iCs w:val="1"/>
          <w:color w:val="auto"/>
        </w:rPr>
        <w:t>Commitments and Contingencies</w:t>
      </w:r>
      <w:r>
        <w:rPr>
          <w:rFonts w:ascii="Times New Roman" w:cs="Times New Roman" w:eastAsia="Times New Roman" w:hAnsi="Times New Roman"/>
          <w:sz w:val="13"/>
          <w:szCs w:val="13"/>
          <w:color w:val="auto"/>
        </w:rPr>
        <w:t>, to the Condensed Consolidated Financial Statements.</w:t>
      </w:r>
    </w:p>
    <w:p>
      <w:pPr>
        <w:spacing w:after="0" w:line="120" w:lineRule="exact"/>
        <w:rPr>
          <w:sz w:val="20"/>
          <w:szCs w:val="20"/>
          <w:color w:val="auto"/>
        </w:rPr>
      </w:pPr>
    </w:p>
    <w:p>
      <w:pPr>
        <w:ind w:left="680"/>
        <w:spacing w:after="0"/>
        <w:tabs>
          <w:tab w:leader="none" w:pos="158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3"/>
          <w:szCs w:val="13"/>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There have been no material changes from risk factors previously disclosed in our Form 10-K for the year ended December 31, 2006 in response to Item 1A to Part I of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i w:val="1"/>
          <w:iCs w:val="1"/>
          <w:color w:val="auto"/>
        </w:rPr>
        <w:t>Unregistered Sales of Equity Securities and Use of Proceeds.</w:t>
      </w:r>
    </w:p>
    <w:p>
      <w:pPr>
        <w:spacing w:after="0" w:line="100"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In October 2004, the Company announced that its Board of Directors approved a capital allocation program that included the authorization of up to $1.2 billion of stock repurchases and dividend payments annually for each of 2005, 2006 and 2007. In March 2007, our Board of Directors approved up to $600 million of additional share repurchases for 2007, increasing the maximum amount of capital available for our share repurchases and dividend payments for 2007 to $1.8 billion. All of the common stock repurchases made in 2007 have been pursuant to that program. The following table summarizes our second quarter 2007 share repurchase activity:</w:t>
      </w:r>
    </w:p>
    <w:p>
      <w:pPr>
        <w:spacing w:after="0" w:line="13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Total Number of</w:t>
            </w:r>
          </w:p>
        </w:tc>
        <w:tc>
          <w:tcPr>
            <w:tcW w:w="280" w:type="dxa"/>
            <w:vAlign w:val="bottom"/>
          </w:tcPr>
          <w:p>
            <w:pPr>
              <w:spacing w:after="0"/>
              <w:rPr>
                <w:sz w:val="10"/>
                <w:szCs w:val="10"/>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Approximate Maximum</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200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Shares Purchased as</w:t>
            </w:r>
          </w:p>
        </w:tc>
        <w:tc>
          <w:tcPr>
            <w:tcW w:w="28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0" w:type="dxa"/>
            <w:vAlign w:val="bottom"/>
            <w:gridSpan w:val="3"/>
          </w:tcPr>
          <w:p>
            <w:pPr>
              <w:jc w:val="center"/>
              <w:ind w:right="400"/>
              <w:spacing w:after="0" w:line="108"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0"/>
                <w:szCs w:val="10"/>
                <w:b w:val="1"/>
                <w:bCs w:val="1"/>
                <w:color w:val="auto"/>
              </w:rPr>
              <w:t>Part of Publicly</w:t>
            </w:r>
          </w:p>
        </w:tc>
        <w:tc>
          <w:tcPr>
            <w:tcW w:w="280" w:type="dxa"/>
            <w:vAlign w:val="bottom"/>
          </w:tcPr>
          <w:p>
            <w:pPr>
              <w:spacing w:after="0"/>
              <w:rPr>
                <w:sz w:val="9"/>
                <w:szCs w:val="9"/>
                <w:color w:val="auto"/>
              </w:rPr>
            </w:pPr>
          </w:p>
        </w:tc>
        <w:tc>
          <w:tcPr>
            <w:tcW w:w="210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0"/>
                <w:szCs w:val="10"/>
                <w:b w:val="1"/>
                <w:bCs w:val="1"/>
                <w:color w:val="auto"/>
              </w:rPr>
              <w:t>Dollar Value of Shares that</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rPr>
              <w:t>Price Paid</w:t>
            </w: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Announced Plans or</w:t>
            </w:r>
          </w:p>
        </w:tc>
        <w:tc>
          <w:tcPr>
            <w:tcW w:w="280" w:type="dxa"/>
            <w:vAlign w:val="bottom"/>
          </w:tcPr>
          <w:p>
            <w:pPr>
              <w:spacing w:after="0"/>
              <w:rPr>
                <w:sz w:val="10"/>
                <w:szCs w:val="10"/>
                <w:color w:val="auto"/>
              </w:rPr>
            </w:pP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May yet be Purchased Under</w:t>
            </w:r>
          </w:p>
        </w:tc>
        <w:tc>
          <w:tcPr>
            <w:tcW w:w="0" w:type="dxa"/>
            <w:vAlign w:val="bottom"/>
          </w:tcPr>
          <w:p>
            <w:pPr>
              <w:spacing w:after="0"/>
              <w:rPr>
                <w:sz w:val="1"/>
                <w:szCs w:val="1"/>
                <w:color w:val="auto"/>
              </w:rPr>
            </w:pPr>
          </w:p>
        </w:tc>
      </w:tr>
      <w:tr>
        <w:trPr>
          <w:trHeight w:val="127"/>
        </w:trPr>
        <w:tc>
          <w:tcPr>
            <w:tcW w:w="3120" w:type="dxa"/>
            <w:vAlign w:val="bottom"/>
            <w:gridSpan w:val="2"/>
            <w:vMerge w:val="continue"/>
          </w:tcPr>
          <w:p>
            <w:pPr>
              <w:spacing w:after="0"/>
              <w:rPr>
                <w:sz w:val="11"/>
                <w:szCs w:val="11"/>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Purchased</w:t>
            </w:r>
          </w:p>
        </w:tc>
        <w:tc>
          <w:tcPr>
            <w:tcW w:w="120" w:type="dxa"/>
            <w:vAlign w:val="bottom"/>
          </w:tcPr>
          <w:p>
            <w:pPr>
              <w:spacing w:after="0"/>
              <w:rPr>
                <w:sz w:val="11"/>
                <w:szCs w:val="11"/>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rPr>
              <w:t>per Share(a)</w:t>
            </w: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Programs</w:t>
            </w:r>
          </w:p>
        </w:tc>
        <w:tc>
          <w:tcPr>
            <w:tcW w:w="280" w:type="dxa"/>
            <w:vAlign w:val="bottom"/>
          </w:tcPr>
          <w:p>
            <w:pPr>
              <w:spacing w:after="0"/>
              <w:rPr>
                <w:sz w:val="11"/>
                <w:szCs w:val="11"/>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the Plans or Programs(b)</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1 — 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35.01</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4,450,000</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rPr>
              <w:t>883 Million</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May 1 — 31</w:t>
            </w: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gridSpan w:val="2"/>
          </w:tcPr>
          <w:p>
            <w:pPr>
              <w:ind w:left="1380"/>
              <w:spacing w:after="0"/>
              <w:rPr>
                <w:sz w:val="20"/>
                <w:szCs w:val="20"/>
                <w:color w:val="auto"/>
              </w:rPr>
            </w:pPr>
            <w:r>
              <w:rPr>
                <w:rFonts w:ascii="Times New Roman" w:cs="Times New Roman" w:eastAsia="Times New Roman" w:hAnsi="Times New Roman"/>
                <w:sz w:val="13"/>
                <w:szCs w:val="13"/>
                <w:color w:val="auto"/>
              </w:rPr>
              <w:t>883 Million</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1 — 30</w:t>
            </w: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507,300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39.28</w:t>
            </w:r>
          </w:p>
        </w:tc>
        <w:tc>
          <w:tcPr>
            <w:tcW w:w="2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507,300</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3"/>
                <w:szCs w:val="13"/>
                <w:color w:val="auto"/>
              </w:rPr>
              <w:t>863 Million</w:t>
            </w:r>
          </w:p>
        </w:tc>
        <w:tc>
          <w:tcPr>
            <w:tcW w:w="0" w:type="dxa"/>
            <w:vAlign w:val="bottom"/>
          </w:tcPr>
          <w:p>
            <w:pPr>
              <w:spacing w:after="0"/>
              <w:rPr>
                <w:sz w:val="1"/>
                <w:szCs w:val="1"/>
                <w:color w:val="auto"/>
              </w:rPr>
            </w:pPr>
          </w:p>
        </w:tc>
      </w:tr>
      <w:tr>
        <w:trPr>
          <w:trHeight w:val="166"/>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4,957,300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35.44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4,957,300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1841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6" w:lineRule="exact"/>
        <w:rPr>
          <w:sz w:val="20"/>
          <w:szCs w:val="20"/>
          <w:color w:val="auto"/>
        </w:rPr>
      </w:pPr>
    </w:p>
    <w:p>
      <w:pPr>
        <w:ind w:left="1180" w:hanging="235"/>
        <w:spacing w:after="0"/>
        <w:tabs>
          <w:tab w:leader="none" w:pos="11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the weighted average price paid per share and includes a per share commission paid for all repurchases.</w:t>
      </w:r>
    </w:p>
    <w:p>
      <w:pPr>
        <w:spacing w:after="0" w:line="47" w:lineRule="exact"/>
        <w:rPr>
          <w:rFonts w:ascii="Times New Roman" w:cs="Times New Roman" w:eastAsia="Times New Roman" w:hAnsi="Times New Roman"/>
          <w:sz w:val="13"/>
          <w:szCs w:val="13"/>
          <w:color w:val="auto"/>
        </w:rPr>
      </w:pPr>
    </w:p>
    <w:p>
      <w:pPr>
        <w:ind w:left="1180" w:right="60" w:hanging="243"/>
        <w:spacing w:after="0" w:line="261" w:lineRule="auto"/>
        <w:tabs>
          <w:tab w:leader="none" w:pos="11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period presented, the maximum dollar value of shares that may yet be purchased under the program has been provided as of the end of each respective period. These amounts are not necessarily an indication of the amount we intend to repurchase during the remainder of the year. As discussed above, the amount of capital available for share repurchases during 2007 is $1.8 billion, net of dividends paid. During the six months ended June 30, 2007, we paid $251 million in dividends. The maximum dollar value of shares that may be purchased under the program included in the table above includes the effect of these dividend payments as if all payments had been made at April 1, 2007. However, this amount does not include the impact of dividend payments we expect to make throughout the remainder of 2007 as a result of future dividend declarations.</w:t>
      </w:r>
    </w:p>
    <w:p>
      <w:pPr>
        <w:spacing w:after="0" w:line="2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2"/>
          <w:szCs w:val="12"/>
          <w:b w:val="1"/>
          <w:bCs w:val="1"/>
          <w:i w:val="1"/>
          <w:iCs w:val="1"/>
          <w:color w:val="auto"/>
        </w:rPr>
        <w:t>Submission of Matters to a Vote of Security Holders.</w:t>
      </w:r>
    </w:p>
    <w:p>
      <w:pPr>
        <w:spacing w:after="0" w:line="100" w:lineRule="exact"/>
        <w:rPr>
          <w:sz w:val="20"/>
          <w:szCs w:val="20"/>
          <w:color w:val="auto"/>
        </w:rPr>
      </w:pPr>
    </w:p>
    <w:p>
      <w:pPr>
        <w:jc w:val="both"/>
        <w:ind w:left="680" w:right="880" w:firstLine="399"/>
        <w:spacing w:after="0" w:line="269" w:lineRule="auto"/>
        <w:rPr>
          <w:sz w:val="20"/>
          <w:szCs w:val="20"/>
          <w:color w:val="auto"/>
        </w:rPr>
      </w:pPr>
      <w:r>
        <w:rPr>
          <w:rFonts w:ascii="Times New Roman" w:cs="Times New Roman" w:eastAsia="Times New Roman" w:hAnsi="Times New Roman"/>
          <w:sz w:val="13"/>
          <w:szCs w:val="13"/>
          <w:color w:val="auto"/>
        </w:rPr>
        <w:t>We held our 2007 Annual Meeting of Stockholders on May 4, 2007 in Houston, Texas. A total of 470,610,912 shares of common stock, which is approximately 90% of the common stock outstanding at that time, were represented either in person or by proxy. The following information summarizes the results of the vote on matters submitted at the 2007 Annual Meeting of Stockholders.</w:t>
      </w:r>
    </w:p>
    <w:p>
      <w:pPr>
        <w:spacing w:after="0" w:line="56" w:lineRule="exact"/>
        <w:rPr>
          <w:sz w:val="20"/>
          <w:szCs w:val="20"/>
          <w:color w:val="auto"/>
        </w:rPr>
      </w:pPr>
    </w:p>
    <w:p>
      <w:pPr>
        <w:ind w:left="1220" w:hanging="134"/>
        <w:spacing w:after="0"/>
        <w:tabs>
          <w:tab w:leader="none" w:pos="122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The nine directors listed below were elected until their successors are duly elected and qualified: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6300" w:type="dxa"/>
            <w:vAlign w:val="bottom"/>
          </w:tcPr>
          <w:p>
            <w:pPr>
              <w:spacing w:after="0"/>
              <w:rPr>
                <w:sz w:val="20"/>
                <w:szCs w:val="20"/>
                <w:color w:val="auto"/>
              </w:rPr>
            </w:pPr>
            <w:r>
              <w:rPr>
                <w:rFonts w:ascii="Times New Roman" w:cs="Times New Roman" w:eastAsia="Times New Roman" w:hAnsi="Times New Roman"/>
                <w:sz w:val="10"/>
                <w:szCs w:val="10"/>
                <w:b w:val="1"/>
                <w:bCs w:val="1"/>
                <w:u w:val="single" w:color="auto"/>
                <w:color w:val="auto"/>
              </w:rPr>
              <w:t>D</w:t>
            </w:r>
            <w:r>
              <w:rPr>
                <w:rFonts w:ascii="Times New Roman" w:cs="Times New Roman" w:eastAsia="Times New Roman" w:hAnsi="Times New Roman"/>
                <w:sz w:val="10"/>
                <w:szCs w:val="10"/>
                <w:b w:val="1"/>
                <w:bCs w:val="1"/>
                <w:color w:val="auto"/>
              </w:rPr>
              <w:t>irector</w:t>
            </w:r>
          </w:p>
        </w:tc>
        <w:tc>
          <w:tcPr>
            <w:tcW w:w="1500" w:type="dxa"/>
            <w:vAlign w:val="bottom"/>
            <w:gridSpan w:val="2"/>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For</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Against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Abstain</w:t>
            </w:r>
          </w:p>
        </w:tc>
      </w:tr>
      <w:tr>
        <w:trPr>
          <w:trHeight w:val="29"/>
        </w:trPr>
        <w:tc>
          <w:tcPr>
            <w:tcW w:w="63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Pastora San Juan Cafferty</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460,611,259</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6,949,012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3,050,640</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Frank M. Clark, Jr.</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465,870,070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1,899,681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2,841,160</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Patrick W. Gross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440,438,582</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24,393,207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5,779,121</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Thomas I. Morgan</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465,697,558</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2,074,959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2,838,394</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John C. Pope</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446,879,201</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18,270,862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5,460,849</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W. Robert Reum</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465,761,795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2,011,895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2,837,220</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Steven G. Rothmeier</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464,426,137</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3,224,431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2,960,343</w:t>
            </w:r>
          </w:p>
        </w:tc>
      </w:tr>
      <w:tr>
        <w:trPr>
          <w:trHeight w:val="157"/>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David P. Steiner</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465,614,651</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2,173,629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2,822,631</w:t>
            </w:r>
          </w:p>
        </w:tc>
      </w:tr>
      <w:tr>
        <w:trPr>
          <w:trHeight w:val="1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Thomas H. Weidemeyer</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465,747,547</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2,034,879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2,828,485</w:t>
            </w:r>
          </w:p>
        </w:tc>
      </w:tr>
    </w:tbl>
    <w:p>
      <w:pPr>
        <w:spacing w:after="0" w:line="74" w:lineRule="exact"/>
        <w:rPr>
          <w:sz w:val="20"/>
          <w:szCs w:val="20"/>
          <w:color w:val="auto"/>
        </w:rPr>
      </w:pPr>
    </w:p>
    <w:p>
      <w:pPr>
        <w:ind w:left="1220" w:hanging="134"/>
        <w:spacing w:after="0"/>
        <w:tabs>
          <w:tab w:leader="none" w:pos="122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The appointment of Ernst &amp; Young LLP as the Company’s Independent Registered Public Accounting Firm was ratified: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060" w:type="dxa"/>
            <w:vAlign w:val="bottom"/>
          </w:tcPr>
          <w:p>
            <w:pPr>
              <w:jc w:val="right"/>
              <w:ind w:right="1521"/>
              <w:spacing w:after="0"/>
              <w:rPr>
                <w:sz w:val="20"/>
                <w:szCs w:val="20"/>
                <w:color w:val="auto"/>
              </w:rPr>
            </w:pPr>
            <w:r>
              <w:rPr>
                <w:rFonts w:ascii="Times New Roman" w:cs="Times New Roman" w:eastAsia="Times New Roman" w:hAnsi="Times New Roman"/>
                <w:sz w:val="10"/>
                <w:szCs w:val="10"/>
                <w:b w:val="1"/>
                <w:bCs w:val="1"/>
                <w:color w:val="auto"/>
              </w:rPr>
              <w:t>For</w:t>
            </w:r>
          </w:p>
        </w:tc>
        <w:tc>
          <w:tcPr>
            <w:tcW w:w="3400" w:type="dxa"/>
            <w:vAlign w:val="bottom"/>
          </w:tcPr>
          <w:p>
            <w:pPr>
              <w:jc w:val="right"/>
              <w:ind w:right="1339"/>
              <w:spacing w:after="0"/>
              <w:rPr>
                <w:sz w:val="20"/>
                <w:szCs w:val="20"/>
                <w:color w:val="auto"/>
              </w:rPr>
            </w:pPr>
            <w:r>
              <w:rPr>
                <w:rFonts w:ascii="Times New Roman" w:cs="Times New Roman" w:eastAsia="Times New Roman" w:hAnsi="Times New Roman"/>
                <w:sz w:val="10"/>
                <w:szCs w:val="10"/>
                <w:b w:val="1"/>
                <w:bCs w:val="1"/>
                <w:color w:val="auto"/>
              </w:rPr>
              <w:t>Against</w:t>
            </w:r>
          </w:p>
        </w:tc>
        <w:tc>
          <w:tcPr>
            <w:tcW w:w="4000" w:type="dxa"/>
            <w:vAlign w:val="bottom"/>
          </w:tcPr>
          <w:p>
            <w:pPr>
              <w:jc w:val="right"/>
              <w:ind w:right="1941"/>
              <w:spacing w:after="0"/>
              <w:rPr>
                <w:sz w:val="20"/>
                <w:szCs w:val="20"/>
                <w:color w:val="auto"/>
              </w:rPr>
            </w:pPr>
            <w:r>
              <w:rPr>
                <w:rFonts w:ascii="Times New Roman" w:cs="Times New Roman" w:eastAsia="Times New Roman" w:hAnsi="Times New Roman"/>
                <w:sz w:val="10"/>
                <w:szCs w:val="10"/>
                <w:b w:val="1"/>
                <w:bCs w:val="1"/>
                <w:color w:val="auto"/>
              </w:rPr>
              <w:t>Abstain</w:t>
            </w:r>
          </w:p>
        </w:tc>
      </w:tr>
      <w:tr>
        <w:trPr>
          <w:trHeight w:val="205"/>
        </w:trPr>
        <w:tc>
          <w:tcPr>
            <w:tcW w:w="4060" w:type="dxa"/>
            <w:vAlign w:val="bottom"/>
          </w:tcPr>
          <w:p>
            <w:pPr>
              <w:jc w:val="right"/>
              <w:ind w:right="1341"/>
              <w:spacing w:after="0"/>
              <w:rPr>
                <w:sz w:val="20"/>
                <w:szCs w:val="20"/>
                <w:color w:val="auto"/>
              </w:rPr>
            </w:pPr>
            <w:r>
              <w:rPr>
                <w:rFonts w:ascii="Times New Roman" w:cs="Times New Roman" w:eastAsia="Times New Roman" w:hAnsi="Times New Roman"/>
                <w:sz w:val="13"/>
                <w:szCs w:val="13"/>
                <w:color w:val="auto"/>
              </w:rPr>
              <w:t>466,153,639</w:t>
            </w:r>
          </w:p>
        </w:tc>
        <w:tc>
          <w:tcPr>
            <w:tcW w:w="3400" w:type="dxa"/>
            <w:vAlign w:val="bottom"/>
          </w:tcPr>
          <w:p>
            <w:pPr>
              <w:jc w:val="right"/>
              <w:ind w:right="1399"/>
              <w:spacing w:after="0"/>
              <w:rPr>
                <w:sz w:val="20"/>
                <w:szCs w:val="20"/>
                <w:color w:val="auto"/>
              </w:rPr>
            </w:pPr>
            <w:r>
              <w:rPr>
                <w:rFonts w:ascii="Times New Roman" w:cs="Times New Roman" w:eastAsia="Times New Roman" w:hAnsi="Times New Roman"/>
                <w:sz w:val="13"/>
                <w:szCs w:val="13"/>
                <w:color w:val="auto"/>
              </w:rPr>
              <w:t>1,665,710</w:t>
            </w:r>
          </w:p>
        </w:tc>
        <w:tc>
          <w:tcPr>
            <w:tcW w:w="4000" w:type="dxa"/>
            <w:vAlign w:val="bottom"/>
          </w:tcPr>
          <w:p>
            <w:pPr>
              <w:jc w:val="right"/>
              <w:ind w:right="2021"/>
              <w:spacing w:after="0"/>
              <w:rPr>
                <w:sz w:val="20"/>
                <w:szCs w:val="20"/>
                <w:color w:val="auto"/>
              </w:rPr>
            </w:pPr>
            <w:r>
              <w:rPr>
                <w:rFonts w:ascii="Times New Roman" w:cs="Times New Roman" w:eastAsia="Times New Roman" w:hAnsi="Times New Roman"/>
                <w:sz w:val="13"/>
                <w:szCs w:val="13"/>
                <w:color w:val="auto"/>
              </w:rPr>
              <w:t>2,791,561</w:t>
            </w:r>
          </w:p>
        </w:tc>
      </w:tr>
      <w:tr>
        <w:trPr>
          <w:trHeight w:val="452"/>
        </w:trPr>
        <w:tc>
          <w:tcPr>
            <w:tcW w:w="4060" w:type="dxa"/>
            <w:vAlign w:val="bottom"/>
          </w:tcPr>
          <w:p>
            <w:pPr>
              <w:spacing w:after="0"/>
              <w:rPr>
                <w:sz w:val="24"/>
                <w:szCs w:val="24"/>
                <w:color w:val="auto"/>
              </w:rPr>
            </w:pPr>
          </w:p>
        </w:tc>
        <w:tc>
          <w:tcPr>
            <w:tcW w:w="3400" w:type="dxa"/>
            <w:vAlign w:val="bottom"/>
          </w:tcPr>
          <w:p>
            <w:pPr>
              <w:jc w:val="right"/>
              <w:ind w:right="1659"/>
              <w:spacing w:after="0"/>
              <w:rPr>
                <w:sz w:val="20"/>
                <w:szCs w:val="20"/>
                <w:color w:val="auto"/>
              </w:rPr>
            </w:pPr>
            <w:r>
              <w:rPr>
                <w:rFonts w:ascii="Times New Roman" w:cs="Times New Roman" w:eastAsia="Times New Roman" w:hAnsi="Times New Roman"/>
                <w:sz w:val="13"/>
                <w:szCs w:val="13"/>
                <w:color w:val="auto"/>
              </w:rPr>
              <w:t>48</w:t>
            </w:r>
          </w:p>
        </w:tc>
        <w:tc>
          <w:tcPr>
            <w:tcW w:w="4000" w:type="dxa"/>
            <w:vAlign w:val="bottom"/>
          </w:tcPr>
          <w:p>
            <w:pPr>
              <w:spacing w:after="0"/>
              <w:rPr>
                <w:sz w:val="24"/>
                <w:szCs w:val="24"/>
                <w:color w:val="auto"/>
              </w:rPr>
            </w:pPr>
          </w:p>
        </w:tc>
      </w:tr>
      <w:tr>
        <w:trPr>
          <w:trHeight w:val="161"/>
        </w:trPr>
        <w:tc>
          <w:tcPr>
            <w:tcW w:w="406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-533400</wp:posOffset>
            </wp:positionV>
            <wp:extent cx="1841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-533400</wp:posOffset>
            </wp:positionV>
            <wp:extent cx="1841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-533400</wp:posOffset>
            </wp:positionV>
            <wp:extent cx="184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101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Exhibits.</w:t>
            </w:r>
          </w:p>
        </w:tc>
        <w:tc>
          <w:tcPr>
            <w:tcW w:w="0" w:type="dxa"/>
            <w:vAlign w:val="bottom"/>
          </w:tcPr>
          <w:p>
            <w:pPr>
              <w:spacing w:after="0"/>
              <w:rPr>
                <w:sz w:val="1"/>
                <w:szCs w:val="1"/>
                <w:color w:val="auto"/>
              </w:rPr>
            </w:pPr>
          </w:p>
        </w:tc>
      </w:tr>
      <w:tr>
        <w:trPr>
          <w:trHeight w:val="187"/>
        </w:trPr>
        <w:tc>
          <w:tcPr>
            <w:tcW w:w="1300" w:type="dxa"/>
            <w:vAlign w:val="bottom"/>
          </w:tcPr>
          <w:p>
            <w:pPr>
              <w:ind w:left="7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840" w:type="dxa"/>
            <w:vAlign w:val="bottom"/>
          </w:tcPr>
          <w:p>
            <w:pPr>
              <w:spacing w:after="0"/>
              <w:rPr>
                <w:sz w:val="16"/>
                <w:szCs w:val="16"/>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7"/>
        </w:trPr>
        <w:tc>
          <w:tcPr>
            <w:tcW w:w="1300" w:type="dxa"/>
            <w:vAlign w:val="bottom"/>
          </w:tcPr>
          <w:p>
            <w:pPr>
              <w:ind w:left="940"/>
              <w:spacing w:after="0"/>
              <w:rPr>
                <w:sz w:val="20"/>
                <w:szCs w:val="20"/>
                <w:color w:val="auto"/>
              </w:rPr>
            </w:pPr>
            <w:r>
              <w:rPr>
                <w:rFonts w:ascii="Times New Roman" w:cs="Times New Roman" w:eastAsia="Times New Roman" w:hAnsi="Times New Roman"/>
                <w:sz w:val="10"/>
                <w:szCs w:val="10"/>
                <w:b w:val="1"/>
                <w:bCs w:val="1"/>
                <w:color w:val="auto"/>
              </w:rPr>
              <w:t>No.</w:t>
            </w:r>
          </w:p>
        </w:tc>
        <w:tc>
          <w:tcPr>
            <w:tcW w:w="4840" w:type="dxa"/>
            <w:vAlign w:val="bottom"/>
          </w:tcPr>
          <w:p>
            <w:pPr>
              <w:spacing w:after="0"/>
              <w:rPr>
                <w:sz w:val="11"/>
                <w:szCs w:val="11"/>
                <w:color w:val="auto"/>
              </w:rPr>
            </w:pPr>
          </w:p>
        </w:tc>
        <w:tc>
          <w:tcPr>
            <w:tcW w:w="5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10.1</w:t>
            </w:r>
          </w:p>
        </w:tc>
        <w:tc>
          <w:tcPr>
            <w:tcW w:w="101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Employment Agreement between Waste Management, Inc. and Brett Frazier dated July 13, 2007 (incorporated by reference to Exhibit 10.1 to Form 8-K dated July 13,</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48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12</w:t>
            </w:r>
          </w:p>
        </w:tc>
        <w:tc>
          <w:tcPr>
            <w:tcW w:w="101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Computation of Ratio of Earnings to Fixed Charges</w:t>
            </w: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31.1</w:t>
            </w:r>
          </w:p>
        </w:tc>
        <w:tc>
          <w:tcPr>
            <w:tcW w:w="101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David P. Steiner, Chief Executive Officer</w:t>
            </w: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31.2</w:t>
            </w:r>
          </w:p>
        </w:tc>
        <w:tc>
          <w:tcPr>
            <w:tcW w:w="101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Robert G. Simpson, Senior Vice President and Chief Financial</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016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Officer</w:t>
            </w:r>
          </w:p>
        </w:tc>
        <w:tc>
          <w:tcPr>
            <w:tcW w:w="0" w:type="dxa"/>
            <w:vAlign w:val="bottom"/>
          </w:tcPr>
          <w:p>
            <w:pPr>
              <w:spacing w:after="0"/>
              <w:rPr>
                <w:sz w:val="1"/>
                <w:szCs w:val="1"/>
                <w:color w:val="auto"/>
              </w:rPr>
            </w:pPr>
          </w:p>
        </w:tc>
      </w:tr>
      <w:tr>
        <w:trPr>
          <w:trHeight w:val="157"/>
        </w:trPr>
        <w:tc>
          <w:tcPr>
            <w:tcW w:w="1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32.1</w:t>
            </w:r>
          </w:p>
        </w:tc>
        <w:tc>
          <w:tcPr>
            <w:tcW w:w="101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Certification Pursuant to 18 U.S.C. §1350 of David P. Steiner, Chief Executive Officer</w:t>
            </w:r>
          </w:p>
        </w:tc>
        <w:tc>
          <w:tcPr>
            <w:tcW w:w="0" w:type="dxa"/>
            <w:vAlign w:val="bottom"/>
          </w:tcPr>
          <w:p>
            <w:pPr>
              <w:spacing w:after="0"/>
              <w:rPr>
                <w:sz w:val="1"/>
                <w:szCs w:val="1"/>
                <w:color w:val="auto"/>
              </w:rPr>
            </w:pPr>
          </w:p>
        </w:tc>
      </w:tr>
      <w:tr>
        <w:trPr>
          <w:trHeight w:val="171"/>
        </w:trPr>
        <w:tc>
          <w:tcPr>
            <w:tcW w:w="13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32.2</w:t>
            </w:r>
          </w:p>
        </w:tc>
        <w:tc>
          <w:tcPr>
            <w:tcW w:w="101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  Certification Pursuant to 18 U.S.C. §1350 of Robert G. Simpson, Senior Vice President and Chief Financial Officer</w:t>
            </w:r>
          </w:p>
        </w:tc>
        <w:tc>
          <w:tcPr>
            <w:tcW w:w="0" w:type="dxa"/>
            <w:vAlign w:val="bottom"/>
          </w:tcPr>
          <w:p>
            <w:pPr>
              <w:spacing w:after="0"/>
              <w:rPr>
                <w:sz w:val="1"/>
                <w:szCs w:val="1"/>
                <w:color w:val="auto"/>
              </w:rPr>
            </w:pPr>
          </w:p>
        </w:tc>
      </w:tr>
      <w:tr>
        <w:trPr>
          <w:trHeight w:val="452"/>
        </w:trPr>
        <w:tc>
          <w:tcPr>
            <w:tcW w:w="1300" w:type="dxa"/>
            <w:vAlign w:val="bottom"/>
          </w:tcPr>
          <w:p>
            <w:pPr>
              <w:spacing w:after="0"/>
              <w:rPr>
                <w:sz w:val="24"/>
                <w:szCs w:val="24"/>
                <w:color w:val="auto"/>
              </w:rPr>
            </w:pPr>
          </w:p>
        </w:tc>
        <w:tc>
          <w:tcPr>
            <w:tcW w:w="4840" w:type="dxa"/>
            <w:vAlign w:val="bottom"/>
          </w:tcPr>
          <w:p>
            <w:pPr>
              <w:ind w:left="432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00" w:type="dxa"/>
            <w:vAlign w:val="bottom"/>
            <w:tcBorders>
              <w:bottom w:val="single" w:sz="8" w:color="808080"/>
            </w:tcBorders>
          </w:tcPr>
          <w:p>
            <w:pPr>
              <w:spacing w:after="0"/>
              <w:rPr>
                <w:sz w:val="14"/>
                <w:szCs w:val="14"/>
                <w:color w:val="auto"/>
              </w:rPr>
            </w:pPr>
          </w:p>
        </w:tc>
        <w:tc>
          <w:tcPr>
            <w:tcW w:w="4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-1231900</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98" w:lineRule="exact"/>
        <w:rPr>
          <w:sz w:val="20"/>
          <w:szCs w:val="20"/>
          <w:color w:val="auto"/>
        </w:rPr>
      </w:pPr>
    </w:p>
    <w:p>
      <w:pPr>
        <w:ind w:left="680" w:right="1440"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558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556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WASTE MANAGEMENT, INC.</w:t>
            </w:r>
          </w:p>
        </w:tc>
      </w:tr>
      <w:tr>
        <w:trPr>
          <w:trHeight w:val="801"/>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560" w:type="dxa"/>
            <w:vAlign w:val="bottom"/>
            <w:tcBorders>
              <w:bottom w:val="single" w:sz="8" w:color="auto"/>
            </w:tcBorders>
          </w:tcPr>
          <w:p>
            <w:pPr>
              <w:jc w:val="center"/>
              <w:ind w:right="834"/>
              <w:spacing w:after="0"/>
              <w:rPr>
                <w:sz w:val="20"/>
                <w:szCs w:val="20"/>
                <w:color w:val="auto"/>
              </w:rPr>
            </w:pPr>
            <w:r>
              <w:rPr>
                <w:rFonts w:ascii="Times New Roman" w:cs="Times New Roman" w:eastAsia="Times New Roman" w:hAnsi="Times New Roman"/>
                <w:sz w:val="13"/>
                <w:szCs w:val="13"/>
                <w:color w:val="auto"/>
              </w:rPr>
              <w:t>/s/ ROBERT G. SIMPSON</w:t>
            </w:r>
          </w:p>
        </w:tc>
      </w:tr>
      <w:tr>
        <w:trPr>
          <w:trHeight w:val="137"/>
        </w:trPr>
        <w:tc>
          <w:tcPr>
            <w:tcW w:w="400" w:type="dxa"/>
            <w:vAlign w:val="bottom"/>
          </w:tcPr>
          <w:p>
            <w:pPr>
              <w:spacing w:after="0"/>
              <w:rPr>
                <w:sz w:val="11"/>
                <w:szCs w:val="11"/>
                <w:color w:val="auto"/>
              </w:rPr>
            </w:pPr>
          </w:p>
        </w:tc>
        <w:tc>
          <w:tcPr>
            <w:tcW w:w="5560" w:type="dxa"/>
            <w:vAlign w:val="bottom"/>
          </w:tcPr>
          <w:p>
            <w:pPr>
              <w:jc w:val="center"/>
              <w:ind w:right="814"/>
              <w:spacing w:after="0" w:line="137" w:lineRule="exact"/>
              <w:rPr>
                <w:sz w:val="20"/>
                <w:szCs w:val="20"/>
                <w:color w:val="auto"/>
              </w:rPr>
            </w:pPr>
            <w:r>
              <w:rPr>
                <w:rFonts w:ascii="Times New Roman" w:cs="Times New Roman" w:eastAsia="Times New Roman" w:hAnsi="Times New Roman"/>
                <w:sz w:val="13"/>
                <w:szCs w:val="13"/>
                <w:color w:val="auto"/>
                <w:w w:val="99"/>
              </w:rPr>
              <w:t>Robert G. Simpson</w:t>
            </w:r>
          </w:p>
        </w:tc>
      </w:tr>
      <w:tr>
        <w:trPr>
          <w:trHeight w:val="157"/>
        </w:trPr>
        <w:tc>
          <w:tcPr>
            <w:tcW w:w="4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Times New Roman" w:cs="Times New Roman" w:eastAsia="Times New Roman" w:hAnsi="Times New Roman"/>
                <w:sz w:val="13"/>
                <w:szCs w:val="13"/>
                <w:i w:val="1"/>
                <w:iCs w:val="1"/>
                <w:color w:val="auto"/>
                <w:w w:val="99"/>
              </w:rPr>
              <w:t>Senior Vice President and</w:t>
            </w:r>
          </w:p>
        </w:tc>
      </w:tr>
      <w:tr>
        <w:trPr>
          <w:trHeight w:val="157"/>
        </w:trPr>
        <w:tc>
          <w:tcPr>
            <w:tcW w:w="4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r>
      <w:tr>
        <w:trPr>
          <w:trHeight w:val="173"/>
        </w:trPr>
        <w:tc>
          <w:tcPr>
            <w:tcW w:w="400" w:type="dxa"/>
            <w:vAlign w:val="bottom"/>
          </w:tcPr>
          <w:p>
            <w:pPr>
              <w:spacing w:after="0"/>
              <w:rPr>
                <w:sz w:val="15"/>
                <w:szCs w:val="15"/>
                <w:color w:val="auto"/>
              </w:rPr>
            </w:pPr>
          </w:p>
        </w:tc>
        <w:tc>
          <w:tcPr>
            <w:tcW w:w="5560" w:type="dxa"/>
            <w:vAlign w:val="bottom"/>
          </w:tcPr>
          <w:p>
            <w:pPr>
              <w:jc w:val="center"/>
              <w:ind w:right="814"/>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tc>
      </w:tr>
      <w:tr>
        <w:trPr>
          <w:trHeight w:val="482"/>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WASTE MANAGEMENT, INC.</w:t>
            </w:r>
          </w:p>
        </w:tc>
      </w:tr>
      <w:tr>
        <w:trPr>
          <w:trHeight w:val="79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Times New Roman" w:cs="Times New Roman" w:eastAsia="Times New Roman" w:hAnsi="Times New Roman"/>
                <w:sz w:val="13"/>
                <w:szCs w:val="13"/>
                <w:color w:val="auto"/>
              </w:rPr>
              <w:t>/s/ GREG A. ROBERTSON</w:t>
            </w:r>
          </w:p>
        </w:tc>
      </w:tr>
      <w:tr>
        <w:trPr>
          <w:trHeight w:val="148"/>
        </w:trPr>
        <w:tc>
          <w:tcPr>
            <w:tcW w:w="400" w:type="dxa"/>
            <w:vAlign w:val="bottom"/>
          </w:tcPr>
          <w:p>
            <w:pPr>
              <w:spacing w:after="0"/>
              <w:rPr>
                <w:sz w:val="12"/>
                <w:szCs w:val="12"/>
                <w:color w:val="auto"/>
              </w:rPr>
            </w:pPr>
          </w:p>
        </w:tc>
        <w:tc>
          <w:tcPr>
            <w:tcW w:w="5560" w:type="dxa"/>
            <w:vAlign w:val="bottom"/>
          </w:tcPr>
          <w:p>
            <w:pPr>
              <w:jc w:val="center"/>
              <w:ind w:right="814"/>
              <w:spacing w:after="0" w:line="149" w:lineRule="exact"/>
              <w:rPr>
                <w:sz w:val="20"/>
                <w:szCs w:val="20"/>
                <w:color w:val="auto"/>
              </w:rPr>
            </w:pPr>
            <w:r>
              <w:rPr>
                <w:rFonts w:ascii="Times New Roman" w:cs="Times New Roman" w:eastAsia="Times New Roman" w:hAnsi="Times New Roman"/>
                <w:sz w:val="13"/>
                <w:szCs w:val="13"/>
                <w:color w:val="auto"/>
              </w:rPr>
              <w:t>Greg A. Robertson</w:t>
            </w:r>
          </w:p>
        </w:tc>
      </w:tr>
    </w:tbl>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Vice President and</w:t>
      </w:r>
    </w:p>
    <w:p>
      <w:pPr>
        <w:spacing w:after="0" w:line="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Chief Accounting Officer</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(Principal Accounting Officer)</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Date: July 31, 2007</w:t>
      </w:r>
    </w:p>
    <w:p>
      <w:pPr>
        <w:spacing w:after="0" w:line="29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1" w:right="139"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3520" w:type="dxa"/>
            <w:vAlign w:val="bottom"/>
            <w:gridSpan w:val="3"/>
          </w:tcPr>
          <w:p>
            <w:pPr>
              <w:ind w:left="2020"/>
              <w:spacing w:after="0"/>
              <w:rPr>
                <w:sz w:val="20"/>
                <w:szCs w:val="20"/>
                <w:color w:val="auto"/>
              </w:rPr>
            </w:pPr>
            <w:r>
              <w:rPr>
                <w:rFonts w:ascii="Times New Roman" w:cs="Times New Roman" w:eastAsia="Times New Roman" w:hAnsi="Times New Roman"/>
                <w:sz w:val="13"/>
                <w:szCs w:val="13"/>
                <w:b w:val="1"/>
                <w:bCs w:val="1"/>
                <w:color w:val="auto"/>
              </w:rPr>
              <w:t>EXHIBIT INDEX</w:t>
            </w:r>
          </w:p>
        </w:tc>
        <w:tc>
          <w:tcPr>
            <w:tcW w:w="0" w:type="dxa"/>
            <w:vAlign w:val="bottom"/>
          </w:tcPr>
          <w:p>
            <w:pPr>
              <w:spacing w:after="0"/>
              <w:rPr>
                <w:sz w:val="1"/>
                <w:szCs w:val="1"/>
                <w:color w:val="auto"/>
              </w:rPr>
            </w:pPr>
          </w:p>
        </w:tc>
      </w:tr>
      <w:tr>
        <w:trPr>
          <w:trHeight w:val="187"/>
        </w:trPr>
        <w:tc>
          <w:tcPr>
            <w:tcW w:w="2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7"/>
        </w:trPr>
        <w:tc>
          <w:tcPr>
            <w:tcW w:w="236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No.</w:t>
            </w:r>
          </w:p>
        </w:tc>
        <w:tc>
          <w:tcPr>
            <w:tcW w:w="30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-5715</wp:posOffset>
            </wp:positionV>
            <wp:extent cx="63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3"/>
          <w:szCs w:val="13"/>
          <w:color w:val="auto"/>
        </w:rPr>
        <w:t>10.1</w:t>
      </w:r>
      <w:r>
        <w:rPr>
          <w:sz w:val="20"/>
          <w:szCs w:val="20"/>
          <w:color w:val="auto"/>
        </w:rPr>
        <w:tab/>
      </w:r>
      <w:r>
        <w:rPr>
          <w:rFonts w:ascii="Times New Roman" w:cs="Times New Roman" w:eastAsia="Times New Roman" w:hAnsi="Times New Roman"/>
          <w:sz w:val="13"/>
          <w:szCs w:val="13"/>
          <w:color w:val="auto"/>
        </w:rPr>
        <w:t>—  Employment Agreement between Waste Management, Inc. and Brett Frazier dated July 13, 2007 (incorporated by reference to Exhibit 10.1 to Form 8-K dated July 13,</w:t>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2007)</w:t>
      </w:r>
    </w:p>
    <w:p>
      <w:pPr>
        <w:spacing w:after="0" w:line="8"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3"/>
          <w:szCs w:val="13"/>
          <w:color w:val="auto"/>
        </w:rPr>
        <w:t>12</w:t>
      </w:r>
      <w:r>
        <w:rPr>
          <w:sz w:val="20"/>
          <w:szCs w:val="20"/>
          <w:color w:val="auto"/>
        </w:rPr>
        <w:tab/>
      </w:r>
      <w:r>
        <w:rPr>
          <w:rFonts w:ascii="Times New Roman" w:cs="Times New Roman" w:eastAsia="Times New Roman" w:hAnsi="Times New Roman"/>
          <w:sz w:val="13"/>
          <w:szCs w:val="13"/>
          <w:color w:val="auto"/>
        </w:rPr>
        <w:t>—  Computation of Ratio of Earnings to Fixed Charges</w:t>
      </w:r>
    </w:p>
    <w:p>
      <w:pPr>
        <w:spacing w:after="0" w:line="8"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3"/>
          <w:szCs w:val="13"/>
          <w:color w:val="auto"/>
        </w:rPr>
        <w:t>31.1</w:t>
      </w:r>
      <w:r>
        <w:rPr>
          <w:sz w:val="20"/>
          <w:szCs w:val="20"/>
          <w:color w:val="auto"/>
        </w:rPr>
        <w:tab/>
      </w:r>
      <w:r>
        <w:rPr>
          <w:rFonts w:ascii="Times New Roman" w:cs="Times New Roman" w:eastAsia="Times New Roman" w:hAnsi="Times New Roman"/>
          <w:sz w:val="13"/>
          <w:szCs w:val="13"/>
          <w:color w:val="auto"/>
        </w:rPr>
        <w:t>—  Certification Pursuant to Rule 15d — 14(a) under the Securities Exchange Act of 1934, as amended, of David P. Steiner, Chief Executive Officer</w:t>
      </w:r>
    </w:p>
    <w:p>
      <w:pPr>
        <w:spacing w:after="0" w:line="8" w:lineRule="exact"/>
        <w:rPr>
          <w:sz w:val="20"/>
          <w:szCs w:val="20"/>
          <w:color w:val="auto"/>
        </w:rPr>
      </w:pPr>
    </w:p>
    <w:p>
      <w:pPr>
        <w:ind w:left="1480" w:right="40" w:hanging="818"/>
        <w:spacing w:after="0" w:line="252" w:lineRule="auto"/>
        <w:tabs>
          <w:tab w:leader="none" w:pos="1460" w:val="left"/>
        </w:tabs>
        <w:rPr>
          <w:sz w:val="20"/>
          <w:szCs w:val="20"/>
          <w:color w:val="auto"/>
        </w:rPr>
      </w:pPr>
      <w:r>
        <w:rPr>
          <w:rFonts w:ascii="Times New Roman" w:cs="Times New Roman" w:eastAsia="Times New Roman" w:hAnsi="Times New Roman"/>
          <w:sz w:val="13"/>
          <w:szCs w:val="13"/>
          <w:color w:val="auto"/>
        </w:rPr>
        <w:t>31.2</w:t>
      </w:r>
      <w:r>
        <w:rPr>
          <w:sz w:val="20"/>
          <w:szCs w:val="20"/>
          <w:color w:val="auto"/>
        </w:rPr>
        <w:tab/>
      </w:r>
      <w:r>
        <w:rPr>
          <w:rFonts w:ascii="Times New Roman" w:cs="Times New Roman" w:eastAsia="Times New Roman" w:hAnsi="Times New Roman"/>
          <w:sz w:val="13"/>
          <w:szCs w:val="13"/>
          <w:color w:val="auto"/>
        </w:rPr>
        <w:t>— Certification Pursuant to Rule 15d — 14(a) under the Securities Exchange Act of 1934, as amended, of Robert G. Simpson, Senior Vice President and Chief Financial Officer</w:t>
      </w:r>
    </w:p>
    <w:p>
      <w:pPr>
        <w:spacing w:after="0" w:line="1"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3"/>
          <w:szCs w:val="13"/>
          <w:color w:val="auto"/>
        </w:rPr>
        <w:t>32.1</w:t>
      </w:r>
      <w:r>
        <w:rPr>
          <w:sz w:val="20"/>
          <w:szCs w:val="20"/>
          <w:color w:val="auto"/>
        </w:rPr>
        <w:tab/>
      </w:r>
      <w:r>
        <w:rPr>
          <w:rFonts w:ascii="Times New Roman" w:cs="Times New Roman" w:eastAsia="Times New Roman" w:hAnsi="Times New Roman"/>
          <w:sz w:val="13"/>
          <w:szCs w:val="13"/>
          <w:color w:val="auto"/>
        </w:rPr>
        <w:t>—  Certification Pursuant to 18 U.S.C. §1350 of David P. Steiner, Chief Executive Officer</w:t>
      </w:r>
    </w:p>
    <w:p>
      <w:pPr>
        <w:spacing w:after="0" w:line="8"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3"/>
          <w:szCs w:val="13"/>
          <w:color w:val="auto"/>
        </w:rPr>
        <w:t>32.2</w:t>
      </w:r>
      <w:r>
        <w:rPr>
          <w:sz w:val="20"/>
          <w:szCs w:val="20"/>
          <w:color w:val="auto"/>
        </w:rPr>
        <w:tab/>
      </w:r>
      <w:r>
        <w:rPr>
          <w:rFonts w:ascii="Times New Roman" w:cs="Times New Roman" w:eastAsia="Times New Roman" w:hAnsi="Times New Roman"/>
          <w:sz w:val="13"/>
          <w:szCs w:val="13"/>
          <w:color w:val="auto"/>
        </w:rPr>
        <w:t>—  Certification Pursuant to 18 U.S.C. §1350 of Robert G. Simpson, Senior Vice President and Chief Financial Officer</w:t>
      </w: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0460"/>
          </w:cols>
          <w:pgMar w:left="220" w:top="341" w:right="12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3"/>
          <w:szCs w:val="13"/>
          <w:color w:val="auto"/>
        </w:rPr>
        <w:t>EXHIBIT 12</w:t>
      </w:r>
    </w:p>
    <w:p>
      <w:pPr>
        <w:spacing w:after="0" w:line="242" w:lineRule="exact"/>
        <w:rPr>
          <w:sz w:val="20"/>
          <w:szCs w:val="20"/>
          <w:color w:val="auto"/>
        </w:rPr>
      </w:pPr>
    </w:p>
    <w:p>
      <w:pPr>
        <w:ind w:left="4821"/>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86" w:lineRule="exact"/>
        <w:rPr>
          <w:sz w:val="20"/>
          <w:szCs w:val="20"/>
          <w:color w:val="auto"/>
        </w:rPr>
      </w:pPr>
    </w:p>
    <w:p>
      <w:pPr>
        <w:ind w:left="3761"/>
        <w:spacing w:after="0"/>
        <w:rPr>
          <w:sz w:val="20"/>
          <w:szCs w:val="20"/>
          <w:color w:val="auto"/>
        </w:rPr>
      </w:pPr>
      <w:r>
        <w:rPr>
          <w:rFonts w:ascii="Times New Roman" w:cs="Times New Roman" w:eastAsia="Times New Roman" w:hAnsi="Times New Roman"/>
          <w:sz w:val="13"/>
          <w:szCs w:val="13"/>
          <w:b w:val="1"/>
          <w:bCs w:val="1"/>
          <w:color w:val="auto"/>
        </w:rPr>
        <w:t>COMPUTATION OF RATIO OF EARNINGS TO FIXED CHARGES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5"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0"/>
          <w:szCs w:val="10"/>
          <w:b w:val="1"/>
          <w:bCs w:val="1"/>
          <w:color w:val="auto"/>
        </w:rPr>
        <w:t>Six Months Ended</w:t>
      </w:r>
    </w:p>
    <w:p>
      <w:pPr>
        <w:spacing w:after="0" w:line="5"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1"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2007</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before income taxes, losses in equity investments and minority interests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883</w:t>
            </w:r>
          </w:p>
        </w:tc>
        <w:tc>
          <w:tcPr>
            <w:tcW w:w="500" w:type="dxa"/>
            <w:vAlign w:val="bottom"/>
            <w:gridSpan w:val="2"/>
            <w:shd w:val="clear" w:color="auto" w:fill="CCEEFF"/>
          </w:tcPr>
          <w:p>
            <w:pPr>
              <w:jc w:val="right"/>
              <w:ind w:right="4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758</w:t>
            </w:r>
          </w:p>
        </w:tc>
        <w:tc>
          <w:tcPr>
            <w:tcW w:w="0" w:type="dxa"/>
            <w:vAlign w:val="bottom"/>
          </w:tcPr>
          <w:p>
            <w:pPr>
              <w:spacing w:after="0"/>
              <w:rPr>
                <w:sz w:val="1"/>
                <w:szCs w:val="1"/>
                <w:color w:val="auto"/>
              </w:rPr>
            </w:pPr>
          </w:p>
        </w:tc>
      </w:tr>
      <w:tr>
        <w:trPr>
          <w:trHeight w:val="157"/>
        </w:trPr>
        <w:tc>
          <w:tcPr>
            <w:tcW w:w="9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Fixed charges deducted from income: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267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298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Earnings available for fixed charges (a)</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267</w:t>
            </w:r>
          </w:p>
        </w:tc>
        <w:tc>
          <w:tcPr>
            <w:tcW w:w="5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interest</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Implicit interest in rents</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31</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fixed charges (a)</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Ratio of earnings to fixed charges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3.8x</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2" w:lineRule="exact"/>
        <w:rPr>
          <w:sz w:val="20"/>
          <w:szCs w:val="20"/>
          <w:color w:val="auto"/>
        </w:rPr>
      </w:pPr>
    </w:p>
    <w:p>
      <w:pPr>
        <w:ind w:left="461" w:hanging="461"/>
        <w:spacing w:after="0" w:line="286" w:lineRule="auto"/>
        <w:tabs>
          <w:tab w:leader="none" w:pos="46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interest may be assessed by taxing authorities on any underpayment of income tax, such amounts are classified as a component of income tax expense in our Statements of Operations. For purposes of this disclosure, interest expense related to income tax matters has been excluded from our measurements of “Earnings available for fixed charges” and “Total fixed charges” for all periods presented.</w:t>
      </w:r>
    </w:p>
    <w:p>
      <w:pPr>
        <w:sectPr>
          <w:pgSz w:w="11900" w:h="16838" w:orient="portrait"/>
          <w:cols w:equalWidth="0" w:num="1">
            <w:col w:w="11461"/>
          </w:cols>
          <w:pgMar w:left="219" w:top="716" w:right="2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3"/>
          <w:szCs w:val="13"/>
          <w:color w:val="auto"/>
        </w:rPr>
        <w:t>EXHIBIT 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CERTIFICATION</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 David P. Steiner, certify that:</w:t>
      </w:r>
    </w:p>
    <w:p>
      <w:pPr>
        <w:spacing w:after="0" w:line="86" w:lineRule="exact"/>
        <w:rPr>
          <w:sz w:val="20"/>
          <w:szCs w:val="20"/>
          <w:color w:val="auto"/>
        </w:rPr>
      </w:pPr>
    </w:p>
    <w:p>
      <w:pPr>
        <w:ind w:left="461" w:hanging="461"/>
        <w:spacing w:after="0"/>
        <w:tabs>
          <w:tab w:leader="none" w:pos="46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Waste Management, Inc.;</w:t>
      </w:r>
    </w:p>
    <w:p>
      <w:pPr>
        <w:spacing w:after="0" w:line="96" w:lineRule="exact"/>
        <w:rPr>
          <w:rFonts w:ascii="Times New Roman" w:cs="Times New Roman" w:eastAsia="Times New Roman" w:hAnsi="Times New Roman"/>
          <w:sz w:val="13"/>
          <w:szCs w:val="13"/>
          <w:color w:val="auto"/>
        </w:rPr>
      </w:pPr>
    </w:p>
    <w:p>
      <w:pPr>
        <w:ind w:left="461" w:right="260" w:hanging="461"/>
        <w:spacing w:after="0" w:line="286" w:lineRule="auto"/>
        <w:tabs>
          <w:tab w:leader="none" w:pos="46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13"/>
          <w:szCs w:val="13"/>
          <w:color w:val="auto"/>
        </w:rPr>
      </w:pPr>
    </w:p>
    <w:p>
      <w:pPr>
        <w:ind w:left="461" w:right="60" w:hanging="461"/>
        <w:spacing w:after="0" w:line="286" w:lineRule="auto"/>
        <w:tabs>
          <w:tab w:leader="none" w:pos="46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13"/>
          <w:szCs w:val="13"/>
          <w:color w:val="auto"/>
        </w:rPr>
      </w:pPr>
    </w:p>
    <w:p>
      <w:pPr>
        <w:ind w:left="461" w:right="400" w:hanging="461"/>
        <w:spacing w:after="0" w:line="286" w:lineRule="auto"/>
        <w:tabs>
          <w:tab w:leader="none" w:pos="46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(f))for the registrant and have:</w:t>
      </w:r>
    </w:p>
    <w:p>
      <w:pPr>
        <w:spacing w:after="0" w:line="36" w:lineRule="exact"/>
        <w:rPr>
          <w:rFonts w:ascii="Times New Roman" w:cs="Times New Roman" w:eastAsia="Times New Roman" w:hAnsi="Times New Roman"/>
          <w:sz w:val="13"/>
          <w:szCs w:val="13"/>
          <w:color w:val="auto"/>
        </w:rPr>
      </w:pPr>
    </w:p>
    <w:p>
      <w:pPr>
        <w:ind w:left="901" w:right="120" w:hanging="449"/>
        <w:spacing w:after="0" w:line="286" w:lineRule="auto"/>
        <w:tabs>
          <w:tab w:leader="none" w:pos="90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3"/>
          <w:szCs w:val="13"/>
          <w:color w:val="auto"/>
        </w:rPr>
      </w:pPr>
    </w:p>
    <w:p>
      <w:pPr>
        <w:ind w:left="901" w:right="340" w:hanging="449"/>
        <w:spacing w:after="0" w:line="286" w:lineRule="auto"/>
        <w:tabs>
          <w:tab w:leader="none" w:pos="90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901" w:right="120" w:hanging="449"/>
        <w:spacing w:after="0" w:line="286" w:lineRule="auto"/>
        <w:tabs>
          <w:tab w:leader="none" w:pos="90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901" w:right="100" w:hanging="449"/>
        <w:spacing w:after="0" w:line="286" w:lineRule="auto"/>
        <w:tabs>
          <w:tab w:leader="none" w:pos="90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6" w:lineRule="exact"/>
        <w:rPr>
          <w:rFonts w:ascii="Times New Roman" w:cs="Times New Roman" w:eastAsia="Times New Roman" w:hAnsi="Times New Roman"/>
          <w:sz w:val="13"/>
          <w:szCs w:val="13"/>
          <w:color w:val="auto"/>
        </w:rPr>
      </w:pPr>
    </w:p>
    <w:p>
      <w:pPr>
        <w:ind w:left="461" w:right="40" w:hanging="461"/>
        <w:spacing w:after="0" w:line="286" w:lineRule="auto"/>
        <w:tabs>
          <w:tab w:leader="none" w:pos="46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6" w:lineRule="exact"/>
        <w:rPr>
          <w:rFonts w:ascii="Times New Roman" w:cs="Times New Roman" w:eastAsia="Times New Roman" w:hAnsi="Times New Roman"/>
          <w:sz w:val="13"/>
          <w:szCs w:val="13"/>
          <w:color w:val="auto"/>
        </w:rPr>
      </w:pPr>
    </w:p>
    <w:p>
      <w:pPr>
        <w:ind w:left="901" w:hanging="449"/>
        <w:spacing w:after="0" w:line="286" w:lineRule="auto"/>
        <w:tabs>
          <w:tab w:leader="none" w:pos="90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901" w:hanging="449"/>
        <w:spacing w:after="0"/>
        <w:tabs>
          <w:tab w:leader="none" w:pos="901" w:val="left"/>
        </w:tabs>
        <w:numPr>
          <w:ilvl w:val="1"/>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Date: July 31, 2007</w:t>
      </w:r>
    </w:p>
    <w:p>
      <w:pPr>
        <w:spacing w:after="0" w:line="322" w:lineRule="exact"/>
        <w:rPr>
          <w:sz w:val="20"/>
          <w:szCs w:val="20"/>
          <w:color w:val="auto"/>
        </w:rPr>
      </w:pPr>
    </w:p>
    <w:p>
      <w:pPr>
        <w:ind w:left="5441"/>
        <w:spacing w:after="0"/>
        <w:rPr>
          <w:sz w:val="20"/>
          <w:szCs w:val="20"/>
          <w:color w:val="auto"/>
        </w:rPr>
      </w:pPr>
      <w:r>
        <w:rPr>
          <w:rFonts w:ascii="Times New Roman" w:cs="Times New Roman" w:eastAsia="Times New Roman" w:hAnsi="Times New Roman"/>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13335</wp:posOffset>
            </wp:positionV>
            <wp:extent cx="259016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spacing w:after="0" w:line="1" w:lineRule="exact"/>
        <w:rPr>
          <w:sz w:val="20"/>
          <w:szCs w:val="20"/>
          <w:color w:val="auto"/>
        </w:rPr>
      </w:pPr>
    </w:p>
    <w:p>
      <w:pPr>
        <w:ind w:left="5681"/>
        <w:spacing w:after="0"/>
        <w:rPr>
          <w:sz w:val="20"/>
          <w:szCs w:val="20"/>
          <w:color w:val="auto"/>
        </w:rPr>
      </w:pPr>
      <w:r>
        <w:rPr>
          <w:rFonts w:ascii="Times New Roman" w:cs="Times New Roman" w:eastAsia="Times New Roman" w:hAnsi="Times New Roman"/>
          <w:sz w:val="13"/>
          <w:szCs w:val="13"/>
          <w:color w:val="auto"/>
        </w:rPr>
        <w:t>David P. Steiner</w:t>
      </w:r>
    </w:p>
    <w:p>
      <w:pPr>
        <w:spacing w:after="0" w:line="18" w:lineRule="exact"/>
        <w:rPr>
          <w:sz w:val="20"/>
          <w:szCs w:val="20"/>
          <w:color w:val="auto"/>
        </w:rPr>
      </w:pPr>
    </w:p>
    <w:p>
      <w:pPr>
        <w:ind w:left="5681"/>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ectPr>
          <w:pgSz w:w="11900" w:h="16838" w:orient="portrait"/>
          <w:cols w:equalWidth="0" w:num="1">
            <w:col w:w="11461"/>
          </w:cols>
          <w:pgMar w:left="219" w:top="717" w:right="2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3"/>
          <w:szCs w:val="13"/>
          <w:color w:val="auto"/>
        </w:rPr>
        <w:t>EXHIBIT 31.2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CERTIFICATION</w:t>
      </w:r>
    </w:p>
    <w:p>
      <w:pPr>
        <w:spacing w:after="0" w:line="16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I, Robert G. Simpson, certify that:</w:t>
      </w:r>
    </w:p>
    <w:p>
      <w:pPr>
        <w:spacing w:after="0" w:line="86" w:lineRule="exact"/>
        <w:rPr>
          <w:sz w:val="20"/>
          <w:szCs w:val="20"/>
          <w:color w:val="auto"/>
        </w:rPr>
      </w:pPr>
    </w:p>
    <w:p>
      <w:pPr>
        <w:ind w:left="461" w:hanging="461"/>
        <w:spacing w:after="0"/>
        <w:tabs>
          <w:tab w:leader="none" w:pos="46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Waste Management, Inc.;</w:t>
      </w:r>
    </w:p>
    <w:p>
      <w:pPr>
        <w:spacing w:after="0" w:line="96" w:lineRule="exact"/>
        <w:rPr>
          <w:rFonts w:ascii="Times New Roman" w:cs="Times New Roman" w:eastAsia="Times New Roman" w:hAnsi="Times New Roman"/>
          <w:sz w:val="13"/>
          <w:szCs w:val="13"/>
          <w:color w:val="auto"/>
        </w:rPr>
      </w:pPr>
    </w:p>
    <w:p>
      <w:pPr>
        <w:ind w:left="461" w:right="260" w:hanging="461"/>
        <w:spacing w:after="0" w:line="286" w:lineRule="auto"/>
        <w:tabs>
          <w:tab w:leader="none" w:pos="46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13"/>
          <w:szCs w:val="13"/>
          <w:color w:val="auto"/>
        </w:rPr>
      </w:pPr>
    </w:p>
    <w:p>
      <w:pPr>
        <w:ind w:left="461" w:right="60" w:hanging="461"/>
        <w:spacing w:after="0" w:line="286" w:lineRule="auto"/>
        <w:tabs>
          <w:tab w:leader="none" w:pos="46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13"/>
          <w:szCs w:val="13"/>
          <w:color w:val="auto"/>
        </w:rPr>
      </w:pPr>
    </w:p>
    <w:p>
      <w:pPr>
        <w:ind w:left="461" w:right="400" w:hanging="461"/>
        <w:spacing w:after="0" w:line="286" w:lineRule="auto"/>
        <w:tabs>
          <w:tab w:leader="none" w:pos="46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36" w:lineRule="exact"/>
        <w:rPr>
          <w:rFonts w:ascii="Times New Roman" w:cs="Times New Roman" w:eastAsia="Times New Roman" w:hAnsi="Times New Roman"/>
          <w:sz w:val="13"/>
          <w:szCs w:val="13"/>
          <w:color w:val="auto"/>
        </w:rPr>
      </w:pPr>
    </w:p>
    <w:p>
      <w:pPr>
        <w:ind w:left="901" w:right="120" w:hanging="449"/>
        <w:spacing w:after="0" w:line="286" w:lineRule="auto"/>
        <w:tabs>
          <w:tab w:leader="none" w:pos="90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3"/>
          <w:szCs w:val="13"/>
          <w:color w:val="auto"/>
        </w:rPr>
      </w:pPr>
    </w:p>
    <w:p>
      <w:pPr>
        <w:ind w:left="901" w:right="340" w:hanging="449"/>
        <w:spacing w:after="0" w:line="286" w:lineRule="auto"/>
        <w:tabs>
          <w:tab w:leader="none" w:pos="90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901" w:right="120" w:hanging="449"/>
        <w:spacing w:after="0" w:line="286" w:lineRule="auto"/>
        <w:tabs>
          <w:tab w:leader="none" w:pos="90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901" w:right="100" w:hanging="449"/>
        <w:spacing w:after="0" w:line="286" w:lineRule="auto"/>
        <w:tabs>
          <w:tab w:leader="none" w:pos="90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6" w:lineRule="exact"/>
        <w:rPr>
          <w:rFonts w:ascii="Times New Roman" w:cs="Times New Roman" w:eastAsia="Times New Roman" w:hAnsi="Times New Roman"/>
          <w:sz w:val="13"/>
          <w:szCs w:val="13"/>
          <w:color w:val="auto"/>
        </w:rPr>
      </w:pPr>
    </w:p>
    <w:p>
      <w:pPr>
        <w:ind w:left="461" w:right="40" w:hanging="461"/>
        <w:spacing w:after="0" w:line="286" w:lineRule="auto"/>
        <w:tabs>
          <w:tab w:leader="none" w:pos="46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6" w:lineRule="exact"/>
        <w:rPr>
          <w:rFonts w:ascii="Times New Roman" w:cs="Times New Roman" w:eastAsia="Times New Roman" w:hAnsi="Times New Roman"/>
          <w:sz w:val="13"/>
          <w:szCs w:val="13"/>
          <w:color w:val="auto"/>
        </w:rPr>
      </w:pPr>
    </w:p>
    <w:p>
      <w:pPr>
        <w:ind w:left="901" w:hanging="449"/>
        <w:spacing w:after="0" w:line="286" w:lineRule="auto"/>
        <w:tabs>
          <w:tab w:leader="none" w:pos="90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901" w:hanging="449"/>
        <w:spacing w:after="0"/>
        <w:tabs>
          <w:tab w:leader="none" w:pos="901" w:val="left"/>
        </w:tabs>
        <w:numPr>
          <w:ilvl w:val="1"/>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Date: July 31, 2007</w:t>
      </w:r>
    </w:p>
    <w:p>
      <w:pPr>
        <w:spacing w:after="0" w:line="322" w:lineRule="exact"/>
        <w:rPr>
          <w:sz w:val="20"/>
          <w:szCs w:val="20"/>
          <w:color w:val="auto"/>
        </w:rPr>
      </w:pPr>
    </w:p>
    <w:p>
      <w:pPr>
        <w:ind w:left="5421"/>
        <w:spacing w:after="0"/>
        <w:rPr>
          <w:sz w:val="20"/>
          <w:szCs w:val="20"/>
          <w:color w:val="auto"/>
        </w:rPr>
      </w:pPr>
      <w:r>
        <w:rPr>
          <w:rFonts w:ascii="Times New Roman" w:cs="Times New Roman" w:eastAsia="Times New Roman" w:hAnsi="Times New Roman"/>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13335</wp:posOffset>
            </wp:positionV>
            <wp:extent cx="260286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spacing w:after="0" w:line="1" w:lineRule="exact"/>
        <w:rPr>
          <w:sz w:val="20"/>
          <w:szCs w:val="20"/>
          <w:color w:val="auto"/>
        </w:rPr>
      </w:pPr>
    </w:p>
    <w:p>
      <w:pPr>
        <w:ind w:left="5681"/>
        <w:spacing w:after="0"/>
        <w:rPr>
          <w:sz w:val="20"/>
          <w:szCs w:val="20"/>
          <w:color w:val="auto"/>
        </w:rPr>
      </w:pPr>
      <w:r>
        <w:rPr>
          <w:rFonts w:ascii="Times New Roman" w:cs="Times New Roman" w:eastAsia="Times New Roman" w:hAnsi="Times New Roman"/>
          <w:sz w:val="13"/>
          <w:szCs w:val="13"/>
          <w:color w:val="auto"/>
        </w:rPr>
        <w:t>Robert G. Simpson</w:t>
      </w:r>
    </w:p>
    <w:p>
      <w:pPr>
        <w:spacing w:after="0" w:line="18" w:lineRule="exact"/>
        <w:rPr>
          <w:sz w:val="20"/>
          <w:szCs w:val="20"/>
          <w:color w:val="auto"/>
        </w:rPr>
      </w:pPr>
    </w:p>
    <w:p>
      <w:pPr>
        <w:ind w:left="5681"/>
        <w:spacing w:after="0"/>
        <w:rPr>
          <w:sz w:val="20"/>
          <w:szCs w:val="20"/>
          <w:color w:val="auto"/>
        </w:rPr>
      </w:pPr>
      <w:r>
        <w:rPr>
          <w:rFonts w:ascii="Times New Roman" w:cs="Times New Roman" w:eastAsia="Times New Roman" w:hAnsi="Times New Roman"/>
          <w:sz w:val="13"/>
          <w:szCs w:val="13"/>
          <w:i w:val="1"/>
          <w:iCs w:val="1"/>
          <w:color w:val="auto"/>
        </w:rPr>
        <w:t>Senior Vice President and Chief Financial Officer</w:t>
      </w:r>
    </w:p>
    <w:p>
      <w:pPr>
        <w:sectPr>
          <w:pgSz w:w="11900" w:h="16838" w:orient="portrait"/>
          <w:cols w:equalWidth="0" w:num="1">
            <w:col w:w="11461"/>
          </w:cols>
          <w:pgMar w:left="219" w:top="717" w:right="2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3"/>
          <w:szCs w:val="13"/>
          <w:color w:val="auto"/>
        </w:rPr>
        <w:t>EXHIBIT 32.1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73" w:lineRule="exact"/>
        <w:rPr>
          <w:sz w:val="20"/>
          <w:szCs w:val="20"/>
          <w:color w:val="auto"/>
        </w:rPr>
      </w:pPr>
    </w:p>
    <w:p>
      <w:pPr>
        <w:ind w:right="40" w:firstLine="164"/>
        <w:spacing w:after="0" w:line="286" w:lineRule="auto"/>
        <w:rPr>
          <w:sz w:val="20"/>
          <w:szCs w:val="20"/>
          <w:color w:val="auto"/>
        </w:rPr>
      </w:pPr>
      <w:r>
        <w:rPr>
          <w:rFonts w:ascii="Times New Roman" w:cs="Times New Roman" w:eastAsia="Times New Roman" w:hAnsi="Times New Roman"/>
          <w:sz w:val="13"/>
          <w:szCs w:val="13"/>
          <w:color w:val="auto"/>
        </w:rPr>
        <w:t>In connection with the Quarterly Report of Waste Management, Inc. (the “Company”) on Form 10-Q for the period ended June 30, 2007 as filed with the Securities and Exchange Commission on the date hereof (the “Report”), I, David P. Steiner, Chief Executive Officer of the Company, certify, pursuant to 18 U.S.C. § 1350, as adopted pursuant to § 906 of the Sarbanes-Oxley Act of 2002, that:</w:t>
      </w:r>
    </w:p>
    <w:p>
      <w:pPr>
        <w:spacing w:after="0" w:line="37" w:lineRule="exact"/>
        <w:rPr>
          <w:sz w:val="20"/>
          <w:szCs w:val="20"/>
          <w:color w:val="auto"/>
        </w:rPr>
      </w:pPr>
    </w:p>
    <w:p>
      <w:pPr>
        <w:ind w:left="340" w:hanging="178"/>
        <w:spacing w:after="0"/>
        <w:tabs>
          <w:tab w:leader="none" w:pos="3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86" w:lineRule="exact"/>
        <w:rPr>
          <w:rFonts w:ascii="Times New Roman" w:cs="Times New Roman" w:eastAsia="Times New Roman" w:hAnsi="Times New Roman"/>
          <w:sz w:val="13"/>
          <w:szCs w:val="13"/>
          <w:color w:val="auto"/>
        </w:rPr>
      </w:pPr>
    </w:p>
    <w:p>
      <w:pPr>
        <w:ind w:left="340" w:hanging="178"/>
        <w:spacing w:after="0"/>
        <w:tabs>
          <w:tab w:leader="none" w:pos="3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13335</wp:posOffset>
            </wp:positionV>
            <wp:extent cx="26212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David P. Steiner</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31, 2007</w:t>
      </w:r>
    </w:p>
    <w:p>
      <w:pPr>
        <w:sectPr>
          <w:pgSz w:w="11900" w:h="16838" w:orient="portrait"/>
          <w:cols w:equalWidth="0" w:num="1">
            <w:col w:w="11460"/>
          </w:cols>
          <w:pgMar w:left="220" w:top="716" w:right="2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3"/>
          <w:szCs w:val="13"/>
          <w:color w:val="auto"/>
        </w:rPr>
        <w:t>EXHIBIT 32.2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73" w:lineRule="exact"/>
        <w:rPr>
          <w:sz w:val="20"/>
          <w:szCs w:val="20"/>
          <w:color w:val="auto"/>
        </w:rPr>
      </w:pPr>
    </w:p>
    <w:p>
      <w:pPr>
        <w:ind w:right="40" w:firstLine="164"/>
        <w:spacing w:after="0" w:line="286" w:lineRule="auto"/>
        <w:rPr>
          <w:sz w:val="20"/>
          <w:szCs w:val="20"/>
          <w:color w:val="auto"/>
        </w:rPr>
      </w:pPr>
      <w:r>
        <w:rPr>
          <w:rFonts w:ascii="Times New Roman" w:cs="Times New Roman" w:eastAsia="Times New Roman" w:hAnsi="Times New Roman"/>
          <w:sz w:val="13"/>
          <w:szCs w:val="13"/>
          <w:color w:val="auto"/>
        </w:rPr>
        <w:t>In connection with the Quarterly Report of Waste Management, Inc. (the “Company”) on Form 10-Q for the period ended June 30, 2007 as filed with the Securities and Exchange Commission on the date hereof (the “Report”), I, Robert G. Simpson, Chief Financial Officer of the Company, certify, pursuant to 18 U.S.C. § 1350, as adopted pursuant to § 906 of the Sarbanes-Oxley Act of 2002, that:</w:t>
      </w:r>
    </w:p>
    <w:p>
      <w:pPr>
        <w:spacing w:after="0" w:line="37" w:lineRule="exact"/>
        <w:rPr>
          <w:sz w:val="20"/>
          <w:szCs w:val="20"/>
          <w:color w:val="auto"/>
        </w:rPr>
      </w:pPr>
    </w:p>
    <w:p>
      <w:pPr>
        <w:ind w:left="340" w:hanging="178"/>
        <w:spacing w:after="0"/>
        <w:tabs>
          <w:tab w:leader="none" w:pos="3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86" w:lineRule="exact"/>
        <w:rPr>
          <w:rFonts w:ascii="Times New Roman" w:cs="Times New Roman" w:eastAsia="Times New Roman" w:hAnsi="Times New Roman"/>
          <w:sz w:val="13"/>
          <w:szCs w:val="13"/>
          <w:color w:val="auto"/>
        </w:rPr>
      </w:pPr>
    </w:p>
    <w:p>
      <w:pPr>
        <w:ind w:left="340" w:hanging="178"/>
        <w:spacing w:after="0"/>
        <w:tabs>
          <w:tab w:leader="none" w:pos="3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13335</wp:posOffset>
            </wp:positionV>
            <wp:extent cx="26212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21280" cy="63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Senior Vice President and Chief Financial Officer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31, 2007</w:t>
      </w:r>
    </w:p>
    <w:sectPr>
      <w:pgSz w:w="11900" w:h="16838" w:orient="portrait"/>
      <w:cols w:equalWidth="0" w:num="1">
        <w:col w:w="11460"/>
      </w:cols>
      <w:pgMar w:left="220" w:top="7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lowerRoman"/>
      <w:start w:val="2"/>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decimal"/>
      <w:start w:val="6"/>
    </w:lvl>
  </w:abstractNum>
  <w:abstractNum w:abstractNumId="10">
    <w:nsid w:val="836C40E"/>
    <w:multiLevelType w:val="hybridMultilevel"/>
    <w:lvl w:ilvl="0">
      <w:lvlJc w:val="left"/>
      <w:lvlText w:val="%1."/>
      <w:numFmt w:val="decimal"/>
      <w:start w:val="7"/>
    </w:lvl>
  </w:abstractNum>
  <w:abstractNum w:abstractNumId="11">
    <w:nsid w:val="2901D82"/>
    <w:multiLevelType w:val="hybridMultilevel"/>
    <w:lvl w:ilvl="0">
      <w:lvlJc w:val="left"/>
      <w:lvlText w:val="%1."/>
      <w:numFmt w:val="decimal"/>
      <w:start w:val="8"/>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decimal"/>
      <w:start w:val="9"/>
    </w:lvl>
  </w:abstractNum>
  <w:abstractNum w:abstractNumId="14">
    <w:nsid w:val="1E7FF521"/>
    <w:multiLevelType w:val="hybridMultilevel"/>
    <w:lvl w:ilvl="0">
      <w:lvlJc w:val="left"/>
      <w:lvlText w:val="(%1)"/>
      <w:numFmt w:val="lowerRoman"/>
      <w:start w:val="3"/>
    </w:lvl>
  </w:abstractNum>
  <w:abstractNum w:abstractNumId="15">
    <w:nsid w:val="7C3DBD3D"/>
    <w:multiLevelType w:val="hybridMultilevel"/>
    <w:lvl w:ilvl="0">
      <w:lvlJc w:val="left"/>
      <w:lvlText w:val="%1."/>
      <w:numFmt w:val="decimal"/>
      <w:start w:val="10"/>
    </w:lvl>
  </w:abstractNum>
  <w:abstractNum w:abstractNumId="16">
    <w:nsid w:val="737B8DDC"/>
    <w:multiLevelType w:val="hybridMultilevel"/>
    <w:lvl w:ilvl="0">
      <w:lvlJc w:val="left"/>
      <w:lvlText w:val="%1."/>
      <w:numFmt w:val="decimal"/>
      <w:start w:val="1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5"/>
    </w:lvl>
  </w:abstractNum>
  <w:abstractNum w:abstractNumId="19">
    <w:nsid w:val="4516DDE9"/>
    <w:multiLevelType w:val="hybridMultilevel"/>
    <w:lvl w:ilvl="0">
      <w:lvlJc w:val="left"/>
      <w:lvlText w:val="(%1)"/>
      <w:numFmt w:val="lowerLetter"/>
      <w:start w:val="6"/>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decimal"/>
      <w:start w:val="1"/>
    </w:lvl>
    <w:lvl w:ilvl="1">
      <w:lvlJc w:val="left"/>
      <w:lvlText w:val="(%2)"/>
      <w:numFmt w:val="lowerLetter"/>
      <w:start w:val="2"/>
    </w:lvl>
  </w:abstractNum>
  <w:abstractNum w:abstractNumId="22">
    <w:nsid w:val="419AC241"/>
    <w:multiLevelType w:val="hybridMultilevel"/>
    <w:lvl w:ilvl="0">
      <w:lvlJc w:val="left"/>
      <w:lvlText w:val="%1."/>
      <w:numFmt w:val="decimal"/>
      <w:start w:val="12"/>
    </w:lvl>
    <w:lvl w:ilvl="1">
      <w:lvlJc w:val="left"/>
      <w:lvlText w:val="%2"/>
      <w:numFmt w:val="lowerLetter"/>
      <w:start w:val="1"/>
    </w:lvl>
  </w:abstractNum>
  <w:abstractNum w:abstractNumId="23">
    <w:nsid w:val="5577F8E1"/>
    <w:multiLevelType w:val="hybridMultilevel"/>
    <w:lvl w:ilvl="0">
      <w:lvlJc w:val="left"/>
      <w:lvlText w:val="%1."/>
      <w:numFmt w:val="decimal"/>
      <w:start w:val="13"/>
    </w:lvl>
  </w:abstractNum>
  <w:abstractNum w:abstractNumId="24">
    <w:nsid w:val="440BADFC"/>
    <w:multiLevelType w:val="hybridMultilevel"/>
    <w:lvl w:ilvl="0">
      <w:lvlJc w:val="left"/>
      <w:lvlText w:val="%1."/>
      <w:numFmt w:val="decimal"/>
      <w:start w:val="14"/>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lowerRoman"/>
      <w:start w:val="2"/>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2"/>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2019-12-20T03:55:21Z</dcterms:created>
  <dcterms:modified xsi:type="dcterms:W3CDTF">2019-12-20T03:55:21Z</dcterms:modified>
</cp:coreProperties>
</file>