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182880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13, 2008</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197485</wp:posOffset>
            </wp:positionV>
            <wp:extent cx="3267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Waste Management, Inc. (the “Company”) issued a press release this morning, February 13, 2008, announcing its earnings for the fiscal quarter and full year ended December 31, 2007. A copy of the press release is attached hereto as exhibit 99.1.</w:t>
      </w:r>
    </w:p>
    <w:p>
      <w:pPr>
        <w:spacing w:after="0" w:line="62"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Additionally, as previously announced, the Company is holding a conference call, open to the public, to discuss these results, from 9:00 a.m. to 10:00 a.m. Central time this morning. The call will be webcast live, and may be heard by accessing the Company’s website at www.wm.com. You may also listen to the call by calling (877) 710-6139 and entering the access code 30446447. A replay of the conference call will be available through 5:00 p.m. Central time on February 27, 2008. The replay of the call may be heard over the Internet, by accessing the Company’s website at www.wm.com, or by telephone by dialing 800-642-1687 and entering conference code 30446447.</w:t>
      </w:r>
    </w:p>
    <w:p>
      <w:pPr>
        <w:spacing w:after="0" w:line="80"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On the conference call, management of the Company is expected to discuss its results of operations and projections using certain non-GAAP financial measures. The Company has provided an explanation of its use of such non-GAAP measures, as well as a reconciliation of each of those measures to the most comparable GAAP measures, in the press release, which is attached to this Form 8-K as exhibit 99.1, and the schedules thereto.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February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13, 2008</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56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Number</w:t>
            </w:r>
          </w:p>
        </w:tc>
        <w:tc>
          <w:tcPr>
            <w:tcW w:w="660" w:type="dxa"/>
            <w:vAlign w:val="bottom"/>
          </w:tcPr>
          <w:p>
            <w:pPr>
              <w:spacing w:after="0"/>
              <w:rPr>
                <w:sz w:val="14"/>
                <w:szCs w:val="14"/>
                <w:color w:val="auto"/>
              </w:rPr>
            </w:pPr>
          </w:p>
        </w:tc>
        <w:tc>
          <w:tcPr>
            <w:tcW w:w="9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0400" w:type="dxa"/>
            <w:vAlign w:val="bottom"/>
            <w:gridSpan w:val="2"/>
          </w:tcPr>
          <w:p>
            <w:pPr>
              <w:ind w:left="660"/>
              <w:spacing w:after="0"/>
              <w:rPr>
                <w:sz w:val="20"/>
                <w:szCs w:val="20"/>
                <w:color w:val="auto"/>
              </w:rPr>
            </w:pPr>
            <w:r>
              <w:rPr>
                <w:rFonts w:ascii="Arial" w:cs="Arial" w:eastAsia="Arial" w:hAnsi="Arial"/>
                <w:sz w:val="18"/>
                <w:szCs w:val="18"/>
                <w:color w:val="auto"/>
              </w:rPr>
              <w:t>Press Release dated February 13, 2008</w:t>
            </w:r>
          </w:p>
        </w:tc>
      </w:tr>
    </w:tbl>
    <w:p>
      <w:pPr>
        <w:sectPr>
          <w:pgSz w:w="11900" w:h="16838" w:orient="portrait"/>
          <w:cols w:equalWidth="0" w:num="1">
            <w:col w:w="11420"/>
          </w:cols>
          <w:pgMar w:left="240" w:top="144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223520</wp:posOffset>
            </wp:positionV>
            <wp:extent cx="1603375" cy="557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033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#08-02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Fourth Quarter and Full Year 2007 Earnings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Increases Earnings per Diluted Share by 32.6% in Fourth Quarter of 2007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Expands Full Year 2007 Income from Operations as a Percent of Revenue by Over 170 Basis Points</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HOUSTON — February 13, 2008 — </w:t>
      </w:r>
      <w:r>
        <w:rPr>
          <w:rFonts w:ascii="Arial" w:cs="Arial" w:eastAsia="Arial" w:hAnsi="Arial"/>
          <w:sz w:val="18"/>
          <w:szCs w:val="18"/>
          <w:color w:val="auto"/>
        </w:rPr>
        <w:t>Waste Management, Inc. (NYSE: WMI) today announced financial results for its fourth quarter and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2007. Revenues for the fourth quarter 2007 were $3.36 billion compared with $3.28 billion in the 2006 period, an increase of 2.4%. Net income for the quarter was $309 million, or $0.61 per diluted share, compared with $246 million, or $0.46 per diluted share, for the fourth quarter 2006, or a 32.6% increase in earnings per diluted share.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Company noted several items that impacted the results in the 2006 and 2007 fourth quarters. Excluding these items, net income would have been</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$276 million, or $0.54 per diluted share, in the fourth quarter of 2007 compared with $252 million, or $0.47 per diluted share, in the fourth quarter of 2006, or a 14.9% increase in earnings per diluted share.</w:t>
      </w:r>
      <w:r>
        <w:rPr>
          <w:rFonts w:ascii="Arial" w:cs="Arial" w:eastAsia="Arial" w:hAnsi="Arial"/>
          <w:sz w:val="15"/>
          <w:szCs w:val="15"/>
          <w:color w:val="auto"/>
        </w:rPr>
        <w:t>(a)</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Income from operations as a percent of revenue, as adjusted for these items, increased 150 basis points to 16.9% in the fourth quarter of 2007 compared with 15.4% in the fourth quarter of 2006.</w:t>
      </w:r>
      <w:r>
        <w:rPr>
          <w:rFonts w:ascii="Arial" w:cs="Arial" w:eastAsia="Arial" w:hAnsi="Arial"/>
          <w:sz w:val="15"/>
          <w:szCs w:val="15"/>
          <w:color w:val="auto"/>
        </w:rPr>
        <w:t>(a)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Results in the fourth quarter of 2007 included a net $0.07 per diluted share benefit consisting of:</w:t>
      </w:r>
    </w:p>
    <w:p>
      <w:pPr>
        <w:spacing w:after="0" w:line="117" w:lineRule="exact"/>
        <w:rPr>
          <w:sz w:val="20"/>
          <w:szCs w:val="20"/>
          <w:color w:val="auto"/>
        </w:rPr>
      </w:pPr>
    </w:p>
    <w:p>
      <w:pPr>
        <w:ind w:left="800" w:hanging="454"/>
        <w:spacing w:after="0"/>
        <w:tabs>
          <w:tab w:leader="none" w:pos="8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$31 million income tax benefit resulting primarily from reductions in the Canadian income tax rate.</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$7 million benefit in net income due to gains from divestitures of operations.</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$5 million reduction in net income related to labor disruptions in California.</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Results in the fourth quarter of 2006 included a net charge of $0.01 per diluted share consisting of after-tax charges of $24 million for asset impairments and unusual items partially offset by a combined $18 million benefit to net income from income tax related items.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ended the year on a strong note and are poised for additional earnings growth in 2008. We grew revenues by 2.4% during the fourth quarter due mainly to our disciplined approach to pricing, which led to internal revenue growth on base business from yield of 3.3%,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right="60"/>
        <w:spacing w:after="0" w:line="259" w:lineRule="auto"/>
        <w:rPr>
          <w:sz w:val="20"/>
          <w:szCs w:val="20"/>
          <w:color w:val="auto"/>
        </w:rPr>
      </w:pPr>
      <w:r>
        <w:rPr>
          <w:rFonts w:ascii="Arial" w:cs="Arial" w:eastAsia="Arial" w:hAnsi="Arial"/>
          <w:sz w:val="18"/>
          <w:szCs w:val="18"/>
          <w:color w:val="auto"/>
        </w:rPr>
        <w:t>strength of recycling commodity prices. Partially offsetting these increases were revenue declines caused by lower volumes of 3.8%, primarily in the collection lines of business, as well as the impact of divestitures of certain under-performing operations,” stated David P. Steiner, Chief Executive Officer of Waste Management. “We are pleased with our accomplishments in both the fourth quarter and the full year as we exceeded our expectations for earnings per share growth, margin expansion and the generation of free cash flow.”</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full year 2007, the Company reported revenues of $13.31 billion compared with $13.36 billion in 2006. Earnings per diluted share were $2.23 for the full year 2007 compared with $2.10 for the full year 2006. Income from operations as a percent of revenue increased 170 basis points to 16.9% for the full year of 2007. During fiscal years 2006 and 2007, the Company noted in its earnings press releases a number of items that impacted the full-year results. Excluding the 2007 items, earnings per diluted share were an adjusted $2.07 for the full year 2007. Excluding the 2006 items, earnings per diluted share were an adjusted $1.81 for the full year 2006. On this basis, earnings per diluted share increased 14% during 2007.</w:t>
      </w:r>
      <w:r>
        <w:rPr>
          <w:rFonts w:ascii="Arial" w:cs="Arial" w:eastAsia="Arial" w:hAnsi="Arial"/>
          <w:sz w:val="14"/>
          <w:szCs w:val="14"/>
          <w:color w:val="auto"/>
        </w:rPr>
        <w:t>(a)</w:t>
      </w:r>
    </w:p>
    <w:p>
      <w:pPr>
        <w:spacing w:after="0" w:line="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Steiner continued, “We generated $593 million in net cash from operating activities and $146 million of free cash flow during the quarter. For the year, we produced over $2.4 billion in net cash from operating activities and over $1.5 billion of free cash flow.</w:t>
      </w:r>
      <w:r>
        <w:rPr>
          <w:rFonts w:ascii="Arial" w:cs="Arial" w:eastAsia="Arial" w:hAnsi="Arial"/>
          <w:sz w:val="15"/>
          <w:szCs w:val="15"/>
          <w:color w:val="auto"/>
        </w:rPr>
        <w:t>(a)</w:t>
      </w:r>
      <w:r>
        <w:rPr>
          <w:rFonts w:ascii="Arial" w:cs="Arial" w:eastAsia="Arial" w:hAnsi="Arial"/>
          <w:sz w:val="18"/>
          <w:szCs w:val="18"/>
          <w:color w:val="auto"/>
        </w:rPr>
        <w:t xml:space="preserve"> We returned over $1.9 billion in cash to our shareholders during 2007, which was comprised of cash dividend payments of $495 million and share repurchases of $1.42 billion. Based on our market capitalization at the beginning of 2007, that is a pre-tax cash return of 9.7%.</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fourth quarter 2007 was not without its challenges, including the impact of rising diesel fuel prices, and the increased phase-out of our Section 45K tax credits due to higher crude oil prices. Higher fuel costs caused a $0.01 per share reduction in net income because our fuel surcharge did not keep up with the steep increase in diesel fuel prices. Higher crude oil prices also caused us to lose Section 45K tax credits in the quarter. Coming into the fourth quarter of 2007, we had expected no benefit, but we actually lost $0.01 per share from Section 45K credits in the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Fourth Quarter 2007 and the Full Year 2007</w:t>
      </w:r>
    </w:p>
    <w:p>
      <w:pPr>
        <w:spacing w:after="0" w:line="121" w:lineRule="exact"/>
        <w:rPr>
          <w:sz w:val="20"/>
          <w:szCs w:val="20"/>
          <w:color w:val="auto"/>
        </w:rPr>
      </w:pPr>
    </w:p>
    <w:p>
      <w:pPr>
        <w:ind w:left="800" w:right="380" w:hanging="454"/>
        <w:spacing w:after="0" w:line="277" w:lineRule="auto"/>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was 7.1% during the quarter including the positive impact of higher pricing in our base business, stronger recycling commodity prices and our fuel surcharge program.</w:t>
      </w:r>
    </w:p>
    <w:p>
      <w:pPr>
        <w:spacing w:after="0" w:line="75" w:lineRule="exact"/>
        <w:rPr>
          <w:rFonts w:ascii="Arial" w:cs="Arial" w:eastAsia="Arial" w:hAnsi="Arial"/>
          <w:sz w:val="18"/>
          <w:szCs w:val="18"/>
          <w:b w:val="1"/>
          <w:bCs w:val="1"/>
          <w:color w:val="auto"/>
        </w:rPr>
      </w:pPr>
    </w:p>
    <w:p>
      <w:pPr>
        <w:ind w:left="800" w:hanging="454"/>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on base business due to yield was 3.3% in both the fourth quarter of 2007 and for the full year 2007.</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Higher recycling commodity prices contributed 2.9% to internal revenue growth from yield in the fourth quarter.</w:t>
      </w:r>
    </w:p>
    <w:p>
      <w:pPr>
        <w:spacing w:after="0" w:line="130" w:lineRule="exact"/>
        <w:rPr>
          <w:rFonts w:ascii="Arial" w:cs="Arial" w:eastAsia="Arial" w:hAnsi="Arial"/>
          <w:sz w:val="18"/>
          <w:szCs w:val="18"/>
          <w:b w:val="1"/>
          <w:bCs w:val="1"/>
          <w:color w:val="auto"/>
        </w:rPr>
      </w:pPr>
    </w:p>
    <w:p>
      <w:pPr>
        <w:jc w:val="both"/>
        <w:ind w:left="800" w:right="220" w:hanging="454"/>
        <w:spacing w:after="0" w:line="342" w:lineRule="auto"/>
        <w:tabs>
          <w:tab w:leader="none" w:pos="80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Higher fuel surcharge revenue contributed 0.9% to internal revenue growth in the fourth quarter. However, the steep run-up in diesel fuel prices during the fourth quarter resulted in fuel costs increasing faster than fuel surcharge revenue, causing a $0.01 per share reduction in net income.</w:t>
      </w:r>
    </w:p>
    <w:p>
      <w:pPr>
        <w:spacing w:after="0" w:line="29" w:lineRule="exact"/>
        <w:rPr>
          <w:rFonts w:ascii="Arial" w:cs="Arial" w:eastAsia="Arial" w:hAnsi="Arial"/>
          <w:sz w:val="16"/>
          <w:szCs w:val="16"/>
          <w:b w:val="1"/>
          <w:bCs w:val="1"/>
          <w:color w:val="auto"/>
        </w:rPr>
      </w:pPr>
    </w:p>
    <w:p>
      <w:pPr>
        <w:ind w:left="800" w:right="400" w:hanging="454"/>
        <w:spacing w:after="0" w:line="277" w:lineRule="auto"/>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Divestitures caused a 2.2% decline in revenues in the quarter, while acquisitions added 0.4% to revenue growth. Foreign currency translation contributed an additional 0.9% to revenue growth in the quarter.</w:t>
      </w:r>
    </w:p>
    <w:p>
      <w:pPr>
        <w:spacing w:after="0" w:line="75" w:lineRule="exact"/>
        <w:rPr>
          <w:rFonts w:ascii="Arial" w:cs="Arial" w:eastAsia="Arial" w:hAnsi="Arial"/>
          <w:sz w:val="18"/>
          <w:szCs w:val="18"/>
          <w:b w:val="1"/>
          <w:bCs w:val="1"/>
          <w:color w:val="auto"/>
        </w:rPr>
      </w:pPr>
    </w:p>
    <w:p>
      <w:pPr>
        <w:ind w:left="800" w:hanging="454"/>
        <w:spacing w:after="0"/>
        <w:tabs>
          <w:tab w:leader="none" w:pos="8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Internal revenue growth from volume for the entire Company was a negative 3.8% in the quarter, and a negative 4.5% for the full year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7" w:name="page8"/>
    <w:bookmarkEnd w:id="7"/>
    <w:p>
      <w:pPr>
        <w:ind w:left="800" w:hanging="454"/>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was $593 million in the quarter and $2.44 billion for the full year.</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Capital expenditures were $490 million in the quarter and $1.21 billion for the full year.</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Free cash flow was $146 million in the quarter and $1.51 billion for the full year.</w:t>
      </w:r>
      <w:r>
        <w:rPr>
          <w:rFonts w:ascii="Arial" w:cs="Arial" w:eastAsia="Arial" w:hAnsi="Arial"/>
          <w:sz w:val="15"/>
          <w:szCs w:val="15"/>
          <w:color w:val="auto"/>
        </w:rPr>
        <w:t>(a)</w:t>
      </w:r>
    </w:p>
    <w:p>
      <w:pPr>
        <w:spacing w:after="0" w:line="130" w:lineRule="exact"/>
        <w:rPr>
          <w:rFonts w:ascii="Arial" w:cs="Arial" w:eastAsia="Arial" w:hAnsi="Arial"/>
          <w:sz w:val="18"/>
          <w:szCs w:val="18"/>
          <w:b w:val="1"/>
          <w:bCs w:val="1"/>
          <w:color w:val="auto"/>
        </w:rPr>
      </w:pPr>
    </w:p>
    <w:p>
      <w:pPr>
        <w:ind w:left="800" w:right="600" w:hanging="454"/>
        <w:spacing w:after="0" w:line="277" w:lineRule="auto"/>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Operating expenses were 63.5% of revenue during the quarter, down from 64.2% of revenue for the same period in 2006. For the full year, operating expenses were 63.1% of revenue, down from 64.3% of revenue for the full year 2006.</w:t>
      </w:r>
    </w:p>
    <w:p>
      <w:pPr>
        <w:spacing w:after="0" w:line="75" w:lineRule="exact"/>
        <w:rPr>
          <w:rFonts w:ascii="Arial" w:cs="Arial" w:eastAsia="Arial" w:hAnsi="Arial"/>
          <w:sz w:val="18"/>
          <w:szCs w:val="18"/>
          <w:b w:val="1"/>
          <w:bCs w:val="1"/>
          <w:color w:val="auto"/>
        </w:rPr>
      </w:pPr>
    </w:p>
    <w:p>
      <w:pPr>
        <w:ind w:left="800" w:hanging="454"/>
        <w:spacing w:after="0"/>
        <w:tabs>
          <w:tab w:leader="none" w:pos="8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Returned $483 million to shareholders during the quarter, consisting of $362 million in common stock repurchases, or 9.9 million shares, and</w:t>
      </w:r>
    </w:p>
    <w:p>
      <w:pPr>
        <w:spacing w:after="0" w:line="34" w:lineRule="exact"/>
        <w:rPr>
          <w:rFonts w:ascii="Arial" w:cs="Arial" w:eastAsia="Arial" w:hAnsi="Arial"/>
          <w:sz w:val="17"/>
          <w:szCs w:val="17"/>
          <w:b w:val="1"/>
          <w:bCs w:val="1"/>
          <w:color w:val="auto"/>
        </w:rPr>
      </w:pPr>
    </w:p>
    <w:p>
      <w:pPr>
        <w:ind w:left="80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$121 million in cash dividends. For the full year, repurchases of common stock totaled $1.42 billion, or 39.9 million shares. Dividends paid totaled $495 million for the full year.</w:t>
      </w:r>
    </w:p>
    <w:p>
      <w:pPr>
        <w:spacing w:after="0" w:line="89" w:lineRule="exact"/>
        <w:rPr>
          <w:rFonts w:ascii="Arial" w:cs="Arial" w:eastAsia="Arial" w:hAnsi="Arial"/>
          <w:sz w:val="17"/>
          <w:szCs w:val="17"/>
          <w:b w:val="1"/>
          <w:bCs w:val="1"/>
          <w:color w:val="auto"/>
        </w:rPr>
      </w:pPr>
    </w:p>
    <w:p>
      <w:pPr>
        <w:ind w:left="800" w:hanging="454"/>
        <w:spacing w:after="0" w:line="259" w:lineRule="auto"/>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effective tax rate in the quarter, adjusted for the $31 million in non-recurring tax items, was approximately 39%. This reflects a 69% phase-out of Section 45K tax credits due to higher crude oil prices, offset by the utilization of tax loss carry forwards resulting from improved operating results. The impact of significantly higher crude oil prices caused a $0.01 reduction in earnings per share in the fourth quarter due to the higher phase-out of our Section 45K tax credits.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Steiner continued, “The fourth quarter capped another successful year at Waste Management and we are proud of what we accomplished during 2007. We forecast that our full year 2008 earnings will increase to a range of $2.19 to $2.23 per diluted share. This is an 8 to 10% improvement over our further adjusted 2007 earnings per diluted share of $2.03, which excludes the $0.04 per share Section 45K tax benefit that we received in 2007 but will not receive in 2008.</w:t>
      </w:r>
    </w:p>
    <w:p>
      <w:pPr>
        <w:spacing w:after="0" w:line="7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expect the combination of our efforts to enhance the quality of our revenue along with our cost improvement programs will lead to continued expansion of our operating margin. We will again apply our strategy of utilizing standard tools and processes, particularly in the areas of labor efficiency, maintenance and safety, to improve and flex down operating costs.</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are focused on maintaining our pricing discipline and improving our sales and marketing performance. We project that internal revenue growth on base business for 2008 will be about flat, which was not the case in 2007 when overall internal revenue growth on base business was a negative 1.2 percent. We also project the revenue we gain from acquisitions we expect to make during 2008 will exceed the revenue lost from divestitures that may occur during 2008. This was not the case in 2006 and 2007, when we were more focused on divesting underperforming operations.”</w:t>
      </w:r>
    </w:p>
    <w:p>
      <w:pPr>
        <w:spacing w:after="0" w:line="6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Steiner concluded, “We remain committed to our goals of growing earnings, expanding our operating margins, increasing our return on invested capital and generating strong free cash flow. We plan to continue to utilize our disciplined pricing approach and our commitment to operational excellence to drive our financial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announced the following with regard to its financial outlook for 2008:</w:t>
      </w:r>
    </w:p>
    <w:p>
      <w:pPr>
        <w:spacing w:after="0" w:line="117" w:lineRule="exact"/>
        <w:rPr>
          <w:sz w:val="20"/>
          <w:szCs w:val="20"/>
          <w:color w:val="auto"/>
        </w:rPr>
      </w:pPr>
    </w:p>
    <w:p>
      <w:pPr>
        <w:ind w:left="800" w:right="380" w:hanging="454"/>
        <w:spacing w:after="0" w:line="342" w:lineRule="auto"/>
        <w:tabs>
          <w:tab w:leader="none" w:pos="8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Internal revenue growth on base business from yield is expected to be 2.5 to 3.0%, which is 50 to 100 basis points above the Company’s 2008 outlook for the core Consumer Price Index. Internal revenue growth on base business from volume is expected to decline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 w:name="page9"/>
    <w:bookmarkEnd w:id="8"/>
    <w:p>
      <w:pPr>
        <w:ind w:left="800"/>
        <w:spacing w:after="0"/>
        <w:rPr>
          <w:sz w:val="20"/>
          <w:szCs w:val="20"/>
          <w:color w:val="auto"/>
        </w:rPr>
      </w:pPr>
      <w:r>
        <w:rPr>
          <w:rFonts w:ascii="Arial" w:cs="Arial" w:eastAsia="Arial" w:hAnsi="Arial"/>
          <w:sz w:val="18"/>
          <w:szCs w:val="18"/>
          <w:color w:val="auto"/>
        </w:rPr>
        <w:t>2.5% to 3.0%, a projected 150-200 basis point improvement over the 4.5% decline in the full year 2007.</w:t>
      </w:r>
    </w:p>
    <w:p>
      <w:pPr>
        <w:spacing w:after="0" w:line="131" w:lineRule="exact"/>
        <w:rPr>
          <w:sz w:val="20"/>
          <w:szCs w:val="20"/>
          <w:color w:val="auto"/>
        </w:rPr>
      </w:pPr>
    </w:p>
    <w:p>
      <w:pPr>
        <w:ind w:left="800" w:hanging="454"/>
        <w:spacing w:after="0"/>
        <w:tabs>
          <w:tab w:leader="none" w:pos="80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Average recycling commodity prices are expected to remain at approximately average 2007 levels.</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Income from operations as a percent of revenue is projected to increase by more than 100 basis points to approximately 18%.</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The full year 2008 forecast reflects a tax rate of approximately 40%, because Section 45K tax credits expired at the end of 2007.</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is projected to be approximately $2.75 billion.</w:t>
      </w:r>
    </w:p>
    <w:p>
      <w:pPr>
        <w:spacing w:after="0" w:line="130" w:lineRule="exact"/>
        <w:rPr>
          <w:rFonts w:ascii="Arial" w:cs="Arial" w:eastAsia="Arial" w:hAnsi="Arial"/>
          <w:sz w:val="18"/>
          <w:szCs w:val="18"/>
          <w:b w:val="1"/>
          <w:bCs w:val="1"/>
          <w:color w:val="auto"/>
        </w:rPr>
      </w:pPr>
    </w:p>
    <w:p>
      <w:pPr>
        <w:ind w:left="800" w:right="280" w:hanging="454"/>
        <w:spacing w:after="0" w:line="277" w:lineRule="auto"/>
        <w:tabs>
          <w:tab w:leader="none" w:pos="80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Capital expenditures are expected to be approximately $1.5 billion, which includes higher spending on our truck fleet and on renewable energy power plants at our landfills.</w:t>
      </w:r>
    </w:p>
    <w:p>
      <w:pPr>
        <w:spacing w:after="0" w:line="75" w:lineRule="exact"/>
        <w:rPr>
          <w:rFonts w:ascii="Arial" w:cs="Arial" w:eastAsia="Arial" w:hAnsi="Arial"/>
          <w:sz w:val="18"/>
          <w:szCs w:val="18"/>
          <w:b w:val="1"/>
          <w:bCs w:val="1"/>
          <w:color w:val="auto"/>
        </w:rPr>
      </w:pPr>
    </w:p>
    <w:p>
      <w:pPr>
        <w:ind w:left="800" w:hanging="454"/>
        <w:spacing w:after="0"/>
        <w:tabs>
          <w:tab w:leader="none" w:pos="80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Free cash flow is projected to be approximately $1.4 billion.</w:t>
      </w:r>
      <w:r>
        <w:rPr>
          <w:rFonts w:ascii="Arial" w:cs="Arial" w:eastAsia="Arial" w:hAnsi="Arial"/>
          <w:sz w:val="15"/>
          <w:szCs w:val="15"/>
          <w:color w:val="auto"/>
        </w:rPr>
        <w:t>(a)</w:t>
      </w:r>
    </w:p>
    <w:p>
      <w:pPr>
        <w:spacing w:after="0" w:line="130" w:lineRule="exact"/>
        <w:rPr>
          <w:rFonts w:ascii="Arial" w:cs="Arial" w:eastAsia="Arial" w:hAnsi="Arial"/>
          <w:sz w:val="18"/>
          <w:szCs w:val="18"/>
          <w:b w:val="1"/>
          <w:bCs w:val="1"/>
          <w:color w:val="auto"/>
        </w:rPr>
      </w:pPr>
    </w:p>
    <w:p>
      <w:pPr>
        <w:ind w:left="800" w:right="140" w:hanging="454"/>
        <w:spacing w:after="0" w:line="259" w:lineRule="auto"/>
        <w:tabs>
          <w:tab w:leader="none" w:pos="80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Expected annual payment of $1.08 per share in cash dividends over the course of the year, at an approximate cost of $530 million. The Company expects to spend up to $870 million on share repurchases. The amount of stock repurchased will depend on a number of items, including cash allocated to the retirement of debt and the cash cost of business investments and acquisitions, which are other key components of our capital allocation program.</w:t>
      </w:r>
    </w:p>
    <w:p>
      <w:pPr>
        <w:spacing w:after="0" w:line="200" w:lineRule="exact"/>
        <w:rPr>
          <w:rFonts w:ascii="Arial" w:cs="Arial" w:eastAsia="Arial" w:hAnsi="Arial"/>
          <w:sz w:val="18"/>
          <w:szCs w:val="18"/>
          <w:b w:val="1"/>
          <w:bCs w:val="1"/>
          <w:color w:val="auto"/>
        </w:rPr>
      </w:pPr>
    </w:p>
    <w:p>
      <w:pPr>
        <w:spacing w:after="0" w:line="230" w:lineRule="exact"/>
        <w:rPr>
          <w:rFonts w:ascii="Arial" w:cs="Arial" w:eastAsia="Arial" w:hAnsi="Arial"/>
          <w:sz w:val="18"/>
          <w:szCs w:val="18"/>
          <w:b w:val="1"/>
          <w:bCs w:val="1"/>
          <w:color w:val="auto"/>
        </w:rPr>
      </w:pPr>
    </w:p>
    <w:p>
      <w:pPr>
        <w:ind w:left="340" w:hanging="332"/>
        <w:spacing w:after="0" w:line="29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340" w:right="360"/>
        <w:spacing w:after="0" w:line="255" w:lineRule="auto"/>
        <w:rPr>
          <w:rFonts w:ascii="Arial" w:cs="Arial" w:eastAsia="Arial" w:hAnsi="Arial"/>
          <w:sz w:val="16"/>
          <w:szCs w:val="16"/>
          <w:color w:val="auto"/>
        </w:rPr>
      </w:pPr>
      <w:r>
        <w:rPr>
          <w:rFonts w:ascii="Arial" w:cs="Arial" w:eastAsia="Arial" w:hAnsi="Arial"/>
          <w:sz w:val="18"/>
          <w:szCs w:val="18"/>
          <w:color w:val="auto"/>
        </w:rPr>
        <w:t>(i) additional, meaningful comparisons of current results to prior periods’ results by excluding items that the Company does not believe reflect its fundamental business performance and (ii) financial measures the Company uses in the management of its business. GAAP measures that have been adjusted to exclude the impact of certain unusual, non-recurring or otherwise non-operational items include:</w:t>
      </w:r>
    </w:p>
    <w:p>
      <w:pPr>
        <w:spacing w:after="0" w:line="82" w:lineRule="exact"/>
        <w:rPr>
          <w:rFonts w:ascii="Arial" w:cs="Arial" w:eastAsia="Arial" w:hAnsi="Arial"/>
          <w:sz w:val="16"/>
          <w:szCs w:val="16"/>
          <w:color w:val="auto"/>
        </w:rPr>
      </w:pPr>
    </w:p>
    <w:p>
      <w:pPr>
        <w:ind w:left="800" w:hanging="454"/>
        <w:spacing w:after="0"/>
        <w:tabs>
          <w:tab w:leader="none" w:pos="80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Net Income;</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Earnings per diluted share; and</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Income from operations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-1382395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left="360"/>
        <w:spacing w:after="0" w:line="286" w:lineRule="auto"/>
        <w:rPr>
          <w:sz w:val="20"/>
          <w:szCs w:val="20"/>
          <w:color w:val="auto"/>
        </w:rPr>
      </w:pPr>
      <w:r>
        <w:rPr>
          <w:rFonts w:ascii="Arial" w:cs="Arial" w:eastAsia="Arial" w:hAnsi="Arial"/>
          <w:sz w:val="17"/>
          <w:szCs w:val="17"/>
          <w:color w:val="auto"/>
        </w:rPr>
        <w:t>The Company also discusses free cash flow and projected free cash flow, which are non-GAAP measures, because it believes that investors are interested in the cash produced by the Company from non-financing activities that is available for uses such as the Company’s acquisitions, its share repurchase program, its scheduled debt reduction and the payment of dividends. The Company defines free cash flow as:</w:t>
      </w:r>
    </w:p>
    <w:p>
      <w:pPr>
        <w:spacing w:after="0" w:line="57" w:lineRule="exact"/>
        <w:rPr>
          <w:sz w:val="20"/>
          <w:szCs w:val="20"/>
          <w:color w:val="auto"/>
        </w:rPr>
      </w:pPr>
    </w:p>
    <w:p>
      <w:pPr>
        <w:ind w:left="800" w:hanging="454"/>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left="360" w:right="80"/>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not subject to comparison.</w:t>
      </w:r>
    </w:p>
    <w:p>
      <w:pPr>
        <w:spacing w:after="0" w:line="62" w:lineRule="exact"/>
        <w:rPr>
          <w:sz w:val="20"/>
          <w:szCs w:val="20"/>
          <w:color w:val="auto"/>
        </w:rPr>
      </w:pPr>
    </w:p>
    <w:p>
      <w:pPr>
        <w:ind w:left="360" w:right="560"/>
        <w:spacing w:after="0" w:line="342" w:lineRule="auto"/>
        <w:rPr>
          <w:sz w:val="20"/>
          <w:szCs w:val="20"/>
          <w:color w:val="auto"/>
        </w:rPr>
      </w:pPr>
      <w:r>
        <w:rPr>
          <w:rFonts w:ascii="Arial" w:cs="Arial" w:eastAsia="Arial" w:hAnsi="Arial"/>
          <w:sz w:val="16"/>
          <w:szCs w:val="16"/>
          <w:color w:val="auto"/>
        </w:rPr>
        <w:t>The quantitative reconciliations of each of the non-GAAP measures presented herein to the most comparable GAAP measures are included in the accompanying schedules. Investors are urged to take into account GAAP measures as well as non-GAAP measures in evaluating the Company.</w:t>
      </w:r>
    </w:p>
    <w:p>
      <w:pPr>
        <w:spacing w:after="0" w:line="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has scheduled an investor and analyst conference call for later this morning to discuss the results of today’s earnings announcement. The information in this press release should be read in conjunction with the information on the conference call. The call will begin at 10:00 a.m. Eastern time and is open to the public. To listen to the conference call, which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ind w:right="180"/>
        <w:spacing w:after="0" w:line="273" w:lineRule="auto"/>
        <w:rPr>
          <w:sz w:val="20"/>
          <w:szCs w:val="20"/>
          <w:color w:val="auto"/>
        </w:rPr>
      </w:pPr>
      <w:r>
        <w:rPr>
          <w:rFonts w:ascii="Arial" w:cs="Arial" w:eastAsia="Arial" w:hAnsi="Arial"/>
          <w:sz w:val="17"/>
          <w:szCs w:val="17"/>
          <w:color w:val="auto"/>
        </w:rPr>
        <w:t xml:space="preserve">broadcast live over the Internet, go to the Waste Management Website at http://www.wm.com, and select “Earnings Webcast.” You may also listen to the analyst conference call by telephone by contacting the conference call operator 5 to 10 minutes prior to the scheduled start time and asking for the “Waste Management Conference Call — Call ID 30446447.” US/Canada Dial-In Number: (877) 710-6139. Int’l/Local Dial-In Number: (706) 643-7398. For those unable to listen to the live call, a replay will be available 24 hours a day beginning at approximately 1:00 p.m. Eastern time on February 13th through 5:00 p.m. Eastern time on February 27th. To hear a replay of the call over the Internet, access the Waste Management Website at </w:t>
      </w:r>
      <w:r>
        <w:rPr>
          <w:rFonts w:ascii="Arial" w:cs="Arial" w:eastAsia="Arial" w:hAnsi="Arial"/>
          <w:sz w:val="17"/>
          <w:szCs w:val="17"/>
          <w:u w:val="single" w:color="auto"/>
          <w:color w:val="auto"/>
        </w:rPr>
        <w:t>http://www.wm.com</w:t>
      </w:r>
      <w:r>
        <w:rPr>
          <w:rFonts w:ascii="Arial" w:cs="Arial" w:eastAsia="Arial" w:hAnsi="Arial"/>
          <w:sz w:val="17"/>
          <w:szCs w:val="17"/>
          <w:color w:val="auto"/>
        </w:rPr>
        <w:t>. To hear a telephonic replay of the call, dial (800) 642-1687 or (706) 645-9291 and enter reservation code 30446447.</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2008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any forward-looking statements, which speak only as of their dates. The following are some of the risks that we face:</w:t>
      </w:r>
    </w:p>
    <w:p>
      <w:pPr>
        <w:spacing w:after="0" w:line="70" w:lineRule="exact"/>
        <w:rPr>
          <w:sz w:val="20"/>
          <w:szCs w:val="20"/>
          <w:color w:val="auto"/>
        </w:rPr>
      </w:pPr>
    </w:p>
    <w:p>
      <w:pPr>
        <w:ind w:left="800" w:right="240" w:hanging="454"/>
        <w:spacing w:after="0" w:line="277" w:lineRule="auto"/>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75" w:lineRule="exact"/>
        <w:rPr>
          <w:rFonts w:ascii="Arial" w:cs="Arial" w:eastAsia="Arial" w:hAnsi="Arial"/>
          <w:sz w:val="18"/>
          <w:szCs w:val="18"/>
          <w:b w:val="1"/>
          <w:bCs w:val="1"/>
          <w:color w:val="auto"/>
        </w:rPr>
      </w:pPr>
    </w:p>
    <w:p>
      <w:pPr>
        <w:ind w:left="800" w:hanging="454"/>
        <w:spacing w:after="0"/>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w:t>
      </w:r>
    </w:p>
    <w:p>
      <w:pPr>
        <w:spacing w:after="0" w:line="130" w:lineRule="exact"/>
        <w:rPr>
          <w:rFonts w:ascii="Arial" w:cs="Arial" w:eastAsia="Arial" w:hAnsi="Arial"/>
          <w:sz w:val="18"/>
          <w:szCs w:val="18"/>
          <w:b w:val="1"/>
          <w:bCs w:val="1"/>
          <w:color w:val="auto"/>
        </w:rPr>
      </w:pPr>
    </w:p>
    <w:p>
      <w:pPr>
        <w:jc w:val="both"/>
        <w:ind w:left="800" w:right="480" w:hanging="454"/>
        <w:spacing w:after="0" w:line="312" w:lineRule="auto"/>
        <w:tabs>
          <w:tab w:leader="none" w:pos="80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we may not be able to successfully execute or continue our operational or other margin improvement plans and programs, including pricing increases; passing on increased costs to our customers; reducing costs due to our operational improvement programs; and divesting under-performing assets and purchasing accretive businesses, any of which could negatively affect our revenues and margins;</w:t>
      </w:r>
    </w:p>
    <w:p>
      <w:pPr>
        <w:spacing w:after="0" w:line="52" w:lineRule="exact"/>
        <w:rPr>
          <w:rFonts w:ascii="Arial" w:cs="Arial" w:eastAsia="Arial" w:hAnsi="Arial"/>
          <w:sz w:val="16"/>
          <w:szCs w:val="16"/>
          <w:b w:val="1"/>
          <w:bCs w:val="1"/>
          <w:color w:val="auto"/>
        </w:rPr>
      </w:pPr>
    </w:p>
    <w:p>
      <w:pPr>
        <w:ind w:left="800" w:right="760" w:hanging="454"/>
        <w:spacing w:after="0" w:line="277" w:lineRule="auto"/>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extremely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800" w:right="340" w:hanging="454"/>
        <w:spacing w:after="0" w:line="277" w:lineRule="auto"/>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inflation and resulting higher interest rates as well as other general and local economic conditions may negatively affect the volumes of waste generated, our financing costs and other expenses;</w:t>
      </w:r>
    </w:p>
    <w:p>
      <w:pPr>
        <w:spacing w:after="0" w:line="75" w:lineRule="exact"/>
        <w:rPr>
          <w:rFonts w:ascii="Arial" w:cs="Arial" w:eastAsia="Arial" w:hAnsi="Arial"/>
          <w:sz w:val="18"/>
          <w:szCs w:val="18"/>
          <w:b w:val="1"/>
          <w:bCs w:val="1"/>
          <w:color w:val="auto"/>
        </w:rPr>
      </w:pPr>
    </w:p>
    <w:p>
      <w:pPr>
        <w:ind w:left="800" w:hanging="454"/>
        <w:spacing w:after="0" w:line="277" w:lineRule="auto"/>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800" w:right="200" w:hanging="454"/>
        <w:spacing w:after="0" w:line="277" w:lineRule="auto"/>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including regulations to limit greenhouse gas emissions,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800" w:right="120" w:hanging="454"/>
        <w:spacing w:after="0" w:line="277" w:lineRule="auto"/>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 w:name="page11"/>
    <w:bookmarkEnd w:id="10"/>
    <w:p>
      <w:pPr>
        <w:ind w:left="800" w:right="120" w:hanging="454"/>
        <w:spacing w:after="0" w:line="277" w:lineRule="auto"/>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revenues;</w:t>
      </w:r>
    </w:p>
    <w:p>
      <w:pPr>
        <w:spacing w:after="0" w:line="75" w:lineRule="exact"/>
        <w:rPr>
          <w:rFonts w:ascii="Arial" w:cs="Arial" w:eastAsia="Arial" w:hAnsi="Arial"/>
          <w:sz w:val="18"/>
          <w:szCs w:val="18"/>
          <w:b w:val="1"/>
          <w:bCs w:val="1"/>
          <w:color w:val="auto"/>
        </w:rPr>
      </w:pPr>
    </w:p>
    <w:p>
      <w:pPr>
        <w:ind w:left="800" w:hanging="454"/>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800" w:right="20" w:hanging="454"/>
        <w:spacing w:after="0" w:line="277" w:lineRule="auto"/>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to obtain financial assurance or the inadequacy of our insurance coverages could negatively impact our liquidity and increase our liabilities;</w:t>
      </w:r>
    </w:p>
    <w:p>
      <w:pPr>
        <w:spacing w:after="0" w:line="75" w:lineRule="exact"/>
        <w:rPr>
          <w:rFonts w:ascii="Arial" w:cs="Arial" w:eastAsia="Arial" w:hAnsi="Arial"/>
          <w:sz w:val="18"/>
          <w:szCs w:val="18"/>
          <w:b w:val="1"/>
          <w:bCs w:val="1"/>
          <w:color w:val="auto"/>
        </w:rPr>
      </w:pPr>
    </w:p>
    <w:p>
      <w:pPr>
        <w:ind w:left="800" w:right="540" w:hanging="454"/>
        <w:spacing w:after="0" w:line="277" w:lineRule="auto"/>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800" w:hanging="454"/>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fluctuating commodity prices may have negative effects on our operating revenues and expenses;</w:t>
      </w:r>
    </w:p>
    <w:p>
      <w:pPr>
        <w:spacing w:after="0" w:line="130" w:lineRule="exact"/>
        <w:rPr>
          <w:rFonts w:ascii="Arial" w:cs="Arial" w:eastAsia="Arial" w:hAnsi="Arial"/>
          <w:sz w:val="18"/>
          <w:szCs w:val="18"/>
          <w:b w:val="1"/>
          <w:bCs w:val="1"/>
          <w:color w:val="auto"/>
        </w:rPr>
      </w:pPr>
    </w:p>
    <w:p>
      <w:pPr>
        <w:ind w:left="800" w:right="380" w:hanging="454"/>
        <w:spacing w:after="0" w:line="277" w:lineRule="auto"/>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trends requiring recycling, waste reduction at the source and prohibiting the disposal of certain types of wastes could have negative effects on volumes of waste going to landfills and waste-to-energy facilities;</w:t>
      </w:r>
    </w:p>
    <w:p>
      <w:pPr>
        <w:spacing w:after="0" w:line="75" w:lineRule="exact"/>
        <w:rPr>
          <w:rFonts w:ascii="Arial" w:cs="Arial" w:eastAsia="Arial" w:hAnsi="Arial"/>
          <w:sz w:val="18"/>
          <w:szCs w:val="18"/>
          <w:b w:val="1"/>
          <w:bCs w:val="1"/>
          <w:color w:val="auto"/>
        </w:rPr>
      </w:pPr>
    </w:p>
    <w:p>
      <w:pPr>
        <w:ind w:left="800" w:right="80" w:hanging="454"/>
        <w:spacing w:after="0" w:line="264" w:lineRule="auto"/>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been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800" w:hanging="454"/>
        <w:spacing w:after="0" w:line="277" w:lineRule="auto"/>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800" w:right="40" w:hanging="454"/>
        <w:spacing w:after="0" w:line="277" w:lineRule="auto"/>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increase our costs, or lead to an impairment charge;</w:t>
      </w:r>
    </w:p>
    <w:p>
      <w:pPr>
        <w:spacing w:after="0" w:line="75" w:lineRule="exact"/>
        <w:rPr>
          <w:rFonts w:ascii="Arial" w:cs="Arial" w:eastAsia="Arial" w:hAnsi="Arial"/>
          <w:sz w:val="18"/>
          <w:szCs w:val="18"/>
          <w:b w:val="1"/>
          <w:bCs w:val="1"/>
          <w:color w:val="auto"/>
        </w:rPr>
      </w:pPr>
    </w:p>
    <w:p>
      <w:pPr>
        <w:ind w:left="800" w:right="20" w:hanging="454"/>
        <w:spacing w:after="0" w:line="277" w:lineRule="auto"/>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75" w:lineRule="exact"/>
        <w:rPr>
          <w:rFonts w:ascii="Arial" w:cs="Arial" w:eastAsia="Arial" w:hAnsi="Arial"/>
          <w:sz w:val="18"/>
          <w:szCs w:val="18"/>
          <w:b w:val="1"/>
          <w:bCs w:val="1"/>
          <w:color w:val="auto"/>
        </w:rPr>
      </w:pPr>
    </w:p>
    <w:p>
      <w:pPr>
        <w:ind w:left="800" w:right="240" w:hanging="454"/>
        <w:spacing w:after="0" w:line="342" w:lineRule="auto"/>
        <w:tabs>
          <w:tab w:leader="none" w:pos="80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we may reduce or eliminate our dividend or share repurchase program or we may need to raise additional capital if cash flows are less than we expect or capital expenditures are more than we expect, and we may not be able to obtain any needed capital on acceptable terms.</w:t>
      </w:r>
    </w:p>
    <w:p>
      <w:pPr>
        <w:spacing w:after="0" w:line="1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2006.</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line="230" w:lineRule="auto"/>
        <w:rPr>
          <w:sz w:val="20"/>
          <w:szCs w:val="20"/>
          <w:color w:val="auto"/>
        </w:rPr>
      </w:pPr>
      <w:r>
        <w:rPr>
          <w:rFonts w:ascii="Arial" w:cs="Arial" w:eastAsia="Arial" w:hAnsi="Arial"/>
          <w:sz w:val="22"/>
          <w:szCs w:val="22"/>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3,361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earnings (losses) of unconsolidated entities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0.61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505.2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509.1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vMerge w:val="restart"/>
          </w:tcPr>
          <w:p>
            <w:pPr>
              <w:jc w:val="right"/>
              <w:ind w:right="337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Earnings Per Share</w:t>
      </w:r>
    </w:p>
    <w:p>
      <w:pPr>
        <w:jc w:val="center"/>
        <w:spacing w:after="0" w:line="230" w:lineRule="auto"/>
        <w:rPr>
          <w:sz w:val="20"/>
          <w:szCs w:val="20"/>
          <w:color w:val="auto"/>
        </w:rPr>
      </w:pPr>
      <w:r>
        <w:rPr>
          <w:rFonts w:ascii="Arial" w:cs="Arial" w:eastAsia="Arial" w:hAnsi="Arial"/>
          <w:sz w:val="22"/>
          <w:szCs w:val="22"/>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40" w:type="dxa"/>
            <w:vAlign w:val="bottom"/>
            <w:gridSpan w:val="7"/>
          </w:tcPr>
          <w:p>
            <w:pPr>
              <w:ind w:left="80"/>
              <w:spacing w:after="0"/>
              <w:rPr>
                <w:sz w:val="20"/>
                <w:szCs w:val="20"/>
                <w:color w:val="auto"/>
              </w:rPr>
            </w:pPr>
            <w:r>
              <w:rPr>
                <w:rFonts w:ascii="Arial" w:cs="Arial" w:eastAsia="Arial" w:hAnsi="Arial"/>
                <w:sz w:val="14"/>
                <w:szCs w:val="14"/>
                <w:b w:val="1"/>
                <w:bCs w:val="1"/>
                <w:color w:val="auto"/>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309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505.2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0.61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jc w:val="right"/>
              <w:ind w:right="247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line="230" w:lineRule="auto"/>
        <w:rPr>
          <w:sz w:val="20"/>
          <w:szCs w:val="20"/>
          <w:color w:val="auto"/>
        </w:rPr>
      </w:pPr>
      <w:r>
        <w:rPr>
          <w:rFonts w:ascii="Arial" w:cs="Arial" w:eastAsia="Arial" w:hAnsi="Arial"/>
          <w:sz w:val="22"/>
          <w:szCs w:val="22"/>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13,310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13,363</w:t>
            </w:r>
          </w:p>
        </w:tc>
        <w:tc>
          <w:tcPr>
            <w:tcW w:w="0" w:type="dxa"/>
            <w:vAlign w:val="bottom"/>
          </w:tcPr>
          <w:p>
            <w:pPr>
              <w:spacing w:after="0"/>
              <w:rPr>
                <w:sz w:val="1"/>
                <w:szCs w:val="1"/>
                <w:color w:val="auto"/>
              </w:rPr>
            </w:pPr>
          </w:p>
        </w:tc>
      </w:tr>
      <w:tr>
        <w:trPr>
          <w:trHeight w:val="439"/>
        </w:trPr>
        <w:tc>
          <w:tcPr>
            <w:tcW w:w="88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11,056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439"/>
        </w:trPr>
        <w:tc>
          <w:tcPr>
            <w:tcW w:w="88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540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8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517.3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w w:val="93"/>
              </w:rPr>
              <w:t>Cash dividends declared per common share (1</w:t>
            </w:r>
            <w:r>
              <w:rPr>
                <w:rFonts w:ascii="Arial" w:cs="Arial" w:eastAsia="Arial" w:hAnsi="Arial"/>
                <w:sz w:val="15"/>
                <w:szCs w:val="15"/>
                <w:color w:val="auto"/>
                <w:w w:val="93"/>
              </w:rPr>
              <w:t>st</w:t>
            </w:r>
            <w:r>
              <w:rPr>
                <w:rFonts w:ascii="Arial" w:cs="Arial" w:eastAsia="Arial" w:hAnsi="Arial"/>
                <w:sz w:val="18"/>
                <w:szCs w:val="18"/>
                <w:color w:val="auto"/>
                <w:w w:val="93"/>
              </w:rPr>
              <w:t xml:space="preserve"> quarter 2006 dividend of $0.22 per share declared in December 2005,</w:t>
            </w: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paid in March 2006)</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0.96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ind w:left="560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Earnings Per Share</w:t>
      </w:r>
    </w:p>
    <w:p>
      <w:pPr>
        <w:jc w:val="center"/>
        <w:spacing w:after="0" w:line="230" w:lineRule="auto"/>
        <w:rPr>
          <w:sz w:val="20"/>
          <w:szCs w:val="20"/>
          <w:color w:val="auto"/>
        </w:rPr>
      </w:pPr>
      <w:r>
        <w:rPr>
          <w:rFonts w:ascii="Arial" w:cs="Arial" w:eastAsia="Arial" w:hAnsi="Arial"/>
          <w:sz w:val="22"/>
          <w:szCs w:val="22"/>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1,163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517.3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jc w:val="right"/>
              <w:ind w:right="247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22"/>
          <w:szCs w:val="22"/>
          <w:b w:val="1"/>
          <w:bCs w:val="1"/>
          <w:color w:val="auto"/>
        </w:rPr>
        <w:t>(In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8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1,892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5,406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8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20,175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20,600</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080" w:type="dxa"/>
            <w:vAlign w:val="bottom"/>
            <w:gridSpan w:val="2"/>
          </w:tcPr>
          <w:p>
            <w:pPr>
              <w:ind w:left="39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2,269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14,073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14,103</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5,792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9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20,175</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900" w:type="dxa"/>
            <w:vAlign w:val="bottom"/>
            <w:vMerge w:val="restart"/>
          </w:tcPr>
          <w:p>
            <w:pPr>
              <w:jc w:val="right"/>
              <w:ind w:right="307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line="230" w:lineRule="auto"/>
        <w:rPr>
          <w:sz w:val="20"/>
          <w:szCs w:val="20"/>
          <w:color w:val="auto"/>
        </w:rPr>
      </w:pPr>
      <w:r>
        <w:rPr>
          <w:rFonts w:ascii="Arial" w:cs="Arial" w:eastAsia="Arial" w:hAnsi="Arial"/>
          <w:sz w:val="22"/>
          <w:szCs w:val="22"/>
          <w:b w:val="1"/>
          <w:bCs w:val="1"/>
          <w:color w:val="auto"/>
        </w:rPr>
        <w:t>(In Millions)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1,163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short-term investments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 and warrants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jc w:val="right"/>
              <w:ind w:right="2050"/>
              <w:spacing w:after="0"/>
              <w:rPr>
                <w:sz w:val="20"/>
                <w:szCs w:val="20"/>
                <w:color w:val="auto"/>
              </w:rPr>
            </w:pPr>
            <w:r>
              <w:rPr>
                <w:rFonts w:ascii="Arial" w:cs="Arial" w:eastAsia="Arial" w:hAnsi="Arial"/>
                <w:sz w:val="18"/>
                <w:szCs w:val="18"/>
                <w:color w:val="auto"/>
              </w:rPr>
              <w:t>(6)</w:t>
            </w: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6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9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w w:val="98"/>
              </w:rPr>
              <w:t>Quarters Ended</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Collection</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2,190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2,210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2,176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Landfill</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Transfer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406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Wheelabrator</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Recycling and 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(583)</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600"/>
              <w:spacing w:after="0"/>
              <w:rPr>
                <w:sz w:val="20"/>
                <w:szCs w:val="20"/>
                <w:color w:val="auto"/>
              </w:rPr>
            </w:pPr>
            <w:r>
              <w:rPr>
                <w:rFonts w:ascii="Arial" w:cs="Arial" w:eastAsia="Arial" w:hAnsi="Arial"/>
                <w:sz w:val="18"/>
                <w:szCs w:val="18"/>
                <w:color w:val="auto"/>
              </w:rPr>
              <w:t>Operating revenues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3,361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3,403</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Internal growth</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Less: Yield changes due to recycling commodities, electricity (IPP), fuel surcharge and</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mandated fees</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600"/>
              <w:spacing w:after="0"/>
              <w:rPr>
                <w:sz w:val="20"/>
                <w:szCs w:val="20"/>
                <w:color w:val="auto"/>
              </w:rPr>
            </w:pPr>
            <w:r>
              <w:rPr>
                <w:rFonts w:ascii="Arial" w:cs="Arial" w:eastAsia="Arial" w:hAnsi="Arial"/>
                <w:sz w:val="18"/>
                <w:szCs w:val="18"/>
                <w:color w:val="auto"/>
              </w:rPr>
              <w:t>Adjusted internal growth</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(b)</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Gross annualized revenue acquired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Cash paid for acquisitions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WMRA Segment Supplemental Data (c)</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4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2"/>
              </w:rPr>
              <w:t>Quarters Ended 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ind w:right="11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(d)(e)</w:t>
            </w: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653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2,439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18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Arial" w:cs="Arial" w:eastAsia="Arial" w:hAnsi="Arial"/>
                <w:sz w:val="18"/>
                <w:szCs w:val="18"/>
                <w:color w:val="auto"/>
                <w:w w:val="98"/>
              </w:rPr>
              <w:t>Proceeds from divestitures of businesses (net of cash divested) and other sales of</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1,506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year information has been reclassified to conform to 2007 presentation.</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Quarters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5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 available for use (a)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348</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654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8,337</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8,278</w:t>
            </w:r>
          </w:p>
        </w:tc>
        <w:tc>
          <w:tcPr>
            <w:tcW w:w="6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5,792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14,210</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66.6%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66.5%</w:t>
            </w: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18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and SFAS No. 143 Expenses for Landfills Included in Operating Groups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7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ind w:left="200"/>
              <w:spacing w:after="0"/>
              <w:rPr>
                <w:sz w:val="20"/>
                <w:szCs w:val="20"/>
                <w:color w:val="auto"/>
              </w:rPr>
            </w:pPr>
            <w:r>
              <w:rPr>
                <w:rFonts w:ascii="Arial" w:cs="Arial" w:eastAsia="Arial" w:hAnsi="Arial"/>
                <w:sz w:val="18"/>
                <w:szCs w:val="18"/>
                <w:b w:val="1"/>
                <w:bCs w:val="1"/>
                <w:color w:val="auto"/>
              </w:rPr>
              <w:t>(b)</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amortization expense (c) (d)</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111.8</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4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quarters ended December 31, 2007, September 30, 2007, and December 31, 2006 include short-term investments available for use of $0 million, $117 million, and $184 million, respectively.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period amounts have been revised to exclude amounts from closed landfills not included in our Operating groups.</w:t>
      </w:r>
    </w:p>
    <w:p>
      <w:pPr>
        <w:spacing w:after="0" w:line="76" w:lineRule="exact"/>
        <w:rPr>
          <w:rFonts w:ascii="Arial" w:cs="Arial" w:eastAsia="Arial" w:hAnsi="Arial"/>
          <w:sz w:val="18"/>
          <w:szCs w:val="18"/>
          <w:color w:val="auto"/>
        </w:rPr>
      </w:pPr>
    </w:p>
    <w:p>
      <w:pPr>
        <w:ind w:left="460" w:right="120" w:hanging="452"/>
        <w:spacing w:after="0" w:line="286"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quarter ended December 31, 2007, as compared with the quarter ended September 30, 2007 reflects a $28 million reduction in amortization expense, of which $9.6 million was due to the seasonal reduction in landfill volumes. Additionally, there was an $18.6 million reduction primarily as a result of the SFAS No. 143 landfill capping construction and closure/post closure obligations identified in our annual landfill review process.</w:t>
      </w:r>
    </w:p>
    <w:p>
      <w:pPr>
        <w:spacing w:after="0" w:line="16" w:lineRule="exact"/>
        <w:rPr>
          <w:rFonts w:ascii="Arial" w:cs="Arial" w:eastAsia="Arial" w:hAnsi="Arial"/>
          <w:sz w:val="17"/>
          <w:szCs w:val="17"/>
          <w:color w:val="auto"/>
        </w:rPr>
      </w:pPr>
    </w:p>
    <w:p>
      <w:pPr>
        <w:ind w:left="460" w:right="20" w:hanging="452"/>
        <w:spacing w:after="0" w:line="297"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quarter ended December 31, 2007, as compared with the quarter ended December 31, 2006 reflects a $14.5 million reduction in amortization expense, of which approximately $6.1 million was due to reduced volumes resulting from the Company’s collection pricing initiative and due to a decline in residential construction activities and other economic impacts. Additionally, there was a year over year reduction of $14.8 million from adjustments of the SFAS No. 143 landfill capping construction and closure/post closure obligations as identified in our annual landfill reviews. This reduction in expense was partially offset by increases resulting from expected landfill construction costs identified during the annual workbook process.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4"/>
          </w:tcPr>
          <w:p>
            <w:pPr>
              <w:jc w:val="center"/>
              <w:ind w:left="55"/>
              <w:spacing w:after="0"/>
              <w:rPr>
                <w:sz w:val="20"/>
                <w:szCs w:val="20"/>
                <w:color w:val="auto"/>
              </w:rPr>
            </w:pPr>
            <w:r>
              <w:rPr>
                <w:rFonts w:ascii="Arial" w:cs="Arial" w:eastAsia="Arial" w:hAnsi="Arial"/>
                <w:sz w:val="14"/>
                <w:szCs w:val="14"/>
                <w:b w:val="1"/>
                <w:bCs w:val="1"/>
                <w:color w:val="auto"/>
                <w:w w:val="96"/>
              </w:rPr>
              <w:t>Quarter Ended</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4"/>
          </w:tcPr>
          <w:p>
            <w:pPr>
              <w:jc w:val="center"/>
              <w:ind w:left="75"/>
              <w:spacing w:after="0"/>
              <w:rPr>
                <w:sz w:val="20"/>
                <w:szCs w:val="20"/>
                <w:color w:val="auto"/>
              </w:rPr>
            </w:pPr>
            <w:r>
              <w:rPr>
                <w:rFonts w:ascii="Arial" w:cs="Arial" w:eastAsia="Arial" w:hAnsi="Arial"/>
                <w:sz w:val="14"/>
                <w:szCs w:val="14"/>
                <w:b w:val="1"/>
                <w:bCs w:val="1"/>
                <w:color w:val="auto"/>
                <w:w w:val="96"/>
              </w:rPr>
              <w:t>Quarter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4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4"/>
                <w:szCs w:val="14"/>
                <w:b w:val="1"/>
                <w:bCs w:val="1"/>
                <w:color w:val="auto"/>
                <w:w w:val="91"/>
              </w:rPr>
              <w:t>December 31, 2007</w:t>
            </w:r>
          </w:p>
        </w:tc>
        <w:tc>
          <w:tcPr>
            <w:tcW w:w="5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4"/>
                <w:szCs w:val="14"/>
                <w:b w:val="1"/>
                <w:bCs w:val="1"/>
                <w:color w:val="auto"/>
                <w:w w:val="91"/>
              </w:rPr>
              <w:t>December 31, 2006</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After-tax Amount</w:t>
            </w:r>
          </w:p>
        </w:tc>
        <w:tc>
          <w:tcPr>
            <w:tcW w:w="136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w w:val="93"/>
              </w:rPr>
              <w:t>Per Share Amount</w:t>
            </w:r>
          </w:p>
        </w:tc>
        <w:tc>
          <w:tcPr>
            <w:tcW w:w="48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After-tax Amount</w:t>
            </w:r>
          </w:p>
        </w:tc>
        <w:tc>
          <w:tcPr>
            <w:tcW w:w="136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w w:val="91"/>
              </w:rPr>
              <w:t>Per Share Amount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0" w:type="dxa"/>
            <w:vAlign w:val="bottom"/>
            <w:vMerge w:val="restart"/>
          </w:tcPr>
          <w:p>
            <w:pPr>
              <w:spacing w:after="0"/>
              <w:rPr>
                <w:sz w:val="24"/>
                <w:szCs w:val="24"/>
                <w:color w:val="auto"/>
              </w:rPr>
            </w:pPr>
          </w:p>
        </w:tc>
        <w:tc>
          <w:tcPr>
            <w:tcW w:w="53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0.61</w:t>
            </w: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246</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0.46</w:t>
            </w:r>
          </w:p>
        </w:tc>
        <w:tc>
          <w:tcPr>
            <w:tcW w:w="0" w:type="dxa"/>
            <w:vAlign w:val="bottom"/>
          </w:tcPr>
          <w:p>
            <w:pPr>
              <w:spacing w:after="0"/>
              <w:rPr>
                <w:sz w:val="1"/>
                <w:szCs w:val="1"/>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expense from divestitures, asset impairments and</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unusual items</w:t>
            </w:r>
          </w:p>
        </w:tc>
        <w:tc>
          <w:tcPr>
            <w:tcW w:w="4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(0.02)</w:t>
            </w: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Benefit from income tax related items</w:t>
            </w:r>
          </w:p>
        </w:tc>
        <w:tc>
          <w:tcPr>
            <w:tcW w:w="4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(0.06)</w:t>
            </w:r>
          </w:p>
        </w:tc>
        <w:tc>
          <w:tcPr>
            <w:tcW w:w="4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Labor disputes</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Net income and Diluted EPS, as adjusted (a)</w:t>
            </w:r>
          </w:p>
        </w:tc>
        <w:tc>
          <w:tcPr>
            <w:tcW w:w="4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0.54</w:t>
            </w:r>
          </w:p>
        </w:tc>
        <w:tc>
          <w:tcPr>
            <w:tcW w:w="48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252</w:t>
            </w:r>
          </w:p>
        </w:tc>
        <w:tc>
          <w:tcPr>
            <w:tcW w:w="260" w:type="dxa"/>
            <w:vAlign w:val="bottom"/>
          </w:tcPr>
          <w:p>
            <w:pPr>
              <w:spacing w:after="0"/>
              <w:rPr>
                <w:sz w:val="24"/>
                <w:szCs w:val="24"/>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5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49"/>
        </w:trPr>
        <w:tc>
          <w:tcPr>
            <w:tcW w:w="86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Adjusted Income from Operations as a</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percent of Revenue</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6"/>
              </w:rPr>
              <w:t>2007</w:t>
            </w:r>
          </w:p>
        </w:tc>
        <w:tc>
          <w:tcPr>
            <w:tcW w:w="5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358"/>
        </w:trPr>
        <w:tc>
          <w:tcPr>
            <w:tcW w:w="20" w:type="dxa"/>
            <w:vAlign w:val="bottom"/>
            <w:vMerge w:val="restart"/>
          </w:tcPr>
          <w:p>
            <w:pPr>
              <w:spacing w:after="0"/>
              <w:rPr>
                <w:sz w:val="24"/>
                <w:szCs w:val="24"/>
                <w:color w:val="auto"/>
              </w:rPr>
            </w:pPr>
          </w:p>
        </w:tc>
        <w:tc>
          <w:tcPr>
            <w:tcW w:w="8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1140" w:type="dxa"/>
            <w:vAlign w:val="bottom"/>
            <w:gridSpan w:val="2"/>
          </w:tcPr>
          <w:p>
            <w:pPr>
              <w:jc w:val="right"/>
              <w:ind w:right="273"/>
              <w:spacing w:after="0"/>
              <w:rPr>
                <w:sz w:val="20"/>
                <w:szCs w:val="20"/>
                <w:color w:val="auto"/>
              </w:rPr>
            </w:pPr>
            <w:r>
              <w:rPr>
                <w:rFonts w:ascii="Arial" w:cs="Arial" w:eastAsia="Arial" w:hAnsi="Arial"/>
                <w:sz w:val="18"/>
                <w:szCs w:val="18"/>
                <w:color w:val="auto"/>
              </w:rPr>
              <w:t>$3,361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2"/>
              <w:spacing w:after="0"/>
              <w:rPr>
                <w:sz w:val="20"/>
                <w:szCs w:val="20"/>
                <w:color w:val="auto"/>
              </w:rPr>
            </w:pPr>
            <w:r>
              <w:rPr>
                <w:rFonts w:ascii="Arial" w:cs="Arial" w:eastAsia="Arial" w:hAnsi="Arial"/>
                <w:sz w:val="18"/>
                <w:szCs w:val="18"/>
                <w:color w:val="auto"/>
                <w:w w:val="84"/>
              </w:rPr>
              <w:t>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as a percent of Revenue</w:t>
            </w:r>
          </w:p>
        </w:tc>
        <w:tc>
          <w:tcPr>
            <w:tcW w:w="400" w:type="dxa"/>
            <w:vAlign w:val="bottom"/>
          </w:tcPr>
          <w:p>
            <w:pPr>
              <w:spacing w:after="0"/>
              <w:rPr>
                <w:sz w:val="24"/>
                <w:szCs w:val="24"/>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b w:val="1"/>
                <w:bCs w:val="1"/>
                <w:color w:val="auto"/>
              </w:rPr>
              <w:t>17.1%</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Income from Operations:</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400" w:type="dxa"/>
            <w:vAlign w:val="bottom"/>
          </w:tcPr>
          <w:p>
            <w:pPr>
              <w:spacing w:after="0"/>
              <w:rPr>
                <w:sz w:val="18"/>
                <w:szCs w:val="18"/>
                <w:color w:val="auto"/>
              </w:rPr>
            </w:pPr>
          </w:p>
        </w:tc>
        <w:tc>
          <w:tcPr>
            <w:tcW w:w="740" w:type="dxa"/>
            <w:vAlign w:val="bottom"/>
          </w:tcPr>
          <w:p>
            <w:pPr>
              <w:jc w:val="right"/>
              <w:ind w:right="213"/>
              <w:spacing w:after="0"/>
              <w:rPr>
                <w:sz w:val="20"/>
                <w:szCs w:val="20"/>
                <w:color w:val="auto"/>
              </w:rPr>
            </w:pPr>
            <w:r>
              <w:rPr>
                <w:rFonts w:ascii="Arial" w:cs="Arial" w:eastAsia="Arial" w:hAnsi="Arial"/>
                <w:sz w:val="18"/>
                <w:szCs w:val="18"/>
                <w:color w:val="auto"/>
                <w:w w:val="99"/>
              </w:rPr>
              <w:t>($14)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Labor disputes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As adjusted:</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revenues</w:t>
            </w:r>
          </w:p>
        </w:tc>
        <w:tc>
          <w:tcPr>
            <w:tcW w:w="1140" w:type="dxa"/>
            <w:vAlign w:val="bottom"/>
            <w:gridSpan w:val="2"/>
            <w:shd w:val="clear" w:color="auto" w:fill="CCEEFF"/>
          </w:tcPr>
          <w:p>
            <w:pPr>
              <w:jc w:val="right"/>
              <w:ind w:right="273"/>
              <w:spacing w:after="0"/>
              <w:rPr>
                <w:sz w:val="20"/>
                <w:szCs w:val="20"/>
                <w:color w:val="auto"/>
              </w:rPr>
            </w:pPr>
            <w:r>
              <w:rPr>
                <w:rFonts w:ascii="Arial" w:cs="Arial" w:eastAsia="Arial" w:hAnsi="Arial"/>
                <w:sz w:val="18"/>
                <w:szCs w:val="18"/>
                <w:color w:val="auto"/>
              </w:rPr>
              <w:t>$3,361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4"/>
              </w:rPr>
              <w:t>3,283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73"/>
              <w:spacing w:after="0"/>
              <w:rPr>
                <w:sz w:val="20"/>
                <w:szCs w:val="20"/>
                <w:color w:val="auto"/>
              </w:rPr>
            </w:pPr>
            <w:r>
              <w:rPr>
                <w:rFonts w:ascii="Arial" w:cs="Arial" w:eastAsia="Arial" w:hAnsi="Arial"/>
                <w:sz w:val="18"/>
                <w:szCs w:val="18"/>
                <w:color w:val="auto"/>
              </w:rPr>
              <w:t>569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from Operations as a percent of Revenue (b)</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16.9%</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Net income and Diluted EPS, as adjusted, of 9.5% and 14.9% respectively.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Income from Operations as a percent of Revenue, as adjusted, of 150 basis points.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3"/>
              </w:rPr>
              <w:t>Year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4"/>
                <w:szCs w:val="14"/>
                <w:b w:val="1"/>
                <w:bCs w:val="1"/>
                <w:color w:val="auto"/>
                <w:w w:val="91"/>
              </w:rPr>
              <w:t>December 31, 2007</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After-tax Amount</w:t>
            </w: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Per Share Amount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0" w:type="dxa"/>
            <w:vAlign w:val="bottom"/>
            <w:vMerge w:val="restart"/>
          </w:tcPr>
          <w:p>
            <w:pPr>
              <w:spacing w:after="0"/>
              <w:rPr>
                <w:sz w:val="24"/>
                <w:szCs w:val="24"/>
                <w:color w:val="auto"/>
              </w:rPr>
            </w:pPr>
          </w:p>
        </w:tc>
        <w:tc>
          <w:tcPr>
            <w:tcW w:w="7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1,163</w:t>
            </w:r>
          </w:p>
        </w:tc>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432"/>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Labor disputes</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Income tax audit settlements and other tax items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(86)</w:t>
            </w:r>
          </w:p>
        </w:tc>
        <w:tc>
          <w:tcPr>
            <w:tcW w:w="5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1,081</w:t>
            </w:r>
          </w:p>
        </w:tc>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3"/>
              </w:rPr>
              <w:t>Year Ended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4"/>
                <w:szCs w:val="14"/>
                <w:b w:val="1"/>
                <w:bCs w:val="1"/>
                <w:color w:val="auto"/>
                <w:w w:val="91"/>
              </w:rPr>
              <w:t>December 31, 2006</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After-tax Amount</w:t>
            </w: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Per Share Amount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income and Diluted EPS, as reported</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1,149</w:t>
            </w:r>
          </w:p>
        </w:tc>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60" w:type="dxa"/>
            <w:vAlign w:val="bottom"/>
          </w:tcPr>
          <w:p>
            <w:pPr>
              <w:ind w:left="200"/>
              <w:spacing w:after="0"/>
              <w:rPr>
                <w:sz w:val="20"/>
                <w:szCs w:val="20"/>
                <w:color w:val="auto"/>
              </w:rPr>
            </w:pPr>
            <w:r>
              <w:rPr>
                <w:rFonts w:ascii="Arial" w:cs="Arial" w:eastAsia="Arial" w:hAnsi="Arial"/>
                <w:sz w:val="18"/>
                <w:szCs w:val="18"/>
                <w:b w:val="1"/>
                <w:bCs w:val="1"/>
                <w:color w:val="auto"/>
              </w:rPr>
              <w:t>Adjustments to Net income and Diluted EPS:</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8"/>
                <w:szCs w:val="18"/>
                <w:color w:val="auto"/>
              </w:rPr>
              <w:t>Unclaimed property charge</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audit settlements and other tax items</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(195)</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560" w:type="dxa"/>
            <w:vAlign w:val="bottom"/>
          </w:tcPr>
          <w:p>
            <w:pPr>
              <w:ind w:left="200"/>
              <w:spacing w:after="0"/>
              <w:rPr>
                <w:sz w:val="20"/>
                <w:szCs w:val="20"/>
                <w:color w:val="auto"/>
              </w:rPr>
            </w:pPr>
            <w:r>
              <w:rPr>
                <w:rFonts w:ascii="Arial" w:cs="Arial" w:eastAsia="Arial" w:hAnsi="Arial"/>
                <w:sz w:val="18"/>
                <w:szCs w:val="18"/>
                <w:b w:val="1"/>
                <w:bCs w:val="1"/>
                <w:color w:val="auto"/>
              </w:rPr>
              <w:t>Net income and Diluted EPS, as adjusted</w:t>
            </w:r>
          </w:p>
        </w:tc>
        <w:tc>
          <w:tcPr>
            <w:tcW w:w="8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991</w:t>
            </w:r>
          </w:p>
        </w:tc>
        <w:tc>
          <w:tcPr>
            <w:tcW w:w="54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Full Year 2008 Free Cash Flow Reconciliation</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6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2,750</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expenditures</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(1,500)</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150</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Free cash flow</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1,400</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jc w:val="right"/>
              <w:ind w:right="1630"/>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lvl>
    <w:lvl w:ilvl="1">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2019-12-20T04:49:47Z</dcterms:created>
  <dcterms:modified xsi:type="dcterms:W3CDTF">2019-12-20T04:49:47Z</dcterms:modified>
</cp:coreProperties>
</file>