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185" w:lineRule="exact"/>
        <w:rPr>
          <w:sz w:val="24"/>
          <w:szCs w:val="24"/>
          <w:color w:val="auto"/>
        </w:rPr>
      </w:pPr>
    </w:p>
    <w:p>
      <w:pPr>
        <w:ind w:left="1320" w:right="459" w:hanging="622"/>
        <w:spacing w:after="0" w:line="262" w:lineRule="auto"/>
        <w:tabs>
          <w:tab w:leader="none" w:pos="131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5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1320" w:right="1359" w:hanging="622"/>
        <w:spacing w:after="0" w:line="262" w:lineRule="auto"/>
        <w:tabs>
          <w:tab w:leader="none" w:pos="131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59" w:lineRule="exact"/>
        <w:rPr>
          <w:sz w:val="24"/>
          <w:szCs w:val="24"/>
          <w:color w:val="auto"/>
        </w:rPr>
      </w:pPr>
    </w:p>
    <w:p>
      <w:pPr>
        <w:ind w:left="134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-5080</wp:posOffset>
            </wp:positionV>
            <wp:extent cx="1237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RETIREMENT SAVINGS PLAN</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800 Capitol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60" w:type="dxa"/>
            <w:vAlign w:val="bottom"/>
            <w:gridSpan w:val="8"/>
          </w:tcPr>
          <w:p>
            <w:pPr>
              <w:jc w:val="center"/>
              <w:ind w:right="1080"/>
              <w:spacing w:after="0"/>
              <w:rPr>
                <w:sz w:val="20"/>
                <w:szCs w:val="20"/>
                <w:color w:val="auto"/>
              </w:rPr>
            </w:pPr>
            <w:r>
              <w:rPr>
                <w:rFonts w:ascii="Times New Roman" w:cs="Times New Roman" w:eastAsia="Times New Roman" w:hAnsi="Times New Roman"/>
                <w:sz w:val="18"/>
                <w:szCs w:val="18"/>
                <w:color w:val="auto"/>
                <w:w w:val="97"/>
              </w:rPr>
              <w:t>WASTE MANAGEMENT RETIREMENT SAVINGS PLAN</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0"/>
          </w:tcPr>
          <w:p>
            <w:pPr>
              <w:jc w:val="center"/>
              <w:ind w:left="950"/>
              <w:spacing w:after="0"/>
              <w:rPr>
                <w:sz w:val="20"/>
                <w:szCs w:val="20"/>
                <w:color w:val="auto"/>
              </w:rPr>
            </w:pPr>
            <w:r>
              <w:rPr>
                <w:rFonts w:ascii="Times New Roman" w:cs="Times New Roman" w:eastAsia="Times New Roman" w:hAnsi="Times New Roman"/>
                <w:sz w:val="18"/>
                <w:szCs w:val="18"/>
                <w:color w:val="auto"/>
                <w:w w:val="99"/>
              </w:rPr>
              <w:t>INDEX TO FINANCIAL STATEMENTS AND SUPPLEMENTAL SCHEDULES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774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3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453"/>
        </w:trPr>
        <w:tc>
          <w:tcPr>
            <w:tcW w:w="2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354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 as of December 31, 2025 and 2024</w:t>
            </w:r>
          </w:p>
        </w:tc>
        <w:tc>
          <w:tcPr>
            <w:tcW w:w="16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 for the Year Ended December 31, 2025</w:t>
            </w:r>
          </w:p>
        </w:tc>
        <w:tc>
          <w:tcPr>
            <w:tcW w:w="3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Financial Statements</w:t>
            </w:r>
          </w:p>
        </w:tc>
        <w:tc>
          <w:tcPr>
            <w:tcW w:w="4900" w:type="dxa"/>
            <w:vAlign w:val="bottom"/>
            <w:tcBorders>
              <w:top w:val="single" w:sz="8" w:color="0000EE"/>
            </w:tcBorders>
            <w:gridSpan w:val="6"/>
          </w:tcPr>
          <w:p>
            <w:pPr>
              <w:spacing w:after="0"/>
              <w:rPr>
                <w:sz w:val="17"/>
                <w:szCs w:val="17"/>
                <w:color w:val="auto"/>
              </w:rPr>
            </w:pPr>
          </w:p>
        </w:tc>
        <w:tc>
          <w:tcPr>
            <w:tcW w:w="5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34"/>
        </w:trPr>
        <w:tc>
          <w:tcPr>
            <w:tcW w:w="2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Schedule H, Line 4(a) - Schedule of Delinquent Participant Contributions</w:t>
            </w:r>
          </w:p>
        </w:tc>
        <w:tc>
          <w:tcPr>
            <w:tcW w:w="232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3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66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Benefit Plans Committee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Waste Management Retirement Savings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and the schedule of delinquent participant contributions for the year ended December 31, 2025 have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18,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1,674,085,578</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2,700,448,341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3,981,178,891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contributions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100,370,163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91,408,250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 pending</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from Stericycle, Inc. 401(k) Retirement Plan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474,589,601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receivables</w:t>
            </w:r>
          </w:p>
        </w:tc>
        <w:tc>
          <w:tcPr>
            <w:tcW w:w="9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575,001,255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95,464,812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9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4,949,535,174</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4,076,643,703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4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Year Ended December 31, 2025</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AVAILABLE FOR BENEFITS:</w:t>
            </w:r>
          </w:p>
        </w:tc>
        <w:tc>
          <w:tcPr>
            <w:tcW w:w="7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w:t>
            </w:r>
          </w:p>
        </w:tc>
        <w:tc>
          <w:tcPr>
            <w:tcW w:w="7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224,502,011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127,801,745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Rollover</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367,687,240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appreciation in Plan investments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604,922,553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additions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994,695,869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DEDUCTIONS FROM NET ASSETS AVAILABLE FOR BENEFITS: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594,795,833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Administrative expenses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deductions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597,094,005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BEFORE TRANSFER</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397,601,864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in from other plans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475,289,607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AFTER TRANSFERS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872,891,471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4,076,643,703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4,949,535,174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is a defined contribution plan sponsored by Waste Management, Inc. (the “Company” or “WMI”), and eligible affiliates (as defined in the Plan) (collectively “Waste Management”) for the benefit of eligible employees and their beneficiaries. The Plan is subject to the provisions of the Employee Retirement Income Security Act of 1974, as amended (“ERISA”). Effective January 1, 2025, the Plan was amended and restated to incorporate prior amendments to the Plan and to adopt further amendments, including certain required provisions of the Setting Every Community Up for Retirement Enhancement (“SECURE”) Act of 2019 and the SECURE 2.0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January 1, 2026, the Stericycle, Inc. 401(k) Retirement Plan was merged into the Plan. As a result, a receivable of $474,589,601 for the plan merger was recorded in the Statement of Net Assets Available for Benefits as of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Waste Management, Inc. Benefit Plans Committee (the “Benefit Plans Committee”) has been named to serve as administrator and fiduciary of the Plan. During the 2025 plan year, Bank of America, N.A. (“Bank of America”) served as trustee and recordkeeper of the Plan. Effective January 1, 2026, Fidelity Management Trust Company became trustee and custodian of the Plan and Fidelity Workplace Services, LLC became recordkeeper of the Plan. Cash and cash equivalents held at December 31, 2025 represents cash in transit to the new trustee and recordkeeper which was allocated across the Plan’s various investment options on January 2,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Employees (as defined by the Plan) are eligible to participate in the Plan following completion of a 90-day period of service (as defined by the Plan).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55" w:lineRule="auto"/>
        <w:tabs>
          <w:tab w:leader="none" w:pos="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providing services to the Company and who are designated as independent contractors; (d) non-resident aliens with no United States source income as defined in Code Section 861(a)(3) and (e) individuals who are participants in certain other pension, retirement, profit-sharing, stock bonus, thrift or savings plans maintained by Waste Management.</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Participants are permitted to contribute as much as 80%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not permitted by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Plan. Participants may also contribute amounts representing distributions from other qualified plans (“Rollover Contributions”).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Nonvested Forfeitures, Unclaimed Distributions and Other</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nonvested forfeitures, unclaimed distributions and other unallocated accounts, including settlements, totaled $1,218,752 and $1,466,883, respectively. These accounts will be used to reduce future Waste Management contributions and/or to pay Plan expenses. During 2025, $523,193 from these accounts was used to fund Waste Management’s required contributions and pay Plan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29" w:lineRule="exact"/>
        <w:rPr>
          <w:sz w:val="20"/>
          <w:szCs w:val="20"/>
          <w:color w:val="auto"/>
        </w:rPr>
      </w:pPr>
    </w:p>
    <w:p>
      <w:pPr>
        <w:jc w:val="both"/>
        <w:ind w:left="60" w:right="59"/>
        <w:spacing w:after="0" w:line="276" w:lineRule="auto"/>
        <w:rPr>
          <w:sz w:val="20"/>
          <w:szCs w:val="20"/>
          <w:color w:val="auto"/>
        </w:rPr>
      </w:pPr>
      <w:r>
        <w:rPr>
          <w:rFonts w:ascii="Times New Roman" w:cs="Times New Roman" w:eastAsia="Times New Roman" w:hAnsi="Times New Roman"/>
          <w:sz w:val="17"/>
          <w:szCs w:val="17"/>
          <w:color w:val="auto"/>
        </w:rPr>
        <w:t>The Plan offers participants diversified investment options. Prior to the January 1, 2026 change in trustee and recordkeeper, the Plan offered (a) 14 common collective trust funds (including nine target retirement-date funds and a stable value fund);</w:t>
      </w:r>
    </w:p>
    <w:p>
      <w:pPr>
        <w:spacing w:after="0" w:line="1" w:lineRule="exact"/>
        <w:rPr>
          <w:sz w:val="20"/>
          <w:szCs w:val="20"/>
          <w:color w:val="auto"/>
        </w:rPr>
      </w:pPr>
    </w:p>
    <w:p>
      <w:pPr>
        <w:jc w:val="both"/>
        <w:ind w:left="60" w:right="59" w:hanging="10"/>
        <w:spacing w:after="0" w:line="253"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mutual funds; (c) a WMI common stock fund (which is an Employee Stock Ownership Plan) and (d) a self-directed brokerage account, which allows participants to select various securities sold on the New York Stock Exchange, NYSE American (formerly the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a participant invests in the WMI common stock fund, the participant can elect to receive in cash any dividends paid on the common stock in the participant’s account. If a participant does not make such an election, dividends will automatically be reinvested in the WMI common stock fund. Each participant who has invested in the WMI common stock fund has the right to vote the shares of stock in his or her account with respect to any matter that comes before the shareholders for a vote.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Employee Contributions, Rollover Contributions and Employer Contributions, plus earnings thereon.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Upon retirement, disability or termination of employment, participants or, in the case of a participant’s death, their designated beneficiaries, may make withdrawals from their accounts as specified by the Plan. Prior to termination,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participants who have reached age 59-1/2 may withdraw from their accounts. Distributions are made by a single lump-sum payment or direct rollover. Distributions of accounts invested in WMI common stock may be taken in whole shares of common stock or cash.</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may make withdrawals from their contributions, including certain earnings on those contributions, in the event of proven financial hardship of the participant.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2025 and 2024.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w:t>
      </w:r>
    </w:p>
    <w:p>
      <w:pPr>
        <w:spacing w:after="0" w:line="3" w:lineRule="exact"/>
        <w:rPr>
          <w:sz w:val="20"/>
          <w:szCs w:val="20"/>
          <w:color w:val="auto"/>
        </w:rPr>
      </w:pPr>
    </w:p>
    <w:p>
      <w:pPr>
        <w:jc w:val="both"/>
        <w:ind w:left="60" w:right="59" w:hanging="10"/>
        <w:spacing w:after="0" w:line="250"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 participant’s defaulting on a loan. Interest rates and repayment terms are established by the Benefit Plans Committee. Such loans shall be repaid by payroll deduction or any other method approved by the Benefit Plans Committee. The Benefit Plans Committee requires that: (a) no more than one loan per year be taken by a participant; (b) repayments be made no less frequently than quarterly; (c) loans be repaid over a period not to exceed 60 months and (d)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Administrative expenses of the Plan are generally allocated among participants. Loan administration fees and certain other expenses are charged directly to the account balance of the applicable participant. In 2025, Waste Management elected to pay certain audit and legal fees of the Plan.</w:t>
      </w:r>
    </w:p>
    <w:p>
      <w:pPr>
        <w:spacing w:after="0" w:line="172" w:lineRule="exact"/>
        <w:rPr>
          <w:sz w:val="20"/>
          <w:szCs w:val="20"/>
          <w:color w:val="auto"/>
        </w:rPr>
      </w:pPr>
    </w:p>
    <w:p>
      <w:pPr>
        <w:ind w:left="60" w:right="6279" w:hanging="10"/>
        <w:spacing w:after="0" w:line="503" w:lineRule="auto"/>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values of the underlying assets. Short-term investments (included in amounts reported as common collective trust funds herein) are stated at cost, which approximates fair value.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records purchases and sales of securities on a trade-date basis and dividends on the ex-dividend date. Interest income is recorded on the accrual basis.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Company are recorded in the year in which the employee contributions are withheld from compensation.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makes investments in securities. Investment securities are exposed to various risks, such as interest rate, macroeconomic, market and credit risks that impact the value of such securities. Risks include, but are not limited to, general economic conditions, political developments, international conflict and instability of markets and financial institutions. The impacts of any such risks cannot be predicted at this time, but it is possible that changes in values of investment securities could materially affect participant account balances and the amounts reported in the Statements of Net Assets Available for Benefits.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are made to the prior year financial information to conform to the current year presentation.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Plan’s investment option for the stable value fund is managed by the John Hancock Stable Value Return Trust, a Collective Investment Trust offered by the John Hancock Trust Company and is included in investments at fair value in the Statements of Net Assets Available for Benefits. The fund also invests in an uninsured separately managed account portfolio of short-term investments, the John Hancock Short Term Investment Fund (STIF) to provide daily liquidity for plan and participant level transactions.</w:t>
      </w:r>
    </w:p>
    <w:p>
      <w:pPr>
        <w:spacing w:after="0" w:line="183" w:lineRule="exact"/>
        <w:rPr>
          <w:sz w:val="20"/>
          <w:szCs w:val="20"/>
          <w:color w:val="auto"/>
        </w:rPr>
      </w:pPr>
    </w:p>
    <w:p>
      <w:pPr>
        <w:jc w:val="both"/>
        <w:ind w:left="60" w:right="59"/>
        <w:spacing w:after="0" w:line="219" w:lineRule="exact"/>
        <w:rPr>
          <w:sz w:val="20"/>
          <w:szCs w:val="20"/>
          <w:color w:val="auto"/>
        </w:rPr>
      </w:pPr>
      <w:r>
        <w:rPr>
          <w:rFonts w:ascii="Times New Roman" w:cs="Times New Roman" w:eastAsia="Times New Roman" w:hAnsi="Times New Roman"/>
          <w:sz w:val="18"/>
          <w:szCs w:val="18"/>
          <w:color w:val="auto"/>
        </w:rPr>
        <w:t>Risks arise when entering into any investment contract due to the potential inability of the issuer to meet the terms of the contract. In addition, security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investment contracts, also called stabilizing agreements or synthetic guaranteed investment contracts, have the risk of default or the lack of liquidity of the underlying portfolio assets. The credit risk of each issuer was evaluated and monitored through the portfolio manager’s credit analysis. The credit analysis included, but was not limited to, asset quality and liquidity, management quality, surplus adequacy, and profitability. John Hancock on behalf of the Plan, requires that the issuers of each contract have a minimum quality rating as of the contract effective date and that all underlying portfolio assets be rated investment grade at the time of purchase.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0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 active markets for identical assets and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30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that are generally unobservable and typically reflect the Plan’s estimate of assumptions that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in pricing the asset or liability. The Plan had no Level 3 assets as of December 31, 2025 or 2024.</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by level, within the fair value hierarchy, a summary of investments of the Plan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measured at fair value on a recurring basis: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Quoted Prices in Active Markets (Level 1):</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12,992,721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282,199,040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WMI common stock</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339,276,595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341,492,867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142,400,938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127,065,199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134,637,703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324,325,665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Subtotal Level 1</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629,307,957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1,075,082,771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Other Observable Inputs (Level 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Self-directed brokerage accounts — FedFund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8,875,125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FedFund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Level 2</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8,875,125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 (a):</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2,062,265,259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2,894,412,157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Subtotal Investments Measured at Net Asset Value</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2,062,265,259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2,894,412,157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2,700,448,341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3,981,178,891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2025 and 2024, there were no redemption restrictions on the investments held at net asset value other than possible advance notice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Federal 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w:t>
      </w:r>
    </w:p>
    <w:tbl>
      <w:tblPr>
        <w:tblLayout w:type="fixed"/>
        <w:tblInd w:w="60" w:type="dxa"/>
        <w:tblCellMar>
          <w:top w:w="0" w:type="dxa"/>
          <w:left w:w="0" w:type="dxa"/>
          <w:bottom w:w="0" w:type="dxa"/>
          <w:right w:w="0" w:type="dxa"/>
        </w:tblCellMar>
      </w:tblPr>
      <w:tr>
        <w:trPr>
          <w:trHeight w:val="146"/>
        </w:trPr>
        <w:tc>
          <w:tcPr>
            <w:tcW w:w="6200" w:type="dxa"/>
            <w:vAlign w:val="bottom"/>
            <w:vMerge w:val="restart"/>
          </w:tcPr>
          <w:p>
            <w:pPr>
              <w:ind w:left="61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115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36"/>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3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$ 4,949,535,174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4,076,643,703</w:t>
            </w:r>
          </w:p>
        </w:tc>
        <w:tc>
          <w:tcPr>
            <w:tcW w:w="0" w:type="dxa"/>
            <w:vAlign w:val="bottom"/>
          </w:tcPr>
          <w:p>
            <w:pPr>
              <w:spacing w:after="0"/>
              <w:rPr>
                <w:sz w:val="1"/>
                <w:szCs w:val="1"/>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pending distribution to participants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425,310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1,087,988</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$ 4,949,960,484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4,077,731,691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available for benefits per the financial statements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5500 for the year ended December 31, 2025:</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872,891,471</w:t>
            </w: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(1,087,988)</w:t>
            </w:r>
          </w:p>
        </w:tc>
      </w:tr>
      <w:tr>
        <w:trPr>
          <w:trHeight w:val="216"/>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2025</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425,310</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872,228,793</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to discontinue its Plan contribution at any time and to terminate the Plan subject to the provisions of ERISA.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2025 Plan year, Bank of America served as the trustee and recordkeeper of the Plan, and Merrill Lynch, Pierce, Fenner &amp; Smith Incorporated, a Bank of America Company, provided securities brokerage services for the self-directed brokerage account. Effective May 2025, Fiduciary Consulting Group, a separate business unit within Morgan Stanley Institutional Investment Advisors, LLC, began serving as the independent fiduciary for the WMI common stock fund. Prior to that date, State Street Bank and Trust Company served as the independent fiduciary for the WMI common stock fund. The Plan also holds notes receivable representing participant loans. These transactions qualify as party-in-interest transactions. Additionally, a portion of the Plan’s assets are invested in WMI common stock. As WMI is the Plan sponsor, transactions involving WMI common stock also qualify as party-in-interest transactions. The Plan sponsor believes that all of these transactions are exempt from the prohibited transactions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60" w:type="dxa"/>
            <w:vAlign w:val="bottom"/>
            <w:gridSpan w:val="7"/>
          </w:tcPr>
          <w:p>
            <w:pPr>
              <w:jc w:val="center"/>
              <w:ind w:left="1599"/>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0" w:type="dxa"/>
            <w:vAlign w:val="bottom"/>
            <w:gridSpan w:val="10"/>
          </w:tcPr>
          <w:p>
            <w:pPr>
              <w:jc w:val="center"/>
              <w:ind w:left="179"/>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EIN: 73 1309529</w:t>
            </w:r>
          </w:p>
        </w:tc>
        <w:tc>
          <w:tcPr>
            <w:tcW w:w="124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Plan: 001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left="279"/>
              <w:spacing w:after="0"/>
              <w:rPr>
                <w:sz w:val="20"/>
                <w:szCs w:val="20"/>
                <w:color w:val="auto"/>
              </w:rPr>
            </w:pPr>
            <w:r>
              <w:rPr>
                <w:rFonts w:ascii="Times New Roman" w:cs="Times New Roman" w:eastAsia="Times New Roman" w:hAnsi="Times New Roman"/>
                <w:sz w:val="18"/>
                <w:szCs w:val="18"/>
                <w:color w:val="auto"/>
                <w:w w:val="98"/>
              </w:rPr>
              <w:t>Year Ended</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center"/>
              <w:ind w:right="664"/>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Participant Contributions</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Total that Constitute Nonexempt Prohibited Transactions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Total Fully</w:t>
            </w: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Contributions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Transferred Late to Plan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rPr>
              <w:t>Check here if Late Participant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0" w:type="dxa"/>
            <w:vAlign w:val="bottom"/>
          </w:tcPr>
          <w:p>
            <w:pPr>
              <w:spacing w:after="0"/>
              <w:rPr>
                <w:sz w:val="12"/>
                <w:szCs w:val="12"/>
                <w:color w:val="auto"/>
              </w:rPr>
            </w:pPr>
          </w:p>
        </w:tc>
        <w:tc>
          <w:tcPr>
            <w:tcW w:w="11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Corrected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45"/>
              <w:spacing w:after="0" w:line="143" w:lineRule="exact"/>
              <w:rPr>
                <w:sz w:val="20"/>
                <w:szCs w:val="20"/>
                <w:color w:val="auto"/>
              </w:rPr>
            </w:pPr>
            <w:r>
              <w:rPr>
                <w:rFonts w:ascii="Times New Roman" w:cs="Times New Roman" w:eastAsia="Times New Roman" w:hAnsi="Times New Roman"/>
                <w:sz w:val="14"/>
                <w:szCs w:val="14"/>
                <w:b w:val="1"/>
                <w:bCs w:val="1"/>
                <w:color w:val="auto"/>
              </w:rPr>
              <w:t>Correction</w:t>
            </w:r>
          </w:p>
        </w:tc>
        <w:tc>
          <w:tcPr>
            <w:tcW w:w="28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Under VFCP and</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Loan Repayments are included: </w:t>
            </w:r>
            <w:r>
              <w:rPr>
                <w:rFonts w:ascii="Wingdings" w:cs="Wingdings" w:eastAsia="Wingdings" w:hAnsi="Wingdings"/>
                <w:sz w:val="17"/>
                <w:szCs w:val="17"/>
                <w:b w:val="1"/>
                <w:bCs w:val="1"/>
                <w:color w:val="auto"/>
                <w:highlight w:val="black"/>
              </w:rPr>
              <w: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Not Corrected   </w:t>
            </w: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Outside VFCP</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VFCP</w:t>
            </w:r>
          </w:p>
        </w:tc>
        <w:tc>
          <w:tcPr>
            <w:tcW w:w="4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PTE 2001-51</w:t>
            </w:r>
          </w:p>
        </w:tc>
        <w:tc>
          <w:tcPr>
            <w:tcW w:w="0" w:type="dxa"/>
            <w:vAlign w:val="bottom"/>
          </w:tcPr>
          <w:p>
            <w:pPr>
              <w:spacing w:after="0"/>
              <w:rPr>
                <w:sz w:val="1"/>
                <w:szCs w:val="1"/>
                <w:color w:val="auto"/>
              </w:rPr>
            </w:pPr>
          </w:p>
        </w:tc>
      </w:tr>
      <w:tr>
        <w:trPr>
          <w:trHeight w:val="210"/>
        </w:trPr>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383,767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0" w:type="dxa"/>
            <w:vAlign w:val="bottom"/>
            <w:gridSpan w:val="4"/>
          </w:tcPr>
          <w:p>
            <w:pPr>
              <w:jc w:val="center"/>
              <w:ind w:right="676"/>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gridSpan w:val="5"/>
          </w:tcPr>
          <w:p>
            <w:pPr>
              <w:jc w:val="center"/>
              <w:ind w:left="1191"/>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EIN: 73-1309529</w:t>
            </w:r>
          </w:p>
        </w:tc>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 001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center"/>
              <w:ind w:right="1896"/>
              <w:spacing w:after="0"/>
              <w:rPr>
                <w:sz w:val="20"/>
                <w:szCs w:val="20"/>
                <w:color w:val="auto"/>
              </w:rPr>
            </w:pPr>
            <w:r>
              <w:rPr>
                <w:rFonts w:ascii="Times New Roman" w:cs="Times New Roman" w:eastAsia="Times New Roman" w:hAnsi="Times New Roman"/>
                <w:sz w:val="18"/>
                <w:szCs w:val="18"/>
                <w:color w:val="auto"/>
              </w:rPr>
              <w:t>December 31, 2025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1"/>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9"/>
              </w:rPr>
              <w:t>(a)</w:t>
            </w:r>
          </w:p>
        </w:tc>
        <w:tc>
          <w:tcPr>
            <w:tcW w:w="31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80" w:type="dxa"/>
            <w:vAlign w:val="bottom"/>
          </w:tcPr>
          <w:p>
            <w:pPr>
              <w:jc w:val="center"/>
              <w:ind w:right="1076"/>
              <w:spacing w:after="0"/>
              <w:rPr>
                <w:sz w:val="20"/>
                <w:szCs w:val="20"/>
                <w:color w:val="auto"/>
              </w:rPr>
            </w:pPr>
            <w:r>
              <w:rPr>
                <w:rFonts w:ascii="Times New Roman" w:cs="Times New Roman" w:eastAsia="Times New Roman" w:hAnsi="Times New Roman"/>
                <w:sz w:val="18"/>
                <w:szCs w:val="18"/>
                <w:color w:val="auto"/>
                <w:w w:val="89"/>
              </w:rPr>
              <w:t>(c)</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(e)</w:t>
            </w:r>
          </w:p>
        </w:tc>
      </w:tr>
      <w:tr>
        <w:trPr>
          <w:trHeight w:val="17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780" w:type="dxa"/>
            <w:vAlign w:val="bottom"/>
          </w:tcPr>
          <w:p>
            <w:pPr>
              <w:jc w:val="center"/>
              <w:ind w:right="1076"/>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40" w:type="dxa"/>
            <w:vAlign w:val="bottom"/>
          </w:tcPr>
          <w:p>
            <w:pPr>
              <w:spacing w:after="0"/>
              <w:rPr>
                <w:sz w:val="15"/>
                <w:szCs w:val="15"/>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339,276,595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Gray Collective Investment Trust</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Lord Abbett Total Return Fund II BP</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134,637,703</w:t>
            </w:r>
          </w:p>
        </w:tc>
      </w:tr>
      <w:tr>
        <w:trPr>
          <w:trHeight w:val="198"/>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Hancock Trust Company Collective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Trust</w:t>
            </w:r>
          </w:p>
        </w:tc>
        <w:tc>
          <w:tcPr>
            <w:tcW w:w="4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John Hancock Stable Value Return Trust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331,264,976</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PIMCO RealPath Blend 2030 Collective Trust Funds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450,509,033</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PIMCO RealPath Blend 2035 Collective Trust Funds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195,308,411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PIMCO RealPath Blend 2040 Collective Trust Funds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345,280,992</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PIMCO RealPath Blend 2045 Collective Trust Funds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167,337,250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PIMCO RealPath Blend 2050 Collective Trust Funds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167,303,273</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PIMCO RealPath Blend 2055 Collective Trust Funds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144,242,844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PIMCO RealPath Blend 2060 Collective Trust Funds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45,164,223</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PIMCO RealPath Blend 2065 Collective Trust Funds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7,084,527</w:t>
            </w: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PIMCO RealPath Blend Income Collective Trust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Funds</w:t>
            </w:r>
          </w:p>
        </w:tc>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208,769,730</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4120" w:type="dxa"/>
            <w:vAlign w:val="bottom"/>
            <w:gridSpan w:val="3"/>
            <w:shd w:val="clear" w:color="auto" w:fill="CCEEFF"/>
          </w:tcPr>
          <w:p>
            <w:pPr>
              <w:ind w:left="160"/>
              <w:spacing w:after="0" w:line="207" w:lineRule="exact"/>
              <w:rPr>
                <w:sz w:val="20"/>
                <w:szCs w:val="20"/>
                <w:color w:val="auto"/>
              </w:rPr>
            </w:pPr>
            <w:r>
              <w:rPr>
                <w:rFonts w:ascii="Times New Roman" w:cs="Times New Roman" w:eastAsia="Times New Roman" w:hAnsi="Times New Roman"/>
                <w:sz w:val="18"/>
                <w:szCs w:val="18"/>
                <w:color w:val="auto"/>
              </w:rPr>
              <w:t>PIMCO International Bond (USD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Hdg) Instl.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12,992,721</w:t>
            </w: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w:t>
            </w:r>
          </w:p>
        </w:tc>
        <w:tc>
          <w:tcPr>
            <w:tcW w:w="4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151,276,063</w:t>
            </w:r>
          </w:p>
        </w:tc>
      </w:tr>
      <w:tr>
        <w:trPr>
          <w:trHeight w:val="210"/>
        </w:trPr>
        <w:tc>
          <w:tcPr>
            <w:tcW w:w="20" w:type="dxa"/>
            <w:vAlign w:val="bottom"/>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2,700,448,341</w:t>
            </w: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Various maturity dates with interest rates ranging from</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3.25% to 9.50%</w:t>
            </w:r>
          </w:p>
        </w:tc>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100,370,163</w:t>
            </w:r>
          </w:p>
        </w:tc>
      </w:tr>
      <w:tr>
        <w:trPr>
          <w:trHeight w:val="210"/>
        </w:trPr>
        <w:tc>
          <w:tcPr>
            <w:tcW w:w="20" w:type="dxa"/>
            <w:vAlign w:val="bottom"/>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2,800,818,504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76"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6"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23.1*</w:t>
      </w:r>
    </w:p>
    <w:p>
      <w:pPr>
        <w:spacing w:after="0" w:line="112" w:lineRule="exact"/>
        <w:rPr>
          <w:sz w:val="20"/>
          <w:szCs w:val="20"/>
          <w:color w:val="auto"/>
        </w:rPr>
      </w:pPr>
    </w:p>
    <w:p>
      <w:pPr>
        <w:jc w:val="both"/>
        <w:ind w:left="920" w:right="79" w:hanging="859"/>
        <w:spacing w:after="0" w:line="258"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Files Pursuant to Rule 405 of Regulation S-T, formatted in Inline XBRL: (i) Statements of Net Assets Available for Benefits as of December 31, 2025 and 2024, (ii) Statement of Changes in Net Assets Available for Benefits for the Year Ended December 31, 2025, (iii) Notes to Financial Statements, (iv) Schedule H, Line 4(a) – Schedule of Delinquent Participant Contributions and (v) Schedule H, Line 4(i) – Schedule of Assets (Held at End of Year)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left="60" w:right="479"/>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Benefit Plans Committee has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caused this annual report to be signed on its behalf by the undersigned hereunto duly authorized.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62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​​WASTE MANAGEMENT RETIREMENT SAVINGS PLAN</w:t>
            </w:r>
          </w:p>
        </w:tc>
      </w:tr>
      <w:tr>
        <w:trPr>
          <w:trHeight w:val="234"/>
        </w:trPr>
        <w:tc>
          <w:tcPr>
            <w:tcW w:w="2640" w:type="dxa"/>
            <w:vAlign w:val="bottom"/>
          </w:tcPr>
          <w:p>
            <w:pPr>
              <w:spacing w:after="0"/>
              <w:rPr>
                <w:sz w:val="20"/>
                <w:szCs w:val="20"/>
                <w:color w:val="auto"/>
              </w:rPr>
            </w:pPr>
          </w:p>
        </w:tc>
        <w:tc>
          <w:tcPr>
            <w:tcW w:w="62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62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Kimberly Moore</w:t>
            </w:r>
          </w:p>
        </w:tc>
      </w:tr>
      <w:tr>
        <w:trPr>
          <w:trHeight w:val="191"/>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Moore</w:t>
            </w:r>
          </w:p>
        </w:tc>
      </w:tr>
      <w:tr>
        <w:trPr>
          <w:trHeight w:val="216"/>
        </w:trPr>
        <w:tc>
          <w:tcPr>
            <w:tcW w:w="2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Member, Waste Management, Inc.</w:t>
            </w:r>
          </w:p>
        </w:tc>
      </w:tr>
      <w:tr>
        <w:trPr>
          <w:trHeight w:val="234"/>
        </w:trPr>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333-253683) pertaining to the Waste Management Retirement Savings Plan of our report dated June 18, 2026, with respect to the financial statements and supplemental schedules of the Waste Management Retirement Savings Plan included in this Annual Report (Form 11-K)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2026-06-18T13:47:47Z</dcterms:created>
  <dcterms:modified xsi:type="dcterms:W3CDTF">2026-06-18T13:47:47Z</dcterms:modified>
</cp:coreProperties>
</file>