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(Mark One)</w:t>
      </w:r>
    </w:p>
    <w:p>
      <w:pPr>
        <w:ind w:left="1960" w:hanging="1243"/>
        <w:spacing w:after="0" w:line="238" w:lineRule="auto"/>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ind w:left="1960" w:right="4120"/>
        <w:spacing w:after="0" w:line="449" w:lineRule="auto"/>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AND EXCHANGE ACT OF 1934 For the fiscal year ended December 31, 2005</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0"/>
          <w:szCs w:val="20"/>
          <w:color w:val="auto"/>
        </w:rPr>
      </w:pPr>
    </w:p>
    <w:p>
      <w:pPr>
        <w:ind w:left="1960" w:hanging="1202"/>
        <w:spacing w:after="0"/>
        <w:tabs>
          <w:tab w:leader="none" w:pos="19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w:t>
      </w:r>
    </w:p>
    <w:p>
      <w:pPr>
        <w:spacing w:after="0" w:line="14" w:lineRule="exact"/>
        <w:rPr>
          <w:rFonts w:ascii="Arial" w:cs="Arial" w:eastAsia="Arial" w:hAnsi="Arial"/>
          <w:sz w:val="22"/>
          <w:szCs w:val="22"/>
          <w:b w:val="1"/>
          <w:bCs w:val="1"/>
          <w:color w:val="auto"/>
        </w:rPr>
      </w:pPr>
    </w:p>
    <w:p>
      <w:pPr>
        <w:ind w:left="19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OF THE SECURITIES AND EXCHANGE ACT OF 1934</w:t>
      </w:r>
    </w:p>
    <w:p>
      <w:pPr>
        <w:spacing w:after="0" w:line="209" w:lineRule="exact"/>
        <w:rPr>
          <w:sz w:val="20"/>
          <w:szCs w:val="20"/>
          <w:color w:val="auto"/>
        </w:rPr>
      </w:pPr>
    </w:p>
    <w:p>
      <w:pPr>
        <w:ind w:left="1960"/>
        <w:spacing w:after="0"/>
        <w:tabs>
          <w:tab w:leader="none" w:pos="53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jc w:val="center"/>
              <w:ind w:left="613"/>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40" w:type="dxa"/>
            <w:vAlign w:val="bottom"/>
          </w:tcPr>
          <w:p>
            <w:pPr>
              <w:jc w:val="right"/>
              <w:ind w:right="1753"/>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5820" w:type="dxa"/>
            <w:vAlign w:val="bottom"/>
          </w:tcPr>
          <w:p>
            <w:pPr>
              <w:jc w:val="center"/>
              <w:ind w:left="613"/>
              <w:spacing w:after="0"/>
              <w:rPr>
                <w:sz w:val="20"/>
                <w:szCs w:val="20"/>
                <w:color w:val="auto"/>
              </w:rPr>
            </w:pPr>
            <w:r>
              <w:rPr>
                <w:rFonts w:ascii="Arial" w:cs="Arial" w:eastAsia="Arial" w:hAnsi="Arial"/>
                <w:sz w:val="18"/>
                <w:szCs w:val="18"/>
                <w:i w:val="1"/>
                <w:iCs w:val="1"/>
                <w:color w:val="auto"/>
                <w:w w:val="94"/>
              </w:rPr>
              <w:t>(State or other jurisdiction of</w:t>
            </w: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tcPr>
          <w:p>
            <w:pPr>
              <w:jc w:val="center"/>
              <w:ind w:right="1533"/>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820" w:type="dxa"/>
            <w:vAlign w:val="bottom"/>
          </w:tcPr>
          <w:p>
            <w:pPr>
              <w:jc w:val="center"/>
              <w:ind w:left="633"/>
              <w:spacing w:after="0"/>
              <w:rPr>
                <w:sz w:val="20"/>
                <w:szCs w:val="20"/>
                <w:color w:val="auto"/>
              </w:rPr>
            </w:pPr>
            <w:r>
              <w:rPr>
                <w:rFonts w:ascii="Arial" w:cs="Arial" w:eastAsia="Arial" w:hAnsi="Arial"/>
                <w:sz w:val="18"/>
                <w:szCs w:val="18"/>
                <w:i w:val="1"/>
                <w:iCs w:val="1"/>
                <w:color w:val="auto"/>
                <w:w w:val="94"/>
              </w:rPr>
              <w:t>incorporation or organization)</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tcPr>
          <w:p>
            <w:pPr>
              <w:jc w:val="center"/>
              <w:ind w:right="1533"/>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5820" w:type="dxa"/>
            <w:vAlign w:val="bottom"/>
          </w:tcPr>
          <w:p>
            <w:pPr>
              <w:jc w:val="center"/>
              <w:ind w:left="633"/>
              <w:spacing w:after="0"/>
              <w:rPr>
                <w:sz w:val="20"/>
                <w:szCs w:val="20"/>
                <w:color w:val="auto"/>
              </w:rPr>
            </w:pPr>
            <w:r>
              <w:rPr>
                <w:rFonts w:ascii="Arial" w:cs="Arial" w:eastAsia="Arial" w:hAnsi="Arial"/>
                <w:sz w:val="18"/>
                <w:szCs w:val="18"/>
                <w:b w:val="1"/>
                <w:bCs w:val="1"/>
                <w:color w:val="auto"/>
                <w:w w:val="90"/>
              </w:rPr>
              <w:t>1001 Fannin Street, Suite 4000</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0"/>
        </w:trPr>
        <w:tc>
          <w:tcPr>
            <w:tcW w:w="5820" w:type="dxa"/>
            <w:vAlign w:val="bottom"/>
          </w:tcPr>
          <w:p>
            <w:pPr>
              <w:jc w:val="center"/>
              <w:ind w:left="613"/>
              <w:spacing w:after="0"/>
              <w:rPr>
                <w:sz w:val="20"/>
                <w:szCs w:val="20"/>
                <w:color w:val="auto"/>
              </w:rPr>
            </w:pPr>
            <w:r>
              <w:rPr>
                <w:rFonts w:ascii="Arial" w:cs="Arial" w:eastAsia="Arial" w:hAnsi="Arial"/>
                <w:sz w:val="18"/>
                <w:szCs w:val="18"/>
                <w:b w:val="1"/>
                <w:bCs w:val="1"/>
                <w:color w:val="auto"/>
                <w:w w:val="86"/>
              </w:rPr>
              <w:t>Houston, Texas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40" w:type="dxa"/>
            <w:vAlign w:val="bottom"/>
          </w:tcPr>
          <w:p>
            <w:pPr>
              <w:jc w:val="right"/>
              <w:ind w:right="1973"/>
              <w:spacing w:after="0"/>
              <w:rPr>
                <w:sz w:val="20"/>
                <w:szCs w:val="20"/>
                <w:color w:val="auto"/>
              </w:rPr>
            </w:pPr>
            <w:r>
              <w:rPr>
                <w:rFonts w:ascii="Arial" w:cs="Arial" w:eastAsia="Arial" w:hAnsi="Arial"/>
                <w:sz w:val="18"/>
                <w:szCs w:val="18"/>
                <w:b w:val="1"/>
                <w:bCs w:val="1"/>
                <w:color w:val="auto"/>
              </w:rPr>
              <w:t>77002</w:t>
            </w:r>
          </w:p>
        </w:tc>
      </w:tr>
      <w:tr>
        <w:trPr>
          <w:trHeight w:val="230"/>
        </w:trPr>
        <w:tc>
          <w:tcPr>
            <w:tcW w:w="5820" w:type="dxa"/>
            <w:vAlign w:val="bottom"/>
          </w:tcPr>
          <w:p>
            <w:pPr>
              <w:jc w:val="center"/>
              <w:ind w:left="613"/>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tcPr>
          <w:p>
            <w:pPr>
              <w:jc w:val="center"/>
              <w:ind w:right="1533"/>
              <w:spacing w:after="0"/>
              <w:rPr>
                <w:sz w:val="20"/>
                <w:szCs w:val="20"/>
                <w:color w:val="auto"/>
              </w:rPr>
            </w:pPr>
            <w:r>
              <w:rPr>
                <w:rFonts w:ascii="Arial" w:cs="Arial" w:eastAsia="Arial" w:hAnsi="Arial"/>
                <w:sz w:val="18"/>
                <w:szCs w:val="18"/>
                <w:i w:val="1"/>
                <w:iCs w:val="1"/>
                <w:color w:val="auto"/>
                <w:w w:val="93"/>
              </w:rPr>
              <w:t>(Zip code)</w:t>
            </w:r>
          </w:p>
        </w:tc>
      </w:tr>
      <w:tr>
        <w:trPr>
          <w:trHeight w:val="324"/>
        </w:trPr>
        <w:tc>
          <w:tcPr>
            <w:tcW w:w="8480" w:type="dxa"/>
            <w:vAlign w:val="bottom"/>
            <w:gridSpan w:val="4"/>
          </w:tcPr>
          <w:p>
            <w:pPr>
              <w:jc w:val="center"/>
              <w:ind w:left="2853"/>
              <w:spacing w:after="0"/>
              <w:rPr>
                <w:sz w:val="20"/>
                <w:szCs w:val="20"/>
                <w:color w:val="auto"/>
              </w:rPr>
            </w:pPr>
            <w:r>
              <w:rPr>
                <w:rFonts w:ascii="Arial" w:cs="Arial" w:eastAsia="Arial" w:hAnsi="Arial"/>
                <w:sz w:val="18"/>
                <w:szCs w:val="18"/>
                <w:b w:val="1"/>
                <w:bCs w:val="1"/>
                <w:color w:val="auto"/>
                <w:w w:val="89"/>
              </w:rPr>
              <w:t>Registrant’s telephone number, including area code: (713) 512-6200</w:t>
            </w:r>
          </w:p>
        </w:tc>
        <w:tc>
          <w:tcPr>
            <w:tcW w:w="2940" w:type="dxa"/>
            <w:vAlign w:val="bottom"/>
          </w:tcPr>
          <w:p>
            <w:pPr>
              <w:spacing w:after="0"/>
              <w:rPr>
                <w:sz w:val="24"/>
                <w:szCs w:val="24"/>
                <w:color w:val="auto"/>
              </w:rPr>
            </w:pPr>
          </w:p>
        </w:tc>
      </w:tr>
      <w:tr>
        <w:trPr>
          <w:trHeight w:val="270"/>
        </w:trPr>
        <w:tc>
          <w:tcPr>
            <w:tcW w:w="7980" w:type="dxa"/>
            <w:vAlign w:val="bottom"/>
            <w:gridSpan w:val="3"/>
          </w:tcPr>
          <w:p>
            <w:pPr>
              <w:jc w:val="center"/>
              <w:ind w:left="3373"/>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50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270"/>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23"/>
                <w:szCs w:val="23"/>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24"/>
        </w:trPr>
        <w:tc>
          <w:tcPr>
            <w:tcW w:w="582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360" w:type="dxa"/>
            <w:vAlign w:val="bottom"/>
          </w:tcPr>
          <w:p>
            <w:pPr>
              <w:spacing w:after="0"/>
              <w:rPr>
                <w:sz w:val="19"/>
                <w:szCs w:val="19"/>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2"/>
        </w:trPr>
        <w:tc>
          <w:tcPr>
            <w:tcW w:w="7980" w:type="dxa"/>
            <w:vAlign w:val="bottom"/>
            <w:gridSpan w:val="3"/>
          </w:tcPr>
          <w:p>
            <w:pPr>
              <w:ind w:left="220"/>
              <w:spacing w:after="0"/>
              <w:rPr>
                <w:sz w:val="20"/>
                <w:szCs w:val="20"/>
                <w:color w:val="auto"/>
              </w:rPr>
            </w:pPr>
            <w:r>
              <w:rPr>
                <w:rFonts w:ascii="Arial" w:cs="Arial" w:eastAsia="Arial" w:hAnsi="Arial"/>
                <w:sz w:val="16"/>
                <w:szCs w:val="16"/>
                <w:color w:val="auto"/>
                <w:w w:val="93"/>
              </w:rPr>
              <w:t>Indicate by check mark if the registrant is a well-known seasoned issuer, as defined by Rule 405 of the Securities Act.</w:t>
            </w:r>
          </w:p>
        </w:tc>
        <w:tc>
          <w:tcPr>
            <w:tcW w:w="500" w:type="dxa"/>
            <w:vAlign w:val="bottom"/>
          </w:tcPr>
          <w:p>
            <w:pPr>
              <w:ind w:left="2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2940" w:type="dxa"/>
            <w:vAlign w:val="bottom"/>
          </w:tcPr>
          <w:p>
            <w:pPr>
              <w:ind w:left="320"/>
              <w:spacing w:after="0"/>
              <w:rPr>
                <w:sz w:val="20"/>
                <w:szCs w:val="20"/>
                <w:color w:val="auto"/>
              </w:rPr>
            </w:pPr>
            <w:r>
              <w:rPr>
                <w:rFonts w:ascii="Arial" w:cs="Arial" w:eastAsia="Arial" w:hAnsi="Arial"/>
                <w:sz w:val="16"/>
                <w:szCs w:val="16"/>
                <w:color w:val="auto"/>
              </w:rPr>
              <w:t>No o</w:t>
            </w:r>
          </w:p>
        </w:tc>
      </w:tr>
      <w:tr>
        <w:trPr>
          <w:trHeight w:val="311"/>
        </w:trPr>
        <w:tc>
          <w:tcPr>
            <w:tcW w:w="7980" w:type="dxa"/>
            <w:vAlign w:val="bottom"/>
            <w:gridSpan w:val="3"/>
          </w:tcPr>
          <w:p>
            <w:pPr>
              <w:ind w:left="2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500" w:type="dxa"/>
            <w:vAlign w:val="bottom"/>
          </w:tcPr>
          <w:p>
            <w:pPr>
              <w:ind w:left="140"/>
              <w:spacing w:after="0"/>
              <w:rPr>
                <w:sz w:val="20"/>
                <w:szCs w:val="20"/>
                <w:color w:val="auto"/>
              </w:rPr>
            </w:pPr>
            <w:r>
              <w:rPr>
                <w:rFonts w:ascii="Arial" w:cs="Arial" w:eastAsia="Arial" w:hAnsi="Arial"/>
                <w:sz w:val="16"/>
                <w:szCs w:val="16"/>
                <w:color w:val="auto"/>
                <w:w w:val="82"/>
              </w:rPr>
              <w:t>Yes o</w:t>
            </w:r>
          </w:p>
        </w:tc>
        <w:tc>
          <w:tcPr>
            <w:tcW w:w="2940" w:type="dxa"/>
            <w:vAlign w:val="bottom"/>
          </w:tcPr>
          <w:p>
            <w:pPr>
              <w:ind w:left="3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86" w:lineRule="exact"/>
        <w:rPr>
          <w:sz w:val="20"/>
          <w:szCs w:val="20"/>
          <w:color w:val="auto"/>
        </w:rPr>
      </w:pPr>
    </w:p>
    <w:p>
      <w:pPr>
        <w:ind w:right="660" w:firstLine="203"/>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8" w:lineRule="exact"/>
        <w:rPr>
          <w:sz w:val="20"/>
          <w:szCs w:val="20"/>
          <w:color w:val="auto"/>
        </w:rPr>
      </w:pPr>
    </w:p>
    <w:p>
      <w:pPr>
        <w:jc w:val="center"/>
        <w:ind w:right="560"/>
        <w:spacing w:after="0" w:line="329" w:lineRule="auto"/>
        <w:rPr>
          <w:sz w:val="20"/>
          <w:szCs w:val="20"/>
          <w:color w:val="auto"/>
        </w:rPr>
      </w:pPr>
      <w:r>
        <w:rPr>
          <w:rFonts w:ascii="Arial" w:cs="Arial" w:eastAsia="Arial" w:hAnsi="Arial"/>
          <w:sz w:val="15"/>
          <w:szCs w:val="15"/>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o</w:t>
      </w:r>
    </w:p>
    <w:p>
      <w:pPr>
        <w:spacing w:after="0" w:line="40" w:lineRule="exact"/>
        <w:rPr>
          <w:sz w:val="20"/>
          <w:szCs w:val="20"/>
          <w:color w:val="auto"/>
        </w:rPr>
      </w:pPr>
    </w:p>
    <w:p>
      <w:pPr>
        <w:ind w:right="600" w:firstLine="203"/>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jc w:val="center"/>
        <w:spacing w:after="0" w:line="184" w:lineRule="exact"/>
        <w:tabs>
          <w:tab w:leader="none" w:pos="140" w:val="left"/>
          <w:tab w:leader="none" w:pos="1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Accelerated filer o</w:t>
      </w:r>
      <w:r>
        <w:rPr>
          <w:sz w:val="20"/>
          <w:szCs w:val="20"/>
          <w:color w:val="auto"/>
        </w:rPr>
        <w:tab/>
      </w:r>
      <w:r>
        <w:rPr>
          <w:rFonts w:ascii="Arial" w:cs="Arial" w:eastAsia="Arial" w:hAnsi="Arial"/>
          <w:sz w:val="14"/>
          <w:szCs w:val="14"/>
          <w:color w:val="auto"/>
        </w:rPr>
        <w:t>Non-accelerated filer o</w:t>
      </w:r>
    </w:p>
    <w:p>
      <w:pPr>
        <w:spacing w:after="0" w:line="93" w:lineRule="exact"/>
        <w:rPr>
          <w:sz w:val="20"/>
          <w:szCs w:val="20"/>
          <w:color w:val="auto"/>
        </w:rPr>
      </w:pPr>
    </w:p>
    <w:p>
      <w:pPr>
        <w:ind w:left="220"/>
        <w:spacing w:after="0" w:line="184" w:lineRule="exact"/>
        <w:tabs>
          <w:tab w:leader="none" w:pos="7020" w:val="left"/>
          <w:tab w:leader="none" w:pos="7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7" w:lineRule="exact"/>
        <w:rPr>
          <w:sz w:val="20"/>
          <w:szCs w:val="20"/>
          <w:color w:val="auto"/>
        </w:rPr>
      </w:pPr>
    </w:p>
    <w:p>
      <w:pPr>
        <w:ind w:right="200" w:firstLine="200"/>
        <w:spacing w:after="0" w:line="278"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2005, was approximately $15.9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number of shares of Common Stock, $0.01 par value, of the registrant outstanding at February 15, 2006 was 546,684,987 (excluding treasury shares of 83,597,474).</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0"/>
          <w:szCs w:val="20"/>
          <w:color w:val="auto"/>
        </w:rPr>
      </w:pPr>
    </w:p>
    <w:p>
      <w:pPr>
        <w:ind w:left="2940"/>
        <w:spacing w:after="0"/>
        <w:tabs>
          <w:tab w:leader="none" w:pos="8560" w:val="left"/>
        </w:tabs>
        <w:rPr>
          <w:sz w:val="20"/>
          <w:szCs w:val="20"/>
          <w:color w:val="auto"/>
        </w:rPr>
      </w:pPr>
      <w:r>
        <w:rPr>
          <w:rFonts w:ascii="Arial" w:cs="Arial" w:eastAsia="Arial" w:hAnsi="Arial"/>
          <w:sz w:val="14"/>
          <w:szCs w:val="14"/>
          <w:b w:val="1"/>
          <w:bCs w:val="1"/>
          <w:color w:val="auto"/>
        </w:rPr>
        <w:t>Document</w:t>
      </w:r>
      <w:r>
        <w:rPr>
          <w:sz w:val="20"/>
          <w:szCs w:val="20"/>
          <w:color w:val="auto"/>
        </w:rPr>
        <w:tab/>
      </w:r>
      <w:r>
        <w:rPr>
          <w:rFonts w:ascii="Arial" w:cs="Arial" w:eastAsia="Arial" w:hAnsi="Arial"/>
          <w:sz w:val="14"/>
          <w:szCs w:val="14"/>
          <w:b w:val="1"/>
          <w:bCs w:val="1"/>
          <w:color w:val="auto"/>
        </w:rPr>
        <w:t>Incorporated as to</w:t>
      </w:r>
    </w:p>
    <w:p>
      <w:pPr>
        <w:sectPr>
          <w:pgSz w:w="11900" w:h="16838" w:orient="portrait"/>
          <w:cols w:equalWidth="0" w:num="1">
            <w:col w:w="11420"/>
          </w:cols>
          <w:pgMar w:left="240" w:top="122" w:right="23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Proxy Statement for the</w:t>
            </w:r>
          </w:p>
        </w:tc>
        <w:tc>
          <w:tcPr>
            <w:tcW w:w="340" w:type="dxa"/>
            <w:vAlign w:val="bottom"/>
          </w:tcPr>
          <w:p>
            <w:pPr>
              <w:spacing w:after="0"/>
              <w:rPr>
                <w:sz w:val="18"/>
                <w:szCs w:val="18"/>
                <w:color w:val="auto"/>
              </w:rPr>
            </w:pPr>
          </w:p>
        </w:tc>
        <w:tc>
          <w:tcPr>
            <w:tcW w:w="456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Part III</w:t>
            </w:r>
          </w:p>
        </w:tc>
      </w:tr>
      <w:tr>
        <w:trPr>
          <w:trHeight w:val="230"/>
        </w:trPr>
        <w:tc>
          <w:tcPr>
            <w:tcW w:w="6520" w:type="dxa"/>
            <w:vAlign w:val="bottom"/>
          </w:tcPr>
          <w:p>
            <w:pPr>
              <w:jc w:val="center"/>
              <w:spacing w:after="0"/>
              <w:rPr>
                <w:sz w:val="20"/>
                <w:szCs w:val="20"/>
                <w:color w:val="auto"/>
              </w:rPr>
            </w:pPr>
            <w:r>
              <w:rPr>
                <w:rFonts w:ascii="Arial" w:cs="Arial" w:eastAsia="Arial" w:hAnsi="Arial"/>
                <w:sz w:val="18"/>
                <w:szCs w:val="18"/>
                <w:color w:val="auto"/>
                <w:w w:val="92"/>
              </w:rPr>
              <w:t>2006 Annual Meeting of Stockholders</w:t>
            </w:r>
          </w:p>
        </w:tc>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122"/>
        </w:trPr>
        <w:tc>
          <w:tcPr>
            <w:tcW w:w="6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r>
      <w:tr>
        <w:trPr>
          <w:trHeight w:val="41"/>
        </w:trPr>
        <w:tc>
          <w:tcPr>
            <w:tcW w:w="6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226"/>
        </w:trPr>
        <w:tc>
          <w:tcPr>
            <w:tcW w:w="6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1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4"/>
            <w:vMerge w:val="restart"/>
          </w:tcPr>
          <w:p>
            <w:pPr>
              <w:jc w:val="center"/>
              <w:ind w:right="48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2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900" w:type="dxa"/>
            <w:vAlign w:val="bottom"/>
            <w:gridSpan w:val="12"/>
          </w:tcPr>
          <w:p>
            <w:pPr>
              <w:ind w:lef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7"/>
                <w:szCs w:val="17"/>
                <w:color w:val="auto"/>
              </w:rPr>
            </w:pPr>
          </w:p>
        </w:tc>
        <w:tc>
          <w:tcPr>
            <w:tcW w:w="484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1860" w:type="dxa"/>
            <w:vAlign w:val="bottom"/>
            <w:gridSpan w:val="2"/>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320" w:type="dxa"/>
            <w:vAlign w:val="bottom"/>
            <w:gridSpan w:val="26"/>
          </w:tcPr>
          <w:p>
            <w:pPr>
              <w:ind w:left="4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320" w:type="dxa"/>
            <w:vAlign w:val="bottom"/>
            <w:gridSpan w:val="26"/>
          </w:tcPr>
          <w:p>
            <w:pPr>
              <w:ind w:left="4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gridSpan w:val="9"/>
          </w:tcPr>
          <w:p>
            <w:pPr>
              <w:jc w:val="center"/>
              <w:ind w:right="280"/>
              <w:spacing w:after="0"/>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PART II</w:t>
              </w:r>
            </w:hyperlink>
          </w:p>
        </w:tc>
        <w:tc>
          <w:tcPr>
            <w:tcW w:w="45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8320" w:type="dxa"/>
            <w:vAlign w:val="bottom"/>
            <w:gridSpan w:val="26"/>
          </w:tcPr>
          <w:p>
            <w:pPr>
              <w:ind w:left="4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320" w:type="dxa"/>
            <w:vAlign w:val="bottom"/>
            <w:gridSpan w:val="2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Securities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8320" w:type="dxa"/>
            <w:vAlign w:val="bottom"/>
            <w:gridSpan w:val="26"/>
          </w:tcPr>
          <w:p>
            <w:pPr>
              <w:ind w:left="4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7.</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7A.</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 About Market Risk</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8.</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9.</w:t>
              </w:r>
            </w:hyperlink>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Changes in and Disagreements with Accountants on Accounting and Financial Disclosure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Item 9A.</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Item 9B.</w:t>
              </w:r>
            </w:hyperlink>
          </w:p>
        </w:tc>
        <w:tc>
          <w:tcPr>
            <w:tcW w:w="1840" w:type="dxa"/>
            <w:vAlign w:val="bottom"/>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47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1">
              <w:r>
                <w:rPr>
                  <w:rFonts w:ascii="Arial" w:cs="Arial" w:eastAsia="Arial" w:hAnsi="Arial"/>
                  <w:sz w:val="18"/>
                  <w:szCs w:val="18"/>
                  <w:color w:val="0000EE"/>
                  <w:w w:val="82"/>
                </w:rPr>
                <w:t>Item 10.</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Directors and Executive Officers of the Registrant</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1">
              <w:r>
                <w:rPr>
                  <w:rFonts w:ascii="Arial" w:cs="Arial" w:eastAsia="Arial" w:hAnsi="Arial"/>
                  <w:sz w:val="18"/>
                  <w:szCs w:val="18"/>
                  <w:color w:val="0000EE"/>
                  <w:w w:val="82"/>
                </w:rPr>
                <w:t>Item 11.</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1">
              <w:r>
                <w:rPr>
                  <w:rFonts w:ascii="Arial" w:cs="Arial" w:eastAsia="Arial" w:hAnsi="Arial"/>
                  <w:sz w:val="18"/>
                  <w:szCs w:val="18"/>
                  <w:color w:val="0000EE"/>
                  <w:w w:val="82"/>
                </w:rPr>
                <w:t>Item 12.</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Security Ownership of Certain Beneficial Owners and Management and Related Stockholder Matters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2">
              <w:r>
                <w:rPr>
                  <w:rFonts w:ascii="Arial" w:cs="Arial" w:eastAsia="Arial" w:hAnsi="Arial"/>
                  <w:sz w:val="18"/>
                  <w:szCs w:val="18"/>
                  <w:color w:val="0000EE"/>
                  <w:w w:val="82"/>
                </w:rPr>
                <w:t>Item 13.</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4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2">
              <w:r>
                <w:rPr>
                  <w:rFonts w:ascii="Arial" w:cs="Arial" w:eastAsia="Arial" w:hAnsi="Arial"/>
                  <w:sz w:val="18"/>
                  <w:szCs w:val="18"/>
                  <w:color w:val="0000EE"/>
                  <w:w w:val="82"/>
                </w:rPr>
                <w:t>Item 14.</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Principal Accounting Fees and Services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122">
              <w:r>
                <w:rPr>
                  <w:rFonts w:ascii="Arial" w:cs="Arial" w:eastAsia="Arial" w:hAnsi="Arial"/>
                  <w:sz w:val="18"/>
                  <w:szCs w:val="18"/>
                  <w:b w:val="1"/>
                  <w:bCs w:val="1"/>
                  <w:color w:val="0000EE"/>
                  <w:w w:val="98"/>
                </w:rPr>
                <w:t>PART IV</w:t>
              </w:r>
            </w:hyperlink>
          </w:p>
        </w:tc>
        <w:tc>
          <w:tcPr>
            <w:tcW w:w="47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2">
              <w:r>
                <w:rPr>
                  <w:rFonts w:ascii="Arial" w:cs="Arial" w:eastAsia="Arial" w:hAnsi="Arial"/>
                  <w:sz w:val="18"/>
                  <w:szCs w:val="18"/>
                  <w:color w:val="0000EE"/>
                  <w:w w:val="82"/>
                </w:rPr>
                <w:t>Item 15.</w:t>
              </w:r>
            </w:hyperlink>
          </w:p>
        </w:tc>
        <w:tc>
          <w:tcPr>
            <w:tcW w:w="1900" w:type="dxa"/>
            <w:vAlign w:val="bottom"/>
            <w:gridSpan w:val="3"/>
          </w:tcPr>
          <w:p>
            <w:pPr>
              <w:spacing w:after="0"/>
              <w:rPr>
                <w:sz w:val="17"/>
                <w:szCs w:val="17"/>
                <w:color w:val="auto"/>
              </w:rPr>
            </w:pPr>
          </w:p>
        </w:tc>
        <w:tc>
          <w:tcPr>
            <w:tcW w:w="8320" w:type="dxa"/>
            <w:vAlign w:val="bottom"/>
            <w:gridSpan w:val="26"/>
          </w:tcPr>
          <w:p>
            <w:pPr>
              <w:ind w:left="4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Exhibits and Financial Statement Schedules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2006 Form of Restricted Stock Unit Award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2006 Form of Performance Share Unit Award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Credit Facility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Subsidiaries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CEO Pursuant to Rule 15d-14(a)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CFO Pursuant to Rule 15d-14(a)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CEO Pursuant to 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CFO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0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The financial statements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that conducts all of its operations through subsidiaries. The terms “the Company,” “we,” “us” or “our” refer to Waste Management, Inc., its consolidated subsidiaries and consolidated variable interest entities. When we use the term “WMI,” we are referring only to the parent holding company.</w:t>
      </w:r>
    </w:p>
    <w:p>
      <w:pPr>
        <w:spacing w:after="0" w:line="46"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 During 2005, none of our customers accounted for more than 1% of our operating revenue. We employed approximately 50,000 people as of December 31, 2005.</w:t>
      </w:r>
    </w:p>
    <w:p>
      <w:pPr>
        <w:spacing w:after="0" w:line="5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Our Company’s goals are targeted at serving five key stakeholders: our customers, our employees, the environment, the communities in which we work, and our shareholders. Our goals are:</w:t>
      </w:r>
    </w:p>
    <w:p>
      <w:pPr>
        <w:spacing w:after="0" w:line="62"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the waste solutions provider of choice for customers;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a best place to work for employees;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a leader in promoting environmental stewardship;</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a trusted and valued community partner;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maximize shareholder value.</w:t>
      </w:r>
    </w:p>
    <w:p>
      <w:pPr>
        <w:spacing w:after="0" w:line="117"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WMI was incorporated in Oklahoma in 1987 under the name “USA Waste Services, Inc.” and was reincorporated as a Delaware company in 1995. In a 1998 merger, the Oakbrook, Illinois based waste services company, formerly known as Waste Management, Inc., became a wholly-owned subsidiary of WMI and changed its name to Waste Management Holdings, Inc. (“WM Holdings”). At the same time, our parent company changed its name to Waste Management, Inc. Like WMI, WM Holdings is a holding company that conducts all of its operations through subsidiaries.</w:t>
      </w:r>
    </w:p>
    <w:p>
      <w:pPr>
        <w:spacing w:after="0" w:line="6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380" w:firstLine="267"/>
        <w:spacing w:after="0" w:line="264" w:lineRule="auto"/>
        <w:rPr>
          <w:sz w:val="20"/>
          <w:szCs w:val="20"/>
          <w:color w:val="auto"/>
        </w:rPr>
      </w:pPr>
      <w:r>
        <w:rPr>
          <w:rFonts w:ascii="Arial" w:cs="Arial" w:eastAsia="Arial" w:hAnsi="Arial"/>
          <w:sz w:val="18"/>
          <w:szCs w:val="18"/>
          <w:color w:val="auto"/>
        </w:rPr>
        <w:t>We have been working to improve our organization by concentrating on operational excellence and profitability rather than on revenue growth. To accomplish this, we continuously review our operations and identify our best practices, adopt these best practices as the standards for all of our operating units, and then work continuously to improve them.</w:t>
      </w:r>
    </w:p>
    <w:p>
      <w:pPr>
        <w:spacing w:after="0" w:line="73"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We are focusing our attention on executing strategies based on four objectives: revenue growth through pricing initiatives; lowering operating and selling, general and administrative costs through process standardi-</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zation and productivity improvements; improving our portfolio of assets through our “fix or seek exit strategy” program and seeking acquisition candidates; and generating strong and consistent cash flow from operations that can be returned to shareholders.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Growth</w:t>
      </w:r>
    </w:p>
    <w:p>
      <w:pPr>
        <w:spacing w:after="0" w:line="117"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Our current revenue growth and pricing excellence strategy centers around attaining a return on invested capital that appropriately captures our cost of capital, the risks we take in our business and our unique disposal assets. We have been using an increasingly more disciplined approach to pricing, where we carefully analyze our operations and make decisions based on market specific information including our costs. In 2005, this was most clearly seen in our collection lines of business, where we focused on new business pricing, minimizing price roll-backs, and charging an environmental cost recovery fee and a revised fuel surcharge. In addition, we have implemented fee programs to recover the costs we incur for items such as the collection of past due balances, container delivery and other services. In the second quarter 2005, we expanded our landfill pricing study, which was originally implemented in January 2005 to cover 30 landfills, to include 23 transfer stations and essentially all of the operating sites in four of our Market Areas. By the end of 2005, we had implemented our findings from the study at nearly all of our landfills and transfer stations. We believe our success in pricing, as demonstrated by our increasing internal revenue growth, is a direct result of our execution of these pricing strategies.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Control</w:t>
      </w:r>
    </w:p>
    <w:p>
      <w:pPr>
        <w:spacing w:after="0" w:line="117" w:lineRule="exact"/>
        <w:rPr>
          <w:sz w:val="20"/>
          <w:szCs w:val="20"/>
          <w:color w:val="auto"/>
        </w:rPr>
      </w:pPr>
    </w:p>
    <w:p>
      <w:pPr>
        <w:jc w:val="both"/>
        <w:ind w:right="60" w:firstLine="267"/>
        <w:spacing w:after="0" w:line="291" w:lineRule="auto"/>
        <w:rPr>
          <w:sz w:val="20"/>
          <w:szCs w:val="20"/>
          <w:color w:val="auto"/>
        </w:rPr>
      </w:pPr>
      <w:r>
        <w:rPr>
          <w:rFonts w:ascii="Arial" w:cs="Arial" w:eastAsia="Arial" w:hAnsi="Arial"/>
          <w:sz w:val="16"/>
          <w:szCs w:val="16"/>
          <w:color w:val="auto"/>
        </w:rPr>
        <w:t>We remain committed to finding the best practices throughout our organization and standardizing those practices and processes throughout the Company. In the second half of 2005, our focus on improving internalization rates, standardizing operating and maintenance practices and emphasizing the importance of safety translated into cost savings across our organization. We intend to continue to identify operational improvements that will provide cost reductions in 2006 and beyond. In some cases, we have determined that to achieve these operational improvements it is necessary to put in place new information systems or other tools that will provide our people with the necessary resources to make better decisions and work more efficiently. For example, in the fourth quarter of 2005, we announced that we had entered into agreements for new revenue management software and support services. Although that decision required an asset impairment charge, we believe that this system will provide the best capabilities and functionality of the available alternatives.</w:t>
      </w:r>
    </w:p>
    <w:p>
      <w:pPr>
        <w:spacing w:after="0" w:line="59" w:lineRule="exact"/>
        <w:rPr>
          <w:sz w:val="20"/>
          <w:szCs w:val="20"/>
          <w:color w:val="auto"/>
        </w:rPr>
      </w:pPr>
    </w:p>
    <w:p>
      <w:pPr>
        <w:ind w:firstLine="260"/>
        <w:spacing w:after="0" w:line="279" w:lineRule="auto"/>
        <w:rPr>
          <w:sz w:val="20"/>
          <w:szCs w:val="20"/>
          <w:color w:val="auto"/>
        </w:rPr>
      </w:pPr>
      <w:r>
        <w:rPr>
          <w:rFonts w:ascii="Arial" w:cs="Arial" w:eastAsia="Arial" w:hAnsi="Arial"/>
          <w:sz w:val="17"/>
          <w:szCs w:val="17"/>
          <w:color w:val="auto"/>
        </w:rPr>
        <w:t>Additionally, in the third quarter of 2005, we unveiled plans to simplify and streamline our organizational structure. We eliminated duplicative administrative functions that were in our field and Corporate organization and eliminated one of our reporting Groups and integrated those operations into our other groups as a way to further reduce administrative costs and improve efficiencies. This affirms our commitment to making the choices that will benefit our Company in the long-term, which includes improving the way we operate in order to achieve cost savings.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Improve Operations through our Divestiture Program, Acquisitions and Investments</w:t>
      </w:r>
    </w:p>
    <w:p>
      <w:pPr>
        <w:spacing w:after="0" w:line="117" w:lineRule="exact"/>
        <w:rPr>
          <w:sz w:val="20"/>
          <w:szCs w:val="20"/>
          <w:color w:val="auto"/>
        </w:rPr>
      </w:pPr>
    </w:p>
    <w:p>
      <w:pPr>
        <w:ind w:firstLine="260"/>
        <w:spacing w:after="0" w:line="276" w:lineRule="auto"/>
        <w:rPr>
          <w:sz w:val="20"/>
          <w:szCs w:val="20"/>
          <w:color w:val="auto"/>
        </w:rPr>
      </w:pPr>
      <w:r>
        <w:rPr>
          <w:rFonts w:ascii="Arial" w:cs="Arial" w:eastAsia="Arial" w:hAnsi="Arial"/>
          <w:sz w:val="17"/>
          <w:szCs w:val="17"/>
          <w:color w:val="auto"/>
        </w:rPr>
        <w:t>As announced in early 2005, we have been reviewing our under-performing and non-strategic operations and assessing them for opportunities to improve their performance. In the third quarter of 2005, we announced that our Board of Directors had approved a plan to divest of under-performing operations representing annual gross revenues of approximately $400 million. The Company has since identified additional operations, representing over $500 million in annual gross revenues, that also may be divested as part of the program. The ultimate sale of any of the operations is dependent on several factors, including identifying interested purchasers, negotiating the terms and conditions of the sales, and obtaining regulatory approvals.</w:t>
      </w:r>
    </w:p>
    <w:p>
      <w:pPr>
        <w:spacing w:after="0" w:line="64" w:lineRule="exact"/>
        <w:rPr>
          <w:sz w:val="20"/>
          <w:szCs w:val="20"/>
          <w:color w:val="auto"/>
        </w:rPr>
      </w:pPr>
    </w:p>
    <w:p>
      <w:pPr>
        <w:jc w:val="both"/>
        <w:ind w:right="420" w:firstLine="270"/>
        <w:spacing w:after="0" w:line="264" w:lineRule="auto"/>
        <w:rPr>
          <w:sz w:val="20"/>
          <w:szCs w:val="20"/>
          <w:color w:val="auto"/>
        </w:rPr>
      </w:pPr>
      <w:r>
        <w:rPr>
          <w:rFonts w:ascii="Arial" w:cs="Arial" w:eastAsia="Arial" w:hAnsi="Arial"/>
          <w:sz w:val="18"/>
          <w:szCs w:val="18"/>
          <w:color w:val="auto"/>
        </w:rPr>
        <w:t>In addition to our focus on divesting under-performing operations, we continue to look for acquisitions and other investments to improve our current operations’ performance and enhance and expand our services. In 2006, we expect to make investments in our landfill gas-to-energy and medical waste programs as well as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land purchases that we believe will benefit future expansion efforts, all of which are complementary to our existing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Return Value to Stockholders</w:t>
      </w:r>
    </w:p>
    <w:p>
      <w:pPr>
        <w:spacing w:after="0" w:line="117" w:lineRule="exact"/>
        <w:rPr>
          <w:sz w:val="20"/>
          <w:szCs w:val="20"/>
          <w:color w:val="auto"/>
        </w:rPr>
      </w:pPr>
    </w:p>
    <w:p>
      <w:pPr>
        <w:ind w:right="100" w:firstLine="267"/>
        <w:spacing w:after="0" w:line="272" w:lineRule="auto"/>
        <w:rPr>
          <w:sz w:val="20"/>
          <w:szCs w:val="20"/>
          <w:color w:val="auto"/>
        </w:rPr>
      </w:pPr>
      <w:r>
        <w:rPr>
          <w:rFonts w:ascii="Arial" w:cs="Arial" w:eastAsia="Arial" w:hAnsi="Arial"/>
          <w:sz w:val="17"/>
          <w:szCs w:val="17"/>
          <w:color w:val="auto"/>
        </w:rPr>
        <w:t xml:space="preserve">We continue to use the cash that we generate not only to reinvest in our business, but also to return value to our stockholders through common stock repurchases and dividend payments. In late 2004, our Board of Directors approved our current, three-year capital allocation program, which authorizes up to $1.2 billion of combined stock repurchases and dividend payments in 2005, 2006 and 2007. Under this program, we repurchased over $700 million of shares and paid out dividends of nearly $450 million in 2005. In December 2005, our Board of Directors declared the first quarterly dividend payment for 2006 of $0.22 per share, which is an increase in the amount of free cash flow that we expect to allocate to our dividend program for the third straight year. In January 2006, we repurchased over nine million shares through an accelerated stock repurchase agreement, described in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70"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We plan to continuously seek out the best information from our experiences, our employees and our customers, and develop additional strategies, and additional ways to execute our strategies, that will bring us closer to achieving our goals. However, we believe that once a goal has been met, it is time to set a new, higher goal so that we continue to build on the momentum we have created through these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267"/>
        <w:spacing w:after="0" w:line="272" w:lineRule="auto"/>
        <w:rPr>
          <w:sz w:val="20"/>
          <w:szCs w:val="20"/>
          <w:color w:val="auto"/>
        </w:rPr>
      </w:pPr>
      <w:r>
        <w:rPr>
          <w:rFonts w:ascii="Arial" w:cs="Arial" w:eastAsia="Arial" w:hAnsi="Arial"/>
          <w:sz w:val="17"/>
          <w:szCs w:val="17"/>
          <w:color w:val="auto"/>
        </w:rPr>
        <w:t>We provide integrated waste management services to commercial, industrial, municipal and residential customers throughout the United States, Puerto Rico and Canada. Our core business includes collection, disposal, transfer, waste-to-energy and recycling services. We manage and evaluate our operations through six operating Groups, four of which are organized by geographic area and the other two are organized by function. The geographic Groups include our Eastern, Midwest, Southern and Western Groups, and the two functional Groups are our Wheelabrator Group, which provides waste-to-energy services, and our Recycling Group. We also provide additional waste management services that are not managed through our six Groups. These services include third-party sub-contracted services managed by our national accounts organization, methane gas recovery, portable toilet and fence rentals and other miscellaneous services, and are presented in this report as “Other.”</w:t>
      </w:r>
    </w:p>
    <w:p>
      <w:pPr>
        <w:spacing w:after="0" w:line="70" w:lineRule="exact"/>
        <w:rPr>
          <w:sz w:val="20"/>
          <w:szCs w:val="20"/>
          <w:color w:val="auto"/>
        </w:rPr>
      </w:pPr>
    </w:p>
    <w:p>
      <w:pPr>
        <w:ind w:right="140" w:firstLine="267"/>
        <w:spacing w:after="0" w:line="302" w:lineRule="auto"/>
        <w:rPr>
          <w:sz w:val="20"/>
          <w:szCs w:val="20"/>
          <w:color w:val="auto"/>
        </w:rPr>
      </w:pPr>
      <w:r>
        <w:rPr>
          <w:rFonts w:ascii="Arial" w:cs="Arial" w:eastAsia="Arial" w:hAnsi="Arial"/>
          <w:sz w:val="16"/>
          <w:szCs w:val="16"/>
          <w:color w:val="auto"/>
        </w:rPr>
        <w:t xml:space="preserve">The table below shows the total revenues (in millions) contributed annually by each of our reportable segments in the three-year period ended December 31, 2005. As discussed in Note 2 to the Consolidated Financial Statements, the 2004 and 2003 information has been presented in conformity with our current year presentation. More information about our results of operations by reportable segment is included in Note 20 to the Consolidated Financial Statements and in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this report.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4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Midwest</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3,054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Western</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3,079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Recycling</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Intercompany</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900" w:type="dxa"/>
            <w:vAlign w:val="bottom"/>
            <w:vMerge w:val="restart"/>
          </w:tcPr>
          <w:p>
            <w:pPr>
              <w:jc w:val="right"/>
              <w:ind w:right="139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67"/>
        <w:spacing w:after="0" w:line="264" w:lineRule="auto"/>
        <w:rPr>
          <w:sz w:val="20"/>
          <w:szCs w:val="20"/>
          <w:color w:val="auto"/>
        </w:rPr>
      </w:pPr>
      <w:r>
        <w:rPr>
          <w:rFonts w:ascii="Arial" w:cs="Arial" w:eastAsia="Arial" w:hAnsi="Arial"/>
          <w:sz w:val="18"/>
          <w:szCs w:val="18"/>
          <w:color w:val="auto"/>
        </w:rPr>
        <w:t>The services we provide include collection, landfill (solid and hazardous waste landfills), transfer, Wheelabrator (waste-to-energy facilities and independent power production plants), recycling, and other services, as described below. The following table shows revenues (in millions) contributed by these services for each of the three years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3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Landfill</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3,089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Wheelabrator</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Intercompany</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308" w:lineRule="auto"/>
        <w:rPr>
          <w:sz w:val="20"/>
          <w:szCs w:val="20"/>
          <w:color w:val="auto"/>
        </w:rPr>
      </w:pPr>
      <w:r>
        <w:rPr>
          <w:rFonts w:ascii="Arial" w:cs="Arial" w:eastAsia="Arial" w:hAnsi="Arial"/>
          <w:sz w:val="17"/>
          <w:szCs w:val="17"/>
          <w:i w:val="1"/>
          <w:iCs w:val="1"/>
          <w:color w:val="auto"/>
        </w:rPr>
        <w:t xml:space="preserve">Collection. </w:t>
      </w:r>
      <w:r>
        <w:rPr>
          <w:rFonts w:ascii="Arial" w:cs="Arial" w:eastAsia="Arial" w:hAnsi="Arial"/>
          <w:sz w:val="17"/>
          <w:szCs w:val="17"/>
          <w:color w:val="auto"/>
        </w:rPr>
        <w:t>Our commitment to customers begins with a vast waste collection network. Collection involves picking up and transporting waste from where</w:t>
      </w:r>
      <w:r>
        <w:rPr>
          <w:rFonts w:ascii="Arial" w:cs="Arial" w:eastAsia="Arial" w:hAnsi="Arial"/>
          <w:sz w:val="17"/>
          <w:szCs w:val="17"/>
          <w:i w:val="1"/>
          <w:iCs w:val="1"/>
          <w:color w:val="auto"/>
        </w:rPr>
        <w:t xml:space="preserve"> </w:t>
      </w:r>
      <w:r>
        <w:rPr>
          <w:rFonts w:ascii="Arial" w:cs="Arial" w:eastAsia="Arial" w:hAnsi="Arial"/>
          <w:sz w:val="17"/>
          <w:szCs w:val="17"/>
          <w:color w:val="auto"/>
        </w:rPr>
        <w:t>it was generated to a transfer station or disposal site. We generally provide collection services under two types of arrangements:</w:t>
      </w:r>
    </w:p>
    <w:p>
      <w:pPr>
        <w:spacing w:after="0" w:line="38" w:lineRule="exact"/>
        <w:rPr>
          <w:sz w:val="20"/>
          <w:szCs w:val="20"/>
          <w:color w:val="auto"/>
        </w:rPr>
      </w:pPr>
    </w:p>
    <w:p>
      <w:pPr>
        <w:ind w:left="460" w:right="80" w:hanging="101"/>
        <w:spacing w:after="0" w:line="29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furnished by us, type and volume or weight of the waste collected, distance to the disposal facility, labor costs, cost of disposal and general market factors. As part of the service, we provide steel containers to most of our customers to store their solid waste between pick-up dates. Containers vary in size and type according to the needs of our customers or restrictions of their communities and many are designed so that they can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6"/>
          <w:szCs w:val="16"/>
          <w:color w:val="auto"/>
        </w:rPr>
      </w:pPr>
    </w:p>
    <w:p>
      <w:pPr>
        <w:ind w:left="460" w:right="60" w:hanging="101"/>
        <w:spacing w:after="0" w:line="279"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most residential collection services, we have a contract with, or a franchise granted by, a municipality or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63"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and we have the largest network of landfills in North America.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landfills are built and 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85" w:lineRule="exact"/>
        <w:rPr>
          <w:sz w:val="20"/>
          <w:szCs w:val="20"/>
          <w:color w:val="auto"/>
        </w:rPr>
      </w:pPr>
    </w:p>
    <w:p>
      <w:pPr>
        <w:ind w:right="80" w:firstLine="260"/>
        <w:spacing w:after="0" w:line="302"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 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46"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We also operate secure hazardous waste landfills in the United States. Under federal environmental laws, the federal government (or states with delegated authority) must issue permits for all hazardous waste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wastes into inert materials that are no longer hazardous. Our hazardous waste landfills are sited, constructed and operated in a manner designed to provide long-term containment of waste. We also operate a hazardous waste facility at which we isolate treated hazardous wastes in liquid form by injection into deep wells that have been drilled in rock formations far below the base of fresh water to a point that is separated by other substantial geological confining layers.</w:t>
      </w:r>
    </w:p>
    <w:p>
      <w:pPr>
        <w:spacing w:after="0" w:line="70" w:lineRule="exact"/>
        <w:rPr>
          <w:sz w:val="20"/>
          <w:szCs w:val="20"/>
          <w:color w:val="auto"/>
        </w:rPr>
      </w:pPr>
    </w:p>
    <w:p>
      <w:pPr>
        <w:ind w:right="40" w:firstLine="267"/>
        <w:spacing w:after="0" w:line="291" w:lineRule="auto"/>
        <w:rPr>
          <w:sz w:val="20"/>
          <w:szCs w:val="20"/>
          <w:color w:val="auto"/>
        </w:rPr>
      </w:pPr>
      <w:r>
        <w:rPr>
          <w:rFonts w:ascii="Arial" w:cs="Arial" w:eastAsia="Arial" w:hAnsi="Arial"/>
          <w:sz w:val="16"/>
          <w:szCs w:val="16"/>
          <w:color w:val="auto"/>
        </w:rPr>
        <w:t>We owned or operated 277 solid waste and six hazardous waste landfills at December 31, 2005 compared with 280 solid waste landfills and six hazardous waste landfills at December 31, 2004. The landfills that we operate but do not own are generally operated under a lease agreement or an operating contract. The differences between the two arrangements usually relate to the owner of the landfill operating permit. Generally, with a lease agreement, the permit is in our name and we operate the landfill for its entire life, making payments to the lessor, who is generally a private landowner, based either on a percentage of revenue or a rate per ton of waste received. We are generally responsible for closure and post-closure requirements under our lease agreements. For operating contracts, the owner of the property, generally a municipality, usually owns the permit and we operate the landfill for a contracted term, which may be the life of the landfill. The property owner is generally responsible for closure and post-closure obligations under our operating contracts.</w:t>
      </w:r>
    </w:p>
    <w:p>
      <w:pPr>
        <w:spacing w:after="0" w:line="59"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Based on remaining permitted capacity as of December 31, 2005 and projected annual disposal volumes, the weighted average remaining landfill life for all of our owned or operated landfills is approximately 26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currently seeking expansion permits at 65 of our landfills for which we consider expansions to be likely. Although no assurances can be made that all future expansions will be permitted or permitted as designed, the weighted average remaining landfill life for all owned or operated landfills is approximately 35 years when considering remaining permitted capacity, the expansion capacity we consider likely and projected annual disposal volume. At December 31, 2005 and 2004, the expected remaining capacity in cubic yards and tonnage of waste that can be accepted at our owned or operated landfills is shown below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 2005</w:t>
            </w:r>
          </w:p>
        </w:tc>
        <w:tc>
          <w:tcPr>
            <w:tcW w:w="8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2004</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Permitted</w:t>
            </w:r>
          </w:p>
        </w:tc>
        <w:tc>
          <w:tcPr>
            <w:tcW w:w="400" w:type="dxa"/>
            <w:vAlign w:val="bottom"/>
          </w:tcPr>
          <w:p>
            <w:pPr>
              <w:spacing w:after="0"/>
              <w:rPr>
                <w:sz w:val="11"/>
                <w:szCs w:val="11"/>
                <w:color w:val="auto"/>
              </w:rPr>
            </w:pPr>
          </w:p>
        </w:tc>
        <w:tc>
          <w:tcPr>
            <w:tcW w:w="138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rPr>
              <w:t>Likely</w:t>
            </w:r>
          </w:p>
        </w:tc>
        <w:tc>
          <w:tcPr>
            <w:tcW w:w="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Permitted</w:t>
            </w:r>
          </w:p>
        </w:tc>
        <w:tc>
          <w:tcPr>
            <w:tcW w:w="400" w:type="dxa"/>
            <w:vAlign w:val="bottom"/>
          </w:tcPr>
          <w:p>
            <w:pPr>
              <w:spacing w:after="0"/>
              <w:rPr>
                <w:sz w:val="11"/>
                <w:szCs w:val="11"/>
                <w:color w:val="auto"/>
              </w:rPr>
            </w:pPr>
          </w:p>
        </w:tc>
        <w:tc>
          <w:tcPr>
            <w:tcW w:w="14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rPr>
              <w:t>Likely</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Expansion</w:t>
            </w:r>
          </w:p>
        </w:tc>
        <w:tc>
          <w:tcPr>
            <w:tcW w:w="8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Expansion</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Arial" w:cs="Arial" w:eastAsia="Arial" w:hAnsi="Arial"/>
                <w:sz w:val="18"/>
                <w:szCs w:val="18"/>
                <w:color w:val="auto"/>
              </w:rPr>
              <w:t>Remaining cubic yards</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Capacity</w:t>
            </w:r>
          </w:p>
        </w:tc>
        <w:tc>
          <w:tcPr>
            <w:tcW w:w="4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Capacity</w:t>
            </w: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rPr>
              <w:t>Capacity</w:t>
            </w:r>
          </w:p>
        </w:tc>
        <w:tc>
          <w:tcPr>
            <w:tcW w:w="5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Capacity</w:t>
            </w:r>
          </w:p>
        </w:tc>
        <w:tc>
          <w:tcPr>
            <w:tcW w:w="40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Capacity</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5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540" w:type="dxa"/>
            <w:vAlign w:val="bottom"/>
          </w:tcPr>
          <w:p>
            <w:pPr>
              <w:spacing w:after="0"/>
              <w:rPr>
                <w:sz w:val="18"/>
                <w:szCs w:val="18"/>
                <w:color w:val="auto"/>
              </w:rPr>
            </w:pPr>
          </w:p>
        </w:tc>
        <w:tc>
          <w:tcPr>
            <w:tcW w:w="8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4"/>
              </w:rPr>
              <w:t>4,066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540" w:type="dxa"/>
            <w:vAlign w:val="bottom"/>
          </w:tcPr>
          <w:p>
            <w:pPr>
              <w:spacing w:after="0"/>
              <w:rPr>
                <w:sz w:val="18"/>
                <w:szCs w:val="18"/>
                <w:color w:val="auto"/>
              </w:rPr>
            </w:pP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4"/>
              </w:rPr>
              <w:t>5,418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Remaining tonnage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3,460</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1,196</w:t>
            </w: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c>
          <w:tcPr>
            <w:tcW w:w="1600" w:type="dxa"/>
            <w:vAlign w:val="bottom"/>
            <w:gridSpan w:val="3"/>
          </w:tcPr>
          <w:p>
            <w:pPr>
              <w:ind w:left="980"/>
              <w:spacing w:after="0"/>
              <w:rPr>
                <w:sz w:val="20"/>
                <w:szCs w:val="20"/>
                <w:color w:val="auto"/>
              </w:rPr>
            </w:pPr>
            <w:r>
              <w:rPr>
                <w:rFonts w:ascii="Arial" w:cs="Arial" w:eastAsia="Arial" w:hAnsi="Arial"/>
                <w:sz w:val="18"/>
                <w:szCs w:val="18"/>
                <w:color w:val="auto"/>
              </w:rPr>
              <w:t>3,515</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1,192</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following table reflects landfill capacity and airspace changes, as measured in tons of waste, for landfills owned or operated by us during the years ended December 31, 2005 and 2004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 2005</w:t>
            </w:r>
          </w:p>
        </w:tc>
        <w:tc>
          <w:tcPr>
            <w:tcW w:w="8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 2004</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Permitted</w:t>
            </w:r>
          </w:p>
        </w:tc>
        <w:tc>
          <w:tcPr>
            <w:tcW w:w="360" w:type="dxa"/>
            <w:vAlign w:val="bottom"/>
          </w:tcPr>
          <w:p>
            <w:pPr>
              <w:spacing w:after="0"/>
              <w:rPr>
                <w:sz w:val="11"/>
                <w:szCs w:val="11"/>
                <w:color w:val="auto"/>
              </w:rPr>
            </w:pPr>
          </w:p>
        </w:tc>
        <w:tc>
          <w:tcPr>
            <w:tcW w:w="138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95"/>
              </w:rPr>
              <w:t>Likely</w:t>
            </w: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Permitted</w:t>
            </w:r>
          </w:p>
        </w:tc>
        <w:tc>
          <w:tcPr>
            <w:tcW w:w="380" w:type="dxa"/>
            <w:vAlign w:val="bottom"/>
          </w:tcPr>
          <w:p>
            <w:pPr>
              <w:spacing w:after="0"/>
              <w:rPr>
                <w:sz w:val="11"/>
                <w:szCs w:val="11"/>
                <w:color w:val="auto"/>
              </w:rPr>
            </w:pPr>
          </w:p>
        </w:tc>
        <w:tc>
          <w:tcPr>
            <w:tcW w:w="14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rPr>
              <w:t>Likely</w:t>
            </w: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Expansion</w:t>
            </w:r>
          </w:p>
        </w:tc>
        <w:tc>
          <w:tcPr>
            <w:tcW w:w="13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Expansion</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Capacity</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5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540" w:type="dxa"/>
            <w:vAlign w:val="bottom"/>
          </w:tcPr>
          <w:p>
            <w:pPr>
              <w:spacing w:after="0"/>
              <w:rPr>
                <w:sz w:val="15"/>
                <w:szCs w:val="15"/>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Capacity</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540" w:type="dxa"/>
            <w:vAlign w:val="bottom"/>
          </w:tcPr>
          <w:p>
            <w:pPr>
              <w:spacing w:after="0"/>
              <w:rPr>
                <w:sz w:val="15"/>
                <w:szCs w:val="15"/>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Capacity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3,515</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1,192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4,707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3,368</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1,297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Acquisitions, divestitures, newly</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permitted landfills and closures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Expansion permits 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(74)</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1780" w:type="dxa"/>
            <w:vAlign w:val="bottom"/>
            <w:gridSpan w:val="3"/>
          </w:tcPr>
          <w:p>
            <w:pPr>
              <w:jc w:val="right"/>
              <w:ind w:right="480"/>
              <w:spacing w:after="0"/>
              <w:rPr>
                <w:sz w:val="20"/>
                <w:szCs w:val="20"/>
                <w:color w:val="auto"/>
              </w:rPr>
            </w:pPr>
            <w:r>
              <w:rPr>
                <w:rFonts w:ascii="Arial" w:cs="Arial" w:eastAsia="Arial" w:hAnsi="Arial"/>
                <w:sz w:val="18"/>
                <w:szCs w:val="18"/>
                <w:color w:val="auto"/>
              </w:rPr>
              <w:t>(206)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Changes in engineering estimates and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other(a),(b)</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87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3,460</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1,196</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4,656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1,192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right="20" w:hanging="232"/>
        <w:spacing w:after="0" w:line="249" w:lineRule="auto"/>
        <w:tabs>
          <w:tab w:leader="none" w:pos="2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engineering estimates result in either changes to the available remaining landfill capacity in terms of volume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and anticipated access to moisture through precipitation or recirculation of landfill leachate.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 Additionally, future airspace utilization may be affected by changes in the types of waste materials received at our landfills.</w:t>
      </w:r>
    </w:p>
    <w:p>
      <w:pPr>
        <w:spacing w:after="0" w:line="28" w:lineRule="exact"/>
        <w:rPr>
          <w:rFonts w:ascii="Arial" w:cs="Arial" w:eastAsia="Arial" w:hAnsi="Arial"/>
          <w:sz w:val="13"/>
          <w:szCs w:val="13"/>
          <w:color w:val="auto"/>
        </w:rPr>
      </w:pPr>
    </w:p>
    <w:p>
      <w:pPr>
        <w:ind w:left="240" w:right="440" w:hanging="232"/>
        <w:spacing w:after="0" w:line="253" w:lineRule="auto"/>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2005, the amount of landfill capacity was reduced by approximately 46 million tons, or approximately 1%, to reflect cumulative corrections to align the lives of nine of our landfills for accounting purposes with the terms of the underlying contractual lease or operating agreements supporting their operations.</w:t>
      </w:r>
    </w:p>
    <w:p>
      <w:pPr>
        <w:spacing w:after="0" w:line="7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number of landfills we own or operate segregated by their estimated operating lives (in years), based on remaining permitted and likely expansion capacity and projected annual disposal volume as of December 31, 2005,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8"/>
                <w:szCs w:val="18"/>
                <w:color w:val="auto"/>
              </w:rPr>
              <w:t>Owned/operated through lease</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0 to 5</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6 to 10</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11 to 20</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21 to 40</w:t>
            </w:r>
          </w:p>
        </w:tc>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rPr>
              <w:t>41+</w:t>
            </w:r>
          </w:p>
        </w:tc>
        <w:tc>
          <w:tcPr>
            <w:tcW w:w="44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Operating contracts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landfills</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volume of waste, as measured in tons, that we received in 2005 and 2004 at all of our landfills is shown below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rPr>
              <w:t>2005</w:t>
            </w: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2004</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Pr>
          <w:p>
            <w:pPr>
              <w:spacing w:after="0"/>
              <w:rPr>
                <w:sz w:val="11"/>
                <w:szCs w:val="11"/>
                <w:color w:val="auto"/>
              </w:rPr>
            </w:pPr>
          </w:p>
        </w:tc>
        <w:tc>
          <w:tcPr>
            <w:tcW w:w="1520" w:type="dxa"/>
            <w:vAlign w:val="bottom"/>
            <w:gridSpan w:val="2"/>
          </w:tcPr>
          <w:p>
            <w:pPr>
              <w:jc w:val="right"/>
              <w:ind w:right="920"/>
              <w:spacing w:after="0" w:line="133"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Tons</w:t>
            </w:r>
          </w:p>
        </w:tc>
        <w:tc>
          <w:tcPr>
            <w:tcW w:w="520" w:type="dxa"/>
            <w:vAlign w:val="bottom"/>
          </w:tcPr>
          <w:p>
            <w:pPr>
              <w:spacing w:after="0"/>
              <w:rPr>
                <w:sz w:val="11"/>
                <w:szCs w:val="11"/>
                <w:color w:val="auto"/>
              </w:rPr>
            </w:pPr>
          </w:p>
        </w:tc>
        <w:tc>
          <w:tcPr>
            <w:tcW w:w="8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 of</w:t>
            </w:r>
          </w:p>
        </w:tc>
        <w:tc>
          <w:tcPr>
            <w:tcW w:w="1540" w:type="dxa"/>
            <w:vAlign w:val="bottom"/>
            <w:gridSpan w:val="2"/>
          </w:tcPr>
          <w:p>
            <w:pPr>
              <w:ind w:left="300"/>
              <w:spacing w:after="0" w:line="133"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rPr>
              <w:t>Tons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Sites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Tons</w:t>
            </w:r>
          </w:p>
        </w:tc>
        <w:tc>
          <w:tcPr>
            <w:tcW w:w="6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Day</w:t>
            </w:r>
          </w:p>
        </w:tc>
        <w:tc>
          <w:tcPr>
            <w:tcW w:w="5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Sites</w:t>
            </w:r>
          </w:p>
        </w:tc>
        <w:tc>
          <w:tcPr>
            <w:tcW w:w="420" w:type="dxa"/>
            <w:vAlign w:val="bottom"/>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Tons</w:t>
            </w:r>
          </w:p>
        </w:tc>
        <w:tc>
          <w:tcPr>
            <w:tcW w:w="6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Per Day</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277(a)</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125,885</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461</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121,493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Hazardous waste landfills</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1,368(c)</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1,722(c)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127,253</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466</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123,215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Solid waste landfills closed or divested during related year</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620" w:type="dxa"/>
            <w:vAlign w:val="bottom"/>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9</w:t>
            </w: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1,276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127,735(b)</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124,491(b)</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737"/>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closed three landfills in 2005, divested of one landfill and added one permitted landfill due to a new contract.</w:t>
      </w:r>
    </w:p>
    <w:p>
      <w:pPr>
        <w:spacing w:after="0" w:line="55" w:lineRule="exact"/>
        <w:rPr>
          <w:rFonts w:ascii="Arial" w:cs="Arial" w:eastAsia="Arial" w:hAnsi="Arial"/>
          <w:sz w:val="14"/>
          <w:szCs w:val="14"/>
          <w:color w:val="auto"/>
        </w:rPr>
      </w:pPr>
    </w:p>
    <w:p>
      <w:pPr>
        <w:ind w:left="360" w:right="60" w:hanging="352"/>
        <w:spacing w:after="0" w:line="238"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include 2.6 million tons at December 31, 2005 and 2.2 million tons at December 31, 2004 that were received at our landfills but were used for beneficial purposes and were generally redirected from the permitted airspace to other areas of the landfill. Waste types that are frequently identified for beneficial use include green waste for composting and clean dirt for on-site construction projects.</w:t>
      </w:r>
    </w:p>
    <w:p>
      <w:pPr>
        <w:spacing w:after="0" w:line="34"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decline in the volume of waste received at our hazardous waste landfills in 2005 as compared with 2004 is generally attributable to increased competition at one of our six hazardous waste sites.</w:t>
      </w:r>
    </w:p>
    <w:p>
      <w:pPr>
        <w:spacing w:after="0" w:line="70"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When a landfill we own or operate (i) reaches its permitted waste capacity; (ii) is permanently capped and (iii) receives certification of closure from the applicable regulatory agency, management of the site, including for any remediation activities, is generally transferred to our closed sites management group. In addition to the 283 active landfills we managed at December 31, 2005, we also managed 184 closed landfills.</w:t>
      </w:r>
    </w:p>
    <w:p>
      <w:pPr>
        <w:spacing w:after="0" w:line="5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2005, we owned or operated 370 transfer stations in North America. We deposit waste at these stations, as do other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waste haulers. The solid waste is then consolidated and compacted to reduce the volume and increase the density of the waste and transported by transfer trucks or by rail to disposal sites.</w:t>
      </w:r>
    </w:p>
    <w:p>
      <w:pPr>
        <w:spacing w:after="0" w:line="73" w:lineRule="exact"/>
        <w:rPr>
          <w:sz w:val="20"/>
          <w:szCs w:val="20"/>
          <w:color w:val="auto"/>
        </w:rPr>
      </w:pPr>
    </w:p>
    <w:p>
      <w:pPr>
        <w:ind w:right="260" w:firstLine="260"/>
        <w:spacing w:after="0" w:line="264" w:lineRule="auto"/>
        <w:rPr>
          <w:sz w:val="20"/>
          <w:szCs w:val="20"/>
          <w:color w:val="auto"/>
        </w:rPr>
      </w:pPr>
      <w:r>
        <w:rPr>
          <w:rFonts w:ascii="Arial" w:cs="Arial" w:eastAsia="Arial" w:hAnsi="Arial"/>
          <w:sz w:val="18"/>
          <w:szCs w:val="18"/>
          <w:color w:val="auto"/>
        </w:rPr>
        <w:t>Access to transfer stations is often critical to third party haulers who do not operate their own disposal facilities in close proximity to their collection operations. Fees charged to third parties at transfer stations are usually based on the type and volume or weight of the waste transferred, the distance to the disposal site and general market factors.</w:t>
      </w:r>
    </w:p>
    <w:p>
      <w:pPr>
        <w:spacing w:after="0" w:line="73"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allows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collection operations; and (iii) we can retain the volume by managing the transfer of the waste to one of our disposal sites.</w:t>
      </w:r>
    </w:p>
    <w:p>
      <w:pPr>
        <w:spacing w:after="0" w:line="80" w:lineRule="exact"/>
        <w:rPr>
          <w:sz w:val="20"/>
          <w:szCs w:val="20"/>
          <w:color w:val="auto"/>
        </w:rPr>
      </w:pPr>
    </w:p>
    <w:p>
      <w:pPr>
        <w:ind w:right="260" w:firstLine="267"/>
        <w:spacing w:after="0" w:line="286" w:lineRule="auto"/>
        <w:rPr>
          <w:sz w:val="20"/>
          <w:szCs w:val="20"/>
          <w:color w:val="auto"/>
        </w:rPr>
      </w:pPr>
      <w:r>
        <w:rPr>
          <w:rFonts w:ascii="Arial" w:cs="Arial" w:eastAsia="Arial" w:hAnsi="Arial"/>
          <w:sz w:val="17"/>
          <w:szCs w:val="17"/>
          <w:color w:val="auto"/>
        </w:rPr>
        <w:t>The transfer stations that we operate but do not own are generally operated through lease agreements under which we lease property from third parties. There are some instances where transfer stations are operated under contract, generally for municipalities. In most cases we own the permits and will be responsible for all of the regulatory requirements in accordance with the lease and operating agreements terms.</w:t>
      </w:r>
    </w:p>
    <w:p>
      <w:pPr>
        <w:spacing w:after="0" w:line="57"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Through Wheelabrator, we own or operate 17 waste-to-energy facilities and six independent power production plants (“IPPs”)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the Northeast and in Florida, California and Washington.</w:t>
      </w:r>
    </w:p>
    <w:p>
      <w:pPr>
        <w:spacing w:after="0" w:line="62" w:lineRule="exact"/>
        <w:rPr>
          <w:sz w:val="20"/>
          <w:szCs w:val="20"/>
          <w:color w:val="auto"/>
        </w:rPr>
      </w:pPr>
    </w:p>
    <w:p>
      <w:pPr>
        <w:ind w:right="220" w:firstLine="260"/>
        <w:spacing w:after="0" w:line="312" w:lineRule="auto"/>
        <w:rPr>
          <w:sz w:val="20"/>
          <w:szCs w:val="20"/>
          <w:color w:val="auto"/>
        </w:rPr>
      </w:pPr>
      <w:r>
        <w:rPr>
          <w:rFonts w:ascii="Arial" w:cs="Arial" w:eastAsia="Arial" w:hAnsi="Arial"/>
          <w:sz w:val="16"/>
          <w:szCs w:val="16"/>
          <w:color w:val="auto"/>
        </w:rPr>
        <w:t>At our waste-to-energy facilities, solid waste is burned at high temperatures in specially designed boilers to produce heat that is converted into high-pressure steam, which is either sold or used to generate electricity. Our waste-to-energy facilities are capable of processing up to 24,000 tons of solid waste each day. In both 2005 and 2004, our waste-to-energy facilities received 7.8 million tons of solid waste, or approximately 21,300 tons per day.</w:t>
      </w:r>
    </w:p>
    <w:p>
      <w:pPr>
        <w:spacing w:after="0" w:line="39"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Our IPPs convert various waste and conventional fuels into steam, which is either sold or used to generate electricity.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63"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Our waste-to-energy facilities and IPPs sell steam to industrial and commercial users. Steam that is not sold is used to generate electricity for sale to electric utilities. Fees at our waste-to-energy facilities and IPPs are generally subject to the terms and conditions of long-term contracts. Interim adjustments to the prices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steam and electricity under these long-term contracts are made for changes in market conditions such as inflation, natural gas prices and other general market factors.</w:t>
      </w:r>
    </w:p>
    <w:p>
      <w:pPr>
        <w:spacing w:after="0" w:line="62"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Our Recycling Group focuses on improving the sustainability and future growth of recycling programs within communities and industries.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September 30, 2005, we acquired the remaining minority interests in Recycle America Alliance L.L.C., making our Recycling Group a wholly-owned organization. In addition to our Recycling Group, our four geographic operating Groups provide certain recycling services that are embedded within the Groups’ other operations and therefore not included within the Recycling Group’s financial results.</w:t>
      </w:r>
    </w:p>
    <w:p>
      <w:pPr>
        <w:spacing w:after="0" w:line="79"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Recycling involves the separation of reusable materials from the waste stream for processing and resale or other disposition. Our recycling operations include the following:</w:t>
      </w:r>
    </w:p>
    <w:p>
      <w:pPr>
        <w:spacing w:after="0" w:line="62" w:lineRule="exact"/>
        <w:rPr>
          <w:sz w:val="20"/>
          <w:szCs w:val="20"/>
          <w:color w:val="auto"/>
        </w:rPr>
      </w:pPr>
    </w:p>
    <w:p>
      <w:pPr>
        <w:ind w:left="360" w:right="40" w:firstLine="270"/>
        <w:spacing w:after="0" w:line="276" w:lineRule="auto"/>
        <w:rPr>
          <w:sz w:val="20"/>
          <w:szCs w:val="20"/>
          <w:color w:val="auto"/>
        </w:rPr>
      </w:pPr>
      <w:r>
        <w:rPr>
          <w:rFonts w:ascii="Arial" w:cs="Arial" w:eastAsia="Arial" w:hAnsi="Arial"/>
          <w:sz w:val="17"/>
          <w:szCs w:val="17"/>
          <w:i w:val="1"/>
          <w:iCs w:val="1"/>
          <w:color w:val="auto"/>
        </w:rPr>
        <w:t xml:space="preserve">Collection and materials processing </w:t>
      </w:r>
      <w:r>
        <w:rPr>
          <w:rFonts w:ascii="Arial" w:cs="Arial" w:eastAsia="Arial" w:hAnsi="Arial"/>
          <w:sz w:val="17"/>
          <w:szCs w:val="17"/>
          <w:color w:val="auto"/>
        </w:rPr>
        <w:t>— Through our collection operations, we collect recyclable materials from residential,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customers and direct these materials to one of our material recovery facilities (“MRFs”) for processing. We operate 116 MRFs where paper, glass, metals, plastics and compost are recovered for resale. We also operate 15 secondary processing facilities where materials received from MRFs can be further processed into raw products used in the manufacturing of consumer goods. Specifically, material processing services include data destruction, shredding, automated color sorting, composting, and construction and demolition processing.</w:t>
      </w:r>
    </w:p>
    <w:p>
      <w:pPr>
        <w:spacing w:after="0" w:line="78" w:lineRule="exact"/>
        <w:rPr>
          <w:sz w:val="20"/>
          <w:szCs w:val="20"/>
          <w:color w:val="auto"/>
        </w:rPr>
      </w:pPr>
    </w:p>
    <w:p>
      <w:pPr>
        <w:ind w:left="360" w:right="240" w:firstLine="270"/>
        <w:spacing w:after="0" w:line="264" w:lineRule="auto"/>
        <w:rPr>
          <w:sz w:val="20"/>
          <w:szCs w:val="20"/>
          <w:color w:val="auto"/>
        </w:rPr>
      </w:pPr>
      <w:r>
        <w:rPr>
          <w:rFonts w:ascii="Arial" w:cs="Arial" w:eastAsia="Arial" w:hAnsi="Arial"/>
          <w:sz w:val="18"/>
          <w:szCs w:val="18"/>
          <w:i w:val="1"/>
          <w:iCs w:val="1"/>
          <w:color w:val="auto"/>
        </w:rPr>
        <w:t xml:space="preserve">Glass recycling </w:t>
      </w:r>
      <w:r>
        <w:rPr>
          <w:rFonts w:ascii="Arial" w:cs="Arial" w:eastAsia="Arial" w:hAnsi="Arial"/>
          <w:sz w:val="18"/>
          <w:szCs w:val="18"/>
          <w:color w:val="auto"/>
        </w:rPr>
        <w:t>— Using state-of-the-art sorting and processing technology, we remove contaminants from color-separated glass to produce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furnace-ready cullet (crushed and cleaned post-consumer glass used to make new glass products). Our innovative glass processing capabilities increase material recovery and overall product quality.</w:t>
      </w:r>
    </w:p>
    <w:p>
      <w:pPr>
        <w:spacing w:after="0" w:line="87" w:lineRule="exact"/>
        <w:rPr>
          <w:sz w:val="20"/>
          <w:szCs w:val="20"/>
          <w:color w:val="auto"/>
        </w:rPr>
      </w:pPr>
    </w:p>
    <w:p>
      <w:pPr>
        <w:ind w:left="360" w:firstLine="270"/>
        <w:spacing w:after="0" w:line="277" w:lineRule="auto"/>
        <w:rPr>
          <w:sz w:val="20"/>
          <w:szCs w:val="20"/>
          <w:color w:val="auto"/>
        </w:rPr>
      </w:pPr>
      <w:r>
        <w:rPr>
          <w:rFonts w:ascii="Arial" w:cs="Arial" w:eastAsia="Arial" w:hAnsi="Arial"/>
          <w:sz w:val="18"/>
          <w:szCs w:val="18"/>
          <w:i w:val="1"/>
          <w:iCs w:val="1"/>
          <w:color w:val="auto"/>
        </w:rPr>
        <w:t xml:space="preserve">Plastics and rubber materials recycling </w:t>
      </w:r>
      <w:r>
        <w:rPr>
          <w:rFonts w:ascii="Arial" w:cs="Arial" w:eastAsia="Arial" w:hAnsi="Arial"/>
          <w:sz w:val="18"/>
          <w:szCs w:val="18"/>
          <w:color w:val="auto"/>
        </w:rPr>
        <w:t>— Using state-of-the-art sorting and processing technology, we process, inventory and sell plastic and rubber</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making the recycling of such items more cost effective and convenient.</w:t>
      </w:r>
    </w:p>
    <w:p>
      <w:pPr>
        <w:spacing w:after="0" w:line="76" w:lineRule="exact"/>
        <w:rPr>
          <w:sz w:val="20"/>
          <w:szCs w:val="20"/>
          <w:color w:val="auto"/>
        </w:rPr>
      </w:pPr>
    </w:p>
    <w:p>
      <w:pPr>
        <w:ind w:left="360" w:right="20" w:firstLine="270"/>
        <w:spacing w:after="0" w:line="264" w:lineRule="auto"/>
        <w:rPr>
          <w:sz w:val="20"/>
          <w:szCs w:val="20"/>
          <w:color w:val="auto"/>
        </w:rPr>
      </w:pPr>
      <w:r>
        <w:rPr>
          <w:rFonts w:ascii="Arial" w:cs="Arial" w:eastAsia="Arial" w:hAnsi="Arial"/>
          <w:sz w:val="18"/>
          <w:szCs w:val="18"/>
          <w:i w:val="1"/>
          <w:iCs w:val="1"/>
          <w:color w:val="auto"/>
        </w:rPr>
        <w:t xml:space="preserve">Electronics recycling services </w:t>
      </w:r>
      <w:r>
        <w:rPr>
          <w:rFonts w:ascii="Arial" w:cs="Arial" w:eastAsia="Arial" w:hAnsi="Arial"/>
          <w:sz w:val="18"/>
          <w:szCs w:val="18"/>
          <w:color w:val="auto"/>
        </w:rPr>
        <w:t>— We provide an innovative, customized approach to recycling discarded computers, communications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electronic equipment. Services include the collection, sorting and disassembling of electronics in an effort to reuse or recycle all collected materials.</w:t>
      </w:r>
    </w:p>
    <w:p>
      <w:pPr>
        <w:spacing w:after="0" w:line="87" w:lineRule="exact"/>
        <w:rPr>
          <w:sz w:val="20"/>
          <w:szCs w:val="20"/>
          <w:color w:val="auto"/>
        </w:rPr>
      </w:pPr>
    </w:p>
    <w:p>
      <w:pPr>
        <w:ind w:left="360" w:right="60" w:firstLine="270"/>
        <w:spacing w:after="0" w:line="264"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for our own facilities and for third parties by maintaining comprehensive service centers that continuously analyze market prices, logistics, market demands and product quality.</w:t>
      </w:r>
    </w:p>
    <w:p>
      <w:pPr>
        <w:spacing w:after="0" w:line="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Recycling fees are influenced by frequency of collection, type and volume or weight of the recyclable material, degree of processing required, the market value of the recovered material and other market factors.</w:t>
      </w:r>
    </w:p>
    <w:p>
      <w:pPr>
        <w:spacing w:after="0" w:line="62"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color w:val="auto"/>
        </w:rPr>
        <w:t>Our Recycling Group purchases recyclable materials processed in our MRFs from various sources, including third parties and other operating subsidiaries of WMI. The cost per ton of material purchased is based on market prices and the cost to transport the finished goods to our customers. The price our Recycling Group pays for recyclable materials is often referred to as a “rebate” and is based upon the price we receive for sales of finished goods and local market conditions. As a result, higher commodity prices increase our revenues and increase the rebates we pay to our suppliers.</w:t>
      </w:r>
    </w:p>
    <w:p>
      <w:pPr>
        <w:spacing w:after="0" w:line="46"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provide in-plant services, in which we outsource our employees to provide full service waste management to customers at their plants,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Upstream division. Our vertically integrated waste management operations allow us to provide customers with full management of their waste, including identifying recycling opportunities, minimizing their waste, determining the most efficient means available for waste collection and transporting and disposing of their waste.</w:t>
      </w:r>
    </w:p>
    <w:p>
      <w:pPr>
        <w:spacing w:after="0" w:line="79"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We also develop, operate and promote projects for the beneficial use of landfill gas through our Waste Management Renewable Energy Program. Landfill gas is produced naturally as waste decomposes in a landfill. The methane component of the landfill gas is a readily available, renewable energy source that can be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gathered and used beneficially as an alternative to fossil fuel. The United States Environmental Protection Agency (“EPA”) endorses landfill gas as a renewable energy resource, in the same category as wind, solar and geothermal resources. Landfill gas is an important part of renewable energy portfolios for communities, utilities and industries. We actively pursue landfill gas beneficial use projects and at December 31, 2005 we were producing commercial quantities of methane gas at 95 of our solid waste landfills. At 59 of these landfills, the processed gas is delivered to electricity generators. The electricity is then sold to public utilities, municipal utilities or power cooperatives. At 32 landfills, the gas is delivered by pipeline to industrial customers as a direct substitute for fossil fuels in industrial processes such as steam boilers, cement kilns and utility plants. At four landfills, the landfill gas is processed to pipeline-quality natural gas and then sold to natural gas suppliers.</w:t>
      </w:r>
    </w:p>
    <w:p>
      <w:pPr>
        <w:spacing w:after="0" w:line="81"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In addition, we rent and service portable restroom facilities to municipalities and commercial customers under the name Port-O-Let</w:t>
      </w:r>
      <w:r>
        <w:rPr>
          <w:rFonts w:ascii="Arial" w:cs="Arial" w:eastAsia="Arial" w:hAnsi="Arial"/>
          <w:sz w:val="15"/>
          <w:szCs w:val="15"/>
          <w:color w:val="auto"/>
        </w:rPr>
        <w:t>®</w:t>
      </w:r>
      <w:r>
        <w:rPr>
          <w:rFonts w:ascii="Arial" w:cs="Arial" w:eastAsia="Arial" w:hAnsi="Arial"/>
          <w:sz w:val="18"/>
          <w:szCs w:val="18"/>
          <w:color w:val="auto"/>
        </w:rPr>
        <w:t>, and provide street and parking lot sweeping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267"/>
        <w:spacing w:after="0" w:line="255" w:lineRule="auto"/>
        <w:rPr>
          <w:sz w:val="20"/>
          <w:szCs w:val="20"/>
          <w:color w:val="auto"/>
        </w:rPr>
      </w:pPr>
      <w:r>
        <w:rPr>
          <w:rFonts w:ascii="Arial" w:cs="Arial" w:eastAsia="Arial" w:hAnsi="Arial"/>
          <w:sz w:val="18"/>
          <w:szCs w:val="18"/>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 The municipalities and regional governmental authorities are often able to offer lower direct charges to the customer for the same service by subsidizing the cost of the service through the use of tax revenues and tax-exempt financing. Generally, however, municipalities do not provide significant commercial and industrial collection or waste disposal.</w:t>
      </w:r>
    </w:p>
    <w:p>
      <w:pPr>
        <w:spacing w:after="0" w:line="85"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compete for disposal business on the basis of tipping fees, geographic location and quality of operations. Our ability to obtain disposal business may be limited in areas where other companies own or operate their own landfills, to which they will send their waste. We compete for collection accounts primarily on the basis of price and quality of services. 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labor costs and amount and type of equipment furnished to the customer. We face intense competition based on quality of service and pricing. Under certain customer service contracts, our ability to increase our prices or pass on cost increases to our customers may be limited. From time to time, competitors may reduce the price of their services and accept lower margins in an effort to expand or maintain market share or to successfully obtain competitively bid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firstLine="260"/>
        <w:spacing w:after="0" w:line="308" w:lineRule="auto"/>
        <w:rPr>
          <w:sz w:val="20"/>
          <w:szCs w:val="20"/>
          <w:color w:val="auto"/>
        </w:rPr>
      </w:pPr>
      <w:r>
        <w:rPr>
          <w:rFonts w:ascii="Arial" w:cs="Arial" w:eastAsia="Arial" w:hAnsi="Arial"/>
          <w:sz w:val="17"/>
          <w:szCs w:val="17"/>
          <w:color w:val="auto"/>
        </w:rPr>
        <w:t>At December 31, 2005 we had approximately 50,000 full-time employees, of which approximately 7,500 were employed in administrative and sales positions and the balance were in operations. Approximately 13,700 of our employees are covered by collective bargaining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117" w:lineRule="exact"/>
        <w:rPr>
          <w:sz w:val="20"/>
          <w:szCs w:val="20"/>
          <w:color w:val="auto"/>
        </w:rPr>
      </w:pPr>
    </w:p>
    <w:p>
      <w:pPr>
        <w:ind w:right="260" w:firstLine="270"/>
        <w:spacing w:after="0" w:line="302" w:lineRule="auto"/>
        <w:rPr>
          <w:sz w:val="20"/>
          <w:szCs w:val="20"/>
          <w:color w:val="auto"/>
        </w:rPr>
      </w:pPr>
      <w:r>
        <w:rPr>
          <w:rFonts w:ascii="Arial" w:cs="Arial" w:eastAsia="Arial" w:hAnsi="Arial"/>
          <w:sz w:val="16"/>
          <w:szCs w:val="16"/>
          <w:color w:val="auto"/>
        </w:rPr>
        <w:t>Municipal and governmental waste service contracts generally require the contracting party to demonstrate financial responsibility for their obligations under the contract. Financial assurance is also a requirement for obtaining or retaining disposal site or transfer station operating permits. Municipal and governmental waste management contracts typically require performance bonds or bank letters of credit to secure performance. Various forms of financial assurance are also required by regulatory agencies for estimated closure, post-closure and remedial obligations at our landfills.</w:t>
      </w:r>
    </w:p>
    <w:p>
      <w:pPr>
        <w:spacing w:after="0" w:line="46"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We establish financial assurance in different ways including escrow accounts funded by revenues during the operational life of a facility, letters of credit, surety bonds, trust agreements, financial guarantees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insurance. The instrument decision is based on several factors; most importantly the jurisdiction, contractual requirements, market factors and availability of capacity. The surety industry shows signs of recovery and appears to be moving forward with cautious optimism. The following table summarizes the various forms and dollar amounts (in millions) of financial assurance that we had outstanding as of December 31, 2005: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420" w:type="dxa"/>
            <w:vAlign w:val="bottom"/>
            <w:gridSpan w:val="4"/>
          </w:tcPr>
          <w:p>
            <w:pPr>
              <w:jc w:val="right"/>
              <w:ind w:right="1640"/>
              <w:spacing w:after="0"/>
              <w:rPr>
                <w:sz w:val="20"/>
                <w:szCs w:val="20"/>
                <w:color w:val="auto"/>
              </w:rPr>
            </w:pPr>
            <w:r>
              <w:rPr>
                <w:rFonts w:ascii="Arial" w:cs="Arial" w:eastAsia="Arial" w:hAnsi="Arial"/>
                <w:sz w:val="18"/>
                <w:szCs w:val="18"/>
                <w:color w:val="auto"/>
              </w:rPr>
              <w:t>1,459(a)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LC and term loan agreements</w:t>
            </w:r>
          </w:p>
        </w:tc>
        <w:tc>
          <w:tcPr>
            <w:tcW w:w="26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1620"/>
              <w:spacing w:after="0"/>
              <w:rPr>
                <w:sz w:val="20"/>
                <w:szCs w:val="20"/>
                <w:color w:val="auto"/>
              </w:rPr>
            </w:pPr>
            <w:r>
              <w:rPr>
                <w:rFonts w:ascii="Arial" w:cs="Arial" w:eastAsia="Arial" w:hAnsi="Arial"/>
                <w:sz w:val="18"/>
                <w:szCs w:val="18"/>
                <w:color w:val="auto"/>
              </w:rPr>
              <w:t>295(b)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Letter of credit facility</w:t>
            </w:r>
          </w:p>
        </w:tc>
        <w:tc>
          <w:tcPr>
            <w:tcW w:w="260" w:type="dxa"/>
            <w:vAlign w:val="bottom"/>
          </w:tcPr>
          <w:p>
            <w:pPr>
              <w:spacing w:after="0"/>
              <w:rPr>
                <w:sz w:val="18"/>
                <w:szCs w:val="18"/>
                <w:color w:val="auto"/>
              </w:rPr>
            </w:pPr>
          </w:p>
        </w:tc>
        <w:tc>
          <w:tcPr>
            <w:tcW w:w="2420" w:type="dxa"/>
            <w:vAlign w:val="bottom"/>
            <w:gridSpan w:val="4"/>
          </w:tcPr>
          <w:p>
            <w:pPr>
              <w:jc w:val="right"/>
              <w:ind w:right="1640"/>
              <w:spacing w:after="0"/>
              <w:rPr>
                <w:sz w:val="20"/>
                <w:szCs w:val="20"/>
                <w:color w:val="auto"/>
              </w:rPr>
            </w:pPr>
            <w:r>
              <w:rPr>
                <w:rFonts w:ascii="Arial" w:cs="Arial" w:eastAsia="Arial" w:hAnsi="Arial"/>
                <w:sz w:val="18"/>
                <w:szCs w:val="18"/>
                <w:color w:val="auto"/>
              </w:rPr>
              <w:t>328(c)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lines of credit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color w:val="auto"/>
              </w:rPr>
              <w:t>Total letters of credit</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Surety bonds: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Issued by consolidated variable interest entity</w:t>
            </w:r>
          </w:p>
        </w:tc>
        <w:tc>
          <w:tcPr>
            <w:tcW w:w="260" w:type="dxa"/>
            <w:vAlign w:val="bottom"/>
          </w:tcPr>
          <w:p>
            <w:pPr>
              <w:spacing w:after="0"/>
              <w:rPr>
                <w:sz w:val="18"/>
                <w:szCs w:val="18"/>
                <w:color w:val="auto"/>
              </w:rPr>
            </w:pPr>
          </w:p>
        </w:tc>
        <w:tc>
          <w:tcPr>
            <w:tcW w:w="2420" w:type="dxa"/>
            <w:vAlign w:val="bottom"/>
            <w:gridSpan w:val="4"/>
          </w:tcPr>
          <w:p>
            <w:pPr>
              <w:jc w:val="right"/>
              <w:ind w:right="1620"/>
              <w:spacing w:after="0"/>
              <w:rPr>
                <w:sz w:val="20"/>
                <w:szCs w:val="20"/>
                <w:color w:val="auto"/>
              </w:rPr>
            </w:pPr>
            <w:r>
              <w:rPr>
                <w:rFonts w:ascii="Arial" w:cs="Arial" w:eastAsia="Arial" w:hAnsi="Arial"/>
                <w:sz w:val="18"/>
                <w:szCs w:val="18"/>
                <w:color w:val="auto"/>
              </w:rPr>
              <w:t>470(d)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Issued by consolidated subsidiary</w:t>
            </w:r>
          </w:p>
        </w:tc>
        <w:tc>
          <w:tcPr>
            <w:tcW w:w="26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1640"/>
              <w:spacing w:after="0"/>
              <w:rPr>
                <w:sz w:val="20"/>
                <w:szCs w:val="20"/>
                <w:color w:val="auto"/>
              </w:rPr>
            </w:pPr>
            <w:r>
              <w:rPr>
                <w:rFonts w:ascii="Arial" w:cs="Arial" w:eastAsia="Arial" w:hAnsi="Arial"/>
                <w:sz w:val="18"/>
                <w:szCs w:val="18"/>
                <w:color w:val="auto"/>
              </w:rPr>
              <w:t>345(e)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Issued by affiliated entity</w:t>
            </w:r>
          </w:p>
        </w:tc>
        <w:tc>
          <w:tcPr>
            <w:tcW w:w="260" w:type="dxa"/>
            <w:vAlign w:val="bottom"/>
          </w:tcPr>
          <w:p>
            <w:pPr>
              <w:spacing w:after="0"/>
              <w:rPr>
                <w:sz w:val="18"/>
                <w:szCs w:val="18"/>
                <w:color w:val="auto"/>
              </w:rPr>
            </w:pPr>
          </w:p>
        </w:tc>
        <w:tc>
          <w:tcPr>
            <w:tcW w:w="2420" w:type="dxa"/>
            <w:vAlign w:val="bottom"/>
            <w:gridSpan w:val="4"/>
          </w:tcPr>
          <w:p>
            <w:pPr>
              <w:jc w:val="right"/>
              <w:ind w:right="1660"/>
              <w:spacing w:after="0"/>
              <w:rPr>
                <w:sz w:val="20"/>
                <w:szCs w:val="20"/>
                <w:color w:val="auto"/>
              </w:rPr>
            </w:pPr>
            <w:r>
              <w:rPr>
                <w:rFonts w:ascii="Arial" w:cs="Arial" w:eastAsia="Arial" w:hAnsi="Arial"/>
                <w:sz w:val="18"/>
                <w:szCs w:val="18"/>
                <w:color w:val="auto"/>
              </w:rPr>
              <w:t>1,140(f)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Issued by third party surety companies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729</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color w:val="auto"/>
              </w:rPr>
              <w:t>Total surety bonds</w:t>
            </w: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policies: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Issued by consolidated subsidiary</w:t>
            </w:r>
          </w:p>
        </w:tc>
        <w:tc>
          <w:tcPr>
            <w:tcW w:w="260" w:type="dxa"/>
            <w:vAlign w:val="bottom"/>
          </w:tcPr>
          <w:p>
            <w:pPr>
              <w:spacing w:after="0"/>
              <w:rPr>
                <w:sz w:val="18"/>
                <w:szCs w:val="18"/>
                <w:color w:val="auto"/>
              </w:rPr>
            </w:pPr>
          </w:p>
        </w:tc>
        <w:tc>
          <w:tcPr>
            <w:tcW w:w="2420" w:type="dxa"/>
            <w:vAlign w:val="bottom"/>
            <w:gridSpan w:val="4"/>
          </w:tcPr>
          <w:p>
            <w:pPr>
              <w:jc w:val="right"/>
              <w:ind w:right="1640"/>
              <w:spacing w:after="0"/>
              <w:rPr>
                <w:sz w:val="20"/>
                <w:szCs w:val="20"/>
                <w:color w:val="auto"/>
              </w:rPr>
            </w:pPr>
            <w:r>
              <w:rPr>
                <w:rFonts w:ascii="Arial" w:cs="Arial" w:eastAsia="Arial" w:hAnsi="Arial"/>
                <w:sz w:val="18"/>
                <w:szCs w:val="18"/>
                <w:color w:val="auto"/>
              </w:rPr>
              <w:t>893(e)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Issued by affiliated entity</w:t>
            </w:r>
          </w:p>
        </w:tc>
        <w:tc>
          <w:tcPr>
            <w:tcW w:w="26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1660"/>
              <w:spacing w:after="0"/>
              <w:rPr>
                <w:sz w:val="20"/>
                <w:szCs w:val="20"/>
                <w:color w:val="auto"/>
              </w:rPr>
            </w:pPr>
            <w:r>
              <w:rPr>
                <w:rFonts w:ascii="Arial" w:cs="Arial" w:eastAsia="Arial" w:hAnsi="Arial"/>
                <w:sz w:val="18"/>
                <w:szCs w:val="18"/>
                <w:color w:val="auto"/>
              </w:rPr>
              <w:t>15(f)</w:t>
            </w: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color w:val="auto"/>
              </w:rPr>
              <w:t>Total insurance policies</w:t>
            </w: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908(g)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trust and escrow accounts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Financial guarantees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208(i)</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assurance</w:t>
            </w:r>
          </w:p>
        </w:tc>
        <w:tc>
          <w:tcPr>
            <w:tcW w:w="26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right="140" w:hanging="352"/>
        <w:spacing w:after="0" w:line="253"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five-year, $2.4 billion syndicated revolving credit facility that matures in October 2009. At December 31, 2005, we had unused and available credit capacity of $941 million under our revolving credit facility.</w:t>
      </w:r>
    </w:p>
    <w:p>
      <w:pPr>
        <w:spacing w:after="0" w:line="25" w:lineRule="exact"/>
        <w:rPr>
          <w:rFonts w:ascii="Arial" w:cs="Arial" w:eastAsia="Arial" w:hAnsi="Arial"/>
          <w:sz w:val="14"/>
          <w:szCs w:val="14"/>
          <w:color w:val="auto"/>
        </w:rPr>
      </w:pPr>
    </w:p>
    <w:p>
      <w:pPr>
        <w:ind w:left="360" w:right="80" w:hanging="352"/>
        <w:spacing w:after="0" w:line="238"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 (collectively, the “LC and term loan agreements”). At December 31, 2005, we had fully utilized the available credit capacity available under the LC and term loan agreements.</w:t>
      </w:r>
    </w:p>
    <w:p>
      <w:pPr>
        <w:spacing w:after="0" w:line="34" w:lineRule="exact"/>
        <w:rPr>
          <w:rFonts w:ascii="Arial" w:cs="Arial" w:eastAsia="Arial" w:hAnsi="Arial"/>
          <w:sz w:val="14"/>
          <w:szCs w:val="14"/>
          <w:color w:val="auto"/>
        </w:rPr>
      </w:pPr>
    </w:p>
    <w:p>
      <w:pPr>
        <w:ind w:left="360" w:right="60" w:hanging="352"/>
        <w:spacing w:after="0" w:line="253"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December 2003, we entered into a five-year, $350 million letter of credit facility (the “letter of credit facility”). At December 31, 2005, we had unused and available capacity of $22 million under this letter of credit facility.</w:t>
      </w:r>
    </w:p>
    <w:p>
      <w:pPr>
        <w:spacing w:after="0" w:line="25" w:lineRule="exact"/>
        <w:rPr>
          <w:rFonts w:ascii="Arial" w:cs="Arial" w:eastAsia="Arial" w:hAnsi="Arial"/>
          <w:sz w:val="14"/>
          <w:szCs w:val="14"/>
          <w:color w:val="auto"/>
        </w:rPr>
      </w:pPr>
    </w:p>
    <w:p>
      <w:pPr>
        <w:ind w:left="360" w:right="200" w:hanging="352"/>
        <w:spacing w:after="0" w:line="238"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These surety bonds were provided by a variable interest entity that we began consolidating during the third quarter of 2003. See Note 19 to the Consolidated Financial Statements for discussion of this entity’s characteristics and our assessment of our interest in the entity under the provisions of the Financial Accounting Standards Board’s (“FASB”) Interpretation No. 46, </w:t>
      </w:r>
      <w:r>
        <w:rPr>
          <w:rFonts w:ascii="Arial" w:cs="Arial" w:eastAsia="Arial" w:hAnsi="Arial"/>
          <w:sz w:val="14"/>
          <w:szCs w:val="14"/>
          <w:i w:val="1"/>
          <w:iCs w:val="1"/>
          <w:color w:val="auto"/>
        </w:rPr>
        <w:t xml:space="preserve">Consolidation of Variable Interest Entities </w:t>
      </w:r>
      <w:r>
        <w:rPr>
          <w:rFonts w:ascii="Arial" w:cs="Arial" w:eastAsia="Arial" w:hAnsi="Arial"/>
          <w:sz w:val="14"/>
          <w:szCs w:val="14"/>
          <w:color w:val="auto"/>
        </w:rPr>
        <w:t>(“FIN 46”).</w:t>
      </w:r>
    </w:p>
    <w:p>
      <w:pPr>
        <w:spacing w:after="0" w:line="34" w:lineRule="exact"/>
        <w:rPr>
          <w:rFonts w:ascii="Arial" w:cs="Arial" w:eastAsia="Arial" w:hAnsi="Arial"/>
          <w:sz w:val="14"/>
          <w:szCs w:val="14"/>
          <w:color w:val="auto"/>
        </w:rPr>
      </w:pPr>
    </w:p>
    <w:p>
      <w:pPr>
        <w:jc w:val="both"/>
        <w:ind w:left="360" w:right="40" w:hanging="352"/>
        <w:spacing w:after="0" w:line="238"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 surety bonds and insurance policies issued by a wholly-owned insurance subsidiary, National Guaranty Insurance Company of Vermont, the sole business of which is to issue financial assurance to WMI and its other subsidiaries. National Guaranty Insurance Company is authorized to write up to approximately $1.3 billion in surety bonds or insurance policies for our closure and post-closure requirements and waste collection contracts.</w:t>
      </w:r>
    </w:p>
    <w:p>
      <w:pPr>
        <w:spacing w:after="0" w:line="20" w:lineRule="exact"/>
        <w:rPr>
          <w:rFonts w:ascii="Arial" w:cs="Arial" w:eastAsia="Arial" w:hAnsi="Arial"/>
          <w:sz w:val="14"/>
          <w:szCs w:val="14"/>
          <w:color w:val="auto"/>
        </w:rPr>
      </w:pPr>
    </w:p>
    <w:p>
      <w:pPr>
        <w:ind w:left="360" w:right="20" w:hanging="352"/>
        <w:spacing w:after="0" w:line="238"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 surety bonds and insurance policies issued by an affiliated entity, Evergreen National Indemnity Company (“Evergreen”), that we have a non-controlling interest in and as such account for under the cost method. Our contractual agreement with Evergreen does not specifically limit the amounts of surety bonds or insurance that we may obtain, making our financial assurance under this agreement limited only by the guidelines and restrictions of the surety and insurance industries.</w:t>
      </w:r>
    </w:p>
    <w:p>
      <w:pPr>
        <w:spacing w:after="0" w:line="20" w:lineRule="exact"/>
        <w:rPr>
          <w:rFonts w:ascii="Arial" w:cs="Arial" w:eastAsia="Arial" w:hAnsi="Arial"/>
          <w:sz w:val="14"/>
          <w:szCs w:val="14"/>
          <w:color w:val="auto"/>
        </w:rPr>
      </w:pPr>
    </w:p>
    <w:p>
      <w:pPr>
        <w:ind w:left="360" w:hanging="352"/>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certain states, we use insurance policies as a form of financial assurance for our anticipated closure and post-closure obligations.</w:t>
      </w:r>
    </w:p>
    <w:p>
      <w:pPr>
        <w:spacing w:after="0" w:line="55" w:lineRule="exact"/>
        <w:rPr>
          <w:rFonts w:ascii="Arial" w:cs="Arial" w:eastAsia="Arial" w:hAnsi="Arial"/>
          <w:sz w:val="14"/>
          <w:szCs w:val="14"/>
          <w:color w:val="auto"/>
        </w:rPr>
      </w:pPr>
    </w:p>
    <w:p>
      <w:pPr>
        <w:ind w:left="360" w:right="20" w:hanging="352"/>
        <w:spacing w:after="0" w:line="264" w:lineRule="auto"/>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several of our landfills, we deposit cash into restricted trust funds or escrow accounts that have been established to settle closure, post-closure and remedial obligations.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financial instruments held in the trust fund or escrow account.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right="340" w:hanging="352"/>
        <w:spacing w:after="0" w:line="253"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Financial guarantees are provided on behalf of our subsidiaries to municipalities, customers and regulatory authorities. They are provided primarily to support our performance of landfill closure and post-closure activities.</w:t>
      </w:r>
    </w:p>
    <w:p>
      <w:pPr>
        <w:spacing w:after="0" w:line="7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assets held in our funded trust and escrow accounts may be drawn and used to meet the closure, post-closure and remedial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160" w:firstLine="267"/>
        <w:spacing w:after="0" w:line="272" w:lineRule="auto"/>
        <w:rPr>
          <w:sz w:val="20"/>
          <w:szCs w:val="20"/>
          <w:color w:val="auto"/>
        </w:rPr>
      </w:pPr>
      <w:r>
        <w:rPr>
          <w:rFonts w:ascii="Arial" w:cs="Arial" w:eastAsia="Arial" w:hAnsi="Arial"/>
          <w:sz w:val="17"/>
          <w:szCs w:val="17"/>
          <w:color w:val="auto"/>
        </w:rPr>
        <w:t>We also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general liability, workers’ compensation and auto insurance programs have per incident deductibles of $2.5 million, $1 million and $20,000, respectively. Effective January 1, 2006, we increased the per incident deductible for our auto insurance programs to $1 million. We do not expect the impact of any known casualty, property, environmental or other contingency to be material to our financial condition, results of operations or cash flows. Our estimated insurance liabilities as of December 31, 2005 are summarized in Note 10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360" w:firstLine="270"/>
        <w:spacing w:after="0" w:line="257"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Environmental Protection Agency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80"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117" w:lineRule="exact"/>
        <w:rPr>
          <w:sz w:val="20"/>
          <w:szCs w:val="20"/>
          <w:color w:val="auto"/>
        </w:rPr>
      </w:pPr>
    </w:p>
    <w:p>
      <w:pPr>
        <w:ind w:left="460" w:right="180" w:hanging="101"/>
        <w:spacing w:after="0" w:line="27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as amended (“RCRA”), regulates handling, transporting and disposing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line="28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 approved settlement. Liability may also include damage to publicly owned natural resources. We are subject to potential liability under CERCLA as an owner or operator of facilities at which hazardous substances have been disposed or as a generator or transporter of hazardous substances disposed of at other locations.</w:t>
      </w:r>
    </w:p>
    <w:p>
      <w:pPr>
        <w:spacing w:after="0" w:line="74" w:lineRule="exact"/>
        <w:rPr>
          <w:rFonts w:ascii="Arial" w:cs="Arial" w:eastAsia="Arial" w:hAnsi="Arial"/>
          <w:sz w:val="16"/>
          <w:szCs w:val="16"/>
          <w:color w:val="auto"/>
        </w:rPr>
      </w:pPr>
    </w:p>
    <w:p>
      <w:pPr>
        <w:ind w:left="460" w:hanging="101"/>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Water Pollution Control Act of 1972 (the “Clean Water Act”) regulates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from landfills that require landfills to obtain storm water discharge permits. In addition, if a landfill or a transfer station discharges wastewater through a sewage system to a publicly 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71" w:lineRule="exact"/>
        <w:rPr>
          <w:rFonts w:ascii="Arial" w:cs="Arial" w:eastAsia="Arial" w:hAnsi="Arial"/>
          <w:sz w:val="16"/>
          <w:szCs w:val="16"/>
          <w:color w:val="auto"/>
        </w:rPr>
      </w:pPr>
    </w:p>
    <w:p>
      <w:pPr>
        <w:ind w:left="460" w:hanging="101"/>
        <w:spacing w:after="0" w:line="28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The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general, controlling emissions involves drilling collection wells into a landfill and routing the gas to a suitable energy recovery system or combustion device. We are currently capturing and utilizing the renewable energy value of landfill gas at 95 of our solid waste landfills. In January 2003, the EPA issued additional regulations that required affected landfills to prepare, by January 2004, startup, shutdown and malfunction plans to ensure proper operation of gas collection, control and treatment systems.</w:t>
      </w:r>
    </w:p>
    <w:p>
      <w:pPr>
        <w:spacing w:after="0" w:line="61" w:lineRule="exact"/>
        <w:rPr>
          <w:rFonts w:ascii="Arial" w:cs="Arial" w:eastAsia="Arial" w:hAnsi="Arial"/>
          <w:sz w:val="16"/>
          <w:szCs w:val="16"/>
          <w:color w:val="auto"/>
        </w:rPr>
      </w:pPr>
    </w:p>
    <w:p>
      <w:pPr>
        <w:ind w:left="460" w:right="20"/>
        <w:spacing w:after="0" w:line="259" w:lineRule="auto"/>
        <w:rPr>
          <w:rFonts w:ascii="Arial" w:cs="Arial" w:eastAsia="Arial" w:hAnsi="Arial"/>
          <w:sz w:val="16"/>
          <w:szCs w:val="16"/>
          <w:color w:val="auto"/>
        </w:rPr>
      </w:pPr>
      <w:r>
        <w:rPr>
          <w:rFonts w:ascii="Arial" w:cs="Arial" w:eastAsia="Arial" w:hAnsi="Arial"/>
          <w:sz w:val="18"/>
          <w:szCs w:val="18"/>
          <w:color w:val="auto"/>
        </w:rPr>
        <w:t>The EPA has issued new source performance standards and emission guidelines for large and small municipal waste-to-energy facilities, which include stringent emission limits for various pollutants based on Maximum Achievable Control Technology (“MACT”)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78" w:lineRule="exact"/>
        <w:rPr>
          <w:rFonts w:ascii="Arial" w:cs="Arial" w:eastAsia="Arial" w:hAnsi="Arial"/>
          <w:sz w:val="16"/>
          <w:szCs w:val="16"/>
          <w:color w:val="auto"/>
        </w:rPr>
      </w:pPr>
    </w:p>
    <w:p>
      <w:pPr>
        <w:ind w:left="460" w:right="200" w:hanging="101"/>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Health Administration, and various record keeping,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pertaining to safety, movement of hazardous materials, movement and disposal of hazardous waste and equipment standards. Various state and local agencies have jurisdiction over disposal of hazardous waste and may seek to regulate movement of hazardous materials in areas not otherwise preempted by federal law.</w:t>
      </w:r>
    </w:p>
    <w:p>
      <w:pPr>
        <w:spacing w:after="0" w:line="173"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There are also various state or provincial and local regulations that affect our operations. Sometimes states’ regulations are stricter than comparable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73" w:lineRule="exact"/>
        <w:rPr>
          <w:sz w:val="20"/>
          <w:szCs w:val="20"/>
          <w:color w:val="auto"/>
        </w:rPr>
      </w:pPr>
    </w:p>
    <w:p>
      <w:pPr>
        <w:ind w:right="140" w:firstLine="267"/>
        <w:spacing w:after="0" w:line="253" w:lineRule="auto"/>
        <w:rPr>
          <w:sz w:val="20"/>
          <w:szCs w:val="20"/>
          <w:color w:val="auto"/>
        </w:rPr>
      </w:pPr>
      <w:r>
        <w:rPr>
          <w:rFonts w:ascii="Arial" w:cs="Arial" w:eastAsia="Arial" w:hAnsi="Arial"/>
          <w:sz w:val="18"/>
          <w:szCs w:val="18"/>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to date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our solid waste management services.</w:t>
      </w:r>
    </w:p>
    <w:p>
      <w:pPr>
        <w:spacing w:after="0" w:line="87"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70"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See Note 3 to the consolidated financial statements for disclosures relating to our current assessments of the impact of regulations on our current and future operations.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 w:firstLine="267"/>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Consolidated Financial Statements and the notes to the Consolidated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position for 2006 and beyond. However, they are not the only risks that we face. There may be additional risks that we do not presently know of or that we currently believe are immaterial which could also impair our business and financial position.</w:t>
      </w:r>
    </w:p>
    <w:p>
      <w:pPr>
        <w:spacing w:after="0" w:line="181" w:lineRule="exact"/>
        <w:rPr>
          <w:sz w:val="20"/>
          <w:szCs w:val="20"/>
          <w:color w:val="auto"/>
        </w:rPr>
      </w:pPr>
    </w:p>
    <w:p>
      <w:pPr>
        <w:ind w:left="360" w:right="12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62"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5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yield on base business.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successfully manage our costs, our income from operations could be lower than expected.</w:t>
      </w:r>
    </w:p>
    <w:p>
      <w:pPr>
        <w:spacing w:after="0" w:line="117"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and continue to seek ways to reduce our selling, general and administrative and operating expenses. While we have generally been successful in reducing our selling, general and administrative costs, managing subcontractor costs and managing the effect of fuel price increases, these initiatives may not be sufficient. Even as our revenues increase, if we are unable to control variable costs or increases to our fixed costs in the future, we will be unable to maintain or expand our margins. In recent periods, rising employee-related costs and expenses, including health care and other employee benefits such as unemployment insurance and workers’ compensation have negatively impacted our measures to reduce costs.</w:t>
      </w:r>
    </w:p>
    <w:p>
      <w:pPr>
        <w:spacing w:after="0" w:line="178" w:lineRule="exact"/>
        <w:rPr>
          <w:sz w:val="20"/>
          <w:szCs w:val="20"/>
          <w:color w:val="auto"/>
        </w:rPr>
      </w:pPr>
    </w:p>
    <w:p>
      <w:pPr>
        <w:ind w:left="360" w:right="46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successfully implement our plans and strategies to improve margins and increase our income from operations</w:t>
      </w:r>
    </w:p>
    <w:p>
      <w:pPr>
        <w:spacing w:after="0" w:line="62" w:lineRule="exact"/>
        <w:rPr>
          <w:sz w:val="20"/>
          <w:szCs w:val="20"/>
          <w:color w:val="auto"/>
        </w:rPr>
      </w:pPr>
    </w:p>
    <w:p>
      <w:pPr>
        <w:ind w:right="40" w:firstLine="267"/>
        <w:spacing w:after="0" w:line="272" w:lineRule="auto"/>
        <w:rPr>
          <w:sz w:val="20"/>
          <w:szCs w:val="20"/>
          <w:color w:val="auto"/>
        </w:rPr>
      </w:pPr>
      <w:r>
        <w:rPr>
          <w:rFonts w:ascii="Arial" w:cs="Arial" w:eastAsia="Arial" w:hAnsi="Arial"/>
          <w:sz w:val="17"/>
          <w:szCs w:val="17"/>
          <w:color w:val="auto"/>
        </w:rPr>
        <w:t>We have announced several programs and strategies that we have implemented or planned to improve our margins and operating results. For example, we have implemented price increases and environmental fees and continue our fuel surcharge programs, all of which have increased our internal revenue growth. Additionally, we have announced plans to divest of under-performing assets if we cannot improve their profitability. It is possible that we may lose volumes as a result of price increases or that we may not be able to increase prices or pass on increased costs to all of our customers due to contractual restraints. Additionally, we may not be able to successfully negotiate the divestiture of under-performing operations, which could result in asset impairments or the continued operation of low margin businesses. If we are not able to fully implement our plans for any reason, many of which are out of our control, we may not see the expected improvements in our income from operations or our operating margins.</w:t>
      </w:r>
    </w:p>
    <w:p>
      <w:pPr>
        <w:spacing w:after="0" w:line="178" w:lineRule="exact"/>
        <w:rPr>
          <w:sz w:val="20"/>
          <w:szCs w:val="20"/>
          <w:color w:val="auto"/>
        </w:rPr>
      </w:pPr>
    </w:p>
    <w:p>
      <w:pPr>
        <w:ind w:left="360" w:right="56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can actually increase our revenues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63"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Our business is affected by changes in national and general economic factors that are also outside of our control, including interest rates and consumer confidence. We have $3.0 billion of debt as of December 31, 2005 that is exposed to changes in market interest rates because of the combined impact of our variable rate tax-exempt bonds and our interest rate swap agreements. Therefore, any increase in interest rates can significantly increase our expenses. Additionally, although our services are of an essential nature, a weak economy generally results in decreases in volumes of waste generated, which decreases our revenues. We also face risks related to other adverse external factors, such as the ability of our insurers to meet their commitments in a timely manner and the effect that significant claims or litigation against insurance companies may have on such ability.</w:t>
      </w:r>
    </w:p>
    <w:p>
      <w:pPr>
        <w:spacing w:after="0" w:line="57" w:lineRule="exact"/>
        <w:rPr>
          <w:sz w:val="20"/>
          <w:szCs w:val="20"/>
          <w:color w:val="auto"/>
        </w:rPr>
      </w:pPr>
    </w:p>
    <w:p>
      <w:pPr>
        <w:jc w:val="both"/>
        <w:ind w:right="60" w:firstLine="260"/>
        <w:spacing w:after="0" w:line="264" w:lineRule="auto"/>
        <w:rPr>
          <w:sz w:val="20"/>
          <w:szCs w:val="20"/>
          <w:color w:val="auto"/>
        </w:rPr>
      </w:pPr>
      <w:r>
        <w:rPr>
          <w:rFonts w:ascii="Arial" w:cs="Arial" w:eastAsia="Arial" w:hAnsi="Arial"/>
          <w:sz w:val="18"/>
          <w:szCs w:val="18"/>
          <w:color w:val="auto"/>
        </w:rPr>
        <w:t>Any of the factors described above could materially adversely affect our results of operations and cash flows. Additionally, due to these and other factors, operating results in any interim period are not necessarily indicative of operating results for an entire year, and operating results for any historical period are not necessarily indicative of operating results for a future period.</w:t>
      </w:r>
    </w:p>
    <w:p>
      <w:pPr>
        <w:spacing w:after="0" w:line="181"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62" w:lineRule="exact"/>
        <w:rPr>
          <w:sz w:val="20"/>
          <w:szCs w:val="20"/>
          <w:color w:val="auto"/>
        </w:rPr>
      </w:pPr>
    </w:p>
    <w:p>
      <w:pPr>
        <w:ind w:right="240" w:firstLine="267"/>
        <w:spacing w:after="0" w:line="255" w:lineRule="auto"/>
        <w:rPr>
          <w:sz w:val="20"/>
          <w:szCs w:val="20"/>
          <w:color w:val="auto"/>
        </w:rPr>
      </w:pPr>
      <w:r>
        <w:rPr>
          <w:rFonts w:ascii="Arial" w:cs="Arial" w:eastAsia="Arial" w:hAnsi="Arial"/>
          <w:sz w:val="18"/>
          <w:szCs w:val="18"/>
          <w:color w:val="auto"/>
        </w:rPr>
        <w:t>We could be liable if our operations cause environmental damage to our properties or to the property of other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85"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62" w:lineRule="exact"/>
        <w:rPr>
          <w:sz w:val="20"/>
          <w:szCs w:val="20"/>
          <w:color w:val="auto"/>
        </w:rPr>
      </w:pPr>
    </w:p>
    <w:p>
      <w:pPr>
        <w:ind w:left="460" w:right="180" w:hanging="101"/>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75" w:lineRule="exact"/>
        <w:rPr>
          <w:rFonts w:ascii="Arial" w:cs="Arial" w:eastAsia="Arial" w:hAnsi="Arial"/>
          <w:sz w:val="18"/>
          <w:szCs w:val="18"/>
          <w:color w:val="auto"/>
        </w:rPr>
      </w:pPr>
    </w:p>
    <w:p>
      <w:pPr>
        <w:ind w:left="460" w:right="300" w:hanging="101"/>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73" w:lineRule="exact"/>
        <w:rPr>
          <w:sz w:val="20"/>
          <w:szCs w:val="20"/>
          <w:color w:val="auto"/>
        </w:rPr>
      </w:pPr>
    </w:p>
    <w:p>
      <w:pPr>
        <w:ind w:right="260" w:firstLine="267"/>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ind w:left="360" w:right="40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any such regulations, or new regulations, could restrict our operations or increase our costs of operations or impose additional capital expenditures.</w:t>
      </w:r>
    </w:p>
    <w:p>
      <w:pPr>
        <w:spacing w:after="0" w:line="62" w:lineRule="exact"/>
        <w:rPr>
          <w:sz w:val="20"/>
          <w:szCs w:val="20"/>
          <w:color w:val="auto"/>
        </w:rPr>
      </w:pPr>
    </w:p>
    <w:p>
      <w:pPr>
        <w:ind w:right="620" w:firstLine="270"/>
        <w:spacing w:after="0" w:line="277" w:lineRule="auto"/>
        <w:rPr>
          <w:sz w:val="20"/>
          <w:szCs w:val="20"/>
          <w:color w:val="auto"/>
        </w:rPr>
      </w:pPr>
      <w:r>
        <w:rPr>
          <w:rFonts w:ascii="Arial" w:cs="Arial" w:eastAsia="Arial" w:hAnsi="Arial"/>
          <w:sz w:val="18"/>
          <w:szCs w:val="18"/>
          <w:color w:val="auto"/>
        </w:rPr>
        <w:t>Stringent government regulations at the federal, state, provincial, and local level in the United States and Canada have a substantial impact on our business. A large number of complex laws, rules, orders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62"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expanding existing facilities;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117"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7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Significant increases in fuel prices for any extended periods of time will increase our operating expenses and may increase our tax expense.</w:t>
      </w:r>
    </w:p>
    <w:p>
      <w:pPr>
        <w:spacing w:after="0" w:line="140"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price and supply of fuel are unpredictable, and can fluctuate significantly based on international, political and economic circumstances, as well as other factors outside our control, such as actions by OPEC and other oil and gas producers, regional production patterns, weather conditions and environmental concerns. In the past two years, the year-over-year changes in the average quarterly fuel prices have ranged from an increase of 41% to a decrease of 2%. We need fuel to run our collection and transfer trucks and equipment used in our landfill operations, and price escalations or reductions in the supply will likely increase our operating expenses and have a negative impact on income from operations and cash flows. Additionally, as fuel prices increase,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w:t>
      </w:r>
    </w:p>
    <w:p>
      <w:pPr>
        <w:spacing w:after="0" w:line="74" w:lineRule="exact"/>
        <w:rPr>
          <w:sz w:val="20"/>
          <w:szCs w:val="20"/>
          <w:color w:val="auto"/>
        </w:rPr>
      </w:pPr>
    </w:p>
    <w:p>
      <w:pPr>
        <w:ind w:right="20" w:firstLine="260"/>
        <w:spacing w:after="0" w:line="279" w:lineRule="auto"/>
        <w:rPr>
          <w:sz w:val="20"/>
          <w:szCs w:val="20"/>
          <w:color w:val="auto"/>
        </w:rPr>
      </w:pPr>
      <w:r>
        <w:rPr>
          <w:rFonts w:ascii="Arial" w:cs="Arial" w:eastAsia="Arial" w:hAnsi="Arial"/>
          <w:sz w:val="17"/>
          <w:szCs w:val="17"/>
          <w:color w:val="auto"/>
        </w:rPr>
        <w:t>Additionally, our current effective tax rate is estimated to be significantly lower than statutory tax rates due in part to Section 29 tax credits we realize from our landfill gas sales and investments in coal-based synthetic fuel partnerships. The ability to earn Section 29 tax credits is tied to an average benchmark oil price determined by the Internal Revenue Service, and the credits are phased out as the benchmark average price increases. Higher fuel prices or continued high fuel prices will phase out our credits and increase our effective tax rate, which will result in higher tax expense.</w:t>
      </w:r>
    </w:p>
    <w:p>
      <w:pPr>
        <w:spacing w:after="0" w:line="171" w:lineRule="exact"/>
        <w:rPr>
          <w:sz w:val="20"/>
          <w:szCs w:val="20"/>
          <w:color w:val="auto"/>
        </w:rPr>
      </w:pPr>
    </w:p>
    <w:p>
      <w:pPr>
        <w:ind w:left="360" w:right="260"/>
        <w:spacing w:after="0" w:line="308" w:lineRule="auto"/>
        <w:rPr>
          <w:sz w:val="20"/>
          <w:szCs w:val="20"/>
          <w:color w:val="auto"/>
        </w:rPr>
      </w:pPr>
      <w:r>
        <w:rPr>
          <w:rFonts w:ascii="Arial" w:cs="Arial" w:eastAsia="Arial" w:hAnsi="Arial"/>
          <w:sz w:val="17"/>
          <w:szCs w:val="17"/>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38"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amount of insurance required to be maintained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associated with claims. To the extent our insurers were unable to meet their obligations, or our own obligations for claims were more than we estimated, there could be a material adverse effect to our financial results.</w:t>
      </w:r>
    </w:p>
    <w:p>
      <w:pPr>
        <w:spacing w:after="0" w:line="62" w:lineRule="exact"/>
        <w:rPr>
          <w:sz w:val="20"/>
          <w:szCs w:val="20"/>
          <w:color w:val="auto"/>
        </w:rPr>
      </w:pPr>
    </w:p>
    <w:p>
      <w:pPr>
        <w:jc w:val="both"/>
        <w:ind w:right="220" w:firstLine="270"/>
        <w:spacing w:after="0" w:line="288" w:lineRule="auto"/>
        <w:rPr>
          <w:sz w:val="20"/>
          <w:szCs w:val="20"/>
          <w:color w:val="auto"/>
        </w:rPr>
      </w:pPr>
      <w:r>
        <w:rPr>
          <w:rFonts w:ascii="Arial" w:cs="Arial" w:eastAsia="Arial" w:hAnsi="Arial"/>
          <w:sz w:val="16"/>
          <w:szCs w:val="16"/>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financial assurance instruments necessary for our operations. We do not anticipate any unmanageable difficulty in obtaining financial assurance instruments in the future.</w:t>
      </w:r>
    </w:p>
    <w:p>
      <w:pPr>
        <w:ind w:right="60"/>
        <w:spacing w:after="0" w:line="254" w:lineRule="auto"/>
        <w:rPr>
          <w:sz w:val="20"/>
          <w:szCs w:val="20"/>
          <w:color w:val="auto"/>
        </w:rPr>
      </w:pPr>
      <w:r>
        <w:rPr>
          <w:rFonts w:ascii="Arial" w:cs="Arial" w:eastAsia="Arial" w:hAnsi="Arial"/>
          <w:sz w:val="18"/>
          <w:szCs w:val="18"/>
          <w:color w:val="auto"/>
        </w:rPr>
        <w:t>However, we are aware of recent increases in the cost of surety bonds and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90"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b w:val="1"/>
          <w:bCs w:val="1"/>
          <w:i w:val="1"/>
          <w:iCs w:val="1"/>
          <w:color w:val="auto"/>
        </w:rPr>
        <w:t>The possibility of disposal site developments, expansion projects or pending acquisitions not being completed or certain other events could result in a material charge against our earnings.</w:t>
      </w:r>
    </w:p>
    <w:p>
      <w:pPr>
        <w:spacing w:after="0" w:line="62"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In accordance with generally accepted accounting principles, we capitalize certain expenditures and advances relating to disposal site development, expansion projects, acquisitions, software development costs and other 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expenditures and advances that we estimate will be recoverable, through sale or otherwise.</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future periods, we may be required to incur charges against earnings in accordance with this policy, or due to other events that cause impairments.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magnitude, any such charges could have a material adverse effect on our results of operations.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17"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Our recycling operations process for sale certain recyclable materials, including fibers, aluminum and glass, all of which are subject to significant price fluctuations. The majority of the recyclables that we process for sale are paper fibers, including old corrugated cardboard (“OCC”), and old newsprint (“ONP”). We enter into commodity price derivatives in an effort to mitigate some of the variability in cash flows from the sales of recyclable materials at floating prices. In the past three years, the year-over-year changes in the quarterly average market prices for OCC ranged from a decrease of as much as 37% to an increase of as much as 36%. The same comparisons for ONP have ranged from a decrease of as much as 17% to an increase of as much as 34%. These fluctuations can affect future operating income and cash flows. Additionally, our recycling operations offer rebates to suppliers, based on the market prices of commodities we purchase. Therefore, even if we experience higher revenues based on increased market prices for commodities, the rebates we pay will also increase.</w:t>
      </w:r>
    </w:p>
    <w:p>
      <w:pPr>
        <w:spacing w:after="0" w:line="84" w:lineRule="exact"/>
        <w:rPr>
          <w:sz w:val="20"/>
          <w:szCs w:val="20"/>
          <w:color w:val="auto"/>
        </w:rPr>
      </w:pPr>
    </w:p>
    <w:p>
      <w:pPr>
        <w:ind w:right="60" w:firstLine="260"/>
        <w:spacing w:after="0" w:line="255" w:lineRule="auto"/>
        <w:rPr>
          <w:sz w:val="20"/>
          <w:szCs w:val="20"/>
          <w:color w:val="auto"/>
        </w:rPr>
      </w:pPr>
      <w:r>
        <w:rPr>
          <w:rFonts w:ascii="Arial" w:cs="Arial" w:eastAsia="Arial" w:hAnsi="Arial"/>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revenues from our independent power production plants can be affected by price fluctuations. In the past two years, the year-over-year changes in the average quarterly electricity prices have ranged from increases of as much as 12% to decreases of as much as 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development and acceptance of alternatives to landfill disposal and waste-to-energy facilities could reduce our ability to operate at full capacity.</w:t>
      </w:r>
    </w:p>
    <w:p>
      <w:pPr>
        <w:spacing w:after="0" w:line="152"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 Our recycling operations benefit from these mandates, but those operations generally generate much lower margins than our disposal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management’s attention and increase our operating expenses.</w:t>
      </w:r>
    </w:p>
    <w:p>
      <w:pPr>
        <w:spacing w:after="0" w:line="117" w:lineRule="exact"/>
        <w:rPr>
          <w:sz w:val="20"/>
          <w:szCs w:val="20"/>
          <w:color w:val="auto"/>
        </w:rPr>
      </w:pPr>
    </w:p>
    <w:p>
      <w:pPr>
        <w:ind w:right="200" w:firstLine="270"/>
        <w:spacing w:after="0" w:line="273" w:lineRule="auto"/>
        <w:rPr>
          <w:sz w:val="20"/>
          <w:szCs w:val="20"/>
          <w:color w:val="auto"/>
        </w:rPr>
      </w:pPr>
      <w:r>
        <w:rPr>
          <w:rFonts w:ascii="Arial" w:cs="Arial" w:eastAsia="Arial" w:hAnsi="Arial"/>
          <w:sz w:val="17"/>
          <w:szCs w:val="17"/>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 ensue. Depending on the type and duration of any labor disruptions, our operating expenses could increase significantly, which could adversely affect our financial condition, results of operations and cash flows.</w:t>
      </w:r>
    </w:p>
    <w:p>
      <w:pPr>
        <w:spacing w:after="0" w:line="178" w:lineRule="exact"/>
        <w:rPr>
          <w:sz w:val="20"/>
          <w:szCs w:val="20"/>
          <w:color w:val="auto"/>
        </w:rPr>
      </w:pPr>
    </w:p>
    <w:p>
      <w:pPr>
        <w:ind w:left="360" w:right="76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62"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are currently involved in civil litigation and governmental proceedings relating to the conduct of our business. The timing of the final resolutions to these matters is uncertain. Additionally, the possible outcomes or resolutions to these matters could include adverse judgments or settlements, either of which could require substantial payments, adversely affecting our liquidity.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are increasingly dependent on technology in our operations and if our technology fails, our business could be adversely affected.</w:t>
      </w:r>
    </w:p>
    <w:p>
      <w:pPr>
        <w:spacing w:after="0" w:line="129"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have purchased a new revenue management system and plan to begin piloting the system in the second half of 2006. We may encounter problems in the development or deployment of this system that could result in significant errors in, or disruption of, our billing processes. Additionally, any systems failures could impede our ability to timely collect and report financial results in accordance with applicable law and regulations.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experience adverse impacts on our results of operations as a result of adopting new accounting standards or interpretations.</w:t>
      </w:r>
    </w:p>
    <w:p>
      <w:pPr>
        <w:spacing w:after="0" w:line="129"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operating results or cause unanticipated fluctuations in our operating results in future periods.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17"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We currently expect to meet our anticipated cash needs for capital expenditures, acquisitions and other cash expenditures with our cash flows from operations and, to the extent necessary, additional financings. However, materially adverse events could reduce our cash flows from operations. Our Board of Directors approved a capital allocation program that provides for up to $1.2 billion in aggregate dividend payments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share repurchases each year during 2005, 2006 and 2007 and recently announced that it expects future quarterly dividend payments to be $0.22 per share. If our cash flows from operations were negatively affected, we could be forced to reduce capital expenditures, acquisition activity, share repurchase activity or dividend declarations. In these circumstances we instead may elect to incur more indebtedness. If we made such an election, there can be no assurances that we would be able to obtain additional financings on acceptable terms. In these circumstances, we would likely use our revolving credit facility to meet our cash needs.</w:t>
      </w:r>
    </w:p>
    <w:p>
      <w:pPr>
        <w:spacing w:after="0" w:line="80"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color w:val="auto"/>
        </w:rPr>
        <w:t>Our credit facility requires us to comply with certain financial covenants. In the event our interest expense is more than expected due to higher interest rates or our ratio of debt to earnings (as determined pursuant to the terms of the credit facility) is more than expected, we may not be in compliance with the covenants. This would result in a default under our credit facility. If we were unable to obtain waivers or amendments to the credit facility, the lenders could choose to declare all outstanding borrowings immediately due and payable, which we may not be able to pay in full. Additionally, any such default could cause a default under all of our other credit agreements and debt instruments. Any such default would have a material adverse effect on our ability to operate.</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Our principal executive offices are in Houston, Texas, where we lease approximately 390,000 square feet under leases expiring at various times through 2010. Our operating Group offices are in Philadelphia, Pennsylvania; Chicago, Illinois; Atlanta, Georgia; Scottsdale, Arizona; Hampton, New Hampshire; and Houston, Texas. We also have field-based administrative offices in Phoenix, Arizona; Chicago, Illinois and Ontario, Canada. We own or lease real property in most locations where we have operations. We have operations in each of the fifty states other than Montana and Wyoming. We also have operations in the District of Columbia, Puerto Rico and throughout Canada.</w:t>
      </w:r>
    </w:p>
    <w:p>
      <w:pPr>
        <w:spacing w:after="0" w:line="8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 xml:space="preserve">Our principal property and equipment consist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within this report.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55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Landfills:</w:t>
            </w:r>
          </w:p>
        </w:tc>
        <w:tc>
          <w:tcPr>
            <w:tcW w:w="50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Owned or operated through lease agreements</w:t>
            </w:r>
          </w:p>
        </w:tc>
        <w:tc>
          <w:tcPr>
            <w:tcW w:w="6140" w:type="dxa"/>
            <w:vAlign w:val="bottom"/>
            <w:gridSpan w:val="3"/>
          </w:tcPr>
          <w:p>
            <w:pPr>
              <w:jc w:val="right"/>
              <w:ind w:right="560"/>
              <w:spacing w:after="0"/>
              <w:rPr>
                <w:sz w:val="20"/>
                <w:szCs w:val="20"/>
                <w:color w:val="auto"/>
              </w:rPr>
            </w:pPr>
            <w:r>
              <w:rPr>
                <w:rFonts w:ascii="Arial" w:cs="Arial" w:eastAsia="Arial" w:hAnsi="Arial"/>
                <w:sz w:val="18"/>
                <w:szCs w:val="18"/>
                <w:color w:val="auto"/>
              </w:rPr>
              <w:t>245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Operated through contractual agreements</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 stations</w:t>
            </w:r>
          </w:p>
        </w:tc>
        <w:tc>
          <w:tcPr>
            <w:tcW w:w="6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Material recovery facilities</w:t>
            </w:r>
          </w:p>
        </w:tc>
        <w:tc>
          <w:tcPr>
            <w:tcW w:w="614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Secondary processing facilities</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Waste-to-energy facilities</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Independent power production plants</w:t>
            </w:r>
          </w:p>
        </w:tc>
        <w:tc>
          <w:tcPr>
            <w:tcW w:w="6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40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0" w:type="dxa"/>
            <w:vAlign w:val="bottom"/>
          </w:tcPr>
          <w:p>
            <w:pPr>
              <w:jc w:val="right"/>
              <w:ind w:right="3732"/>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provides certain information by Group regarding the 245 landfills owned or operated through lease agreements and a count,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 of contracted disposal sites as of December 31, 2005: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Landfills</w:t>
            </w:r>
          </w:p>
        </w:tc>
        <w:tc>
          <w:tcPr>
            <w:tcW w:w="540" w:type="dxa"/>
            <w:vAlign w:val="bottom"/>
            <w:gridSpan w:val="2"/>
            <w:vMerge w:val="restart"/>
          </w:tcPr>
          <w:p>
            <w:pPr>
              <w:spacing w:after="0"/>
              <w:rPr>
                <w:sz w:val="14"/>
                <w:szCs w:val="14"/>
                <w:color w:val="auto"/>
              </w:rPr>
            </w:pP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Permitted</w:t>
            </w:r>
          </w:p>
        </w:tc>
        <w:tc>
          <w:tcPr>
            <w:tcW w:w="2280" w:type="dxa"/>
            <w:vAlign w:val="bottom"/>
            <w:gridSpan w:val="2"/>
          </w:tcPr>
          <w:p>
            <w:pPr>
              <w:ind w:left="140"/>
              <w:spacing w:after="0"/>
              <w:rPr>
                <w:sz w:val="20"/>
                <w:szCs w:val="20"/>
                <w:color w:val="auto"/>
              </w:rPr>
            </w:pPr>
            <w:r>
              <w:rPr>
                <w:rFonts w:ascii="Arial" w:cs="Arial" w:eastAsia="Arial" w:hAnsi="Arial"/>
                <w:sz w:val="14"/>
                <w:szCs w:val="14"/>
                <w:b w:val="1"/>
                <w:bCs w:val="1"/>
                <w:color w:val="auto"/>
              </w:rPr>
              <w:t>Likely Expansion</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Acreage(a)</w:t>
            </w:r>
          </w:p>
        </w:tc>
        <w:tc>
          <w:tcPr>
            <w:tcW w:w="640" w:type="dxa"/>
            <w:vAlign w:val="bottom"/>
          </w:tcPr>
          <w:p>
            <w:pPr>
              <w:spacing w:after="0"/>
              <w:rPr>
                <w:sz w:val="15"/>
                <w:szCs w:val="15"/>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Acreage(b)</w:t>
            </w:r>
          </w:p>
        </w:tc>
        <w:tc>
          <w:tcPr>
            <w:tcW w:w="640" w:type="dxa"/>
            <w:vAlign w:val="bottom"/>
          </w:tcPr>
          <w:p>
            <w:pPr>
              <w:spacing w:after="0"/>
              <w:rPr>
                <w:sz w:val="15"/>
                <w:szCs w:val="15"/>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Acreage(c)</w:t>
            </w:r>
          </w:p>
        </w:tc>
        <w:tc>
          <w:tcPr>
            <w:tcW w:w="9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Disposal Sites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30,537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1,726</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31,281</w:t>
            </w:r>
          </w:p>
        </w:tc>
        <w:tc>
          <w:tcPr>
            <w:tcW w:w="1040" w:type="dxa"/>
            <w:vAlign w:val="bottom"/>
          </w:tcPr>
          <w:p>
            <w:pPr>
              <w:jc w:val="right"/>
              <w:spacing w:after="0"/>
              <w:rPr>
                <w:sz w:val="20"/>
                <w:szCs w:val="20"/>
                <w:color w:val="auto"/>
              </w:rPr>
            </w:pPr>
            <w:r>
              <w:rPr>
                <w:rFonts w:ascii="Arial" w:cs="Arial" w:eastAsia="Arial" w:hAnsi="Arial"/>
                <w:sz w:val="18"/>
                <w:szCs w:val="18"/>
                <w:color w:val="auto"/>
              </w:rPr>
              <w:t>9,237</w:t>
            </w:r>
          </w:p>
        </w:tc>
        <w:tc>
          <w:tcPr>
            <w:tcW w:w="640" w:type="dxa"/>
            <w:vAlign w:val="bottom"/>
          </w:tcPr>
          <w:p>
            <w:pPr>
              <w:spacing w:after="0"/>
              <w:rPr>
                <w:sz w:val="18"/>
                <w:szCs w:val="18"/>
                <w:color w:val="auto"/>
              </w:rPr>
            </w:pPr>
          </w:p>
        </w:tc>
        <w:tc>
          <w:tcPr>
            <w:tcW w:w="2280" w:type="dxa"/>
            <w:vAlign w:val="bottom"/>
            <w:gridSpan w:val="2"/>
          </w:tcPr>
          <w:p>
            <w:pPr>
              <w:jc w:val="right"/>
              <w:ind w:right="920"/>
              <w:spacing w:after="0"/>
              <w:rPr>
                <w:sz w:val="20"/>
                <w:szCs w:val="20"/>
                <w:color w:val="auto"/>
              </w:rPr>
            </w:pPr>
            <w:r>
              <w:rPr>
                <w:rFonts w:ascii="Arial" w:cs="Arial" w:eastAsia="Arial" w:hAnsi="Arial"/>
                <w:sz w:val="18"/>
                <w:szCs w:val="18"/>
                <w:color w:val="auto"/>
              </w:rPr>
              <w:t>1,045</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39,258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779</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34,552</w:t>
            </w:r>
          </w:p>
        </w:tc>
        <w:tc>
          <w:tcPr>
            <w:tcW w:w="1040" w:type="dxa"/>
            <w:vAlign w:val="bottom"/>
          </w:tcPr>
          <w:p>
            <w:pPr>
              <w:jc w:val="right"/>
              <w:spacing w:after="0"/>
              <w:rPr>
                <w:sz w:val="20"/>
                <w:szCs w:val="20"/>
                <w:color w:val="auto"/>
              </w:rPr>
            </w:pPr>
            <w:r>
              <w:rPr>
                <w:rFonts w:ascii="Arial" w:cs="Arial" w:eastAsia="Arial" w:hAnsi="Arial"/>
                <w:sz w:val="18"/>
                <w:szCs w:val="18"/>
                <w:color w:val="auto"/>
              </w:rPr>
              <w:t>6,709</w:t>
            </w:r>
          </w:p>
        </w:tc>
        <w:tc>
          <w:tcPr>
            <w:tcW w:w="640" w:type="dxa"/>
            <w:vAlign w:val="bottom"/>
          </w:tcPr>
          <w:p>
            <w:pPr>
              <w:spacing w:after="0"/>
              <w:rPr>
                <w:sz w:val="18"/>
                <w:szCs w:val="18"/>
                <w:color w:val="auto"/>
              </w:rPr>
            </w:pPr>
          </w:p>
        </w:tc>
        <w:tc>
          <w:tcPr>
            <w:tcW w:w="2280" w:type="dxa"/>
            <w:vAlign w:val="bottom"/>
            <w:gridSpan w:val="2"/>
          </w:tcPr>
          <w:p>
            <w:pPr>
              <w:jc w:val="right"/>
              <w:ind w:right="920"/>
              <w:spacing w:after="0"/>
              <w:rPr>
                <w:sz w:val="20"/>
                <w:szCs w:val="20"/>
                <w:color w:val="auto"/>
              </w:rPr>
            </w:pPr>
            <w:r>
              <w:rPr>
                <w:rFonts w:ascii="Arial" w:cs="Arial" w:eastAsia="Arial" w:hAnsi="Arial"/>
                <w:sz w:val="18"/>
                <w:szCs w:val="18"/>
                <w:color w:val="auto"/>
              </w:rPr>
              <w:t>1,230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w:t>
            </w: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136,223</w:t>
            </w:r>
          </w:p>
        </w:tc>
        <w:tc>
          <w:tcPr>
            <w:tcW w:w="6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34,664</w:t>
            </w:r>
          </w:p>
        </w:tc>
        <w:tc>
          <w:tcPr>
            <w:tcW w:w="6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9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right="280" w:hanging="232"/>
        <w:spacing w:after="0" w:line="253"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acreage” includes permitted acreage, likely expansion acreage, other acreage available for future disposal that has not been permitted, buffer land and other land owned by our landfill operations.</w:t>
      </w:r>
    </w:p>
    <w:p>
      <w:pPr>
        <w:spacing w:after="0" w:line="25" w:lineRule="exact"/>
        <w:rPr>
          <w:rFonts w:ascii="Arial" w:cs="Arial" w:eastAsia="Arial" w:hAnsi="Arial"/>
          <w:sz w:val="14"/>
          <w:szCs w:val="14"/>
          <w:color w:val="auto"/>
        </w:rPr>
      </w:pP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“Permitted acreage” consists of all acreage at the landfill encompassed by an active permit to dispose of waste.</w:t>
      </w:r>
    </w:p>
    <w:p>
      <w:pPr>
        <w:spacing w:after="0" w:line="55" w:lineRule="exact"/>
        <w:rPr>
          <w:rFonts w:ascii="Arial" w:cs="Arial" w:eastAsia="Arial" w:hAnsi="Arial"/>
          <w:sz w:val="14"/>
          <w:szCs w:val="14"/>
          <w:color w:val="auto"/>
        </w:rPr>
      </w:pPr>
    </w:p>
    <w:p>
      <w:pPr>
        <w:ind w:left="240" w:right="460" w:hanging="232"/>
        <w:spacing w:after="0" w:line="253"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“Likely expansion acreage” consists of unpermitted acreage where the related expansion efforts meet our criteria to be included as likely expansions. A discussion of the related criteria is included within the section Critical Accounting Estimates and Assumptions included herein.</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 of Note 10 in the Consolidated Financial Statements included in this report.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did not submit any matters to a vote of our stockholders during the fourth quarter of 2005.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“WMI.” The following table sets forth the range of the high and low per share sales prices for our common stock as reported on the NYSE: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4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4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30.66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4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2005</w:t>
            </w: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First Quarter</w:t>
            </w:r>
          </w:p>
        </w:tc>
        <w:tc>
          <w:tcPr>
            <w:tcW w:w="4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Third Quarter</w:t>
            </w:r>
          </w:p>
        </w:tc>
        <w:tc>
          <w:tcPr>
            <w:tcW w:w="4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31.03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First Quarter (through February 15, 2006)</w:t>
            </w:r>
          </w:p>
        </w:tc>
        <w:tc>
          <w:tcPr>
            <w:tcW w:w="4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33.93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30.08</w:t>
            </w:r>
          </w:p>
        </w:tc>
        <w:tc>
          <w:tcPr>
            <w:tcW w:w="3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00" w:type="dxa"/>
            <w:vAlign w:val="bottom"/>
          </w:tcPr>
          <w:p>
            <w:pPr>
              <w:jc w:val="right"/>
              <w:ind w:right="29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On February 15, 2006, the closing sale price as reported on the NYSE was $33.54 per share. The number of holders of record of our common stock at February 15, 2006 was 17,426.</w:t>
      </w:r>
    </w:p>
    <w:p>
      <w:pPr>
        <w:spacing w:after="0" w:line="62" w:lineRule="exact"/>
        <w:rPr>
          <w:sz w:val="20"/>
          <w:szCs w:val="20"/>
          <w:color w:val="auto"/>
        </w:rPr>
      </w:pPr>
    </w:p>
    <w:p>
      <w:pPr>
        <w:ind w:right="80" w:firstLine="270"/>
        <w:spacing w:after="0" w:line="273" w:lineRule="auto"/>
        <w:rPr>
          <w:sz w:val="20"/>
          <w:szCs w:val="20"/>
          <w:color w:val="auto"/>
        </w:rPr>
      </w:pPr>
      <w:r>
        <w:rPr>
          <w:rFonts w:ascii="Arial" w:cs="Arial" w:eastAsia="Arial" w:hAnsi="Arial"/>
          <w:sz w:val="17"/>
          <w:szCs w:val="17"/>
          <w:color w:val="auto"/>
        </w:rPr>
        <w:t>In October 2004, we announced that our Board of Directors approved a capital allocation program providing for the authorization of up to $1.2 billion of stock repurchases and dividend payments annually for each of 2005, 2006 and 2007. Under this program, we declared and paid quarterly cash dividends of $0.20 per share each quarter in 2005 for a total of $449 million. During the fourth quarter of 2005, we also declared our first quarterly dividend for 2006 of $0.22 per common share, which will result in a payment of $122 million based on shares outstanding as of December 31, 2005. This dividend will be paid on March 24, 2006 to shareholders of record on March 6, 2006. In 2004, we declared and paid $0.1875 per share each quarter for a total of $432 million and in 2003 we declared and paid an annual dividend of $0.01 per share for a total of $6 million.</w:t>
      </w:r>
    </w:p>
    <w:p>
      <w:pPr>
        <w:spacing w:after="0" w:line="70"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In 2005, we repurchased 24.7 million shares of our common stock for $706 million. All of the repurchases were made pursuant to the capital allocation program mentioned above. The following table summarizes our fourth quarter 2005 share repurchase activity: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Total Number of Shares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6"/>
              </w:rPr>
              <w:t>Approximate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Value of Shares that May Yet</w:t>
            </w: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be Purchased Under the Plans</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Paid per Share(a)</w:t>
            </w:r>
          </w:p>
        </w:tc>
        <w:tc>
          <w:tcPr>
            <w:tcW w:w="2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Plans or Programs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or Programs(b)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October 1-31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2,345,500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27.86</w:t>
            </w:r>
          </w:p>
        </w:tc>
        <w:tc>
          <w:tcPr>
            <w:tcW w:w="2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2,345,500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November 1-30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1,721,000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30.29</w:t>
            </w: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1,721,000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660"/>
              <w:spacing w:after="0"/>
              <w:rPr>
                <w:sz w:val="20"/>
                <w:szCs w:val="20"/>
                <w:color w:val="auto"/>
              </w:rPr>
            </w:pPr>
            <w:r>
              <w:rPr>
                <w:rFonts w:ascii="Arial" w:cs="Arial" w:eastAsia="Arial" w:hAnsi="Arial"/>
                <w:sz w:val="18"/>
                <w:szCs w:val="18"/>
                <w:color w:val="auto"/>
              </w:rPr>
              <w:t>50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December 1-31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30.38</w:t>
            </w:r>
          </w:p>
        </w:tc>
        <w:tc>
          <w:tcPr>
            <w:tcW w:w="2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175,000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 million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4,241,500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28.95</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4,241,500</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amount represents the weighted average price paid per common share and includes a per share commission paid for all repurchases.</w:t>
      </w:r>
    </w:p>
    <w:p>
      <w:pPr>
        <w:spacing w:after="0" w:line="55" w:lineRule="exact"/>
        <w:rPr>
          <w:rFonts w:ascii="Arial" w:cs="Arial" w:eastAsia="Arial" w:hAnsi="Arial"/>
          <w:sz w:val="14"/>
          <w:szCs w:val="14"/>
          <w:color w:val="auto"/>
        </w:rPr>
      </w:pPr>
    </w:p>
    <w:p>
      <w:pPr>
        <w:ind w:left="360" w:right="20" w:hanging="352"/>
        <w:spacing w:after="0" w:line="249"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This disclosure is required by the SEC. For each period presented, the maximum dollar value of shares that may yet be purchased under the program has been provided as of the end of such period. As discussed above, the amount of capital available for share repurchases during 2005 was $1.2 billion, net of dividends paid. During the nine months ended September 30, 2005, we declared and paid $339 million in dividends and repurchased $583 million of our common stock. In determining the maximum dollar value of shares that may yet be purchased, we have reduced the $1.2 billion capital allocation by these amounts as well as the $110 million of dividends that we declared and paid during the fourth quarter of 2005. The “Total” amount available for repurchases under the plan is shown as zero because our capital allocation program, by its terms, provides for $1.2 billion in dividends and share repurchases in each year, which makes any unexpended portion of the $1.2 billion allocated for dividends and share repurchases in 2005 unavailable after the end of the year.</w:t>
      </w:r>
    </w:p>
    <w:p>
      <w:pPr>
        <w:spacing w:after="0" w:line="73"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 2004, we repurchased 16.5 million shares of our common stock for $472 million, all of which was made pursuant to a capital allocation program approved by our Board of Directors. In 2003, we repurchased 22.1 million shares of our common stock for $577 million pursuant to a Board approved plan.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right="120" w:firstLine="267"/>
        <w:spacing w:after="0" w:line="279" w:lineRule="auto"/>
        <w:rPr>
          <w:sz w:val="20"/>
          <w:szCs w:val="20"/>
          <w:color w:val="auto"/>
        </w:rPr>
      </w:pPr>
      <w:r>
        <w:rPr>
          <w:rFonts w:ascii="Arial" w:cs="Arial" w:eastAsia="Arial" w:hAnsi="Arial"/>
          <w:sz w:val="17"/>
          <w:szCs w:val="17"/>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w w:val="95"/>
              </w:rPr>
              <w:t>2005(a)</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2004(a)</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w w:val="99"/>
              </w:rPr>
              <w:t>2003(a)</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w w:val="93"/>
              </w:rPr>
              <w:t>2001(b)</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gridSpan w:val="10"/>
          </w:tcPr>
          <w:p>
            <w:pPr>
              <w:jc w:val="right"/>
              <w:ind w:right="60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Operating revenues(c)</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13,074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12,516</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11,648</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11,211</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11,322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ind w:left="260"/>
              <w:spacing w:after="0"/>
              <w:rPr>
                <w:sz w:val="20"/>
                <w:szCs w:val="20"/>
                <w:color w:val="auto"/>
              </w:rPr>
            </w:pPr>
            <w:r>
              <w:rPr>
                <w:rFonts w:ascii="Arial" w:cs="Arial" w:eastAsia="Arial" w:hAnsi="Arial"/>
                <w:sz w:val="16"/>
                <w:szCs w:val="16"/>
                <w:color w:val="auto"/>
                <w:w w:val="99"/>
              </w:rPr>
              <w:t>Operating (exclusive of depreciation and amortization shown below)(c)</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8,631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8,228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7,591</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6,949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6,666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1,361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1,265</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Restructuring</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ind w:left="260"/>
              <w:spacing w:after="0"/>
              <w:rPr>
                <w:sz w:val="20"/>
                <w:szCs w:val="20"/>
                <w:color w:val="auto"/>
              </w:rPr>
            </w:pPr>
            <w:r>
              <w:rPr>
                <w:rFonts w:ascii="Arial" w:cs="Arial" w:eastAsia="Arial" w:hAnsi="Arial"/>
                <w:sz w:val="16"/>
                <w:szCs w:val="16"/>
                <w:color w:val="auto"/>
              </w:rPr>
              <w:t>Asset impairments and unusual items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11,364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10,817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10,039</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1,699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1,540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6"/>
                <w:szCs w:val="16"/>
                <w:color w:val="auto"/>
              </w:rPr>
              <w:t>Income before income taxes and accounting changes</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1,178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1,123</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1,242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6"/>
                <w:szCs w:val="16"/>
                <w:color w:val="auto"/>
              </w:rPr>
              <w:t>Income before accounting changes</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1,182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Accounting changes, net of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1,182</w:t>
            </w: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939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630</w:t>
            </w:r>
          </w:p>
        </w:tc>
        <w:tc>
          <w:tcPr>
            <w:tcW w:w="4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822</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ind w:left="260"/>
              <w:spacing w:after="0"/>
              <w:rPr>
                <w:sz w:val="20"/>
                <w:szCs w:val="20"/>
                <w:color w:val="auto"/>
              </w:rPr>
            </w:pPr>
            <w:r>
              <w:rPr>
                <w:rFonts w:ascii="Arial" w:cs="Arial" w:eastAsia="Arial" w:hAnsi="Arial"/>
                <w:sz w:val="16"/>
                <w:szCs w:val="16"/>
                <w:color w:val="auto"/>
              </w:rPr>
              <w:t>Income before accounting changes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6"/>
                <w:szCs w:val="16"/>
                <w:color w:val="auto"/>
              </w:rPr>
              <w:t>2.11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1.62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1.22</w:t>
            </w:r>
          </w:p>
        </w:tc>
        <w:tc>
          <w:tcPr>
            <w:tcW w:w="4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Accounting changes, net of taxes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ind w:left="26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6"/>
                <w:szCs w:val="16"/>
                <w:color w:val="auto"/>
              </w:rPr>
              <w:t>2.11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1.63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4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ind w:left="260"/>
              <w:spacing w:after="0"/>
              <w:rPr>
                <w:sz w:val="20"/>
                <w:szCs w:val="20"/>
                <w:color w:val="auto"/>
              </w:rPr>
            </w:pPr>
            <w:r>
              <w:rPr>
                <w:rFonts w:ascii="Arial" w:cs="Arial" w:eastAsia="Arial" w:hAnsi="Arial"/>
                <w:sz w:val="16"/>
                <w:szCs w:val="16"/>
                <w:color w:val="auto"/>
              </w:rPr>
              <w:t>Income before accounting changes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2.09</w:t>
            </w: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1.60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4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Accounting changes, net of taxes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ind w:left="26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2.09</w:t>
            </w: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1.61</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Cash dividends declared per common share (2005 includes $0.22 payable in</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2006)</w:t>
            </w:r>
          </w:p>
        </w:tc>
        <w:tc>
          <w:tcPr>
            <w:tcW w:w="3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Balance Sheet Data (at end of period):</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2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Working capital (deficit)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(1,015)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Goodwill and other intangible assets, net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5,514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5,453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5,376</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5,184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5,121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20,905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20,382</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19,515</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Debt, including current portion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8,687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8,566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8,511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8,293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8,224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right="100" w:hanging="452"/>
        <w:spacing w:after="0" w:line="238"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more information regarding this financial data, see the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 and subnote c below.</w:t>
      </w:r>
    </w:p>
    <w:p>
      <w:pPr>
        <w:spacing w:after="0" w:line="34" w:lineRule="exact"/>
        <w:rPr>
          <w:rFonts w:ascii="Arial" w:cs="Arial" w:eastAsia="Arial" w:hAnsi="Arial"/>
          <w:sz w:val="14"/>
          <w:szCs w:val="14"/>
          <w:color w:val="auto"/>
        </w:rPr>
      </w:pPr>
    </w:p>
    <w:p>
      <w:pPr>
        <w:jc w:val="both"/>
        <w:ind w:left="460" w:right="80" w:hanging="452"/>
        <w:spacing w:after="0" w:line="238"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2001, we recorded $380 million as asset impairments and unusual items, which was mainly comprised of a net charge of $374 million, for the settlement reached in connection with the stockholder class action lawsuit filed against us in July 1999 alleging violations of the federal securities laws. In the third quarter of 2003, we made the final net cash settlement payment of $377 million, which is the amount provided by the settlement agreement plus accrued interest less recoveries.</w:t>
      </w:r>
    </w:p>
    <w:p>
      <w:pPr>
        <w:spacing w:after="0" w:line="34" w:lineRule="exact"/>
        <w:rPr>
          <w:rFonts w:ascii="Arial" w:cs="Arial" w:eastAsia="Arial" w:hAnsi="Arial"/>
          <w:sz w:val="14"/>
          <w:szCs w:val="14"/>
          <w:color w:val="auto"/>
        </w:rPr>
      </w:pPr>
    </w:p>
    <w:p>
      <w:pPr>
        <w:ind w:left="460" w:hanging="452"/>
        <w:spacing w:after="0" w:line="234"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In 2004, we conformed the 2003 and 2002 presentation of our revenues and expenses with this presentation by increasing both our revenue and our operating expense by $74 million for the year ended December 31, 2003 and by $69 million for the year ended December 31, 2002. We did not make conforming adjustments for 2001.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 xml:space="preserve">This section includes a discussion of our operations for the three years ended December 31, 2005.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in light of that disclosure and together with the Consolidated Financial Statements and the notes to the Consolidated Financial Statements.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267"/>
        <w:spacing w:after="0" w:line="276" w:lineRule="auto"/>
        <w:rPr>
          <w:sz w:val="20"/>
          <w:szCs w:val="20"/>
          <w:color w:val="auto"/>
        </w:rPr>
      </w:pPr>
      <w:r>
        <w:rPr>
          <w:rFonts w:ascii="Arial" w:cs="Arial" w:eastAsia="Arial" w:hAnsi="Arial"/>
          <w:sz w:val="17"/>
          <w:szCs w:val="17"/>
          <w:color w:val="auto"/>
        </w:rPr>
        <w:t>Waste Management is the leading provider of comprehensive waste services in North America. Throughout 2005, we continued to build a leading and trusted brand that stands for quality, reliable service, safety and environmental protection. By continuing to cultivate this reputation and focusing on quality customer service, we accomplished our main financial objectives for 2005 of strong earnings growth, margin expansion and improved cash flow. We believe that our pricing initiatives, which allowed us to grow our revenues by increasing our prices while maintaining solid volumes, were largely responsible for our improved financial performance. Significant financial achievements during the year ended December 31, 2005 include:</w:t>
      </w:r>
    </w:p>
    <w:p>
      <w:pPr>
        <w:spacing w:after="0" w:line="64" w:lineRule="exact"/>
        <w:rPr>
          <w:sz w:val="20"/>
          <w:szCs w:val="20"/>
          <w:color w:val="auto"/>
        </w:rPr>
      </w:pPr>
    </w:p>
    <w:p>
      <w:pPr>
        <w:ind w:left="460" w:right="16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increased to $2.4 billion and free cash flow increased to $1.4 billion, increases of 8% and 33%, respectively, when compared with 2004;</w:t>
      </w:r>
    </w:p>
    <w:p>
      <w:pPr>
        <w:spacing w:after="0" w:line="75" w:lineRule="exact"/>
        <w:rPr>
          <w:rFonts w:ascii="Arial" w:cs="Arial" w:eastAsia="Arial" w:hAnsi="Arial"/>
          <w:sz w:val="18"/>
          <w:szCs w:val="18"/>
          <w:color w:val="auto"/>
        </w:rPr>
      </w:pPr>
    </w:p>
    <w:p>
      <w:pPr>
        <w:ind w:left="460" w:right="52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revenue growth of 4.7% for the fourth quarter of 2005 and 3.7% for the full year, driven by increases in base business yield, which is the highest it has been in five years;</w:t>
      </w:r>
    </w:p>
    <w:p>
      <w:pPr>
        <w:spacing w:after="0" w:line="75" w:lineRule="exact"/>
        <w:rPr>
          <w:rFonts w:ascii="Arial" w:cs="Arial" w:eastAsia="Arial" w:hAnsi="Arial"/>
          <w:sz w:val="18"/>
          <w:szCs w:val="18"/>
          <w:color w:val="auto"/>
        </w:rPr>
      </w:pPr>
    </w:p>
    <w:p>
      <w:pPr>
        <w:ind w:left="460" w:right="62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Improvements in our costs as a percentage of revenues, particularly in the second half of the year, despite margin pressure created by continued increases in the cost of fuel;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$706 million in stock repurchases and $449 million of dividends paid pursuant to our capital allocation plan.</w:t>
      </w:r>
    </w:p>
    <w:p>
      <w:pPr>
        <w:spacing w:after="0" w:line="117"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Cash Flow </w:t>
      </w:r>
      <w:r>
        <w:rPr>
          <w:rFonts w:ascii="Arial" w:cs="Arial" w:eastAsia="Arial" w:hAnsi="Arial"/>
          <w:sz w:val="18"/>
          <w:szCs w:val="18"/>
          <w:color w:val="auto"/>
        </w:rPr>
        <w:t>— Free cash flow is a non-GAAP measure of financial performance that we include in our disclosures because we believe the production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free cash flow is an important measure of our liquidity and performance and because we believe our investors are interested in the cash we produce from non-financing activities that is available for our acquisition program, share repurchase program, scheduled debt reduction and the payment of dividends. The most comparable GAAP financial measure to free cash flow is net cash provided by operating activities. We calculate free cash flow as shown in the table below (in millions):</w:t>
      </w:r>
    </w:p>
    <w:p>
      <w:pPr>
        <w:spacing w:after="0" w:line="8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Years Ended</w:t>
      </w:r>
    </w:p>
    <w:p>
      <w:pPr>
        <w:ind w:left="94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(1,258)</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growth in our 2005 operating and free cash flow reflects the current year improvements in our operating results, particularly those contributed by our increase in revenue from price, which is discussed below.</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Internal Revenue Growth </w:t>
      </w:r>
      <w:r>
        <w:rPr>
          <w:rFonts w:ascii="Arial" w:cs="Arial" w:eastAsia="Arial" w:hAnsi="Arial"/>
          <w:sz w:val="18"/>
          <w:szCs w:val="18"/>
          <w:color w:val="auto"/>
        </w:rPr>
        <w:t>— Internal revenue growth, or IRG, is the change in our revenues from: base business yield; commodities; electricity; fuel</w:t>
      </w:r>
      <w:r>
        <w:rPr>
          <w:rFonts w:ascii="Arial" w:cs="Arial" w:eastAsia="Arial" w:hAnsi="Arial"/>
          <w:sz w:val="18"/>
          <w:szCs w:val="18"/>
          <w:i w:val="1"/>
          <w:iCs w:val="1"/>
          <w:color w:val="auto"/>
        </w:rPr>
        <w:t xml:space="preserve"> </w:t>
      </w:r>
      <w:r>
        <w:rPr>
          <w:rFonts w:ascii="Arial" w:cs="Arial" w:eastAsia="Arial" w:hAnsi="Arial"/>
          <w:sz w:val="18"/>
          <w:szCs w:val="18"/>
          <w:color w:val="auto"/>
        </w:rPr>
        <w:t>surcharges and fees; and volumes. IRG is an important indicator of our performance as it is a measure of our ability to increase revenues from our existing operations. Our IRG for the year was 3.7% and consisted primarily of improvement in base business yield and an increase in revenues related to our fuel surcharge program. Revenue growth from yield on base business is the combined effects on our revenues from the pricing activities of our collection, transfer, disposal and waste-to-energy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operations, exclusive of volume changes. Our revenue growth from base business yield includes not only price increases, but also includes (i) price decreases to retain customers; (ii) changes in average price from new and lost business; and (iii) certain average price changes related to the overall mix of services, which are due to both the types of services provided and the geographic locations where our services are provided. Our revenue growth from base business yield for 2005 was 2.7%, which is an increase of 2 percentage points from the prior year. In addition, our fuel surcharge program contributed $157 million, or 1.3%, to revenue growth in 2005 compared with $53 million, or 0.5% in 2004. The revenues generated by the program in 2005 substantially recovered the increase in our operating costs attributable to fuel.</w:t>
      </w:r>
    </w:p>
    <w:p>
      <w:pPr>
        <w:spacing w:after="0" w:line="85"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Margin Improvement </w:t>
      </w:r>
      <w:r>
        <w:rPr>
          <w:rFonts w:ascii="Arial" w:cs="Arial" w:eastAsia="Arial" w:hAnsi="Arial"/>
          <w:sz w:val="17"/>
          <w:szCs w:val="17"/>
          <w:color w:val="auto"/>
        </w:rPr>
        <w:t>— We use our net income as a percentage of revenues and income from operations as a percentage of revenues to gauge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for employee incentive awards and to determine the overall efficiency and effectiveness of our operations and strategies. Our income before cumulative effect of changes in accounting principles as a percentage of revenues increased in 2005 to 9.0% from 7.4% in 2004. This increase is largely due to a tax benefit resulting from tax audit settlements. Our income from operations as a percentage of revenues decreased to 13.1% in 2005 from 13.6% in 2004 on an increase of $558 million in revenue. The decrease was caused primarily by $110 million of additional expenses in 2005 when compared with 2004 related to asset impairments and unusual items and restructuring. Excluding asset impairments and unusual items and restructuring charges for both periods, our income from operations as a percentage of revenues improved by 0.3 percentage points.</w:t>
      </w:r>
    </w:p>
    <w:p>
      <w:pPr>
        <w:spacing w:after="0" w:line="70" w:lineRule="exact"/>
        <w:rPr>
          <w:sz w:val="20"/>
          <w:szCs w:val="20"/>
          <w:color w:val="auto"/>
        </w:rPr>
      </w:pPr>
    </w:p>
    <w:p>
      <w:pPr>
        <w:ind w:right="220" w:firstLine="267"/>
        <w:spacing w:after="0" w:line="288" w:lineRule="auto"/>
        <w:rPr>
          <w:sz w:val="20"/>
          <w:szCs w:val="20"/>
          <w:color w:val="auto"/>
        </w:rPr>
      </w:pPr>
      <w:r>
        <w:rPr>
          <w:rFonts w:ascii="Arial" w:cs="Arial" w:eastAsia="Arial" w:hAnsi="Arial"/>
          <w:sz w:val="16"/>
          <w:szCs w:val="16"/>
          <w:color w:val="auto"/>
        </w:rPr>
        <w:t>This improvement in our income from operations as a percentage of revenues is primarily a result of our increased revenue on essentially flat volumes. We experienced a $403 million increase in our operating expenses from the prior year, but as a percentage of revenue, the measure increased by only 0.3 percentage points, to 66%, as compared with 2004. During the second half of 2005, our operating expenses as a percentage of revenue improved by</w:t>
      </w:r>
    </w:p>
    <w:p>
      <w:pPr>
        <w:ind w:right="160"/>
        <w:spacing w:after="0" w:line="288" w:lineRule="auto"/>
        <w:rPr>
          <w:sz w:val="20"/>
          <w:szCs w:val="20"/>
          <w:color w:val="auto"/>
        </w:rPr>
      </w:pPr>
      <w:r>
        <w:rPr>
          <w:rFonts w:ascii="Arial" w:cs="Arial" w:eastAsia="Arial" w:hAnsi="Arial"/>
          <w:sz w:val="16"/>
          <w:szCs w:val="16"/>
          <w:color w:val="auto"/>
        </w:rPr>
        <w:t>0.4 percentage points when compared with the comparable prior year period. With the increased prices of fuel and other higher variable operating costs, we believe that these are positive results brought about primarily by our focus on implementing programs to recover our own higher costs. Our selling, general and administrative expenses in 2005 increased by $9 million, but as a percentage of revenue actually decreased by 0.3 percentage points to 9.8%. We achieved our goal of reducing selling, general and administrative costs as a percentage of revenue to below 10% as a result of both our revenue growth and our restructuring to streamline our business. As a result of higher revenues on relatively flat volumes, our depreciation and amortization expense as a percentage of revenue decreased by 0.3 percentage points as compared with the prior period. Although there remains work to be done, we believe our 2005 operating margins demonstrate our pricing progress as well as our continued efforts to improve the efficiency of our operations.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Outlook for 2006</w:t>
      </w:r>
    </w:p>
    <w:p>
      <w:pPr>
        <w:spacing w:after="0" w:line="117" w:lineRule="exact"/>
        <w:rPr>
          <w:sz w:val="20"/>
          <w:szCs w:val="20"/>
          <w:color w:val="auto"/>
        </w:rPr>
      </w:pPr>
    </w:p>
    <w:p>
      <w:pPr>
        <w:ind w:firstLine="260"/>
        <w:spacing w:after="0" w:line="255" w:lineRule="auto"/>
        <w:rPr>
          <w:sz w:val="20"/>
          <w:szCs w:val="20"/>
          <w:color w:val="auto"/>
        </w:rPr>
      </w:pPr>
      <w:r>
        <w:rPr>
          <w:rFonts w:ascii="Arial" w:cs="Arial" w:eastAsia="Arial" w:hAnsi="Arial"/>
          <w:sz w:val="18"/>
          <w:szCs w:val="18"/>
          <w:color w:val="auto"/>
        </w:rPr>
        <w:t>As part of our continuing efforts to improve our operations, we have developed a program to divest under-performing and non-strategic operations. In the third quarter of 2005, we identified operations with annual gross revenues of over $400 million for potential divestiture under this program. We recently announced that we have identified additional assets, representing over $500 million in annual gross revenues, that may also be sold as part of the divestiture program. While it is too early to assess the financial impact of the divestitures, and whether there may be any material asset impairments as a result of the program, we remain confident that our “fix or seek an exit strategy” approach to any under-performing operations will benefit our financial results in the long term. Additionally, we are continuing our focus on acquisitions and other investments. We intend to make investments in those locations and lines of businesses that offer superior margins and return on capital.</w:t>
      </w:r>
    </w:p>
    <w:p>
      <w:pPr>
        <w:spacing w:after="0" w:line="81"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Our Company is proud of the accomplishments made in 2005. We are focused on building on the momentum that we experienced this year to continue to expand our operating margins, increase our return on invested capital and generate strong cash flows.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117"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As discussed in Note 2 to the Consolidated Financial Statements, the following reclassifications have been made in the accompanying financial statements to conform prior year financial information with the current period presentation.</w:t>
      </w:r>
    </w:p>
    <w:p>
      <w:pPr>
        <w:spacing w:after="0" w:line="62" w:lineRule="exact"/>
        <w:rPr>
          <w:sz w:val="20"/>
          <w:szCs w:val="20"/>
          <w:color w:val="auto"/>
        </w:rPr>
      </w:pPr>
    </w:p>
    <w:p>
      <w:pPr>
        <w:ind w:right="120" w:firstLine="270"/>
        <w:spacing w:after="0" w:line="285" w:lineRule="auto"/>
        <w:rPr>
          <w:sz w:val="20"/>
          <w:szCs w:val="20"/>
          <w:color w:val="auto"/>
        </w:rPr>
      </w:pPr>
      <w:r>
        <w:rPr>
          <w:rFonts w:ascii="Arial" w:cs="Arial" w:eastAsia="Arial" w:hAnsi="Arial"/>
          <w:sz w:val="16"/>
          <w:szCs w:val="16"/>
          <w:i w:val="1"/>
          <w:iCs w:val="1"/>
          <w:color w:val="auto"/>
        </w:rPr>
        <w:t xml:space="preserve">Cash balances </w:t>
      </w:r>
      <w:r>
        <w:rPr>
          <w:rFonts w:ascii="Arial" w:cs="Arial" w:eastAsia="Arial" w:hAnsi="Arial"/>
          <w:sz w:val="16"/>
          <w:szCs w:val="16"/>
          <w:color w:val="auto"/>
        </w:rPr>
        <w:t>— During 2004, we began making investments in auction rate securities and variable rate demand notes, which are debt instruments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scheduled maturities and periodic interest rate reset dates. Through December 31, 2004, we included these investments in “Cash and cash equivalents.” As a result of guidance issued in early 2005 associated with these types of securities, we determined that these investments were more appropriately classified as short-term investments, which are a component of current “Other assets” in our Consolidated Balance Sheets. Accordingly, in our accompanying Consolidated Financial Statements we have decreased our “Cash and cash equivalents” and increased our current “Other assets”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$19 million at December 31, 2004.</w:t>
      </w:r>
    </w:p>
    <w:p>
      <w:pPr>
        <w:spacing w:after="0" w:line="10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Gross purchases and sales of these investments are presented within “Cash flows from investing activities” in our Statements of Cash Flows. Additionally, in our 2004 and 2003 Consolidated Statements of Cash Flows, relatively insignificant purchases and sales of other short-term investments were included on a net basis within “Cash flows from investing activities — Other.” This additional activity is now reflected within purchases and sales of short-term investments in the accompanying Consolidated Statements of Cash Flows.</w:t>
      </w:r>
    </w:p>
    <w:p>
      <w:pPr>
        <w:spacing w:after="0" w:line="79"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 As discussed in Notes 2 and 20 to our Consolidated Financial Statements, in the third quarter of 2005, we eliminated our Canadian Group</w:t>
      </w:r>
      <w:r>
        <w:rPr>
          <w:rFonts w:ascii="Arial" w:cs="Arial" w:eastAsia="Arial" w:hAnsi="Arial"/>
          <w:sz w:val="17"/>
          <w:szCs w:val="17"/>
          <w:i w:val="1"/>
          <w:iCs w:val="1"/>
          <w:color w:val="auto"/>
        </w:rPr>
        <w:t xml:space="preserve"> </w:t>
      </w:r>
      <w:r>
        <w:rPr>
          <w:rFonts w:ascii="Arial" w:cs="Arial" w:eastAsia="Arial" w:hAnsi="Arial"/>
          <w:sz w:val="17"/>
          <w:szCs w:val="17"/>
          <w:color w:val="auto"/>
        </w:rPr>
        <w:t>office, and the management of our Canadian operations was allocated among our Eastern, Midwest and Western Groups. We have allocated the operating results of our Canadian operations to the Eastern, Midwest and Western Groups for 2003, 2004 and the first half of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71"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Certain other reclassifications have also been made in the accompanying financial statements to conform prior year information with the current period presentation. The supplementary financial information included in this section has been updated to reflect these changes.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80" w:firstLine="270"/>
        <w:spacing w:after="0" w:line="273" w:lineRule="auto"/>
        <w:rPr>
          <w:sz w:val="20"/>
          <w:szCs w:val="20"/>
          <w:color w:val="auto"/>
        </w:rPr>
      </w:pPr>
      <w:r>
        <w:rPr>
          <w:rFonts w:ascii="Arial" w:cs="Arial" w:eastAsia="Arial" w:hAnsi="Arial"/>
          <w:sz w:val="17"/>
          <w:szCs w:val="17"/>
          <w:color w:val="auto"/>
        </w:rPr>
        <w:t>In preparing our financial statements, we make several estimates and assumptions that affect our assets, liabilities, stockholders’ equity, revenues and expenses. We must make these estimates and assumptions because certain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asset impairments and self-insurance reserves and recoveries, as described below.</w:t>
      </w:r>
    </w:p>
    <w:p>
      <w:pPr>
        <w:spacing w:after="0" w:line="70"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cost estimates for final capping, closure and post-closure activities at landfills for which we have responsibility are estimated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interpretations of current requirements and proposed or anticipated regulatory changes. We also estimate additional costs, pursuant to the requirements of Statement of Financial Accounting Standards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No. 143”), based on the amount a third party would charge us to perform such activities even when we expect to perform these activities internally. We estimate the airspace to be consumed related to each final capping event and the timing of each final capping event and of closure and post-closure activities. Because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ind w:left="360" w:right="40" w:firstLine="270"/>
        <w:spacing w:after="0" w:line="255" w:lineRule="auto"/>
        <w:rPr>
          <w:sz w:val="20"/>
          <w:szCs w:val="20"/>
          <w:color w:val="auto"/>
        </w:rPr>
      </w:pPr>
      <w:r>
        <w:rPr>
          <w:rFonts w:ascii="Arial" w:cs="Arial" w:eastAsia="Arial" w:hAnsi="Arial"/>
          <w:sz w:val="18"/>
          <w:szCs w:val="18"/>
          <w:color w:val="auto"/>
        </w:rPr>
        <w:t>Landfill Costs — We estimate the total cost to develop each of our landfill sites to its final capacity.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and on-site road construction and other capital infrastructure costs. Additionally, landfill development includes all land purchases for landfill footprint and required landfill buffer property. The projection of these landfill costs is dependent, in part, on future events. The remaining amortizable basis related to costs to develop a site to its final capacity includes amounts previously expended and capitalized, net of accumulated airspace amortization, and projections of future purchase and development costs.</w:t>
      </w:r>
    </w:p>
    <w:p>
      <w:pPr>
        <w:spacing w:after="0" w:line="41" w:lineRule="exact"/>
        <w:rPr>
          <w:sz w:val="20"/>
          <w:szCs w:val="20"/>
          <w:color w:val="auto"/>
        </w:rPr>
      </w:pPr>
    </w:p>
    <w:p>
      <w:pPr>
        <w:ind w:left="360" w:firstLine="270"/>
        <w:spacing w:after="0" w:line="291" w:lineRule="auto"/>
        <w:rPr>
          <w:sz w:val="20"/>
          <w:szCs w:val="20"/>
          <w:color w:val="auto"/>
        </w:rPr>
      </w:pPr>
      <w:r>
        <w:rPr>
          <w:rFonts w:ascii="Arial" w:cs="Arial" w:eastAsia="Arial" w:hAnsi="Arial"/>
          <w:sz w:val="16"/>
          <w:szCs w:val="16"/>
          <w:color w:val="auto"/>
        </w:rPr>
        <w:t>Final Capping Costs — We estimate the cost for each final capping event based on the area to be finally capped and the capping materials and activities required. The estimates also consider when these costs would actually be paid and factor in inflation and discount rates. Our engineering personnel allocate final landfill capping costs to specific capping events. They then quantify the landfill capacity associated with each final capping event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where the associated capacity is fully consumed immediately impact the required liability and the corresponding asset. However, as the change in estimate relates to a fully consumed asset, the adjustment to the asset must be amortized immediately through expense.</w:t>
      </w:r>
    </w:p>
    <w:p>
      <w:pPr>
        <w:spacing w:after="0" w:line="19" w:lineRule="exact"/>
        <w:rPr>
          <w:sz w:val="20"/>
          <w:szCs w:val="20"/>
          <w:color w:val="auto"/>
        </w:rPr>
      </w:pPr>
    </w:p>
    <w:p>
      <w:pPr>
        <w:ind w:left="360" w:right="180" w:firstLine="270"/>
        <w:spacing w:after="0" w:line="259" w:lineRule="auto"/>
        <w:rPr>
          <w:sz w:val="20"/>
          <w:szCs w:val="20"/>
          <w:color w:val="auto"/>
        </w:rPr>
      </w:pPr>
      <w:r>
        <w:rPr>
          <w:rFonts w:ascii="Arial" w:cs="Arial" w:eastAsia="Arial" w:hAnsi="Arial"/>
          <w:sz w:val="18"/>
          <w:szCs w:val="18"/>
          <w:color w:val="auto"/>
        </w:rPr>
        <w:t>Closure and Post-Closure Costs — We base our estimates for closure and post-closure costs on our interpretations of permit and regulatory requirements for closure and post-closure 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w:t>
      </w:r>
    </w:p>
    <w:p>
      <w:pPr>
        <w:spacing w:after="0" w:line="38" w:lineRule="exact"/>
        <w:rPr>
          <w:sz w:val="20"/>
          <w:szCs w:val="20"/>
          <w:color w:val="auto"/>
        </w:rPr>
      </w:pPr>
    </w:p>
    <w:p>
      <w:pPr>
        <w:ind w:left="360" w:right="40" w:firstLine="270"/>
        <w:spacing w:after="0" w:line="259" w:lineRule="auto"/>
        <w:rPr>
          <w:sz w:val="20"/>
          <w:szCs w:val="20"/>
          <w:color w:val="auto"/>
        </w:rPr>
      </w:pPr>
      <w:r>
        <w:rPr>
          <w:rFonts w:ascii="Arial" w:cs="Arial" w:eastAsia="Arial" w:hAnsi="Arial"/>
          <w:sz w:val="18"/>
          <w:szCs w:val="18"/>
          <w:color w:val="auto"/>
        </w:rPr>
        <w:t>Available Airspace — Our engineers, in consultation with third-party engineering consultants and surveyors, are responsible for determining available airspace at our landfills. The available airspace is determined by an annual survey, which is then used to compare the existing landfill topography to the final landfill topography. Once the remaining airspace is determined, an airspace utilization factor (AUF) is established to calculate the remaining capacity in tons.</w:t>
      </w:r>
    </w:p>
    <w:p>
      <w:pPr>
        <w:spacing w:after="0" w:line="38" w:lineRule="exact"/>
        <w:rPr>
          <w:sz w:val="20"/>
          <w:szCs w:val="20"/>
          <w:color w:val="auto"/>
        </w:rPr>
      </w:pPr>
    </w:p>
    <w:p>
      <w:pPr>
        <w:ind w:left="360" w:right="80" w:firstLine="270"/>
        <w:spacing w:after="0" w:line="273" w:lineRule="auto"/>
        <w:rPr>
          <w:sz w:val="20"/>
          <w:szCs w:val="20"/>
          <w:color w:val="auto"/>
        </w:rPr>
      </w:pPr>
      <w:r>
        <w:rPr>
          <w:rFonts w:ascii="Arial" w:cs="Arial" w:eastAsia="Arial" w:hAnsi="Arial"/>
          <w:sz w:val="17"/>
          <w:szCs w:val="17"/>
          <w:color w:val="auto"/>
        </w:rPr>
        <w:t>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 initial selection of the AUF is subject to a subsequent multi-level review by our engineering group. Our historical experience generally indicates that the impact of settlement at a landfill is greater later in the life of the landfill when the waste placed at the landfill approaches its highest point under the permit requirements.</w:t>
      </w:r>
    </w:p>
    <w:p>
      <w:pPr>
        <w:spacing w:after="0" w:line="30" w:lineRule="exact"/>
        <w:rPr>
          <w:sz w:val="20"/>
          <w:szCs w:val="20"/>
          <w:color w:val="auto"/>
        </w:rPr>
      </w:pPr>
    </w:p>
    <w:p>
      <w:pPr>
        <w:ind w:left="360" w:right="120" w:firstLine="270"/>
        <w:spacing w:after="0" w:line="259" w:lineRule="auto"/>
        <w:rPr>
          <w:sz w:val="20"/>
          <w:szCs w:val="20"/>
          <w:color w:val="auto"/>
        </w:rPr>
      </w:pPr>
      <w:r>
        <w:rPr>
          <w:rFonts w:ascii="Arial" w:cs="Arial" w:eastAsia="Arial" w:hAnsi="Arial"/>
          <w:sz w:val="18"/>
          <w:szCs w:val="18"/>
          <w:color w:val="auto"/>
        </w:rPr>
        <w:t>Expansion Airspace — We include currently unpermitted airspace in our estimate of available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25" w:lineRule="exact"/>
        <w:rPr>
          <w:sz w:val="20"/>
          <w:szCs w:val="20"/>
          <w:color w:val="auto"/>
        </w:rPr>
      </w:pPr>
    </w:p>
    <w:p>
      <w:pPr>
        <w:ind w:left="820" w:hanging="12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76" w:lineRule="exact"/>
        <w:rPr>
          <w:rFonts w:ascii="Arial" w:cs="Arial" w:eastAsia="Arial" w:hAnsi="Arial"/>
          <w:sz w:val="18"/>
          <w:szCs w:val="18"/>
          <w:color w:val="auto"/>
        </w:rPr>
      </w:pPr>
    </w:p>
    <w:p>
      <w:pPr>
        <w:ind w:left="820" w:right="140" w:hanging="123"/>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hanging="123"/>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76" w:lineRule="exact"/>
        <w:rPr>
          <w:rFonts w:ascii="Arial" w:cs="Arial" w:eastAsia="Arial" w:hAnsi="Arial"/>
          <w:sz w:val="18"/>
          <w:szCs w:val="18"/>
          <w:color w:val="auto"/>
        </w:rPr>
      </w:pPr>
    </w:p>
    <w:p>
      <w:pPr>
        <w:ind w:left="820" w:right="340" w:hanging="123"/>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21" w:lineRule="exact"/>
        <w:rPr>
          <w:rFonts w:ascii="Arial" w:cs="Arial" w:eastAsia="Arial" w:hAnsi="Arial"/>
          <w:sz w:val="18"/>
          <w:szCs w:val="18"/>
          <w:color w:val="auto"/>
        </w:rPr>
      </w:pPr>
    </w:p>
    <w:p>
      <w:pPr>
        <w:ind w:left="820" w:hanging="123"/>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analysis has been completed, and the results demonstrate that the expansion has a positive financial and operational impact; and</w:t>
      </w:r>
    </w:p>
    <w:p>
      <w:pPr>
        <w:spacing w:after="0" w:line="88" w:lineRule="exact"/>
        <w:rPr>
          <w:rFonts w:ascii="Arial" w:cs="Arial" w:eastAsia="Arial" w:hAnsi="Arial"/>
          <w:sz w:val="17"/>
          <w:szCs w:val="17"/>
          <w:color w:val="auto"/>
        </w:rPr>
      </w:pPr>
    </w:p>
    <w:p>
      <w:pPr>
        <w:ind w:left="820" w:hanging="123"/>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63" w:lineRule="exact"/>
        <w:rPr>
          <w:sz w:val="20"/>
          <w:szCs w:val="20"/>
          <w:color w:val="auto"/>
        </w:rPr>
      </w:pPr>
    </w:p>
    <w:p>
      <w:pPr>
        <w:ind w:left="360" w:right="100" w:firstLine="270"/>
        <w:spacing w:after="0" w:line="270" w:lineRule="auto"/>
        <w:rPr>
          <w:sz w:val="20"/>
          <w:szCs w:val="20"/>
          <w:color w:val="auto"/>
        </w:rPr>
      </w:pPr>
      <w:r>
        <w:rPr>
          <w:rFonts w:ascii="Arial" w:cs="Arial" w:eastAsia="Arial" w:hAnsi="Arial"/>
          <w:sz w:val="17"/>
          <w:szCs w:val="17"/>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 Directors on a quarterly basis. Of the 65 landfill sites with expansions at December 31, 2005, 16 landfills required the Chief Financial Officer to approve the inclusion of the unpermitted airspace. Thirteen of these landfills required approval by the Chief Financial Officer because legal, community or other issues could impede the expansion process. The remaining three landfills required approval primarily because the permit application processes would not meet the one or five year requirements, generally due to state-specific permitting procedures. When we include the expansion airspace in our calculations of available airspace, we also include the projected costs for development, as well as the projected asset retirement cost related to final capping, and closure and post-closure of the expansion in the amortization basis of the landfill.</w:t>
      </w:r>
    </w:p>
    <w:p>
      <w:pPr>
        <w:spacing w:after="0" w:line="29" w:lineRule="exact"/>
        <w:rPr>
          <w:sz w:val="20"/>
          <w:szCs w:val="20"/>
          <w:color w:val="auto"/>
        </w:rPr>
      </w:pPr>
    </w:p>
    <w:p>
      <w:pPr>
        <w:ind w:left="360" w:right="40" w:firstLine="270"/>
        <w:spacing w:after="0" w:line="273" w:lineRule="auto"/>
        <w:rPr>
          <w:sz w:val="20"/>
          <w:szCs w:val="20"/>
          <w:color w:val="auto"/>
        </w:rPr>
      </w:pPr>
      <w:r>
        <w:rPr>
          <w:rFonts w:ascii="Arial" w:cs="Arial" w:eastAsia="Arial" w:hAnsi="Arial"/>
          <w:sz w:val="17"/>
          <w:szCs w:val="17"/>
          <w:color w:val="auto"/>
        </w:rPr>
        <w:t>After determining the costs at our landfills, we determine the per ton rates that will be expensed through landfill amortization. We look at factors such as the waste stream, geography and rate of compaction, among others, to determine the number of tons necessary to fill the available, permitted and likely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6"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 xml:space="preserve">Environmental Remediation Liabilities </w:t>
      </w:r>
      <w:r>
        <w:rPr>
          <w:rFonts w:ascii="Arial" w:cs="Arial" w:eastAsia="Arial" w:hAnsi="Arial"/>
          <w:sz w:val="16"/>
          <w:szCs w:val="16"/>
          <w:color w:val="auto"/>
        </w:rPr>
        <w:t>— Under current laws and regulations, we may have liability for environmental damage caused by our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for damage caused by conditions that existed before we acquired a site. Remedial costs are all costs relating to the remedy of any identified situation that occurs by natural causes or human error not expected in the normal course of business. These costs include potentially responsible party (“PRP”) investigation, settlement, certain legal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considering whether we were an owner, operator, transporter, or generator at the site, the amount and type of waste hauled to the site and the number of years we were connected with the site. Next, we review the same information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62"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11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Our long-lived assets, including landfills and landfill expansions, are carried on our financial statements based on their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or amortization. However, accounting standards require us to write down assets or groups of assets if they become impaired. If significant events or 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determined by either an internally developed discounted projected cash flow analysis of the asset or asset group or an actual third-party valuation. If the fair value of an asset or asset group is determined to be less than the carrying amount of the asset or asset group, an impairment in the amount of the difference is recorded in the period that the impairment indicator occurs.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Typical indicators that an asset may be impaired include:</w:t>
      </w:r>
    </w:p>
    <w:p>
      <w:pPr>
        <w:spacing w:after="0" w:line="117"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30"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30"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75"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If any of these or other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 There are additional considerations for impairments of landfills and goodwill, as described below.</w:t>
      </w:r>
    </w:p>
    <w:p>
      <w:pPr>
        <w:spacing w:after="0" w:line="79" w:lineRule="exact"/>
        <w:rPr>
          <w:sz w:val="20"/>
          <w:szCs w:val="20"/>
          <w:color w:val="auto"/>
        </w:rPr>
      </w:pPr>
    </w:p>
    <w:p>
      <w:pPr>
        <w:ind w:left="360" w:right="20" w:firstLine="270"/>
        <w:spacing w:after="0" w:line="257" w:lineRule="auto"/>
        <w:rPr>
          <w:sz w:val="20"/>
          <w:szCs w:val="20"/>
          <w:color w:val="auto"/>
        </w:rPr>
      </w:pPr>
      <w:r>
        <w:rPr>
          <w:rFonts w:ascii="Arial" w:cs="Arial" w:eastAsia="Arial" w:hAnsi="Arial"/>
          <w:sz w:val="18"/>
          <w:szCs w:val="18"/>
          <w:color w:val="auto"/>
        </w:rPr>
        <w:t>Landfills — Certain of the indicators listed above require significant judgment and understanding of the waste industry when applied to landfill 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our business and not necessarily be considered indicators of impairment due to the unique nature of the waste industry.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firstLine="270"/>
        <w:spacing w:after="0" w:line="255" w:lineRule="auto"/>
        <w:rPr>
          <w:sz w:val="20"/>
          <w:szCs w:val="20"/>
          <w:color w:val="auto"/>
        </w:rPr>
      </w:pPr>
      <w:r>
        <w:rPr>
          <w:rFonts w:ascii="Arial" w:cs="Arial" w:eastAsia="Arial" w:hAnsi="Arial"/>
          <w:sz w:val="18"/>
          <w:szCs w:val="18"/>
          <w:color w:val="auto"/>
        </w:rPr>
        <w:t>Goodwill — At least annually, we assess whether goodwill is impaired. Upon determining the existence of goodwill impairment, we measure that impairment based on the amount by which the book value of goodwill exceeds its implied fair value. The implied fair value of goodwill is determined by deducting the fair value of our reporting unit’s (Group’s)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85"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i w:val="1"/>
          <w:iCs w:val="1"/>
          <w:color w:val="auto"/>
        </w:rPr>
        <w:t xml:space="preserve">Self-insurance reserves and recoveries </w:t>
      </w:r>
      <w:r>
        <w:rPr>
          <w:rFonts w:ascii="Arial" w:cs="Arial" w:eastAsia="Arial" w:hAnsi="Arial"/>
          <w:sz w:val="18"/>
          <w:szCs w:val="18"/>
          <w:color w:val="auto"/>
        </w:rPr>
        <w:t>— We have retained a portion of the risks related to our automobile, general liability and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programs. Our liabilities associated with the exposure for unpaid claims and associated expenses, including incurred but not reported losses, generally is estimated with the assistance of external actuaries and by factoring in pending claims and historical trends and data. Our estimated accruals for these liabilities could be significantly different than our ultimate obligations if variables such as the frequency or severity of future incidents are significantly different than what we assume. Estimated insurance recoveries related to recorded liabilities are recorded as assets when we believe that the receipt of such amounts is probable.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statement of operations line items: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Period-to-Period Change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left="113"/>
              <w:spacing w:after="0" w:line="133" w:lineRule="exact"/>
              <w:rPr>
                <w:sz w:val="20"/>
                <w:szCs w:val="20"/>
                <w:color w:val="auto"/>
              </w:rPr>
            </w:pPr>
            <w:r>
              <w:rPr>
                <w:rFonts w:ascii="Arial" w:cs="Arial" w:eastAsia="Arial" w:hAnsi="Arial"/>
                <w:sz w:val="14"/>
                <w:szCs w:val="14"/>
                <w:b w:val="1"/>
                <w:bCs w:val="1"/>
                <w:color w:val="auto"/>
                <w:w w:val="91"/>
              </w:rPr>
              <w:t>Years Ended</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left="193"/>
              <w:spacing w:after="0" w:line="133" w:lineRule="exact"/>
              <w:rPr>
                <w:sz w:val="20"/>
                <w:szCs w:val="20"/>
                <w:color w:val="auto"/>
              </w:rPr>
            </w:pPr>
            <w:r>
              <w:rPr>
                <w:rFonts w:ascii="Arial" w:cs="Arial" w:eastAsia="Arial" w:hAnsi="Arial"/>
                <w:sz w:val="14"/>
                <w:szCs w:val="14"/>
                <w:b w:val="1"/>
                <w:bCs w:val="1"/>
                <w:color w:val="auto"/>
                <w:w w:val="91"/>
              </w:rPr>
              <w:t>Years Ended</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left="13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left="17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left="133"/>
              <w:spacing w:after="0"/>
              <w:rPr>
                <w:sz w:val="20"/>
                <w:szCs w:val="20"/>
                <w:color w:val="auto"/>
              </w:rPr>
            </w:pPr>
            <w:r>
              <w:rPr>
                <w:rFonts w:ascii="Arial" w:cs="Arial" w:eastAsia="Arial" w:hAnsi="Arial"/>
                <w:sz w:val="14"/>
                <w:szCs w:val="14"/>
                <w:b w:val="1"/>
                <w:bCs w:val="1"/>
                <w:color w:val="auto"/>
                <w:w w:val="89"/>
              </w:rPr>
              <w:t>2005 vs. 2004</w:t>
            </w:r>
          </w:p>
        </w:tc>
        <w:tc>
          <w:tcPr>
            <w:tcW w:w="3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b w:val="1"/>
                <w:bCs w:val="1"/>
                <w:color w:val="auto"/>
                <w:w w:val="91"/>
              </w:rPr>
              <w:t>2004 vs. 2003</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8"/>
              <w:spacing w:after="0"/>
              <w:rPr>
                <w:sz w:val="20"/>
                <w:szCs w:val="20"/>
                <w:color w:val="auto"/>
              </w:rPr>
            </w:pPr>
            <w:r>
              <w:rPr>
                <w:rFonts w:ascii="Arial" w:cs="Arial" w:eastAsia="Arial" w:hAnsi="Arial"/>
                <w:sz w:val="18"/>
                <w:szCs w:val="18"/>
                <w:color w:val="auto"/>
              </w:rPr>
              <w:t>558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868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48"/>
              <w:spacing w:after="0"/>
              <w:rPr>
                <w:sz w:val="20"/>
                <w:szCs w:val="20"/>
                <w:color w:val="auto"/>
              </w:rPr>
            </w:pPr>
            <w:r>
              <w:rPr>
                <w:rFonts w:ascii="Arial" w:cs="Arial" w:eastAsia="Arial" w:hAnsi="Arial"/>
                <w:sz w:val="18"/>
                <w:szCs w:val="18"/>
                <w:color w:val="auto"/>
              </w:rPr>
              <w:t>403</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637</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48"/>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71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280"/>
              <w:spacing w:after="0"/>
              <w:rPr>
                <w:sz w:val="20"/>
                <w:szCs w:val="20"/>
                <w:color w:val="auto"/>
              </w:rPr>
            </w:pPr>
            <w:r>
              <w:rPr>
                <w:rFonts w:ascii="Arial" w:cs="Arial" w:eastAsia="Arial" w:hAnsi="Arial"/>
                <w:sz w:val="18"/>
                <w:szCs w:val="18"/>
                <w:color w:val="auto"/>
              </w:rPr>
              <w:t>Asset impairments and unusual items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48"/>
              <w:spacing w:after="0"/>
              <w:rPr>
                <w:sz w:val="20"/>
                <w:szCs w:val="20"/>
                <w:color w:val="auto"/>
              </w:rPr>
            </w:pPr>
            <w:r>
              <w:rPr>
                <w:rFonts w:ascii="Arial" w:cs="Arial" w:eastAsia="Arial" w:hAnsi="Arial"/>
                <w:sz w:val="18"/>
                <w:szCs w:val="18"/>
                <w:color w:val="auto"/>
              </w:rPr>
              <w:t>81</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547</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709</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76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0"/>
                <w:szCs w:val="2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7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rPr>
              <w:t>(80)</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(20.8)</w:t>
            </w:r>
          </w:p>
        </w:tc>
        <w:tc>
          <w:tcPr>
            <w:tcW w:w="16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42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Equity in earnings (losses) of unconsolidated entities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280"/>
              <w:spacing w:after="0"/>
              <w:rPr>
                <w:sz w:val="20"/>
                <w:szCs w:val="20"/>
                <w:color w:val="auto"/>
              </w:rPr>
            </w:pPr>
            <w:r>
              <w:rPr>
                <w:rFonts w:ascii="Arial" w:cs="Arial" w:eastAsia="Arial" w:hAnsi="Arial"/>
                <w:sz w:val="18"/>
                <w:szCs w:val="18"/>
                <w:color w:val="auto"/>
              </w:rPr>
              <w:t>Minority interest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(33.3)</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(18.6)</w:t>
            </w:r>
          </w:p>
        </w:tc>
        <w:tc>
          <w:tcPr>
            <w:tcW w:w="1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w:t>
            </w:r>
          </w:p>
        </w:tc>
        <w:tc>
          <w:tcPr>
            <w:tcW w:w="7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before income taxes and cumulative effect of changes in accounting principles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w w:val="99"/>
              </w:rPr>
              <w:t>(337)</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(157)</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251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change is not meaningful. Refer to the explanations of these items included herein for a discussion of the relationship between current year and prior year activity.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statement of operations line items has to operating revenues: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30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74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revenues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940" w:type="dxa"/>
            <w:vAlign w:val="bottom"/>
            <w:gridSpan w:val="3"/>
          </w:tcPr>
          <w:p>
            <w:pPr>
              <w:jc w:val="right"/>
              <w:ind w:right="50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65.7</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10.7</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(losses) of unconsolidated entities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changes in accounting principles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
        </w:trPr>
        <w:tc>
          <w:tcPr>
            <w:tcW w:w="7440" w:type="dxa"/>
            <w:vAlign w:val="bottom"/>
            <w:gridSpan w:val="2"/>
            <w:vMerge w:val="restart"/>
          </w:tcPr>
          <w:p>
            <w:pPr>
              <w:jc w:val="right"/>
              <w:ind w:right="1550"/>
              <w:spacing w:after="0"/>
              <w:rPr>
                <w:sz w:val="20"/>
                <w:szCs w:val="20"/>
                <w:color w:val="auto"/>
              </w:rPr>
            </w:pPr>
            <w:r>
              <w:rPr>
                <w:rFonts w:ascii="Arial" w:cs="Arial" w:eastAsia="Arial" w:hAnsi="Arial"/>
                <w:sz w:val="18"/>
                <w:szCs w:val="18"/>
                <w:color w:val="auto"/>
              </w:rPr>
              <w:t>30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4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Our operating revenues in 2005 were $13.1 billion, compared with $12.5 billion in 2004 and $11.6 billion in 2003.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year from our six operating Groups and our Other waste services: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3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Midwest</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3,054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2,840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3,149</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Western</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3,079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2,725</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Recycling</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Intercompany</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Our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which are generally based on the weight,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mix of operating revenues from our different services is reflected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3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Landfill</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3,089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Wheelabrator</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Intercompany</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vMerge w:val="restart"/>
          </w:tcPr>
          <w:p>
            <w:pPr>
              <w:jc w:val="right"/>
              <w:ind w:right="1350"/>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(in millions) along with an explanation of the significant components of the current period changes: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left="34"/>
              <w:spacing w:after="0"/>
              <w:rPr>
                <w:sz w:val="20"/>
                <w:szCs w:val="20"/>
                <w:color w:val="auto"/>
              </w:rPr>
            </w:pPr>
            <w:r>
              <w:rPr>
                <w:rFonts w:ascii="Arial" w:cs="Arial" w:eastAsia="Arial" w:hAnsi="Arial"/>
                <w:sz w:val="14"/>
                <w:szCs w:val="14"/>
                <w:b w:val="1"/>
                <w:bCs w:val="1"/>
                <w:color w:val="auto"/>
                <w:w w:val="94"/>
              </w:rPr>
              <w:t>Period-to-Period</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4"/>
              </w:rPr>
              <w:t>Period-to-Period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left="34"/>
              <w:spacing w:after="0" w:line="149" w:lineRule="exact"/>
              <w:rPr>
                <w:sz w:val="20"/>
                <w:szCs w:val="20"/>
                <w:color w:val="auto"/>
              </w:rPr>
            </w:pPr>
            <w:r>
              <w:rPr>
                <w:rFonts w:ascii="Arial" w:cs="Arial" w:eastAsia="Arial" w:hAnsi="Arial"/>
                <w:sz w:val="14"/>
                <w:szCs w:val="14"/>
                <w:b w:val="1"/>
                <w:bCs w:val="1"/>
                <w:color w:val="auto"/>
                <w:w w:val="91"/>
              </w:rPr>
              <w:t>Change for</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left="34"/>
              <w:spacing w:after="0" w:line="149" w:lineRule="exact"/>
              <w:rPr>
                <w:sz w:val="20"/>
                <w:szCs w:val="20"/>
                <w:color w:val="auto"/>
              </w:rPr>
            </w:pPr>
            <w:r>
              <w:rPr>
                <w:rFonts w:ascii="Arial" w:cs="Arial" w:eastAsia="Arial" w:hAnsi="Arial"/>
                <w:sz w:val="14"/>
                <w:szCs w:val="14"/>
                <w:b w:val="1"/>
                <w:bCs w:val="1"/>
                <w:color w:val="auto"/>
                <w:w w:val="91"/>
              </w:rPr>
              <w:t>Change for</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4"/>
                <w:szCs w:val="14"/>
                <w:b w:val="1"/>
                <w:bCs w:val="1"/>
                <w:color w:val="auto"/>
                <w:w w:val="89"/>
              </w:rPr>
              <w:t>2005 vs. 2004</w:t>
            </w:r>
          </w:p>
        </w:tc>
        <w:tc>
          <w:tcPr>
            <w:tcW w:w="3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89"/>
              </w:rPr>
              <w:t>2004 vs. 2003</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Base business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Commodity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Electricity (IPPs)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Fuel surcharges and fees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Divestitures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558</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868</w:t>
            </w:r>
          </w:p>
        </w:tc>
        <w:tc>
          <w:tcPr>
            <w:tcW w:w="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270"/>
        <w:spacing w:after="0" w:line="295" w:lineRule="auto"/>
        <w:rPr>
          <w:sz w:val="20"/>
          <w:szCs w:val="20"/>
          <w:color w:val="auto"/>
        </w:rPr>
      </w:pPr>
      <w:r>
        <w:rPr>
          <w:rFonts w:ascii="Arial" w:cs="Arial" w:eastAsia="Arial" w:hAnsi="Arial"/>
          <w:sz w:val="16"/>
          <w:szCs w:val="16"/>
          <w:i w:val="1"/>
          <w:iCs w:val="1"/>
          <w:color w:val="auto"/>
        </w:rPr>
        <w:t xml:space="preserve">Base Business </w:t>
      </w:r>
      <w:r>
        <w:rPr>
          <w:rFonts w:ascii="Arial" w:cs="Arial" w:eastAsia="Arial" w:hAnsi="Arial"/>
          <w:sz w:val="16"/>
          <w:szCs w:val="16"/>
          <w:color w:val="auto"/>
        </w:rPr>
        <w:t>— In 2005, base business yield improvements were driven by our collection operations, where we experienced substantial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 every geographic operating group. The significant base business yield improvements in the collection line of business are primarily the result of our continued focus on pricing initiatives as a means of increasing our margins, cash flows and return on capital and, to a lesser extent, the adoption of a 1% environmental cost recovery fee, which increased revenues by $33 million during 2005. Our transfer business in the East and municipal solid waste landfill disposal operations in the South have also provided significant revenue growth from base business yield improvements throughout the year.</w:t>
      </w:r>
    </w:p>
    <w:p>
      <w:pPr>
        <w:spacing w:after="0" w:line="4"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During the second half of 2005, we received substantial yield contributions to revenues from our waste-to-energy facilities. These revenue improvements were largely due to significant increases in the rates charged for electricity under our long-term contracts with electric utilities. These rates are generally indexed to natural gas prices, which increased significantly in 2005 as a result of hurricane related production disruptions, increased demand and increases in crude oil prices.</w:t>
      </w:r>
    </w:p>
    <w:p>
      <w:pPr>
        <w:spacing w:after="0" w:line="25"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2005 revenue improvements attributable to yield have been partially offset by a general decline in yield in special waste landfill disposal operations, noted principally in our Midwest and Southern Groups.</w:t>
      </w:r>
    </w:p>
    <w:p>
      <w:pPr>
        <w:spacing w:after="0" w:line="8"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 2004, base business yield improvements contributed to increased revenues in our collection, transfer and waste-to-energy operations. In our collection business, the most substantial yield improvements during 2004 were in our industrial and residential operations, where nearly all of our operating groups experienced base business pricing improvements. Although the change in yield provided by our collection operations throughout 2004 was positive, it was affected by increased price competition, particularly in the Midwest, and the unfavorable impact of lower priced recycling and yard waste service programs in the South. The base business yield improvements in our transfer business throughout 2004 were almost exclusively attributable to the Eastern portion of the United States.</w:t>
      </w:r>
    </w:p>
    <w:p>
      <w:pPr>
        <w:spacing w:after="0" w:line="31"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Base business yield increases during 2004 were partially offset by average yield declines in our landfill operations. This decline was primarily the net result of the continued impact of lower pricing for special waste, particularly in the South and Midwest, which was partially offset by increased pricing for municipal solid waste disposal.</w:t>
      </w:r>
    </w:p>
    <w:p>
      <w:pPr>
        <w:spacing w:after="0" w:line="19"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i w:val="1"/>
          <w:iCs w:val="1"/>
          <w:color w:val="auto"/>
        </w:rPr>
        <w:t xml:space="preserve">Commodity </w:t>
      </w:r>
      <w:r>
        <w:rPr>
          <w:rFonts w:ascii="Arial" w:cs="Arial" w:eastAsia="Arial" w:hAnsi="Arial"/>
          <w:sz w:val="16"/>
          <w:szCs w:val="16"/>
          <w:color w:val="auto"/>
        </w:rPr>
        <w:t>— Our revenues in 2005 declined due to price decreases in recycling commodities. Average prices for old corrugated cardboard dropped by</w:t>
      </w:r>
      <w:r>
        <w:rPr>
          <w:rFonts w:ascii="Arial" w:cs="Arial" w:eastAsia="Arial" w:hAnsi="Arial"/>
          <w:sz w:val="16"/>
          <w:szCs w:val="16"/>
          <w:i w:val="1"/>
          <w:iCs w:val="1"/>
          <w:color w:val="auto"/>
        </w:rPr>
        <w:t xml:space="preserve"> </w:t>
      </w:r>
      <w:r>
        <w:rPr>
          <w:rFonts w:ascii="Arial" w:cs="Arial" w:eastAsia="Arial" w:hAnsi="Arial"/>
          <w:sz w:val="16"/>
          <w:szCs w:val="16"/>
          <w:color w:val="auto"/>
        </w:rPr>
        <w:t>8% during the year, from $85 per ton in 2004 to $78 per ton in 2005. Average prices for old newsprint were also down by about 3%, from $86 per ton in 2004 to $83 per ton in 2005. Conversely, our revenues in 2004 were positively affected by price increases in all of the recycling commodities that we process.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 significant portion of revenues attributable to commodities is rebated to our suppliers of recyclable materials. Accordingly, changes in our revenues due to fluctuations in commodity prices have a corresponding impact on our cost of goods sold.</w:t>
      </w:r>
    </w:p>
    <w:p>
      <w:pPr>
        <w:spacing w:after="0" w:line="8" w:lineRule="exact"/>
        <w:rPr>
          <w:sz w:val="20"/>
          <w:szCs w:val="20"/>
          <w:color w:val="auto"/>
        </w:rPr>
      </w:pPr>
    </w:p>
    <w:p>
      <w:pPr>
        <w:ind w:right="120" w:firstLine="270"/>
        <w:spacing w:after="0" w:line="272" w:lineRule="auto"/>
        <w:rPr>
          <w:sz w:val="20"/>
          <w:szCs w:val="20"/>
          <w:color w:val="auto"/>
        </w:rPr>
      </w:pPr>
      <w:r>
        <w:rPr>
          <w:rFonts w:ascii="Arial" w:cs="Arial" w:eastAsia="Arial" w:hAnsi="Arial"/>
          <w:sz w:val="17"/>
          <w:szCs w:val="17"/>
          <w:i w:val="1"/>
          <w:iCs w:val="1"/>
          <w:color w:val="auto"/>
        </w:rPr>
        <w:t xml:space="preserve">Fuel surcharges and fees </w:t>
      </w:r>
      <w:r>
        <w:rPr>
          <w:rFonts w:ascii="Arial" w:cs="Arial" w:eastAsia="Arial" w:hAnsi="Arial"/>
          <w:sz w:val="17"/>
          <w:szCs w:val="17"/>
          <w:color w:val="auto"/>
        </w:rPr>
        <w:t>— Fuel surcharges increased revenues year-over-year by $157 million for the year ended December 31, 2005 and $53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year ended December 31, 2004 due to our continued effort to pass on higher fuel costs to our customers through fuel surcharges. The substantial current year increases in revenue provided by our fuel surcharge program can generally be attributed to (i) increases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and vendors. During the year ended December 31, 2005, increased operating costs due to higher diesel fuel prices, which are included within both </w:t>
      </w:r>
      <w:r>
        <w:rPr>
          <w:rFonts w:ascii="Arial" w:cs="Arial" w:eastAsia="Arial" w:hAnsi="Arial"/>
          <w:sz w:val="17"/>
          <w:szCs w:val="17"/>
          <w:i w:val="1"/>
          <w:iCs w:val="1"/>
          <w:color w:val="auto"/>
        </w:rPr>
        <w:t>Operating Expenses — Subcontractor Costs</w:t>
      </w:r>
      <w:r>
        <w:rPr>
          <w:rFonts w:ascii="Arial" w:cs="Arial" w:eastAsia="Arial" w:hAnsi="Arial"/>
          <w:sz w:val="17"/>
          <w:szCs w:val="17"/>
          <w:color w:val="auto"/>
        </w:rPr>
        <w:t xml:space="preserve"> and </w:t>
      </w:r>
      <w:r>
        <w:rPr>
          <w:rFonts w:ascii="Arial" w:cs="Arial" w:eastAsia="Arial" w:hAnsi="Arial"/>
          <w:sz w:val="17"/>
          <w:szCs w:val="17"/>
          <w:i w:val="1"/>
          <w:iCs w:val="1"/>
          <w:color w:val="auto"/>
        </w:rPr>
        <w:t>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 — Fuel</w:t>
      </w:r>
      <w:r>
        <w:rPr>
          <w:rFonts w:ascii="Arial" w:cs="Arial" w:eastAsia="Arial" w:hAnsi="Arial"/>
          <w:sz w:val="17"/>
          <w:szCs w:val="17"/>
          <w:color w:val="auto"/>
        </w:rPr>
        <w:t>, were substantially recovered by our fuel surcharge program.</w:t>
      </w:r>
    </w:p>
    <w:p>
      <w:pPr>
        <w:spacing w:after="0" w:line="16"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Volume-related revenues are relatively flat when comparing 2005 with 2004. This is generally because of the combined impacts of (i) a decline</w:t>
      </w:r>
      <w:r>
        <w:rPr>
          <w:rFonts w:ascii="Arial" w:cs="Arial" w:eastAsia="Arial" w:hAnsi="Arial"/>
          <w:sz w:val="18"/>
          <w:szCs w:val="18"/>
          <w:i w:val="1"/>
          <w:iCs w:val="1"/>
          <w:color w:val="auto"/>
        </w:rPr>
        <w:t xml:space="preserve"> </w:t>
      </w:r>
      <w:r>
        <w:rPr>
          <w:rFonts w:ascii="Arial" w:cs="Arial" w:eastAsia="Arial" w:hAnsi="Arial"/>
          <w:sz w:val="18"/>
          <w:szCs w:val="18"/>
          <w:color w:val="auto"/>
        </w:rPr>
        <w:t>in revenues associated with hurricanes; (ii) increases in recycling and landfill disposal volumes; and (iii) lower revenue from residential, commercial and industrial collection volumes, particularly in the East and Midwest, which can generally be attributed to our focus on improving our margins by increasing yield.</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volume-related revenues generated from hurricane related services were $56 million for the year ended December 31, 2005 as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 million for the year ended December 31, 2004. The $59 million decline was partially due to the temporary suspension of certain of our operations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Gulf Coast region during 2005 as a result of the severe destruction caused by Hurricane Katrina. In addition, much of our 2004 hurricane related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associated with subcontracted services, which generated comparatively lower margins. In 2005, we generally elected not to undertake hurricane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projects for which we could not support the required services with internal resources.</w:t>
      </w:r>
    </w:p>
    <w:p>
      <w:pPr>
        <w:spacing w:after="0" w:line="49"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When excluding the impacts of the hurricanes, revenue due to volume increased $62 million, or 0.5% during 2005. Current year volume-related revenue increases have largely been due to (i) increased recycling volumes provided by several new brokerage contracts; (ii) increased landfill disposal volumes in the Midwest, West and South; (iii) increased transfer station volumes in the West and the South; and (iv) increased residential collection volumes in the West. Also included as a component of volume-related revenue growth is revenue generated from our construction of an integrated waste facility on behalf of a municipality in our Midwest Group. The revenue generated by this project was low margin and largely offset by a corresponding increase in cost of goods sold</w:t>
      </w:r>
      <w:r>
        <w:rPr>
          <w:rFonts w:ascii="Arial" w:cs="Arial" w:eastAsia="Arial" w:hAnsi="Arial"/>
          <w:sz w:val="18"/>
          <w:szCs w:val="18"/>
          <w:i w:val="1"/>
          <w:iCs w:val="1"/>
          <w:color w:val="auto"/>
        </w:rPr>
        <w:t>.</w:t>
      </w:r>
    </w:p>
    <w:p>
      <w:pPr>
        <w:spacing w:after="0" w:line="31" w:lineRule="exact"/>
        <w:rPr>
          <w:sz w:val="20"/>
          <w:szCs w:val="20"/>
          <w:color w:val="auto"/>
        </w:rPr>
      </w:pPr>
    </w:p>
    <w:p>
      <w:pPr>
        <w:ind w:right="280" w:firstLine="267"/>
        <w:spacing w:after="0" w:line="286" w:lineRule="auto"/>
        <w:rPr>
          <w:sz w:val="20"/>
          <w:szCs w:val="20"/>
          <w:color w:val="auto"/>
        </w:rPr>
      </w:pPr>
      <w:r>
        <w:rPr>
          <w:rFonts w:ascii="Arial" w:cs="Arial" w:eastAsia="Arial" w:hAnsi="Arial"/>
          <w:sz w:val="17"/>
          <w:szCs w:val="17"/>
          <w:color w:val="auto"/>
        </w:rPr>
        <w:t>These revenue increases were largely offset by volume declines experienced in each line of business in the Eastern portion of the United States and significant volume declines in our collection business in the Midwest. We believe volume declines in our collection and transfer businesses in the East and Midwest can generally be attributed to our focus on improving base business yield and the price competition typical in these regions.</w:t>
      </w:r>
    </w:p>
    <w:p>
      <w:pPr>
        <w:spacing w:after="0" w:line="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During 2004, we experienced significant volume-related revenue increases in our collection and landfill businesses. A substantial portion of volume-related revenue growth was due to the volume increases experienced in industrial collection operations for each of our operating Groups. In the Southern and Western portions of the United States, our residential collection, transfer, construction and demolition disposal and special waste landfill disposal operations also made substantial contributions to revenue growth throughout 2004.</w:t>
      </w:r>
    </w:p>
    <w:p>
      <w:pPr>
        <w:spacing w:after="0" w:line="25"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During the year ended December 31, 2005, acquisitions contributed $112 million of additional revenues offset by a</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revenue of $62 million during the year as a result of divestitures. We expect the decrease in revenues attributable to divestitures to increase in future periods as a result of our plan to divest under-performing or non-strategic operations.</w:t>
      </w:r>
    </w:p>
    <w:p>
      <w:pPr>
        <w:spacing w:after="0" w:line="19"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In 2004, the increase in revenues due to acquisitions was largely related to the full year impact of our acquisition of collection assets from Allied Waste Industries, Inc. in the third and fourth quarters of 2003. Other acquisitions of recycling, transfer and waste-to-energy businesses consummated subsequent to the third quarter of 2003 also provided increases in revenues during 2004.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117" w:lineRule="exact"/>
        <w:rPr>
          <w:sz w:val="20"/>
          <w:szCs w:val="20"/>
          <w:color w:val="auto"/>
        </w:rPr>
      </w:pPr>
    </w:p>
    <w:p>
      <w:pPr>
        <w:ind w:right="380" w:firstLine="270"/>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included below), which include salaries and wages,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w:t>
      </w:r>
    </w:p>
    <w:p>
      <w:pPr>
        <w:spacing w:after="0" w:line="2" w:lineRule="exact"/>
        <w:rPr>
          <w:sz w:val="20"/>
          <w:szCs w:val="20"/>
          <w:color w:val="auto"/>
        </w:rPr>
      </w:pPr>
    </w:p>
    <w:p>
      <w:pPr>
        <w:ind w:right="40" w:firstLine="8"/>
        <w:spacing w:after="0" w:line="29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major components of our operating expenses, including the impact of foreign currency translation,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w w:val="92"/>
              </w:rPr>
              <w:t>Period-to-Period</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Period-to-Period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w w:val="89"/>
              </w:rPr>
              <w:t>2005</w:t>
            </w: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w w:val="96"/>
              </w:rPr>
              <w:t>2004</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w w:val="88"/>
              </w:rPr>
              <w:t>Change</w:t>
            </w: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w w:val="96"/>
              </w:rPr>
              <w:t>2003</w:t>
            </w:r>
          </w:p>
        </w:tc>
        <w:tc>
          <w:tcPr>
            <w:tcW w:w="1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84</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129</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2,258</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1,270</w:t>
            </w:r>
          </w:p>
        </w:tc>
        <w:tc>
          <w:tcPr>
            <w:tcW w:w="200" w:type="dxa"/>
            <w:vAlign w:val="bottom"/>
          </w:tcPr>
          <w:p>
            <w:pPr>
              <w:spacing w:after="0"/>
              <w:rPr>
                <w:sz w:val="18"/>
                <w:szCs w:val="18"/>
                <w:color w:val="auto"/>
              </w:rPr>
            </w:pPr>
          </w:p>
        </w:tc>
        <w:tc>
          <w:tcPr>
            <w:tcW w:w="1180" w:type="dxa"/>
            <w:vAlign w:val="bottom"/>
            <w:gridSpan w:val="2"/>
          </w:tcPr>
          <w:p>
            <w:pPr>
              <w:jc w:val="right"/>
              <w:ind w:right="677"/>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1,188</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1,135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35</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Subcontractor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26</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190</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49</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Fuel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180" w:type="dxa"/>
            <w:vAlign w:val="bottom"/>
            <w:gridSpan w:val="2"/>
          </w:tcPr>
          <w:p>
            <w:pPr>
              <w:jc w:val="right"/>
              <w:ind w:right="737"/>
              <w:spacing w:after="0"/>
              <w:rPr>
                <w:sz w:val="20"/>
                <w:szCs w:val="20"/>
                <w:color w:val="auto"/>
              </w:rPr>
            </w:pPr>
            <w:r>
              <w:rPr>
                <w:rFonts w:ascii="Arial" w:cs="Arial" w:eastAsia="Arial" w:hAnsi="Arial"/>
                <w:sz w:val="18"/>
                <w:szCs w:val="18"/>
                <w:color w:val="auto"/>
              </w:rPr>
              <w:t>131</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32.7</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22</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14</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68</w:t>
            </w:r>
          </w:p>
        </w:tc>
        <w:tc>
          <w:tcPr>
            <w:tcW w:w="8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17.6</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8,631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403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637</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7,591</w:t>
            </w: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When comparing 2005 with 2004, these costs have increased due to (i) salary and wage increases as a result of annual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(ii) a general increase in employee health care and benefit costs; (iii) an increase in the costs attributable to contract labor used at our material recovery facilities due to acquisitions; and (iv) increased payroll taxes. In 2004, the year-over-year increase in costs was generally due to higher salary costs and higher hourly wage and overtime costs.</w:t>
      </w:r>
    </w:p>
    <w:p>
      <w:pPr>
        <w:spacing w:after="0" w:line="79" w:lineRule="exact"/>
        <w:rPr>
          <w:sz w:val="20"/>
          <w:szCs w:val="20"/>
          <w:color w:val="auto"/>
        </w:rPr>
      </w:pPr>
    </w:p>
    <w:p>
      <w:pPr>
        <w:ind w:right="80" w:firstLine="270"/>
        <w:spacing w:after="0" w:line="302" w:lineRule="auto"/>
        <w:rPr>
          <w:sz w:val="20"/>
          <w:szCs w:val="20"/>
          <w:color w:val="auto"/>
        </w:rPr>
      </w:pPr>
      <w:r>
        <w:rPr>
          <w:rFonts w:ascii="Arial" w:cs="Arial" w:eastAsia="Arial" w:hAnsi="Arial"/>
          <w:sz w:val="16"/>
          <w:szCs w:val="16"/>
          <w:color w:val="auto"/>
        </w:rPr>
        <w:t>For purposes of the above disclosure, the presentation of prior years has been conformed to our current year presentation that excludes labor costs related to fleet and container maintenance facilities as well as workers’ compensation costs. Labor costs attributable principally to our fleet and container maintenance facilities of $395 million for 2004 and $376 million for 2003 have been reclassified as a component of the caption “Maintenance and repairs,” and workers’ compensation costs of $131 million for 2004 and $139 million for 2003 have been included as a component of the caption “Risk management.”</w:t>
      </w:r>
    </w:p>
    <w:p>
      <w:pPr>
        <w:spacing w:after="0" w:line="46" w:lineRule="exact"/>
        <w:rPr>
          <w:sz w:val="20"/>
          <w:szCs w:val="20"/>
          <w:color w:val="auto"/>
        </w:rPr>
      </w:pPr>
    </w:p>
    <w:p>
      <w:pPr>
        <w:ind w:right="500" w:firstLine="270"/>
        <w:spacing w:after="0" w:line="264"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In 2005, the costs incurred by our collection operations to dispose of waste at third party transfer stations or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declined due to our focus on improving internalization. These costs significantly increased in 2004 as compared with 2003 due principally to volume increases from both general operating activities and acquisitions.</w:t>
      </w:r>
    </w:p>
    <w:p>
      <w:pPr>
        <w:spacing w:after="0" w:line="73"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Increases in these costs are attributable to (i) higher parts and supplies costs, which were driven by changes in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projects at our waste-to-energy facilities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increased volumes in our Southern and Western Groups; (ii) increases in the cost of lubes and oils; and (iii) increases in the labor costs associated with our maintenance and repairs.</w:t>
      </w:r>
    </w:p>
    <w:p>
      <w:pPr>
        <w:spacing w:after="0" w:line="62"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Throughout 2005 and 2004 we have experienced increases in subcontractor costs due to higher diesel fuel prices, which drive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fuel surcharges we pay to third party subcontractors. Subcontractor cost increases attributable to higher fuel costs were significantly offset by the revenue generated from our fuel surcharge program, which is reflected as fuel yield increases within </w:t>
      </w:r>
      <w:r>
        <w:rPr>
          <w:rFonts w:ascii="Arial" w:cs="Arial" w:eastAsia="Arial" w:hAnsi="Arial"/>
          <w:sz w:val="17"/>
          <w:szCs w:val="17"/>
          <w:i w:val="1"/>
          <w:iCs w:val="1"/>
          <w:color w:val="auto"/>
        </w:rPr>
        <w:t>Operating Revenues</w:t>
      </w:r>
      <w:r>
        <w:rPr>
          <w:rFonts w:ascii="Arial" w:cs="Arial" w:eastAsia="Arial" w:hAnsi="Arial"/>
          <w:sz w:val="17"/>
          <w:szCs w:val="17"/>
          <w:color w:val="auto"/>
        </w:rPr>
        <w:t>.</w:t>
      </w:r>
    </w:p>
    <w:p>
      <w:pPr>
        <w:spacing w:after="0" w:line="57" w:lineRule="exact"/>
        <w:rPr>
          <w:sz w:val="20"/>
          <w:szCs w:val="20"/>
          <w:color w:val="auto"/>
        </w:rPr>
      </w:pPr>
    </w:p>
    <w:p>
      <w:pPr>
        <w:jc w:val="both"/>
        <w:ind w:right="100" w:firstLine="260"/>
        <w:spacing w:after="0" w:line="264" w:lineRule="auto"/>
        <w:rPr>
          <w:sz w:val="20"/>
          <w:szCs w:val="20"/>
          <w:color w:val="auto"/>
        </w:rPr>
      </w:pPr>
      <w:r>
        <w:rPr>
          <w:rFonts w:ascii="Arial" w:cs="Arial" w:eastAsia="Arial" w:hAnsi="Arial"/>
          <w:sz w:val="18"/>
          <w:szCs w:val="18"/>
          <w:color w:val="auto"/>
        </w:rPr>
        <w:t>Additionally, in 2005 we incurred additional transportation costs due to increased volumes in subcontracted work, particularly in our National Accounts organization and Western Group. The current year cost increases were partially offset by a year-over-year decline in the utilization of subcontractors to assist in providing hurricane related services.</w:t>
      </w:r>
    </w:p>
    <w:p>
      <w:pPr>
        <w:spacing w:after="0" w:line="73"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In addition to the significant increase in subcontractor costs related to hurricane-related services during 2004, we also experienced increases due to (i) the impact of acquisitions; (ii) increased third-party transportation costs in our Western Group due to the service requirements of certain event work; and (iii) additional transportation costs in our Eastern Group due to capacity constraints at some of our landfills.</w:t>
      </w:r>
    </w:p>
    <w:p>
      <w:pPr>
        <w:spacing w:after="0" w:line="5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These costs are primarily for rebates paid to our suppliers, which are driven by the market prices of recyclable commodities.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we experienced lower market prices for recyclable commodities than in prior years. This decrease in pricing was more than offset by increased recycling volumes in 2005 due to several new brokerage contracts and recent acquisitions. In 2005, the increase in cost of goods sold was also partially due to costs incurred to construct an integrated waste facility for a municipality in the Midwest Group. The increase in 2004 over 2003 is directly related to the year-over-year increase in market prices of recyclable commodities.</w:t>
      </w:r>
    </w:p>
    <w:p>
      <w:pPr>
        <w:spacing w:after="0" w:line="80"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We experienced an average increase of $0.59 per gallon for 2005 as compared with 2004 and in 2004 we experienced an average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$0.30 per gallon for 2004 over 2003. While we recover a significant portion of the cost increases incurred as a result of higher fuel prices through our fuel surcharge program, increased fuel costs continue to negatively affect our operating margins. Revenues generated by our fuel surcharge program are reflected as fuel yield increases within </w:t>
      </w:r>
      <w:r>
        <w:rPr>
          <w:rFonts w:ascii="Arial" w:cs="Arial" w:eastAsia="Arial" w:hAnsi="Arial"/>
          <w:sz w:val="18"/>
          <w:szCs w:val="18"/>
          <w:i w:val="1"/>
          <w:iCs w:val="1"/>
          <w:color w:val="auto"/>
        </w:rPr>
        <w:t>Operating Revenues.</w:t>
      </w:r>
    </w:p>
    <w:p>
      <w:pPr>
        <w:spacing w:after="0" w:line="79"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i w:val="1"/>
          <w:iCs w:val="1"/>
          <w:color w:val="auto"/>
        </w:rPr>
        <w:t xml:space="preserve">Disposal and franchise fees and taxes </w:t>
      </w:r>
      <w:r>
        <w:rPr>
          <w:rFonts w:ascii="Arial" w:cs="Arial" w:eastAsia="Arial" w:hAnsi="Arial"/>
          <w:sz w:val="16"/>
          <w:szCs w:val="16"/>
          <w:color w:val="auto"/>
        </w:rPr>
        <w:t>— These cost increases are the result of increased volumes and increased rates for mandated fees and taxes.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these cost increases are passed through to our customers, and have been reflected as fee yield increases within </w:t>
      </w:r>
      <w:r>
        <w:rPr>
          <w:rFonts w:ascii="Arial" w:cs="Arial" w:eastAsia="Arial" w:hAnsi="Arial"/>
          <w:sz w:val="16"/>
          <w:szCs w:val="16"/>
          <w:i w:val="1"/>
          <w:iCs w:val="1"/>
          <w:color w:val="auto"/>
        </w:rPr>
        <w:t>Operating Revenues.</w:t>
      </w:r>
    </w:p>
    <w:p>
      <w:pPr>
        <w:spacing w:after="0" w:line="16"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These cost increases have generally been related to higher site maintenance, leachate collection, monitoring and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and post-closure expenses.</w:t>
      </w:r>
    </w:p>
    <w:p>
      <w:pPr>
        <w:spacing w:after="0" w:line="62" w:lineRule="exact"/>
        <w:rPr>
          <w:sz w:val="20"/>
          <w:szCs w:val="20"/>
          <w:color w:val="auto"/>
        </w:rPr>
      </w:pPr>
    </w:p>
    <w:p>
      <w:pPr>
        <w:ind w:right="360" w:firstLine="270"/>
        <w:spacing w:after="0" w:line="308" w:lineRule="auto"/>
        <w:rPr>
          <w:sz w:val="20"/>
          <w:szCs w:val="20"/>
          <w:color w:val="auto"/>
        </w:rPr>
      </w:pP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 Over the last two years, we have been successful in maintaining these costs at a consistent level largely due to reduced workers’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costs, which can partially be attributed to our continued focus on safety and reduced accident and injury rates.</w:t>
      </w:r>
    </w:p>
    <w:p>
      <w:pPr>
        <w:spacing w:after="0" w:line="38"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 The increase in these costs since 2004 can be attributed to (i) Hurricane Katrina related support costs, particularly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Louisiana, where we built Camp Waste Management to house and feed hundreds of our employees who worked in the New Orleans area to help with the cleanup efforts; (ii) a year-over-year decrease in the realization of gains on sales of assets; (iii) costs incurred during 2005 attributable to labor strikes in New Jersey and Canada; and (iv) an increase in costs generated by a surety bonding company we have consolidated since the third quarter of 2003 under the provisions of Financial Accounting Standards Board Interpretation No. 46,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xml:space="preserve"> (“FIN 46”).</w:t>
      </w:r>
    </w:p>
    <w:p>
      <w:pPr>
        <w:spacing w:after="0" w:line="64"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The primary reason for the decrease during 2004 as compared with 2003 is the December 31, 2003 consolidation of two special purpose type variable interest entities, from which we lease three waste-to-energy facilities. The consolidation of these entities is as a result of our FIN 46 implementation. Prior to the consolidation of these entities, we accounted for these arrangements as operating leases. The consolidation of these entities, therefore, resulted in a decline in rental expense in 2004, which was mostly offset by increases in depreciation, interest expense and minority interest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80" w:firstLine="270"/>
        <w:spacing w:after="0" w:line="302" w:lineRule="auto"/>
        <w:rPr>
          <w:sz w:val="20"/>
          <w:szCs w:val="20"/>
          <w:color w:val="auto"/>
        </w:rPr>
      </w:pPr>
      <w:r>
        <w:rPr>
          <w:rFonts w:ascii="Arial" w:cs="Arial" w:eastAsia="Arial" w:hAnsi="Arial"/>
          <w:sz w:val="16"/>
          <w:szCs w:val="16"/>
          <w:color w:val="auto"/>
        </w:rPr>
        <w:t>Our selling, general and administrative expenses consist of (i) labor costs, which include salaries,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46"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year ended December 31 for the respective periods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w w:val="92"/>
              </w:rPr>
              <w:t>Period-to-Period</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Period-to-Period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16</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Professional fees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728"/>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w w:val="79"/>
              </w:rPr>
              <w:t>11.9</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788"/>
              <w:spacing w:after="0"/>
              <w:rPr>
                <w:sz w:val="20"/>
                <w:szCs w:val="20"/>
                <w:color w:val="auto"/>
              </w:rPr>
            </w:pPr>
            <w:r>
              <w:rPr>
                <w:rFonts w:ascii="Arial" w:cs="Arial" w:eastAsia="Arial" w:hAnsi="Arial"/>
                <w:sz w:val="18"/>
                <w:szCs w:val="18"/>
                <w:color w:val="auto"/>
              </w:rPr>
              <w:t>6</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xml:space="preserve">— Throughout 2005 we experienced increases in (i) non-cash compensation costs associated with recent changes in equity-based compensation provided for by our long-term incentive plan and (ii) group insurance costs largely due to general health care cost increases. In both 2005 and 2004, these costs increased year-over-year due to higher salaries and hourly wages driven by annual merit raises as well as higher bonus expense due to the overall improvement in our performance on a year-over-year basis. Also contributing to the increase in labor costs in 2004 when compared with 2003 was an increase in commissions paid to our sales personnel. Declines in our use of contract labor, particularly for Corporate support functions, partially offset these cost increases for both 2005 and 2004. Additionally, during the second half of 2005 we began to realize the benefits of our July 2005 reorganization, which simplified our management structure to increase the accountability and responsibility of our Market Areas. Our ability to streamline our organization in this manner can be attributed to our continued focus on creating efficiencies with our key personnel. Our 2005 and 2003 restructurings have been a result of identifying the most effective utilization of our resources, and are discussed in the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section below.</w:t>
      </w:r>
    </w:p>
    <w:p>
      <w:pPr>
        <w:spacing w:after="0" w:line="59" w:lineRule="exact"/>
        <w:rPr>
          <w:sz w:val="20"/>
          <w:szCs w:val="20"/>
          <w:color w:val="auto"/>
        </w:rPr>
      </w:pPr>
    </w:p>
    <w:p>
      <w:pPr>
        <w:ind w:right="200" w:firstLine="270"/>
        <w:spacing w:after="0" w:line="297"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 In 2004, we experienced an increase in professional fees as a result of higher litigation and defense costs as well as consulting fees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were largely due to our implementation of Section 404 of the Sarbanes-Oxley Act of 2002. The decline in our litigation and defense costs in the current year is due to several cases winding down and either being settled or moving into the settlement stages. Consulting costs associated with Sarbanes-Oxley compliance have also decreased as we move from the implementation phase to continued monitoring and testing. In 2005, an increase in consulting fees related to our pricing initiatives and an increase in our computer support costs have partially offset these reductions.</w:t>
      </w:r>
    </w:p>
    <w:p>
      <w:pPr>
        <w:spacing w:after="0" w:line="50"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As a percentage of revenue, these costs have continued to decline largely due to improved collection efforts.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in 2005 was generally attributable to a year-over-year increase in third-party collection costs.</w:t>
      </w:r>
    </w:p>
    <w:p>
      <w:pPr>
        <w:spacing w:after="0" w:line="62" w:lineRule="exact"/>
        <w:rPr>
          <w:sz w:val="20"/>
          <w:szCs w:val="20"/>
          <w:color w:val="auto"/>
        </w:rPr>
      </w:pPr>
    </w:p>
    <w:p>
      <w:pPr>
        <w:ind w:right="380" w:firstLine="270"/>
        <w:spacing w:after="0" w:line="286" w:lineRule="auto"/>
        <w:rPr>
          <w:sz w:val="20"/>
          <w:szCs w:val="20"/>
          <w:color w:val="auto"/>
        </w:rPr>
      </w:pPr>
      <w:r>
        <w:rPr>
          <w:rFonts w:ascii="Arial" w:cs="Arial" w:eastAsia="Arial" w:hAnsi="Arial"/>
          <w:sz w:val="17"/>
          <w:szCs w:val="17"/>
          <w:i w:val="1"/>
          <w:iCs w:val="1"/>
          <w:color w:val="auto"/>
        </w:rPr>
        <w:t xml:space="preserve">Other selling, general and administrative costs </w:t>
      </w:r>
      <w:r>
        <w:rPr>
          <w:rFonts w:ascii="Arial" w:cs="Arial" w:eastAsia="Arial" w:hAnsi="Arial"/>
          <w:sz w:val="17"/>
          <w:szCs w:val="17"/>
          <w:color w:val="auto"/>
        </w:rPr>
        <w:t>— Although we did not see a significant fluctuation in these costs when comparing 2005 with 2004,</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and marketing costs related to our national advertising campaign did result in a notable increase in these expenses in the current year. The recognition of favorable settlements for legal disputes during 2003 drove the increase in these costs from 2003 to 2004.</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Depreciation and amortization includes (i) depreciation of property and equipment, including assets recorded due to capital leases, on a straight-line basis from three to 50 years; (ii) amortization of landfill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w:t>
      </w:r>
    </w:p>
    <w:p>
      <w:pPr>
        <w:ind w:right="200" w:firstLine="8"/>
        <w:spacing w:after="0" w:line="261"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intangible assets with a definite life, either using a 150% declining balance approach or a straight-line basis over the definitive terms of the related agreements, which are from two to ten years depending on the type of asset.</w:t>
      </w:r>
    </w:p>
    <w:p>
      <w:pPr>
        <w:spacing w:after="0" w:line="76"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Depreciation and amortization expense increased by $25 million during the year ended December 31, 2005. This increase is largely attributable to a $21 million charge to landfill amortization recorded to adjust the amortization periods of nine of our landfills. These adjustments reflect cumulative corrections resulting from reducing the amortization periods of the landfills and were necessary to align the lives of the landfills for amortization purposes with the terms of the underlying contractual agreements supporting their operations. We determined that the impact of these adjustments was not material to 2005 or prior periods’ results of operations.</w:t>
      </w:r>
    </w:p>
    <w:p>
      <w:pPr>
        <w:spacing w:after="0" w:line="8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Our 2005 landfill airspace and landfill asset retirement cost amortization also increased when compared with 2004 as a result of the comparative impact of landfill amortization reductions recorded in each year for changes in estimates related to our final capping, closure and post closure obligations. During the years ended December 31, 2005 and 2004, landfill amortization expense was reduced by $12 million and $20 million, respectively, with the majority of the reduced expense resulting from revised estimates associated with final capping changes. Similar adjustments did not significantly affect our landfill amortization expense in 2003.</w:t>
      </w:r>
    </w:p>
    <w:p>
      <w:pPr>
        <w:spacing w:after="0" w:line="80" w:lineRule="exact"/>
        <w:rPr>
          <w:sz w:val="20"/>
          <w:szCs w:val="20"/>
          <w:color w:val="auto"/>
        </w:rPr>
      </w:pPr>
    </w:p>
    <w:p>
      <w:pPr>
        <w:ind w:right="100" w:firstLine="270"/>
        <w:spacing w:after="0" w:line="276" w:lineRule="auto"/>
        <w:rPr>
          <w:sz w:val="20"/>
          <w:szCs w:val="20"/>
          <w:color w:val="auto"/>
        </w:rPr>
      </w:pPr>
      <w:r>
        <w:rPr>
          <w:rFonts w:ascii="Arial" w:cs="Arial" w:eastAsia="Arial" w:hAnsi="Arial"/>
          <w:sz w:val="17"/>
          <w:szCs w:val="17"/>
          <w:color w:val="auto"/>
        </w:rPr>
        <w:t>Depreciation and amortization expense increased by $71 million during the year ended December 31, 2004 as compared with 2003. The increase in depreciation and amortization in 2004 was primarily related to (i) an increase in our landfill amortization rate, net of the adjustment related to our landfill retirement costs, of $0.19 per ton, and, to a lesser extent, an increase in landfill airspace amortization due to higher volumes; (ii) increased information technology depreciation expense recognized as a result of placing additional enterprise-wide software systems into service during the latter half of 2003; and (iii) increased depreciation expense for our Wheelabrator Group as a result of consolidating two variable interest entities.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right="300" w:firstLine="270"/>
        <w:spacing w:after="0" w:line="279" w:lineRule="auto"/>
        <w:rPr>
          <w:sz w:val="20"/>
          <w:szCs w:val="20"/>
          <w:color w:val="auto"/>
        </w:rPr>
      </w:pPr>
      <w:r>
        <w:rPr>
          <w:rFonts w:ascii="Arial" w:cs="Arial" w:eastAsia="Arial" w:hAnsi="Arial"/>
          <w:sz w:val="17"/>
          <w:szCs w:val="17"/>
          <w:color w:val="auto"/>
        </w:rPr>
        <w:t>Management continuously reviews our organization to determine if we are operating under the most advantageous structure. These reviews have highlighted efficiencies and cost savings we could capture by restructuring. The most significant cost savings we have obtained through our restructurings have been attributable to the labor and related benefits component of our “Selling, general and administrative” expenses. The following summarizes the organizational changes that have occurred during the last three years to reach our current structure.</w:t>
      </w:r>
    </w:p>
    <w:p>
      <w:pPr>
        <w:spacing w:after="0" w:line="63"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In February 2003, we reduced the number of market areas that make up our geographic operating Groups and reduced certain overhead positions to streamline our organization. As a result, we incurred $20 million in one-time employee severance and benefit costs. The operational efficiencies provided by the February 2003 organizational changes enabled us to further reduce our workforce in June 2003. We recorded an additional $24 million of pre-tax charges for employee severance and benefit costs associated with this workforce reduction during 2003. In 2004, we recorded a $1 million credit to reduce our accrual for severance costs associated with the 2003 workforce reductions.</w:t>
      </w:r>
    </w:p>
    <w:p>
      <w:pPr>
        <w:spacing w:after="0" w:line="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has reduced costs at the Group and Corporate offices and increased the accountability of our Market Areas. We recorded $28 million of pre-tax charges for costs associated with the implementation of the new structure, principally for employee severance and benefit costs.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117" w:lineRule="exact"/>
        <w:rPr>
          <w:sz w:val="20"/>
          <w:szCs w:val="20"/>
          <w:color w:val="auto"/>
        </w:rPr>
      </w:pPr>
    </w:p>
    <w:p>
      <w:pPr>
        <w:ind w:right="440" w:firstLine="267"/>
        <w:spacing w:after="0" w:line="277" w:lineRule="auto"/>
        <w:rPr>
          <w:sz w:val="20"/>
          <w:szCs w:val="20"/>
          <w:color w:val="auto"/>
        </w:rPr>
      </w:pPr>
      <w:r>
        <w:rPr>
          <w:rFonts w:ascii="Arial" w:cs="Arial" w:eastAsia="Arial" w:hAnsi="Arial"/>
          <w:sz w:val="18"/>
          <w:szCs w:val="18"/>
          <w:color w:val="auto"/>
        </w:rPr>
        <w:t>The following table summarizes the major components of “Asset impairments and unusual items” for the year ended December 31 for the respective periods (in millions):</w:t>
      </w:r>
    </w:p>
    <w:p>
      <w:pPr>
        <w:spacing w:after="0" w:line="6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Years Ended</w:t>
      </w:r>
    </w:p>
    <w:p>
      <w:pPr>
        <w:ind w:left="9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2004</w:t>
            </w: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gains on divestitures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40" w:firstLine="267"/>
        <w:spacing w:after="0" w:line="342" w:lineRule="auto"/>
        <w:rPr>
          <w:sz w:val="20"/>
          <w:szCs w:val="20"/>
          <w:color w:val="auto"/>
        </w:rPr>
      </w:pPr>
      <w:r>
        <w:rPr>
          <w:rFonts w:ascii="Arial" w:cs="Arial" w:eastAsia="Arial" w:hAnsi="Arial"/>
          <w:sz w:val="16"/>
          <w:szCs w:val="16"/>
          <w:color w:val="auto"/>
        </w:rPr>
        <w:t>The significant transactions and events resulting in asset impairments, net gains on divestitures and other financial statement impacts within “Asset impairments and unusual items” in our Consolidated Statements of Operations during the three years ended December 31, 2005 are discussed below:</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Year Ended December 31, 2005</w:t>
      </w:r>
    </w:p>
    <w:p>
      <w:pPr>
        <w:spacing w:after="0" w:line="117"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i w:val="1"/>
          <w:iCs w:val="1"/>
          <w:color w:val="auto"/>
        </w:rPr>
        <w:t xml:space="preserve">Asset impairments </w:t>
      </w:r>
      <w:r>
        <w:rPr>
          <w:rFonts w:ascii="Arial" w:cs="Arial" w:eastAsia="Arial" w:hAnsi="Arial"/>
          <w:sz w:val="17"/>
          <w:szCs w:val="17"/>
          <w:color w:val="auto"/>
        </w:rPr>
        <w:t>— During the second quarter of 2005, we recorded a $35 million charge for the impairment of the Pottstown Landfill located in West</w:t>
      </w:r>
      <w:r>
        <w:rPr>
          <w:rFonts w:ascii="Arial" w:cs="Arial" w:eastAsia="Arial" w:hAnsi="Arial"/>
          <w:sz w:val="17"/>
          <w:szCs w:val="17"/>
          <w:i w:val="1"/>
          <w:iCs w:val="1"/>
          <w:color w:val="auto"/>
        </w:rPr>
        <w:t xml:space="preserve"> </w:t>
      </w:r>
      <w:r>
        <w:rPr>
          <w:rFonts w:ascii="Arial" w:cs="Arial" w:eastAsia="Arial" w:hAnsi="Arial"/>
          <w:sz w:val="17"/>
          <w:szCs w:val="17"/>
          <w:color w:val="auto"/>
        </w:rPr>
        <w:t>Pottsgrove Township, Pennsylvania. We determined that an impairment was necessary after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 The Pottstown Landfill had not been a significant contributor to our recent earnings nor do we expect the expansion denial to have a material adverse effect on our future results of operations or cash flows.</w:t>
      </w:r>
    </w:p>
    <w:p>
      <w:pPr>
        <w:spacing w:after="0" w:line="74"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Through June 30, 2005, our “Property and equipment” had included approximately $80 million of accumulated costs associated with a revenue management system.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our revenue management system were suspended in 2003. Since that time, there have been changes in the viable software alternatives available to address our current needs. During the third quarter of 2005, we concluded our assessment of potential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7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During the fourth quarter of 2005, we recognized an $18 million charge for asset impairments. This charge was primarily attributable to the impairment of a landfill in our Eastern Group, as a result of a change in our expectations for future expansions, and the impairment of capitalized software costs related to two applications we decided not to develop further.</w:t>
      </w:r>
    </w:p>
    <w:p>
      <w:pPr>
        <w:spacing w:after="0" w:line="7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i w:val="1"/>
          <w:iCs w:val="1"/>
          <w:color w:val="auto"/>
        </w:rPr>
        <w:t xml:space="preserve">Net gains on divestitures </w:t>
      </w:r>
      <w:r>
        <w:rPr>
          <w:rFonts w:ascii="Arial" w:cs="Arial" w:eastAsia="Arial" w:hAnsi="Arial"/>
          <w:sz w:val="18"/>
          <w:szCs w:val="18"/>
          <w:color w:val="auto"/>
        </w:rPr>
        <w:t>— During the first quarter of 2005, we recognized a $39 million gain as a result of the divestiture of a landfill in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Canada, which was required as a result of a Divestiture Order from the Canadian Competition Bureau. During the remainder of 2005, we recognized a total of $40 million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gains as a result of the divestiture of operations. With the exception of our divestiture of the Ontario, Canada landfill, our divestitures during 2005 were generally part of our plan to review under-performing or non-strategic operations and to either improve their performance or dispose of the operations.</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proceeds from divestitures completed during the year ended December 31, 2005 were $172 million, of which $140 million was received in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 million was in the form of a note receivable and $9 million was in the form of non-monetary assets. We do not believe that these divestitures are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either individually or in the aggregate and we do not expect these divestitures to materially affect our consolidated financial position or future results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or cash flows.</w:t>
      </w:r>
    </w:p>
    <w:p>
      <w:pPr>
        <w:spacing w:after="0" w:line="103"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During the first quarter of 2005, we recognized a charge of approximately $16 million for the impact of a litigation settlement reached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group of stockholders that opted not to participate in the 2000 settlement of the securities class action lawsuit against us related to 1998 and 1999 activity. During the third quarter of 2005, we settled our ongoing defense costs and any future indemnity obligations for four former officers of WM Holdings related to legacy litigation brought by the SEC against such former officers. As a result, we recorded a $26.8 million charge for the funding of the court ordered distribution to our shareholders for the former officers’ settlement of the litigation. As discussed in Note 10 to our Consolidated Financial Statements, this settlement agreement resulted in a distribution of $27.5 million to WMI shareholders of record as of August 25, 2005.</w:t>
      </w:r>
    </w:p>
    <w:p>
      <w:pPr>
        <w:spacing w:after="0" w:line="70" w:lineRule="exact"/>
        <w:rPr>
          <w:sz w:val="20"/>
          <w:szCs w:val="20"/>
          <w:color w:val="auto"/>
        </w:rPr>
      </w:pPr>
    </w:p>
    <w:p>
      <w:pPr>
        <w:ind w:right="680" w:firstLine="267"/>
        <w:spacing w:after="0" w:line="308" w:lineRule="auto"/>
        <w:rPr>
          <w:sz w:val="20"/>
          <w:szCs w:val="20"/>
          <w:color w:val="auto"/>
        </w:rPr>
      </w:pPr>
      <w:r>
        <w:rPr>
          <w:rFonts w:ascii="Arial" w:cs="Arial" w:eastAsia="Arial" w:hAnsi="Arial"/>
          <w:sz w:val="17"/>
          <w:szCs w:val="17"/>
          <w:color w:val="auto"/>
        </w:rPr>
        <w:t>These charges were partially offset by the recognition of a $12 million net benefit recorded during the year ended December 31, 2005, which was primarily for adjustments to our receivables and estimated obligations for non-solid waste operations divested in 1999 and 2000.</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Year Ended December 31, 2004</w:t>
      </w:r>
    </w:p>
    <w:p>
      <w:pPr>
        <w:spacing w:after="0" w:line="117"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For 2004, the significant items included within “Asset impairments and unusual items” were (i) $17 million in impairment losses primarily due to the impairment of certain landfill assets and software development costs; (ii) $12 million in gains on divestitures that primarily related to certain Port-O-Let</w:t>
      </w:r>
      <w:r>
        <w:rPr>
          <w:rFonts w:ascii="Arial" w:cs="Arial" w:eastAsia="Arial" w:hAnsi="Arial"/>
          <w:sz w:val="15"/>
          <w:szCs w:val="15"/>
          <w:color w:val="auto"/>
        </w:rPr>
        <w:t>®</w:t>
      </w:r>
      <w:r>
        <w:rPr>
          <w:rFonts w:ascii="Arial" w:cs="Arial" w:eastAsia="Arial" w:hAnsi="Arial"/>
          <w:sz w:val="18"/>
          <w:szCs w:val="18"/>
          <w:color w:val="auto"/>
        </w:rPr>
        <w:t xml:space="preserve"> operations; and (iii) $18 million in miscellaneous net gains, which were primarily for adjustments to our estimated obligations associated with non-solid waste services, which were divested in 1999 and 2000.</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Year Ended December 31, 2003</w:t>
      </w:r>
    </w:p>
    <w:p>
      <w:pPr>
        <w:spacing w:after="0" w:line="117" w:lineRule="exact"/>
        <w:rPr>
          <w:sz w:val="20"/>
          <w:szCs w:val="20"/>
          <w:color w:val="auto"/>
        </w:rPr>
      </w:pPr>
    </w:p>
    <w:p>
      <w:pPr>
        <w:ind w:right="680" w:firstLine="270"/>
        <w:spacing w:after="0" w:line="342" w:lineRule="auto"/>
        <w:rPr>
          <w:sz w:val="20"/>
          <w:szCs w:val="20"/>
          <w:color w:val="auto"/>
        </w:rPr>
      </w:pPr>
      <w:r>
        <w:rPr>
          <w:rFonts w:ascii="Arial" w:cs="Arial" w:eastAsia="Arial" w:hAnsi="Arial"/>
          <w:sz w:val="16"/>
          <w:szCs w:val="16"/>
          <w:color w:val="auto"/>
        </w:rPr>
        <w:t>For 2003, the significant items included within “Asset impairments and unusual items” were $5 million in impairment losses primarily due to the impairment of certain landfill assets and $13 million in gains on divestitures that primarily related to divested operations in the Western Group.</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117"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following table summarizes income from operations by reportable segment for the year ended December 31 for each respective period and provides explanations of factors contributing to the significant changes in our segments’ operating results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Period-to-Period</w:t>
            </w: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Period-to-Period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Midwest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Western</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Recycling</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Corporate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(149)</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Eastern </w:t>
      </w:r>
      <w:r>
        <w:rPr>
          <w:rFonts w:ascii="Arial" w:cs="Arial" w:eastAsia="Arial" w:hAnsi="Arial"/>
          <w:sz w:val="18"/>
          <w:szCs w:val="18"/>
          <w:color w:val="auto"/>
        </w:rPr>
        <w:t>— Operating income was relatively flat when comparing 2005 with 2004. Current year operating income has been favorably affected by base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yield improvement, particularly in the collection and transfer lines of business and recent tuck-in acquisitions. These operational improvements were offset by (i) the recognition of a net charge of $44 million to “Asset impairments and unusual items,” which was driven by the impairment of the Pottstown Landfill, and (ii) additional operating costs of $9 million attributable to a seven-week labor strike in New Jersey in the first quarter of 2005. In addition, our focus on improving base business yield has resulted in partially offsetting volume declines during 2005, which reflects the competitive nature of the region and our decision to concentrate on higher margin revenues.</w:t>
      </w:r>
    </w:p>
    <w:p>
      <w:pPr>
        <w:spacing w:after="0" w:line="85" w:lineRule="exact"/>
        <w:rPr>
          <w:sz w:val="20"/>
          <w:szCs w:val="20"/>
          <w:color w:val="auto"/>
        </w:rPr>
      </w:pPr>
    </w:p>
    <w:p>
      <w:pPr>
        <w:ind w:right="20" w:firstLine="267"/>
        <w:spacing w:after="0" w:line="302" w:lineRule="auto"/>
        <w:rPr>
          <w:sz w:val="20"/>
          <w:szCs w:val="20"/>
          <w:color w:val="auto"/>
        </w:rPr>
      </w:pPr>
      <w:r>
        <w:rPr>
          <w:rFonts w:ascii="Arial" w:cs="Arial" w:eastAsia="Arial" w:hAnsi="Arial"/>
          <w:sz w:val="16"/>
          <w:szCs w:val="16"/>
          <w:color w:val="auto"/>
        </w:rPr>
        <w:t>The improvement in operating income from 2003 to 2004 was driven primarily by (i) revenue growth due to increased average yield across all major lines of business, partially offset by volume declines in transfer, residential collection and landfill operations throughout the year; (ii) higher operating expenses incurred in 2003 as compared with 2004 due to the first quarter’s harsh weather conditions; and (iii) acquisitions. These earnings improvements were partially offset by increased costs for labor and the transportation of waste, higher landfill amortization rates and the impairment of a landfill.</w:t>
      </w:r>
    </w:p>
    <w:p>
      <w:pPr>
        <w:spacing w:after="0" w:line="46"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i w:val="1"/>
          <w:iCs w:val="1"/>
          <w:color w:val="auto"/>
        </w:rPr>
        <w:t xml:space="preserve">Midwest </w:t>
      </w:r>
      <w:r>
        <w:rPr>
          <w:rFonts w:ascii="Arial" w:cs="Arial" w:eastAsia="Arial" w:hAnsi="Arial"/>
          <w:sz w:val="17"/>
          <w:szCs w:val="17"/>
          <w:color w:val="auto"/>
        </w:rPr>
        <w:t>— The current year increase in income from operations was primarily due to revenue growth associated with increased base business yield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collection line of business, which was driven principally by residential collection operations. Also positively affecting results compared with the prior year was a decline in landfill amortization expense generally as a result of changes in certain estimates related to our final capping, closure and post-closure obligations. However, our focus on improving base business yield has resulted in partially offsetting volume declines during 2005.</w:t>
      </w:r>
    </w:p>
    <w:p>
      <w:pPr>
        <w:spacing w:after="0" w:line="63"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Operating income between 2003 and 2004 was relatively flat. The slight increase in operating income in 2004 can largely be attributed to higher operating expenses incurred in the first quarter of 2003 due to harsh winter weather conditions.</w:t>
      </w:r>
    </w:p>
    <w:p>
      <w:pPr>
        <w:spacing w:after="0" w:line="62" w:lineRule="exact"/>
        <w:rPr>
          <w:sz w:val="20"/>
          <w:szCs w:val="20"/>
          <w:color w:val="auto"/>
        </w:rPr>
      </w:pPr>
    </w:p>
    <w:p>
      <w:pPr>
        <w:ind w:right="20" w:firstLine="270"/>
        <w:spacing w:after="0" w:line="284" w:lineRule="auto"/>
        <w:rPr>
          <w:sz w:val="20"/>
          <w:szCs w:val="20"/>
          <w:color w:val="auto"/>
        </w:rPr>
      </w:pPr>
      <w:r>
        <w:rPr>
          <w:rFonts w:ascii="Arial" w:cs="Arial" w:eastAsia="Arial" w:hAnsi="Arial"/>
          <w:sz w:val="16"/>
          <w:szCs w:val="16"/>
          <w:i w:val="1"/>
          <w:iCs w:val="1"/>
          <w:color w:val="auto"/>
        </w:rPr>
        <w:t xml:space="preserve">Southern </w:t>
      </w:r>
      <w:r>
        <w:rPr>
          <w:rFonts w:ascii="Arial" w:cs="Arial" w:eastAsia="Arial" w:hAnsi="Arial"/>
          <w:sz w:val="16"/>
          <w:szCs w:val="16"/>
          <w:color w:val="auto"/>
        </w:rPr>
        <w:t>— Strong internal revenue growth contributed significantly to the increase in income from operations during 2005. The most significant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was associated with base business yield improvements in the collection line of business and volume-related revenue growth in the transfer and landfill disposal lines of business. In addition, $13 million of the increase in income from operations was attributable to gains recognized on the divestiture of operations during 2005. These increases were partially offset by (i) a decline in earnings related to hurricanes, largely due to the temporary suspension of operations in the areas affected by Hurricane Katrina; (ii) the effects of higher landfill amortization costs, generally due to reductions in landfill amortization periods to align the lives of the landfills for amortization purposes with the terms of the underlying contractual agreements supporting their operations;</w:t>
      </w:r>
    </w:p>
    <w:p>
      <w:pPr>
        <w:spacing w:after="0" w:line="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higher landfill amortization expense as a result of changes in certain estimates related to our final capping, closure and post-closure obligations;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salaries and wages.</w:t>
      </w:r>
    </w:p>
    <w:p>
      <w:pPr>
        <w:spacing w:after="0" w:line="103" w:lineRule="exact"/>
        <w:rPr>
          <w:sz w:val="20"/>
          <w:szCs w:val="20"/>
          <w:color w:val="auto"/>
        </w:rPr>
      </w:pPr>
    </w:p>
    <w:p>
      <w:pPr>
        <w:ind w:right="580" w:firstLine="270"/>
        <w:spacing w:after="0" w:line="291" w:lineRule="auto"/>
        <w:rPr>
          <w:sz w:val="20"/>
          <w:szCs w:val="20"/>
          <w:color w:val="auto"/>
        </w:rPr>
      </w:pPr>
      <w:r>
        <w:rPr>
          <w:rFonts w:ascii="Arial" w:cs="Arial" w:eastAsia="Arial" w:hAnsi="Arial"/>
          <w:sz w:val="16"/>
          <w:szCs w:val="16"/>
          <w:color w:val="auto"/>
        </w:rPr>
        <w:t>Operating income in 2004 was favorably affected by (i) positive internal revenue growth, largely due to volume increases in higher margin landfill operations; (ii) acquisitions; (iii) increased revenue during the second half of 2004 as a result of the hurricanes in the region during the third quarter;</w:t>
      </w: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favorable landfill capping adjustments in the fourth quarter of 2004, largely offset by higher landfill amortization rates utilized throughout 2004; and</w:t>
      </w:r>
    </w:p>
    <w:p>
      <w:pPr>
        <w:spacing w:after="0" w:line="20" w:lineRule="exact"/>
        <w:rPr>
          <w:rFonts w:ascii="Arial" w:cs="Arial" w:eastAsia="Arial" w:hAnsi="Arial"/>
          <w:sz w:val="17"/>
          <w:szCs w:val="17"/>
          <w:color w:val="auto"/>
        </w:rPr>
      </w:pPr>
    </w:p>
    <w:p>
      <w:pPr>
        <w:ind w:right="10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various operating and administrative cost reductions. These improvements were partially offset by a charge to “Asset impairments and unusual items” for the write-off of a terminated landfill development project during the fourth quarter of 2004.</w:t>
      </w:r>
    </w:p>
    <w:p>
      <w:pPr>
        <w:spacing w:after="0" w:line="76"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i w:val="1"/>
          <w:iCs w:val="1"/>
          <w:color w:val="auto"/>
        </w:rPr>
        <w:t xml:space="preserve">Western </w:t>
      </w:r>
      <w:r>
        <w:rPr>
          <w:rFonts w:ascii="Arial" w:cs="Arial" w:eastAsia="Arial" w:hAnsi="Arial"/>
          <w:sz w:val="17"/>
          <w:szCs w:val="17"/>
          <w:color w:val="auto"/>
        </w:rPr>
        <w:t>— The significant increase in income from operations in 2005 can partially be attributed to internal revenue growth, which was driven by yield</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commercial and industrial collection operations and volume growth in residential collection and transfer operations. In addition, during 2005, we recognized $24 million of gains associated with the divestiture of operations, an increase of approximately $14 million from 2004. These earnings improvements were partially offset by increased costs, particularly for labor and related benefits.</w:t>
      </w:r>
    </w:p>
    <w:p>
      <w:pPr>
        <w:spacing w:after="0" w:line="63"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The increase in operating income between 2003 and 2004 was primarily attributable to revenue growth, which was largely due to increased volumes in industrial and residential collection and transfer operations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average yield improvements in our commercial and residential collection operations. These gains were partially offset by (i) increased labor costs; (ii) higher fuel costs not passed on to customers; and (iii) increases in third party transportation and other subcontractor costs.</w:t>
      </w:r>
    </w:p>
    <w:p>
      <w:pPr>
        <w:spacing w:after="0" w:line="62"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The electric rates we charge to our customers at our waste-to-energy facilities increased significantly during the latter portion of 2005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higher market prices for natural gas, which increased significantly as a result of hurricane-related production disruptions, increased demand and increases in crude oil prices. This increase in rates was the principal reason for the current year increase in Wheelabrator’s income from operations. The favorable impact of market prices for natural gas was partially offset by higher costs of goods sold and higher repair and maintenance costs due to the scope and timing of work performed in 2005 as compared with 2004.</w:t>
      </w:r>
    </w:p>
    <w:p>
      <w:pPr>
        <w:spacing w:after="0" w:line="80" w:lineRule="exact"/>
        <w:rPr>
          <w:sz w:val="20"/>
          <w:szCs w:val="20"/>
          <w:color w:val="auto"/>
        </w:rPr>
      </w:pPr>
    </w:p>
    <w:p>
      <w:pPr>
        <w:ind w:right="140" w:firstLine="267"/>
        <w:spacing w:after="0" w:line="255" w:lineRule="auto"/>
        <w:rPr>
          <w:sz w:val="20"/>
          <w:szCs w:val="20"/>
          <w:color w:val="auto"/>
        </w:rPr>
      </w:pPr>
      <w:r>
        <w:rPr>
          <w:rFonts w:ascii="Arial" w:cs="Arial" w:eastAsia="Arial" w:hAnsi="Arial"/>
          <w:sz w:val="18"/>
          <w:szCs w:val="18"/>
          <w:color w:val="auto"/>
        </w:rPr>
        <w:t>The increase in 2004 operating income was due in large part to (i) positive internal revenue growth driven by improved electricity pricing and average yield improvements on long-term disposal contracts and (ii) the consolidation of two special purpose variable interest entities on December 31, 2003, which increased income from operations as a result of decreased operating costs, partially offset by increases in depreciation expense (the impact of the consolidation of these entities on income before income taxes is significantly reduced by increases in interest expense and minority interest expense). Wheelabrator’s 2003 operating results were favorably affected by an $11 million gain realized as a result of a legal settlement, which also significantly affected their trended income from operations for the years presented.</w:t>
      </w:r>
    </w:p>
    <w:p>
      <w:pPr>
        <w:spacing w:after="0" w:line="85"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 The decrease in income from operations in our Recycling Group during 2005 when compared with the prior year can generally be attributed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to (i) an increase in the rebates paid to our suppliers as a result of increased competition; (ii) costs related to the deployment of new software; and (iii) higher subcontractor costs primarily related to increased distances traveled by third-party truckers.</w:t>
      </w:r>
    </w:p>
    <w:p>
      <w:pPr>
        <w:spacing w:after="0" w:line="73" w:lineRule="exact"/>
        <w:rPr>
          <w:sz w:val="20"/>
          <w:szCs w:val="20"/>
          <w:color w:val="auto"/>
        </w:rPr>
      </w:pPr>
    </w:p>
    <w:p>
      <w:pPr>
        <w:ind w:right="140" w:firstLine="267"/>
        <w:spacing w:after="0" w:line="297" w:lineRule="auto"/>
        <w:rPr>
          <w:sz w:val="20"/>
          <w:szCs w:val="20"/>
          <w:color w:val="auto"/>
        </w:rPr>
      </w:pPr>
      <w:r>
        <w:rPr>
          <w:rFonts w:ascii="Arial" w:cs="Arial" w:eastAsia="Arial" w:hAnsi="Arial"/>
          <w:sz w:val="16"/>
          <w:szCs w:val="16"/>
          <w:color w:val="auto"/>
        </w:rPr>
        <w:t>The comparability of operating results for the Recycling Group for all of the periods presented above has been affected by variances in the market prices for recyclable commodities. During the three years ended December 31, 2005, year-over-year changes in the quarterly average market prices of OCC and ONP have ranged from a decrease of as much as 37% to an increase of as much as 36%. In 2004, our operating revenues were favorably affected by significantly higher market prices for these commodities. Improvements in the market prices for recycable commodities provide marginal increases to our income from operations because a substantial portion of changes in market prices are generally passed on as rebates to our suppliers.</w:t>
      </w:r>
    </w:p>
    <w:p>
      <w:pPr>
        <w:spacing w:after="0" w:line="5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increase in income from operations from prior years is due to a pre-tax gain of $39 million resulting from the divestiture of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landfills in Ontario, Canada during the first quarter of 2005. This impact is included in “Asset impairments and unusual items” within our Consolidated Statement of Operations. As this landfill had been divested at the time of our 2005 reorganization, historical financial information associated with its operations has not been allocated to our remaining reportable segments. Accordingly, these impacts have been included in Other. Partially offsetting this gain are certain year-end adjustments related to the reportable segments that are not included in the measure of segment income from operations used to assess their performance for the periods disclosed.</w:t>
      </w:r>
    </w:p>
    <w:p>
      <w:pPr>
        <w:spacing w:after="0" w:line="85"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i w:val="1"/>
          <w:iCs w:val="1"/>
          <w:color w:val="auto"/>
        </w:rPr>
        <w:t xml:space="preserve">Corporate </w:t>
      </w:r>
      <w:r>
        <w:rPr>
          <w:rFonts w:ascii="Arial" w:cs="Arial" w:eastAsia="Arial" w:hAnsi="Arial"/>
          <w:sz w:val="16"/>
          <w:szCs w:val="16"/>
          <w:color w:val="auto"/>
        </w:rPr>
        <w:t>— The higher expenses in the current year were driven primarily by impairment charges of $68 million associated with capitalized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costs and $31 million of net charges associated with various legal and divestiture matters. These items are discussed in the </w:t>
      </w:r>
      <w:r>
        <w:rPr>
          <w:rFonts w:ascii="Arial" w:cs="Arial" w:eastAsia="Arial" w:hAnsi="Arial"/>
          <w:sz w:val="16"/>
          <w:szCs w:val="16"/>
          <w:i w:val="1"/>
          <w:iCs w:val="1"/>
          <w:color w:val="auto"/>
        </w:rPr>
        <w:t>Asset Impairments and Unusual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Items </w:t>
      </w:r>
      <w:r>
        <w:rPr>
          <w:rFonts w:ascii="Arial" w:cs="Arial" w:eastAsia="Arial" w:hAnsi="Arial"/>
          <w:sz w:val="16"/>
          <w:szCs w:val="16"/>
          <w:color w:val="auto"/>
        </w:rPr>
        <w:t>section above. Also contributing to the increase in expenses during 2005 were (i) an increase in non-cash employee compensation costs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year changes in equity-based compensation; (ii) increases in employee health care costs; (iii) salary and wage increases attributable to annual merit raises; (iv) increased sales and marketing costs attributed to a national advertising campaign and consulting fees related to our pricing initiatives; and (v) costs at Corporate associated with our July 2005 restructuring charge and organizational changes, which were partially offset by associated savings at Corporate.</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Higher professional fees contributed to the increase in 2004 expenses as compared with 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Changes in Accounting Principles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summarizes the other major components of our income before cumulative effect of changes in accounting principles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respective period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80" w:type="dxa"/>
            <w:vAlign w:val="bottom"/>
            <w:vMerge w:val="restart"/>
          </w:tcPr>
          <w:p>
            <w:pPr>
              <w:spacing w:after="0"/>
              <w:rPr>
                <w:sz w:val="14"/>
                <w:szCs w:val="14"/>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rPr>
              <w:t>Period-to-</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rPr>
              <w:t>Period-to-</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restart"/>
          </w:tcPr>
          <w:p>
            <w:pPr>
              <w:spacing w:after="0"/>
              <w:rPr>
                <w:sz w:val="14"/>
                <w:szCs w:val="14"/>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Period Change</w:t>
            </w:r>
          </w:p>
        </w:tc>
        <w:tc>
          <w:tcPr>
            <w:tcW w:w="3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Period Change</w:t>
            </w:r>
          </w:p>
        </w:tc>
        <w:tc>
          <w:tcPr>
            <w:tcW w:w="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$ 465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$ 385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Equity in losses (earnings) of unconsolidated entities</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615"/>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95"/>
              <w:spacing w:after="0"/>
              <w:rPr>
                <w:sz w:val="20"/>
                <w:szCs w:val="20"/>
                <w:color w:val="auto"/>
              </w:rPr>
            </w:pPr>
            <w:r>
              <w:rPr>
                <w:rFonts w:ascii="Arial" w:cs="Arial" w:eastAsia="Arial" w:hAnsi="Arial"/>
                <w:sz w:val="18"/>
                <w:szCs w:val="18"/>
                <w:color w:val="auto"/>
              </w:rPr>
              <w:t>102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30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55"/>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95"/>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99"/>
              </w:rPr>
              <w:t>(337)</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(157)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change not meaningful. Refer to the explanations of these items below for a discussion of the relationship between current year and prior year activity.</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Net interest expense increased by $80 million from 2004 to 2005 due to a $41 million increase in interest expense and a $39 million decline in interest income. The increase in interest expense in 2005 is generally related to a decline in the benefit of our interest rate swaps. For all periods, we have experienced a positive impact to interest expense as a result of our interest rate derivative contracts, which we use to manage our exposure to changes in market interest rates. The combined benefit of active and terminated interest rate swap agreements resulted in net interest expense reductions of $39 million for 2005,</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$90 million for 2004 and $96 million for 2003. The significant decline in the benefit recognized as a result of our interest rate swap agreements in 2005 is largely attributable to the increase in short-term market interest rates. Our periodic interest obligations under our interest rate swap agreements are based on a spread from the three-month LIBOR, which has increased from 2.56% at December 31, 2004 to 4.54% at December 31, 2005.</w:t>
      </w:r>
    </w:p>
    <w:p>
      <w:pPr>
        <w:spacing w:after="0" w:line="65"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Included in the $39 million in net reductions to interest expense realized in 2005 for terminated and active interest rate swap agreements is $42 million related to the amortization of terminated swaps. Our terminated interest rate swaps are expected to reduce interest expense by $41 million in 2006, $37 million in 2007 and $33 million in 2008.</w:t>
      </w:r>
    </w:p>
    <w:p>
      <w:pPr>
        <w:spacing w:after="0" w:line="73"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The current year decrease in interest income is due primarily to interest income of $46 million realized during 2004 on tax refunds received from the IRS for the settlement of several federal audits. The comparability of net interest expense for 2004 and 2003 was also significantly affected by this increase in interest income in 2004.</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in Losses (Earnings) of Unconsolidated Entities</w:t>
      </w:r>
    </w:p>
    <w:p>
      <w:pPr>
        <w:spacing w:after="0" w:line="117"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 xml:space="preserve">In the first and second quarters of 2004, we acquired an equity interest in two coal-based synthetic fuel production facilities. Our equity interest in these facilities drives our equity in net losses of unconsolidated entities. The year-over-year increase in these losses is due to the timing of our initial investments in 2004. These equity losses are more than offset by the tax benefit realized as a result of these investments as discussed below within </w:t>
      </w:r>
      <w:r>
        <w:rPr>
          <w:rFonts w:ascii="Arial" w:cs="Arial" w:eastAsia="Arial" w:hAnsi="Arial"/>
          <w:sz w:val="17"/>
          <w:szCs w:val="17"/>
          <w:i w:val="1"/>
          <w:iCs w:val="1"/>
          <w:color w:val="auto"/>
        </w:rPr>
        <w:t>Provision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If, for any reason, the tax credits generated by the facilities were no longer allowable under Section 29 of the Internal Revenue Code, we could unwind</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investment in the period that determination is made and not incur these equity losses in future periods. Additional information related to these investments is included in Note 8 to the Consolidated Financial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On December 31, 2003, we consolidated two special purpose type variable interest entities as a result of our implementation of FIN 46. Our minority interest expense for 2005 and 2004 is primarily related to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members’ equity interest in the earnings of these entities. The increase in minority interest expense as a result of the consolidation of these entities has been more than offset by related increases in our consolidated income from operations. The increase in minority interest expense in 2005 when compared with 2004 was largely due to the improved operating results of the surety bonding company that we began consolidating in 2003. Additional information related to these investments is included in Note 19 to the Consolidated Financial Statements.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other income and expense is primarily attributable to the impact of foreign currency translation on our Canadian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firstLine="267"/>
        <w:spacing w:after="0" w:line="289" w:lineRule="auto"/>
        <w:rPr>
          <w:sz w:val="20"/>
          <w:szCs w:val="20"/>
          <w:color w:val="auto"/>
        </w:rPr>
      </w:pPr>
      <w:r>
        <w:rPr>
          <w:rFonts w:ascii="Arial" w:cs="Arial" w:eastAsia="Arial" w:hAnsi="Arial"/>
          <w:sz w:val="16"/>
          <w:szCs w:val="16"/>
          <w:color w:val="auto"/>
        </w:rPr>
        <w:t>We recorded a benefit from income taxes of $90 million in 2005 compared to a provision for income taxes of $247 million for 2004 and $404 million for 2003. For both 2005 and 2004, the effective income tax rates of (8.2)% and 21.0%, respectively, are significantly less than the 2003 effective income tax rate of 36.0% partially due to the resolution of significant tax audits within those years. The settlement of tax audits resulted in a reduction in income tax expense of $398 million in 2005, $101 million in 2004 and $6 million in 2003. Excluding the impact of tax audit settlements, the effective tax rate for 2005 and 2004 would be 28.2% and 29.5%. For 2005 and 2004, the decrease in our adjusted effective tax rate from 2003 is also attributable to our investments in two coal-based synthetic fuel production facilities that we obtained in the first half of 2004. The decrease in our tax provision attributable to our equity investments in these coal-based synthetic fuel production facilities of $145 million in 2005 and $131 million in 2004 more than offset the related equity losses and interest expense for those entities. These tax credits, as well as our non-conventional fuel tax credits generated by our landfills, are available through 2007 pursuant to Section 29 of the Internal Revenue Code, but may be phased out if the price of oil exceeds a threshold annual average price determined by the IRS.</w:t>
      </w:r>
    </w:p>
    <w:p>
      <w:pPr>
        <w:spacing w:after="0" w:line="5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For all periods, a portion of the difference in federal income taxes computed at the federal statutory rate and reported income taxes is due to state and local income taxes. In 2005, we reduced our estimated effective state tax rate, causing us to realize a benefit of $16 million related to the reduction of accumulated deferred taxes that was offset in part by additional income tax expense of $4 million to increase the accrued deferred tax as a result of a change in the provincial tax rate in Quebec.</w:t>
      </w:r>
    </w:p>
    <w:p>
      <w:pPr>
        <w:spacing w:after="0" w:line="79"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color w:val="auto"/>
        </w:rPr>
        <w:t xml:space="preserve">In 2005, our overall tax benefit has been partially offset by the accrual of $34 million of taxes associated with our repatriation of $496 million of accumulated earnings and capital from certain of our Canadian subsidiaries under the American Jobs Creation Act of 2004, which is discussed further within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section below. See Note 8 to our Consolidated Financial Statements for further discussion.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Principles</w:t>
      </w:r>
    </w:p>
    <w:p>
      <w:pPr>
        <w:spacing w:after="0" w:line="117"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On March 31, 2004, we recorded a credit of $8 million, net of taxes, or $0.01 per diluted share, to “Cumulative effect of changes in accounting principles” as a result of the consolidation of previously unrecorded trusts as required by FIN 46. See Notes 2 and 19 to the Consolidated Financial Statements for further discussion.</w:t>
      </w:r>
    </w:p>
    <w:p>
      <w:pPr>
        <w:spacing w:after="0" w:line="7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In the first and fourth quarters of 2003, we recorded net of tax charges of $46 million and $43 million, respectively, to “Cumulative effect of changes in accounting principles” for the initial adoption of the accounting changes described below.</w:t>
      </w:r>
    </w:p>
    <w:p>
      <w:pPr>
        <w:spacing w:after="0" w:line="62" w:lineRule="exact"/>
        <w:rPr>
          <w:sz w:val="20"/>
          <w:szCs w:val="20"/>
          <w:color w:val="auto"/>
        </w:rPr>
      </w:pPr>
    </w:p>
    <w:p>
      <w:pPr>
        <w:ind w:left="460" w:right="60" w:hanging="101"/>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this method to one that expenses these costs as they are incurred. We recorded $25 million, net of taxes, or $0.04 per diluted share, as a credit to “Cumulative effect of changes in accounting principles.”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101"/>
        <w:spacing w:after="0" w:line="31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we entered into that over the contract life were projected to have direct costs greater than revenues. Effective January 1, 2003, we changed our policy from this method to one that expenses these costs as incurred. We recorded $30 million, net of taxes, or $0.05 per diluted share, as a credit to “Cumulative effect of changes in accounting principles.”</w:t>
      </w:r>
    </w:p>
    <w:p>
      <w:pPr>
        <w:spacing w:after="0" w:line="52" w:lineRule="exact"/>
        <w:rPr>
          <w:rFonts w:ascii="Arial" w:cs="Arial" w:eastAsia="Arial" w:hAnsi="Arial"/>
          <w:sz w:val="16"/>
          <w:szCs w:val="16"/>
          <w:color w:val="auto"/>
        </w:rPr>
      </w:pPr>
    </w:p>
    <w:p>
      <w:pPr>
        <w:jc w:val="both"/>
        <w:ind w:left="460" w:right="340" w:hanging="101"/>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connection with the application of FIN 46 to special purpose type variable interest entities, we recorded $43 million, including tax benefit, or</w:t>
      </w:r>
    </w:p>
    <w:p>
      <w:pPr>
        <w:spacing w:after="0" w:line="34" w:lineRule="exact"/>
        <w:rPr>
          <w:rFonts w:ascii="Arial" w:cs="Arial" w:eastAsia="Arial" w:hAnsi="Arial"/>
          <w:sz w:val="17"/>
          <w:szCs w:val="17"/>
          <w:color w:val="auto"/>
        </w:rPr>
      </w:pPr>
    </w:p>
    <w:p>
      <w:pPr>
        <w:ind w:left="460" w:right="180"/>
        <w:spacing w:after="0" w:line="261" w:lineRule="auto"/>
        <w:rPr>
          <w:rFonts w:ascii="Arial" w:cs="Arial" w:eastAsia="Arial" w:hAnsi="Arial"/>
          <w:sz w:val="17"/>
          <w:szCs w:val="17"/>
          <w:color w:val="auto"/>
        </w:rPr>
      </w:pPr>
      <w:r>
        <w:rPr>
          <w:rFonts w:ascii="Arial" w:cs="Arial" w:eastAsia="Arial" w:hAnsi="Arial"/>
          <w:sz w:val="18"/>
          <w:szCs w:val="18"/>
          <w:color w:val="auto"/>
        </w:rPr>
        <w:t>$0.07 per diluted share, in the fourth quarter of 2003 as a charge to “Cumulative effect of changes in accounting principles.” For a discussion of these variable interest entities see Notes 2 and 19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260"/>
        <w:spacing w:after="0" w:line="257" w:lineRule="auto"/>
        <w:rPr>
          <w:sz w:val="20"/>
          <w:szCs w:val="20"/>
          <w:color w:val="auto"/>
        </w:rPr>
      </w:pPr>
      <w:r>
        <w:rPr>
          <w:rFonts w:ascii="Arial" w:cs="Arial" w:eastAsia="Arial" w:hAnsi="Arial"/>
          <w:sz w:val="18"/>
          <w:szCs w:val="18"/>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80"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117" w:lineRule="exact"/>
        <w:rPr>
          <w:sz w:val="20"/>
          <w:szCs w:val="20"/>
          <w:color w:val="auto"/>
        </w:rPr>
      </w:pPr>
    </w:p>
    <w:p>
      <w:pPr>
        <w:ind w:right="220" w:firstLine="267"/>
        <w:spacing w:after="0" w:line="286"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w:t>
      </w:r>
    </w:p>
    <w:p>
      <w:pPr>
        <w:spacing w:after="0" w:line="2" w:lineRule="exact"/>
        <w:rPr>
          <w:sz w:val="20"/>
          <w:szCs w:val="20"/>
          <w:color w:val="auto"/>
        </w:rPr>
      </w:pPr>
    </w:p>
    <w:p>
      <w:pPr>
        <w:ind w:right="120" w:firstLine="8"/>
        <w:spacing w:after="0" w:line="254" w:lineRule="auto"/>
        <w:tabs>
          <w:tab w:leader="none" w:pos="3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container and equipment needs of our operations; and (v) capping, closure and post-closure activities at our landfills. We are also committed to providing our shareholders with a return on their investment through our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82"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On October 22, 2004, the American Jobs Creation Act of 2004 (the “Act”) became law. A provision of the Act allowed U.S. companies to repatriate earnings from their foreign subsidiaries at a reduced tax rate during 2005. Our Chief Executive Officer and Board of Directors approved a domestic reinvestment plan under which we repatriated $496 million of our accumulated foreign earnings and capital in 2005. The repatriation was funded with cash on hand and bank borrowings. For a discussion of the tax impact and bank borrowings see Notes 7 and 8 to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Short-Term Investments, Restricted Trust and Escrow Accounts and Debt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is a summary of our cash, short-term investments available for use, restricted trust and escrow accounts and debt balances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December 31, 2004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666</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Short-term investments available for use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cash, cash equivalents and short-term investments available for use</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966</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Tax-exempt bond funds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Closure, post-closure and remediation funds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Debt service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restricted trust and escrow accounts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460</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portion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debt</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6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560" w:firstLine="27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58" w:lineRule="exact"/>
        <w:rPr>
          <w:sz w:val="20"/>
          <w:szCs w:val="20"/>
          <w:color w:val="auto"/>
        </w:rPr>
      </w:pPr>
    </w:p>
    <w:p>
      <w:pPr>
        <w:ind w:right="620" w:firstLine="270"/>
        <w:spacing w:after="0" w:line="277" w:lineRule="auto"/>
        <w:rPr>
          <w:sz w:val="20"/>
          <w:szCs w:val="20"/>
          <w:color w:val="auto"/>
        </w:rPr>
      </w:pPr>
      <w:r>
        <w:rPr>
          <w:rFonts w:ascii="Arial" w:cs="Arial" w:eastAsia="Arial" w:hAnsi="Arial"/>
          <w:sz w:val="18"/>
          <w:szCs w:val="18"/>
          <w:color w:val="auto"/>
        </w:rPr>
        <w:t xml:space="preserve">For discussion regarding the December 31, 2004 reclassification of cash, refer to Note 2 to the Consolidated Financial Statements and the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Consolidated and Segment Financial Information </w:t>
      </w:r>
      <w:r>
        <w:rPr>
          <w:rFonts w:ascii="Arial" w:cs="Arial" w:eastAsia="Arial" w:hAnsi="Arial"/>
          <w:sz w:val="18"/>
          <w:szCs w:val="18"/>
          <w:color w:val="auto"/>
        </w:rPr>
        <w:t>section above.</w:t>
      </w:r>
    </w:p>
    <w:p>
      <w:pPr>
        <w:spacing w:after="0" w:line="58" w:lineRule="exact"/>
        <w:rPr>
          <w:sz w:val="20"/>
          <w:szCs w:val="20"/>
          <w:color w:val="auto"/>
        </w:rPr>
      </w:pPr>
    </w:p>
    <w:p>
      <w:pPr>
        <w:ind w:right="220" w:firstLine="270"/>
        <w:spacing w:after="0" w:line="303" w:lineRule="auto"/>
        <w:rPr>
          <w:sz w:val="20"/>
          <w:szCs w:val="20"/>
          <w:color w:val="auto"/>
        </w:rPr>
      </w:pPr>
      <w:r>
        <w:rPr>
          <w:rFonts w:ascii="Arial" w:cs="Arial" w:eastAsia="Arial" w:hAnsi="Arial"/>
          <w:sz w:val="16"/>
          <w:szCs w:val="16"/>
          <w:b w:val="1"/>
          <w:bCs w:val="1"/>
          <w:color w:val="auto"/>
        </w:rPr>
        <w:t xml:space="preserve">Short-term investments available for use </w:t>
      </w:r>
      <w:r>
        <w:rPr>
          <w:rFonts w:ascii="Arial" w:cs="Arial" w:eastAsia="Arial" w:hAnsi="Arial"/>
          <w:sz w:val="16"/>
          <w:szCs w:val="16"/>
          <w:color w:val="auto"/>
        </w:rPr>
        <w:t>— These investments include auction rate securities and variable rate demand notes, which are debt</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with long-term scheduled 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Consolidated Balance Sheets.</w:t>
      </w:r>
    </w:p>
    <w:p>
      <w:pPr>
        <w:spacing w:after="0" w:line="43" w:lineRule="exact"/>
        <w:rPr>
          <w:sz w:val="20"/>
          <w:szCs w:val="20"/>
          <w:color w:val="auto"/>
        </w:rPr>
      </w:pPr>
    </w:p>
    <w:p>
      <w:pPr>
        <w:ind w:right="260" w:firstLine="270"/>
        <w:spacing w:after="0" w:line="261" w:lineRule="auto"/>
        <w:rPr>
          <w:sz w:val="20"/>
          <w:szCs w:val="20"/>
          <w:color w:val="auto"/>
        </w:rPr>
      </w:pPr>
      <w:r>
        <w:rPr>
          <w:rFonts w:ascii="Arial" w:cs="Arial" w:eastAsia="Arial" w:hAnsi="Arial"/>
          <w:sz w:val="18"/>
          <w:szCs w:val="18"/>
          <w:b w:val="1"/>
          <w:bCs w:val="1"/>
          <w:color w:val="auto"/>
        </w:rPr>
        <w:t xml:space="preserve">Restricted trust and escrow accounts </w:t>
      </w:r>
      <w:r>
        <w:rPr>
          <w:rFonts w:ascii="Arial" w:cs="Arial" w:eastAsia="Arial" w:hAnsi="Arial"/>
          <w:sz w:val="18"/>
          <w:szCs w:val="18"/>
          <w:color w:val="auto"/>
        </w:rPr>
        <w:t>— Restricted trust and escrow accounts consist primarily of funds held in trust for the construction of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or repayment of debt obligations, funds deposited in connection with landfill closure, post-closure and remedial obligations and insurance escrow deposits. These balances are primarily included within “Other assets” in our Consolidated Balance Sheets. See Note 3 to the Consolidated Financial Statements for additional discussion.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460" w:firstLine="270"/>
        <w:spacing w:after="0" w:line="308" w:lineRule="auto"/>
        <w:rPr>
          <w:sz w:val="20"/>
          <w:szCs w:val="20"/>
          <w:color w:val="auto"/>
        </w:rPr>
      </w:pPr>
      <w:r>
        <w:rPr>
          <w:rFonts w:ascii="Arial" w:cs="Arial" w:eastAsia="Arial" w:hAnsi="Arial"/>
          <w:sz w:val="17"/>
          <w:szCs w:val="17"/>
          <w:i w:val="1"/>
          <w:iCs w:val="1"/>
          <w:color w:val="auto"/>
        </w:rPr>
        <w:t xml:space="preserve">Revolving credit and letter of credit facilities </w:t>
      </w:r>
      <w:r>
        <w:rPr>
          <w:rFonts w:ascii="Arial" w:cs="Arial" w:eastAsia="Arial" w:hAnsi="Arial"/>
          <w:sz w:val="17"/>
          <w:szCs w:val="17"/>
          <w:color w:val="auto"/>
        </w:rPr>
        <w:t>— The table below summarizes the credit capacity, maturity and outstanding letters of credit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principal letter of credit facilities and other credit arrangements as of December 31, 2005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7"/>
              </w:rPr>
              <w:t>Total Credit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Letters of</w:t>
            </w:r>
          </w:p>
        </w:tc>
        <w:tc>
          <w:tcPr>
            <w:tcW w:w="0" w:type="dxa"/>
            <w:vAlign w:val="bottom"/>
          </w:tcPr>
          <w:p>
            <w:pPr>
              <w:spacing w:after="0"/>
              <w:rPr>
                <w:sz w:val="1"/>
                <w:szCs w:val="1"/>
                <w:color w:val="auto"/>
              </w:rPr>
            </w:pPr>
          </w:p>
        </w:tc>
      </w:tr>
      <w:tr>
        <w:trPr>
          <w:trHeight w:val="178"/>
        </w:trPr>
        <w:tc>
          <w:tcPr>
            <w:tcW w:w="60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5"/>
              </w:rPr>
              <w:t>Capacity</w:t>
            </w: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Five-year revolving credit facility(a)</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2009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Five-year letter of credit and term loan agreement(b)</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Five-year letter of credit facility(b)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2008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Seven-year letter of credit and term loan agreement(b)</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175</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Ten-year letter of credit and term loan agreement(b)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Other(c)</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60" w:right="100" w:hanging="452"/>
        <w:spacing w:after="0" w:line="25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facility provides us with credit capacity that could be used for either cash borrowings or letters of credit. At December 31, 2005, no borrowings were outstanding under the facility, and we had unused and available credit capacity of $941 million.</w:t>
      </w:r>
    </w:p>
    <w:p>
      <w:pPr>
        <w:spacing w:after="0" w:line="25" w:lineRule="exact"/>
        <w:rPr>
          <w:rFonts w:ascii="Arial" w:cs="Arial" w:eastAsia="Arial" w:hAnsi="Arial"/>
          <w:sz w:val="14"/>
          <w:szCs w:val="14"/>
          <w:color w:val="auto"/>
        </w:rPr>
      </w:pPr>
    </w:p>
    <w:p>
      <w:pPr>
        <w:jc w:val="both"/>
        <w:ind w:left="460" w:right="60" w:hanging="452"/>
        <w:spacing w:after="0" w:line="238"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December 31, 2005 we had not experienced any unreimbursed draws on our letters of credit.</w:t>
      </w:r>
    </w:p>
    <w:p>
      <w:pPr>
        <w:spacing w:after="0" w:line="34" w:lineRule="exact"/>
        <w:rPr>
          <w:rFonts w:ascii="Arial" w:cs="Arial" w:eastAsia="Arial" w:hAnsi="Arial"/>
          <w:sz w:val="14"/>
          <w:szCs w:val="14"/>
          <w:color w:val="auto"/>
        </w:rPr>
      </w:pPr>
    </w:p>
    <w:p>
      <w:pPr>
        <w:ind w:left="460" w:right="80" w:hanging="452"/>
        <w:spacing w:after="0" w:line="25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letters of credit outstanding under various arrangements that do not provide for a committed capacity. Accordingly, the total credit capacity of these arrangements has been noted as zero.</w:t>
      </w:r>
    </w:p>
    <w:p>
      <w:pPr>
        <w:spacing w:after="0" w:line="70"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In November 2005, Waste Management of Canada Corporation, one of our wholly-owned subsidiaries, entered into a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credit facility agreement. The agreement was entered into to facilitate WMI’s repatriation of accumulated earnings and capital from its Canadian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as discussed above. The agreement, which matures November 30, 2008, allowed Waste Management of Canada Corporation to borrow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Canadian $410 million at any time on or before December 31, 2005. Any unused portion of the available credit was subject to immediate cancellation.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the entire credit capacity of the facility had been advanced resulting in proceeds of U.S. $339 million. The advances do not accrue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during their terms. Accordingly, the proceeds we received were for the principal amount of U.S. $353 million net of the total interest obligation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term of the advance. The advances have a weighted average effective interest rate of 4.39% and mature either three months or twelve months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issuance. However, the terms of the credit facility allow Waste Management of Canada Corporation to elect to renew the advances.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we expect to repay U.S. $86 million of outstanding advances with available cash and renew the remaining borrowings under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facility. Accordingly, $86 million of debt associated with these borrowings is classified as current in our December 31, 2005 Consolidated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remaining borrowings have been classified as long-term.</w:t>
      </w:r>
    </w:p>
    <w:p>
      <w:pPr>
        <w:spacing w:after="0" w:line="103"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December 31, 2005, we had $5.2 billion of outstanding senior notes. The notes have various maturities ranging from October 2006</w:t>
      </w:r>
      <w:r>
        <w:rPr>
          <w:rFonts w:ascii="Arial" w:cs="Arial" w:eastAsia="Arial" w:hAnsi="Arial"/>
          <w:sz w:val="18"/>
          <w:szCs w:val="18"/>
          <w:i w:val="1"/>
          <w:iCs w:val="1"/>
          <w:color w:val="auto"/>
        </w:rPr>
        <w:t xml:space="preserve"> </w:t>
      </w:r>
      <w:r>
        <w:rPr>
          <w:rFonts w:ascii="Arial" w:cs="Arial" w:eastAsia="Arial" w:hAnsi="Arial"/>
          <w:sz w:val="18"/>
          <w:szCs w:val="18"/>
          <w:color w:val="auto"/>
        </w:rPr>
        <w:t>to May 2032, and interest rates ranging from 5.00% to 8.75%. On May 15, 2005, $100 million of 7.0% senior notes and $3 million of 6.65% senior notes matured and were repaid with cash on hand. We have $300 million of 7.0% senior notes that mature in October 2006 that we currently expect to repay with available cash.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We actively issue tax-exempt bonds as a means of accessing low-cost financing for capital expenditures. As of December 31, 2005,</w:t>
      </w:r>
      <w:r>
        <w:rPr>
          <w:rFonts w:ascii="Arial" w:cs="Arial" w:eastAsia="Arial" w:hAnsi="Arial"/>
          <w:sz w:val="17"/>
          <w:szCs w:val="17"/>
          <w:i w:val="1"/>
          <w:iCs w:val="1"/>
          <w:color w:val="auto"/>
        </w:rPr>
        <w:t xml:space="preserve"> </w:t>
      </w:r>
      <w:r>
        <w:rPr>
          <w:rFonts w:ascii="Arial" w:cs="Arial" w:eastAsia="Arial" w:hAnsi="Arial"/>
          <w:sz w:val="17"/>
          <w:szCs w:val="17"/>
          <w:color w:val="auto"/>
        </w:rPr>
        <w:t>we had $2.3 billion of outstanding tax-exempt bonds. We issued $246 million of tax-exempt bonds during 2005. The proceeds from these debt issuances were deposited directly into a trust fund and may only be used for the specific purpose for which the money was raised, which is generally the construction of collection and disposal facilities and for the equipment necessary to provide waste management services. Accordingly, the restricted funds provided by these financing activities have not been included in “New borrowings” in our Consolidated Statement of Cash Flows for the year ended December 31, 2005. As we spend monies on the specific projects being financed, we are able to requisition cash from the trust funds. As discussed in the restricted trusts and escrow accounts section above, we have $185 million held in trust for future spending as of December 31, 2005. During 2005, we received $404 million from these funds for approved capital expenditures.</w:t>
      </w:r>
    </w:p>
    <w:p>
      <w:pPr>
        <w:spacing w:after="0" w:line="71" w:lineRule="exact"/>
        <w:rPr>
          <w:sz w:val="20"/>
          <w:szCs w:val="20"/>
          <w:color w:val="auto"/>
        </w:rPr>
      </w:pPr>
    </w:p>
    <w:p>
      <w:pPr>
        <w:ind w:right="60" w:firstLine="260"/>
        <w:spacing w:after="0" w:line="279" w:lineRule="auto"/>
        <w:rPr>
          <w:sz w:val="20"/>
          <w:szCs w:val="20"/>
          <w:color w:val="auto"/>
        </w:rPr>
      </w:pPr>
      <w:r>
        <w:rPr>
          <w:rFonts w:ascii="Arial" w:cs="Arial" w:eastAsia="Arial" w:hAnsi="Arial"/>
          <w:sz w:val="17"/>
          <w:szCs w:val="17"/>
          <w:color w:val="auto"/>
        </w:rPr>
        <w:t>As of December 31, 2005, $615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have been classified as long-term in our December 31, 2005 Consolidated Balance Sheet.</w:t>
      </w:r>
    </w:p>
    <w:p>
      <w:pPr>
        <w:spacing w:after="0" w:line="63" w:lineRule="exact"/>
        <w:rPr>
          <w:sz w:val="20"/>
          <w:szCs w:val="20"/>
          <w:color w:val="auto"/>
        </w:rPr>
      </w:pPr>
    </w:p>
    <w:p>
      <w:pPr>
        <w:ind w:firstLine="260"/>
        <w:spacing w:after="0" w:line="273" w:lineRule="auto"/>
        <w:rPr>
          <w:sz w:val="20"/>
          <w:szCs w:val="20"/>
          <w:color w:val="auto"/>
        </w:rPr>
      </w:pPr>
      <w:r>
        <w:rPr>
          <w:rFonts w:ascii="Arial" w:cs="Arial" w:eastAsia="Arial" w:hAnsi="Arial"/>
          <w:sz w:val="17"/>
          <w:szCs w:val="17"/>
          <w:color w:val="auto"/>
        </w:rPr>
        <w:t>Additionally, we have $333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December 31, 2005.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70"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i w:val="1"/>
          <w:iCs w:val="1"/>
          <w:color w:val="auto"/>
        </w:rPr>
        <w:t xml:space="preserve">Tax-exempt project bonds </w:t>
      </w:r>
      <w:r>
        <w:rPr>
          <w:rFonts w:ascii="Arial" w:cs="Arial" w:eastAsia="Arial" w:hAnsi="Arial"/>
          <w:sz w:val="18"/>
          <w:szCs w:val="18"/>
          <w:color w:val="auto"/>
        </w:rPr>
        <w:t>— As of December 31, 2005, we had $404 million of outstanding tax-exempt project bonds. These debt instruments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used by our Wheelabrator Group to finance the development of waste-to-energy facilities. The bonds generally require periodic principal installment payments. As of December 31 2005,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Accordingly, these obligations have been classified as long-term in our December 31, 2005 Consolidated Balance Sheet. Approximately $51 million of our tax-exempt project bonds will be repaid with available cash within the next twelve months.</w:t>
      </w:r>
    </w:p>
    <w:p>
      <w:pPr>
        <w:spacing w:after="0" w:line="81"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Convertible subordinated notes </w:t>
      </w:r>
      <w:r>
        <w:rPr>
          <w:rFonts w:ascii="Arial" w:cs="Arial" w:eastAsia="Arial" w:hAnsi="Arial"/>
          <w:sz w:val="18"/>
          <w:szCs w:val="18"/>
          <w:color w:val="auto"/>
        </w:rPr>
        <w:t>— We had $35 million of convertible subordinated notes that we repaid, with cash on hand, upon maturity on January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62"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We manage the interest rate risk of our debt portfolio principally by using interest rate derivatives to achieve a desired 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floating rate debt. As of December 31, 2005, the interest payments on $2.4 billion of our fixed rate debt have been swapped to variable rates, allowing us to maintain approximately 65% of our debt at fixed interest rates and approximately 35% at variable interest rates. Fair value hedge accounting for interest rate swap contracts increased the carrying value of debt instruments by $47 million as of December 31, 2005 and $135 million at December 31, 2004.</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our cash flows for the year ended December 31 for each respective period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2,391</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8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6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(1,090)</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We generated $2,391 million in cash flows from our operating activities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compared with $2,218 million in 2004, an increase of $173 million. In general, our current year operating cash flow was favorably affected by growth in our operating income and comparative changes in our trade and other receivables. As of December 31, 2005, our trade receivables, net of allowance for doubtful accounts, have increased $40 million from December 31, 2004 compared with a $223 million increase in trade receivables during 2004. The increase in our receivables in both periods was primarily related to increased revenues, however, the significant change year-over-year can partially be attributed to 2004 receivable balances associated with significant revenues generated from hurricane related services provided in the second half of 2004. The relative change in our receivables can also be attributed to overall improvements in our collection efforts, which have contributed to a reduction in our days sales outstanding.</w:t>
      </w:r>
    </w:p>
    <w:p>
      <w:pPr>
        <w:spacing w:after="0" w:line="84" w:lineRule="exact"/>
        <w:rPr>
          <w:sz w:val="20"/>
          <w:szCs w:val="20"/>
          <w:color w:val="auto"/>
        </w:rPr>
      </w:pPr>
    </w:p>
    <w:p>
      <w:pPr>
        <w:jc w:val="both"/>
        <w:ind w:right="400" w:firstLine="270"/>
        <w:spacing w:after="0" w:line="264" w:lineRule="auto"/>
        <w:rPr>
          <w:sz w:val="20"/>
          <w:szCs w:val="20"/>
          <w:color w:val="auto"/>
        </w:rPr>
      </w:pPr>
      <w:r>
        <w:rPr>
          <w:rFonts w:ascii="Arial" w:cs="Arial" w:eastAsia="Arial" w:hAnsi="Arial"/>
          <w:sz w:val="18"/>
          <w:szCs w:val="18"/>
          <w:color w:val="auto"/>
        </w:rPr>
        <w:t>Our 2005 and 2004 income taxes have been significantly affected by tax audit settlements. The increases in our net income associated with these tax benefits resulted in offsetting reductions in our accrued liability balances. Therefore, the significant variances in our income taxes during 2005, 2004 and 2003 have had an insignificant impact on each respective period’s cash flows from operations.</w:t>
      </w:r>
    </w:p>
    <w:p>
      <w:pPr>
        <w:spacing w:after="0" w:line="73" w:lineRule="exact"/>
        <w:rPr>
          <w:sz w:val="20"/>
          <w:szCs w:val="20"/>
          <w:color w:val="auto"/>
        </w:rPr>
      </w:pPr>
    </w:p>
    <w:p>
      <w:pPr>
        <w:ind w:right="200" w:firstLine="270"/>
        <w:spacing w:after="0" w:line="293" w:lineRule="auto"/>
        <w:rPr>
          <w:sz w:val="20"/>
          <w:szCs w:val="20"/>
          <w:color w:val="auto"/>
        </w:rPr>
      </w:pPr>
      <w:r>
        <w:rPr>
          <w:rFonts w:ascii="Arial" w:cs="Arial" w:eastAsia="Arial" w:hAnsi="Arial"/>
          <w:sz w:val="16"/>
          <w:szCs w:val="16"/>
          <w:color w:val="auto"/>
        </w:rPr>
        <w:t>Cash generated from operations during 2003 was negatively affected by a $223 million net cash outflow for the settlement of our securities class action lawsuit, which was agreed to in 2001. This amount included: (i) a final net cash settlement payment, net of insurance proceeds of $377 million plus accrued interest; (ii) a total tax benefit of approximately $138 million and (iii) related net settlement recoveries of approximately $16 million. This net cash outflow was partially offset by $109 million of cash we received from counterparties for terminating certain interest rate swap agreements prior to their scheduled maturities. After adjusting 2003 for the unusual items mentioned above, our 2004 cash flows from operations increased $178 million over 2003. Our improved earnings and the favorable effects of our investments in two synthetic fuel partnerships were the primary contributors of this increase.</w:t>
      </w:r>
    </w:p>
    <w:p>
      <w:pPr>
        <w:spacing w:after="0" w:line="57"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 We used $1,062 million of our cash resources for investing activities during 2005, an increase of $180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with 2004. This increase is primarily due to a $266 million change in net cash flows associated with purchases and sales of short-term investments. Net purchases of short-term investments during 2005 were $295 million compared with net purchases of $29 million during 2004. We increased our utilization of short-term investments in the first quarter of 2004, which resulted in this activity being relatively insignificant in 2003. The increase in our short-term investments available for use as of December 31, 2005 can generally be attributed to an increase in our available cash, which we plan to use to fund, among other things, a $275 million accelerated share repurchase agreement that became effective in January 2006 and our first quarter 2006 dividend that will be paid in March 2006. Our share repurchases and dividends are discussed in our </w:t>
      </w:r>
      <w:r>
        <w:rPr>
          <w:rFonts w:ascii="Arial" w:cs="Arial" w:eastAsia="Arial" w:hAnsi="Arial"/>
          <w:sz w:val="16"/>
          <w:szCs w:val="16"/>
          <w:i w:val="1"/>
          <w:iCs w:val="1"/>
          <w:color w:val="auto"/>
        </w:rPr>
        <w:t>Net Cash Used in Financing Activities</w:t>
      </w:r>
      <w:r>
        <w:rPr>
          <w:rFonts w:ascii="Arial" w:cs="Arial" w:eastAsia="Arial" w:hAnsi="Arial"/>
          <w:sz w:val="16"/>
          <w:szCs w:val="16"/>
          <w:color w:val="auto"/>
        </w:rPr>
        <w:t xml:space="preserve"> section below.</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current year increase in net cash outflows from investing activities as a result of our short-term investments was partially offset by an increase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proceeds from divestitures of businesses and other sales of assets, which were $194 million in 2005, $96 million in 2004 and $74 million in 2003.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$98 million increase from 2004 to 2005 is largely attributable to the sale of one of our landfills in Ontario, Canada, as required by a Divestiture Order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Canadian Competition Tribunal. As we continue to focus on our plan to divest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under-performing and non-strategic operations, we expect proceeds from divestitures and other asset sales to make even greater contributions to our cash flows.</w:t>
      </w:r>
    </w:p>
    <w:p>
      <w:pPr>
        <w:spacing w:after="0" w:line="62"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Our cash used for capital expenditures and acquisition spending has also caused significant changes in our net cash used for investing activities for the three-year period. Due to the capital-intensive nature of our business, we have invested between $1.2 billion and $1.3 billion in property and equipment during each of the last three years. Capital expenditures for 2005 were $1,180 million, which is $78 million and $20 million less than we invested in capital in 2004 and 2003, respectively. Cash used for acquisitions was $142 million in 2005, $130 million in 2004 and $337 million in 2003. In recent years, our business acquisition strategy has been to focus on tuck-in acquisitions, which are relatively small, accretive businesses that will easily integrate with, and provide value to, our existing operations. However, our 2003 acquisition activity was uncharacteristically high because of a few relatively large acquisitions that were made in addition to numerous smaller tuck-in acquisitions, particularly in our recycling line-of-business. Our current market development and capital allocation strategies reflect our desire to continue to invest in businesses that will enable us to effectively utilize our existing assets and the development or acquisition of disposal assets, which tend to provide higher returns on investment and operating margins.</w:t>
      </w:r>
    </w:p>
    <w:p>
      <w:pPr>
        <w:spacing w:after="0" w:line="74"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 The most significant changes in our financing cash flows during the three years ended December 31, 2005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(i) variances in our net debt repayments, which can generally be attributed to scheduled maturities; (ii) increases in our dividend payments; and (iii) changes in cash paid for our repurchases of common stock. Cash paid for these financing activities are discussed below.</w:t>
      </w:r>
    </w:p>
    <w:p>
      <w:pPr>
        <w:spacing w:after="0" w:line="57"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Net debt repayments were $11 million in 2005, $386 million in 2004 and $456 million in 2003. The following summarizes our most significant cash borrowings and debt repayments made during each year:</w:t>
      </w:r>
    </w:p>
    <w:p>
      <w:pPr>
        <w:spacing w:after="0" w:line="62" w:lineRule="exact"/>
        <w:rPr>
          <w:sz w:val="20"/>
          <w:szCs w:val="20"/>
          <w:color w:val="auto"/>
        </w:rPr>
      </w:pPr>
    </w:p>
    <w:p>
      <w:pPr>
        <w:ind w:left="460" w:right="200" w:hanging="101"/>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We received $365 million for new borrowings during the year, primarily related to our Canadian Credit Facility that was entered into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WMI’s repatriation of accumulated earnings and capital from its Canadian subsidiaries. The terms of these borrowings are discussed above. We also repaid $376 million of debt, including $103 million of senior notes, $46 million of tax-exempt project bonds, $35 million of convertible subordinated notes and $192 million associated with capital leases and other debt.</w:t>
      </w:r>
    </w:p>
    <w:p>
      <w:pPr>
        <w:spacing w:after="0" w:line="92" w:lineRule="exact"/>
        <w:rPr>
          <w:rFonts w:ascii="Arial" w:cs="Arial" w:eastAsia="Arial" w:hAnsi="Arial"/>
          <w:sz w:val="18"/>
          <w:szCs w:val="18"/>
          <w:color w:val="auto"/>
        </w:rPr>
      </w:pPr>
    </w:p>
    <w:p>
      <w:pPr>
        <w:ind w:left="460" w:right="40" w:hanging="101"/>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We received proceeds of approximately $346 million from the March 2004 issuance of $350 million of 5.0% senior notes, repaid $150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8.0% senior notes that matured in April 2004, $200 million of 6.5% senior notes that matured in May 2004 and $295 million of 7.0% senior notes that matured in October 2004. In addition, we borrowed $69 million, which was primarily for a short-term note that was repaid in 2005, and repaid $25 million of tax-exempt bonds and $42 million of tax-exempt project bonds and made $89 million of payments for capital leases and other debt.</w:t>
      </w:r>
    </w:p>
    <w:p>
      <w:pPr>
        <w:spacing w:after="0" w:line="59" w:lineRule="exact"/>
        <w:rPr>
          <w:rFonts w:ascii="Arial" w:cs="Arial" w:eastAsia="Arial" w:hAnsi="Arial"/>
          <w:sz w:val="16"/>
          <w:szCs w:val="16"/>
          <w:color w:val="auto"/>
        </w:rPr>
      </w:pPr>
    </w:p>
    <w:p>
      <w:pPr>
        <w:ind w:left="460" w:right="300" w:hanging="10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Our borrowings were primarily related to tax-exempt bonds and other debt. We repaid $435 million of 6.375% senior notes that matured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2003, $43 million of tax-exempt project bonds and $85 million of capital lease obligations and other debt.</w:t>
      </w:r>
    </w:p>
    <w:p>
      <w:pPr>
        <w:spacing w:after="0" w:line="62"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 August 2003, our Board of Directors approved our quarterly dividend program, which began in the first quarter of 2004. Under this program, we declared and paid a dividend of $0.20 per share in each quarter of 2005 and of $0.1875 per share in each quarter of 2004. The payment of our quarterly dividends resulted in cash dividends of $449 million in 2005 and $432 million in 2004. Before this program was implemented, we paid an annual $0.01 per share dividend, which resulted in a $6 million dividend payment in 2003. In October 2005, the Board of Directors announced that it expects future quarterly dividend payments will be $0.22 per share. On December 15, 2005, the Board declared our first quarterly dividend for 2006 of $0.22 per share, which will be paid on March 24, 2006 to stockholders of record as of March 6, 2006. All future dividend declarations are at the discretion of the Board of Directors, and depend on various factors, including our net earnings, financial condition, cash required for future prospects and other factors the Board may deem relevant.</w:t>
      </w:r>
    </w:p>
    <w:p>
      <w:pPr>
        <w:spacing w:after="0" w:line="59" w:lineRule="exact"/>
        <w:rPr>
          <w:sz w:val="20"/>
          <w:szCs w:val="20"/>
          <w:color w:val="auto"/>
        </w:rPr>
      </w:pPr>
    </w:p>
    <w:p>
      <w:pPr>
        <w:ind w:right="300" w:firstLine="267"/>
        <w:spacing w:after="0" w:line="264" w:lineRule="auto"/>
        <w:rPr>
          <w:sz w:val="20"/>
          <w:szCs w:val="20"/>
          <w:color w:val="auto"/>
        </w:rPr>
      </w:pPr>
      <w:r>
        <w:rPr>
          <w:rFonts w:ascii="Arial" w:cs="Arial" w:eastAsia="Arial" w:hAnsi="Arial"/>
          <w:sz w:val="18"/>
          <w:szCs w:val="18"/>
          <w:color w:val="auto"/>
        </w:rPr>
        <w:t>We paid $706 million for share repurchases in 2005 as compared with $496 million paid during 2004 and $550 million paid in 2003. Our 2005 stock repurchases and dividend payments were made under a Board approved capital allocation program providing for the authorization of up to $1.2 billion for these activities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each of 2005, 2006 and 2007. Since the inception of our repurchase program in February 2002, we have repurchased approximately 102 million shares of our common stock at a net cost of approximately $2.7 billion. We currently expect to continue repurchasing common stock under the capital allocation program discussed above, and in January 2006 repurchased approximately 9 million shares for $275 million under an accelerated share repurchase agreement. Future share repurchases under this program will be made at the discretion of management, and will depend on similar factors to those considered by the Board in making dividend declarations.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21"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2005 and the anticipated effect of these obligations on our liquidity in future years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2006</w:t>
            </w:r>
          </w:p>
        </w:tc>
        <w:tc>
          <w:tcPr>
            <w:tcW w:w="2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2007</w:t>
            </w:r>
          </w:p>
        </w:tc>
        <w:tc>
          <w:tcPr>
            <w:tcW w:w="4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41"/>
              <w:spacing w:after="0"/>
              <w:rPr>
                <w:sz w:val="20"/>
                <w:szCs w:val="20"/>
                <w:color w:val="auto"/>
              </w:rPr>
            </w:pPr>
            <w:r>
              <w:rPr>
                <w:rFonts w:ascii="Arial" w:cs="Arial" w:eastAsia="Arial" w:hAnsi="Arial"/>
                <w:sz w:val="13"/>
                <w:szCs w:val="13"/>
                <w:b w:val="1"/>
                <w:bCs w:val="1"/>
                <w:color w:val="auto"/>
                <w:w w:val="91"/>
              </w:rPr>
              <w:t>Thereafter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Recorded Obligations:</w:t>
            </w: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260"/>
              <w:spacing w:after="0"/>
              <w:rPr>
                <w:sz w:val="20"/>
                <w:szCs w:val="20"/>
                <w:color w:val="auto"/>
              </w:rPr>
            </w:pPr>
            <w:r>
              <w:rPr>
                <w:rFonts w:ascii="Arial" w:cs="Arial" w:eastAsia="Arial" w:hAnsi="Arial"/>
                <w:sz w:val="16"/>
                <w:szCs w:val="16"/>
                <w:color w:val="auto"/>
              </w:rPr>
              <w:t>Expected environmental liabilities(a)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Final capping, closure and post-closure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540"/>
              <w:spacing w:after="0"/>
              <w:rPr>
                <w:sz w:val="20"/>
                <w:szCs w:val="20"/>
                <w:color w:val="auto"/>
              </w:rPr>
            </w:pPr>
            <w:r>
              <w:rPr>
                <w:rFonts w:ascii="Arial" w:cs="Arial" w:eastAsia="Arial" w:hAnsi="Arial"/>
                <w:sz w:val="16"/>
                <w:szCs w:val="16"/>
                <w:color w:val="auto"/>
              </w:rPr>
              <w:t>Environmental remediation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342</w:t>
            </w:r>
          </w:p>
        </w:tc>
        <w:tc>
          <w:tcPr>
            <w:tcW w:w="18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106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260"/>
              <w:spacing w:after="0"/>
              <w:rPr>
                <w:sz w:val="20"/>
                <w:szCs w:val="20"/>
                <w:color w:val="auto"/>
              </w:rPr>
            </w:pPr>
            <w:r>
              <w:rPr>
                <w:rFonts w:ascii="Arial" w:cs="Arial" w:eastAsia="Arial" w:hAnsi="Arial"/>
                <w:sz w:val="16"/>
                <w:szCs w:val="16"/>
                <w:color w:val="auto"/>
              </w:rPr>
              <w:t>Debt payments(b),(c),(d)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806</w:t>
            </w:r>
          </w:p>
        </w:tc>
        <w:tc>
          <w:tcPr>
            <w:tcW w:w="20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541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685</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716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8,663</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Cash dividend payment(e)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b w:val="1"/>
                <w:bCs w:val="1"/>
                <w:color w:val="auto"/>
              </w:rPr>
              <w:t>Unrecorded Obligations:(f)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Non-cancelable operating lease obligations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260"/>
              <w:spacing w:after="0"/>
              <w:rPr>
                <w:sz w:val="20"/>
                <w:szCs w:val="20"/>
                <w:color w:val="auto"/>
              </w:rPr>
            </w:pPr>
            <w:r>
              <w:rPr>
                <w:rFonts w:ascii="Arial" w:cs="Arial" w:eastAsia="Arial" w:hAnsi="Arial"/>
                <w:sz w:val="16"/>
                <w:szCs w:val="16"/>
                <w:color w:val="auto"/>
              </w:rPr>
              <w:t>Estimated unconditional purchase obligations(g)</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142</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1,370</w:t>
            </w:r>
          </w:p>
        </w:tc>
        <w:tc>
          <w:tcPr>
            <w:tcW w:w="18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Anticipated liquidity impact as of December 31, 2005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$ 913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855</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980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923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12,893</w:t>
            </w:r>
          </w:p>
        </w:tc>
        <w:tc>
          <w:tcPr>
            <w:tcW w:w="180" w:type="dxa"/>
            <w:vAlign w:val="bottom"/>
            <w:shd w:val="clear" w:color="auto" w:fill="CCEEFF"/>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2" w:lineRule="exact"/>
        <w:rPr>
          <w:sz w:val="20"/>
          <w:szCs w:val="20"/>
          <w:color w:val="auto"/>
        </w:rPr>
      </w:pPr>
    </w:p>
    <w:p>
      <w:pPr>
        <w:ind w:left="460" w:right="80" w:hanging="452"/>
        <w:spacing w:after="0" w:line="238"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Environmental liabilities include final capping, closure, post-closure and environmental remediation costs. The amounts included here reflect environmental liabilities recorded in our Consolidated Balance Sheet as of December 31, 2005 without the impact of discounting and inflation. Our recorded environmental liabilities will increase as we continue to place additional tons within the permitted airspace at our landfills.</w:t>
      </w:r>
    </w:p>
    <w:p>
      <w:pPr>
        <w:spacing w:after="0" w:line="34" w:lineRule="exact"/>
        <w:rPr>
          <w:rFonts w:ascii="Arial" w:cs="Arial" w:eastAsia="Arial" w:hAnsi="Arial"/>
          <w:sz w:val="14"/>
          <w:szCs w:val="14"/>
          <w:color w:val="auto"/>
        </w:rPr>
      </w:pPr>
    </w:p>
    <w:p>
      <w:pPr>
        <w:ind w:left="460" w:right="60" w:hanging="452"/>
        <w:spacing w:after="0" w:line="229"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debt obligations as of December 31, 2005 include $333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December 31, 2005. The classification of these obligations as long-term was based upon our intent to refinance the borrowings with other long-term financings in the event of a failed re-offering and our ability, in the event other sources of long-term financing are not available, to use our $2.4 billion, five-year revolving credit facility.</w:t>
      </w:r>
    </w:p>
    <w:p>
      <w:pPr>
        <w:spacing w:after="0" w:line="37" w:lineRule="exact"/>
        <w:rPr>
          <w:rFonts w:ascii="Arial" w:cs="Arial" w:eastAsia="Arial" w:hAnsi="Arial"/>
          <w:sz w:val="14"/>
          <w:szCs w:val="14"/>
          <w:color w:val="auto"/>
        </w:rPr>
      </w:pPr>
    </w:p>
    <w:p>
      <w:pPr>
        <w:ind w:left="460" w:right="480" w:hanging="452"/>
        <w:spacing w:after="0" w:line="253"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classified approximately $290 million of our debt obligations with contractual maturities on or before December 31, 2006 as long-term in our Consolidated Balance Sheet at December 31, 2005 because we have the intent and ability to refinance these obligations with long-term debt instruments.</w:t>
      </w:r>
    </w:p>
    <w:p>
      <w:pPr>
        <w:spacing w:after="0" w:line="25" w:lineRule="exact"/>
        <w:rPr>
          <w:rFonts w:ascii="Arial" w:cs="Arial" w:eastAsia="Arial" w:hAnsi="Arial"/>
          <w:sz w:val="14"/>
          <w:szCs w:val="14"/>
          <w:color w:val="auto"/>
        </w:rPr>
      </w:pPr>
    </w:p>
    <w:p>
      <w:pPr>
        <w:jc w:val="both"/>
        <w:ind w:left="460" w:right="240" w:hanging="452"/>
        <w:spacing w:after="0" w:line="238"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 In addition, $52 million of our future debt payments and related interest obligations will be made with debt service funds held in trust and included as “Other assets” within our December 31, 2005 Consolidated Balance Sheet.</w:t>
      </w:r>
    </w:p>
    <w:p>
      <w:pPr>
        <w:spacing w:after="0" w:line="34" w:lineRule="exact"/>
        <w:rPr>
          <w:rFonts w:ascii="Arial" w:cs="Arial" w:eastAsia="Arial" w:hAnsi="Arial"/>
          <w:sz w:val="14"/>
          <w:szCs w:val="14"/>
          <w:color w:val="auto"/>
        </w:rPr>
      </w:pPr>
    </w:p>
    <w:p>
      <w:pPr>
        <w:ind w:left="460" w:right="180" w:hanging="452"/>
        <w:spacing w:after="0" w:line="256" w:lineRule="auto"/>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On December 15, 2005, we declared our first quarterly cash dividend for 2006. The dividend is $0.22 per share and is payable March 24, 2006 to stockholders of record on March 6, 2006. Based on shares outstanding on December 31, 2005, the dividend declaration will result in a payment of $122 million. Our dividend declarations are under a Board of Directors approved capital allocation program that provides for up to $1.2 billion for stock repurchases and dividend payments in 2005, 2006 and 2007. All future dividend declarations are at the discretion of the Board and depend on various factors, including our net earnings, financial condition, cash required for future prospects and other relevant factors.</w:t>
      </w:r>
    </w:p>
    <w:p>
      <w:pPr>
        <w:spacing w:after="0" w:line="23" w:lineRule="exact"/>
        <w:rPr>
          <w:rFonts w:ascii="Arial" w:cs="Arial" w:eastAsia="Arial" w:hAnsi="Arial"/>
          <w:sz w:val="13"/>
          <w:szCs w:val="13"/>
          <w:color w:val="auto"/>
        </w:rPr>
      </w:pPr>
    </w:p>
    <w:p>
      <w:pPr>
        <w:ind w:left="460" w:right="20" w:hanging="452"/>
        <w:spacing w:after="0" w:line="238"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unrecorded obligations represent operating lease obligations and purchase commitments from which we expect to realize an economic benefit in future periods. We have also made certain guarantees, as discussed in Note 10 to the Consolidated Financial Statements, that we do not expect to materially affect our current or future financial position, results of operations or liquidity.</w:t>
      </w:r>
    </w:p>
    <w:p>
      <w:pPr>
        <w:spacing w:after="0" w:line="34" w:lineRule="exact"/>
        <w:rPr>
          <w:rFonts w:ascii="Arial" w:cs="Arial" w:eastAsia="Arial" w:hAnsi="Arial"/>
          <w:sz w:val="14"/>
          <w:szCs w:val="14"/>
          <w:color w:val="auto"/>
        </w:rPr>
      </w:pPr>
    </w:p>
    <w:p>
      <w:pPr>
        <w:ind w:left="460" w:right="20" w:hanging="452"/>
        <w:spacing w:after="0" w:line="238"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See Note 10 to the Consolidated Financial Statements for discussion of the nature and terms of our unconditional purchase obligations.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contingencies that are not considered reasonably likely. As a result, the impact of these contingencies have not been included in the above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Consolidated Financial Statements for further discussion of these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firstLine="267"/>
        <w:spacing w:after="0" w:line="279" w:lineRule="auto"/>
        <w:rPr>
          <w:sz w:val="20"/>
          <w:szCs w:val="20"/>
          <w:color w:val="auto"/>
        </w:rPr>
      </w:pPr>
      <w:r>
        <w:rPr>
          <w:rFonts w:ascii="Arial" w:cs="Arial" w:eastAsia="Arial" w:hAnsi="Arial"/>
          <w:sz w:val="17"/>
          <w:szCs w:val="17"/>
          <w:color w:val="auto"/>
        </w:rPr>
        <w:t>We are party to guarantee arrangements with unconsolidated entities as discussed in the Guarantees section of Note 10 to the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year ended December 31, 2005 nor are they expected to have a material impact on our future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121"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can actually increase our revenues in the areas affected. However, for several reasons, including significant start-up costs, such revenue often 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84" w:lineRule="exact"/>
        <w:rPr>
          <w:sz w:val="20"/>
          <w:szCs w:val="20"/>
          <w:color w:val="auto"/>
        </w:rPr>
      </w:pPr>
    </w:p>
    <w:p>
      <w:pPr>
        <w:ind w:right="140" w:firstLine="267"/>
        <w:spacing w:after="0" w:line="312" w:lineRule="auto"/>
        <w:rPr>
          <w:sz w:val="20"/>
          <w:szCs w:val="20"/>
          <w:color w:val="auto"/>
        </w:rPr>
      </w:pPr>
      <w:r>
        <w:rPr>
          <w:rFonts w:ascii="Arial" w:cs="Arial" w:eastAsia="Arial" w:hAnsi="Arial"/>
          <w:sz w:val="16"/>
          <w:szCs w:val="16"/>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 xml:space="preserve">Through December 31, 2005, we accounted for equity-based compensation in accordance with APB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as amended. Under APB No. 25, companies were required to recognize compensation expense based on the “intrinsic value” of the award at the date of grant. For stock options, which were the primary form of awards we granted through December 31, 2004, this meant that we recognized no compensation expense in connection with the grants, as the exercise price of the options was equal to the fair market value of our common stock on the date of grant. In December 2004, the FASB issued SFAS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which requires companies to recognize compensation expense based on the “fair value” of share based payments on the date of grant. We adopted SFAS No. 123(R) on January 1, 2006, which is discussed further in Note 23 to the Consolidated Financial Statements.</w:t>
      </w:r>
    </w:p>
    <w:p>
      <w:pPr>
        <w:spacing w:after="0" w:line="8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December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pre-tax compensation charges that would have been recognized over the next three years as the stock options continued to vest. We recognized a $2 million pre-tax charge to compensation expense during the fourth quarter of 2005 as a result of the acceleration, but will not be required to recognize future compensation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expense for the accelerated options under SFAS No. 123(R) unless further modifications are made to the options, which is not anticipated.</w:t>
      </w:r>
    </w:p>
    <w:p>
      <w:pPr>
        <w:spacing w:after="0" w:line="117" w:lineRule="exact"/>
        <w:rPr>
          <w:sz w:val="20"/>
          <w:szCs w:val="20"/>
          <w:color w:val="auto"/>
        </w:rPr>
      </w:pPr>
    </w:p>
    <w:p>
      <w:pPr>
        <w:ind w:right="20" w:firstLine="260"/>
        <w:spacing w:after="0" w:line="289" w:lineRule="auto"/>
        <w:rPr>
          <w:sz w:val="20"/>
          <w:szCs w:val="20"/>
          <w:color w:val="auto"/>
        </w:rPr>
      </w:pPr>
      <w:r>
        <w:rPr>
          <w:rFonts w:ascii="Arial" w:cs="Arial" w:eastAsia="Arial" w:hAnsi="Arial"/>
          <w:sz w:val="16"/>
          <w:szCs w:val="16"/>
          <w:color w:val="auto"/>
        </w:rPr>
        <w:t>Additionally, as a result of the changes in accounting under SFAS No. 123(R) and a desire to design our long-term incentive plans in a manner that creates a stronger link to operating and market performance, our Board of Directors approved a substantial change in the form of awards that we grant. Beginning in 2005, annual stock options grants, as well as stock option grants in connection with new hires and promotions, were replaced with either (i) grants of restricted stock units and performance share units or (ii) an enhanced cash incentive compensation award. The restricted stock units granted in 2005 vest over four years and the performance share units cliff vest based on the achievement of certain performance targets after a three-year performance period. Using APB No. 25, we generally have recognized compensation expense for these awards over their respective vesting periods. Compensation expense included in reported net income associated with restricted stock (shares of which were granted to a limited number of employees in each of the last three years), restricted stock units and performance share units was $17 million, or $11 million net of tax, for the year ended December 31, 2005. The amount of compensation expense recognized would not have been significantly different had we accounted for them under the provisions of SFAS No. 123(R).</w:t>
      </w:r>
    </w:p>
    <w:p>
      <w:pPr>
        <w:spacing w:after="0" w:line="59" w:lineRule="exact"/>
        <w:rPr>
          <w:sz w:val="20"/>
          <w:szCs w:val="20"/>
          <w:color w:val="auto"/>
        </w:rPr>
      </w:pPr>
    </w:p>
    <w:p>
      <w:pPr>
        <w:ind w:right="260" w:firstLine="260"/>
        <w:spacing w:after="0" w:line="257" w:lineRule="auto"/>
        <w:rPr>
          <w:sz w:val="20"/>
          <w:szCs w:val="20"/>
          <w:color w:val="auto"/>
        </w:rPr>
      </w:pPr>
      <w:r>
        <w:rPr>
          <w:rFonts w:ascii="Arial" w:cs="Arial" w:eastAsia="Arial" w:hAnsi="Arial"/>
          <w:sz w:val="18"/>
          <w:szCs w:val="18"/>
          <w:color w:val="auto"/>
        </w:rPr>
        <w:t>As a result of our Board of Directors’ decision to accelerate the vesting of outstanding options and replace stock options with restricted stock units and performance share units, we do not expect the adoption of SFAS No. 123(R) to significantly affect our accounting for equity-based compensation since the resulting compensation expense for our new share based payment awards is not significantly different than under APB No. 25. However, we do expect compensation expense to increase over the next three to four years because of the incremental expense that will be recognized each year as our Board of Directors grants additional awards.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21"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2005, all of our derivative transactions were related to actual or anticipated economic exposures although certain transactions did not qualify for hedge accounting.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5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have performed sensitivity analyses to determine how market rate changes might affect the fair value of our market risk sensitive derivatives and related positions. These analyses are inherently limited because they reflect a singular, hypothetical set of assumptions. Actual market movements may vary significantly from our assumptions. The effects of market movements may also directly or indirectly affect our assumptions and our rights and obligations not covered by the sensitivity analyses. Fair value sensitivity is not necessarily indicative of the ultimate cash flow or the earnings effect from the assumed market rate movements.</w:t>
      </w:r>
    </w:p>
    <w:p>
      <w:pPr>
        <w:spacing w:after="0" w:line="80" w:lineRule="exact"/>
        <w:rPr>
          <w:sz w:val="20"/>
          <w:szCs w:val="20"/>
          <w:color w:val="auto"/>
        </w:rPr>
      </w:pPr>
    </w:p>
    <w:p>
      <w:pPr>
        <w:ind w:right="420" w:firstLine="270"/>
        <w:spacing w:after="0" w:line="273" w:lineRule="auto"/>
        <w:rPr>
          <w:sz w:val="20"/>
          <w:szCs w:val="20"/>
          <w:color w:val="auto"/>
        </w:rPr>
      </w:pPr>
      <w:r>
        <w:rPr>
          <w:rFonts w:ascii="Arial" w:cs="Arial" w:eastAsia="Arial" w:hAnsi="Arial"/>
          <w:sz w:val="17"/>
          <w:szCs w:val="17"/>
          <w:i w:val="1"/>
          <w:iCs w:val="1"/>
          <w:color w:val="auto"/>
        </w:rPr>
        <w:t xml:space="preserve">Interest Rate Exposure. </w:t>
      </w:r>
      <w:r>
        <w:rPr>
          <w:rFonts w:ascii="Arial" w:cs="Arial" w:eastAsia="Arial" w:hAnsi="Arial"/>
          <w:sz w:val="17"/>
          <w:szCs w:val="17"/>
          <w:color w:val="auto"/>
        </w:rPr>
        <w:t>Our exposure to market risk for changes in interest rates relates primarily to our debt obligations, which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U.S. dollars. In addition, we use interest rate swaps to manage the mix of fixed and floating rate debt obligations, which directly impacts variability in interest costs. An instantaneous, one percentage point increase in interest rates across all maturities and applicable yield curves would have decreased the fair value of our combined debt and interest rate swap positions by approximately $480 million at December 31, 2005 and $490 million at December 31, 2004. This analysis does not reflect the effect that increasing interest rates would have on other items, such as new borrowings, nor the unfavorable impact they would have on interest expense and cash payments for interest.</w:t>
      </w:r>
    </w:p>
    <w:p>
      <w:pPr>
        <w:spacing w:after="0" w:line="70"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We are also exposed to interest rate market risk because we have $460 million and $647 million of assets held in trust funds and escrow accounts included primarily as a component of long-term “Other assets” in our Consolidated Balance Sheets at December 31, 2005 and 2004, respectively. These assets are generally restricted for future capital expenditures and closure, post-closure and remedial activities at our disposal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facilities and are, therefore, invested in high quality, liquid instruments including money market accounts and U.S. government agency debt securities. Because of the short terms to maturity of these investments, we believe that our exposure to changes in fair value due to interest rate fluctuations is insignificant.</w:t>
      </w:r>
    </w:p>
    <w:p>
      <w:pPr>
        <w:spacing w:after="0" w:line="73" w:lineRule="exact"/>
        <w:rPr>
          <w:sz w:val="20"/>
          <w:szCs w:val="20"/>
          <w:color w:val="auto"/>
        </w:rPr>
      </w:pPr>
    </w:p>
    <w:p>
      <w:pPr>
        <w:ind w:right="540" w:firstLine="270"/>
        <w:spacing w:after="0" w:line="342"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From time to time, we have used currency derivatives to mitigate the impact of currency translation on cash flows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Canadian-currency denominated debt transactions. At December 31, 2005 and 2004 we had no foreign currency derivatives outstanding.</w:t>
      </w:r>
    </w:p>
    <w:p>
      <w:pPr>
        <w:spacing w:after="0" w:line="16"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 xml:space="preserve">Commodities Price Exposure. </w:t>
      </w:r>
      <w:r>
        <w:rPr>
          <w:rFonts w:ascii="Arial" w:cs="Arial" w:eastAsia="Arial" w:hAnsi="Arial"/>
          <w:sz w:val="17"/>
          <w:szCs w:val="17"/>
          <w:color w:val="auto"/>
        </w:rPr>
        <w:t>We market recycled products such as wastepaper, aluminum and glass from our material recovery facilities. We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fiber swaps and options to mitigate the variability in cash flows from a portion of these sales. Under the swap agreements, we pay a floating index price and receive a fixed price for a fixed period of time. With regard to our option agreements, we have purchased price protection on certain wastepaper sales via synthetic floors (put options) and price protection on certain wastepaper purchases via synthetic ceilings (call options). Additionally, we have entered into collars (combination of a put and call option) with financial institutions in which we receive the market price for our wastepaper and aluminum sales within a specified floor and ceiling. We record changes in the fair value of commodity derivatives not designated as hedges to earnings, as required. All derivative transactions are subject to our risk management policy, which governs the type of instruments that may be used. The fair value position of our commodity derivatives would decrease by approximately $10 million at December 31, 2005 and by approximately $20 million at December 31, 2004 if there were an instantaneous 10% increase across all commodities and applicable yield curves.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Notes 3 and 7 to the Consolidated Financial Statements for further discussion of the use of and accounting for derivative instruments.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00" w:type="dxa"/>
            <w:vAlign w:val="bottom"/>
            <w:gridSpan w:val="9"/>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5"/>
          </w:tcPr>
          <w:p>
            <w:pPr>
              <w:jc w:val="center"/>
              <w:ind w:right="4160"/>
              <w:spacing w:after="0"/>
              <w:rPr>
                <w:sz w:val="20"/>
                <w:szCs w:val="20"/>
                <w:color w:val="auto"/>
              </w:rPr>
            </w:pPr>
            <w:r>
              <w:rPr>
                <w:rFonts w:ascii="Arial" w:cs="Arial" w:eastAsia="Arial" w:hAnsi="Arial"/>
                <w:sz w:val="18"/>
                <w:szCs w:val="18"/>
                <w:b w:val="1"/>
                <w:bCs w:val="1"/>
                <w:color w:val="auto"/>
              </w:rPr>
              <w:t>INDEX TO</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4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rPr>
              <w:t>CONSOLIDATED FINANCIAL STATEMENTS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4900" w:type="dxa"/>
            <w:vAlign w:val="bottom"/>
            <w:gridSpan w:val="5"/>
            <w:vMerge w:val="restart"/>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Management’s Report on Internal Control Over Financial Reporting</w:t>
              </w:r>
            </w:hyperlink>
          </w:p>
        </w:tc>
        <w:tc>
          <w:tcPr>
            <w:tcW w:w="5680" w:type="dxa"/>
            <w:vAlign w:val="bottom"/>
            <w:gridSpan w:val="5"/>
            <w:vMerge w:val="restart"/>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4900" w:type="dxa"/>
            <w:vAlign w:val="bottom"/>
            <w:tcBorders>
              <w:bottom w:val="single" w:sz="8" w:color="0000EE"/>
            </w:tcBorders>
            <w:gridSpan w:val="5"/>
            <w:vMerge w:val="continue"/>
          </w:tcPr>
          <w:p>
            <w:pPr>
              <w:spacing w:after="0"/>
              <w:rPr>
                <w:sz w:val="15"/>
                <w:szCs w:val="15"/>
                <w:color w:val="auto"/>
              </w:rPr>
            </w:pPr>
          </w:p>
        </w:tc>
        <w:tc>
          <w:tcPr>
            <w:tcW w:w="5680" w:type="dxa"/>
            <w:vAlign w:val="bottom"/>
            <w:gridSpan w:val="5"/>
            <w:vMerge w:val="continue"/>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Report of Independent Registered Public Accounting Firm</w:t>
              </w:r>
            </w:hyperlink>
          </w:p>
        </w:tc>
        <w:tc>
          <w:tcPr>
            <w:tcW w:w="636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 on Internal Control over Financial Reporting</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4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Balance Sheets as of December 31, 2005 and 2004</w:t>
              </w:r>
            </w:hyperlink>
          </w:p>
        </w:tc>
        <w:tc>
          <w:tcPr>
            <w:tcW w:w="31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Operations for the Years Ended December 31, 2005, 2004 and 2003</w:t>
              </w:r>
            </w:hyperlink>
          </w:p>
        </w:tc>
        <w:tc>
          <w:tcPr>
            <w:tcW w:w="36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 for the Years Ended December 31, 2005, 2004 and 2003</w:t>
              </w:r>
            </w:hyperlink>
          </w:p>
        </w:tc>
        <w:tc>
          <w:tcPr>
            <w:tcW w:w="36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Stockholders’ Equity for the Years Ended December 31, 2005, 2004 and 2003</w:t>
              </w:r>
            </w:hyperlink>
          </w:p>
        </w:tc>
        <w:tc>
          <w:tcPr>
            <w:tcW w:w="29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3760" w:type="dxa"/>
            <w:vAlign w:val="bottom"/>
            <w:gridSpan w:val="4"/>
          </w:tcPr>
          <w:p>
            <w:pPr>
              <w:jc w:val="center"/>
              <w:ind w:left="1170"/>
              <w:spacing w:after="0"/>
              <w:rPr>
                <w:sz w:val="20"/>
                <w:szCs w:val="20"/>
                <w:color w:val="auto"/>
              </w:rPr>
            </w:pPr>
            <w:r>
              <w:rPr>
                <w:rFonts w:ascii="Arial" w:cs="Arial" w:eastAsia="Arial" w:hAnsi="Arial"/>
                <w:sz w:val="18"/>
                <w:szCs w:val="18"/>
                <w:color w:val="auto"/>
                <w:w w:val="89"/>
              </w:rPr>
              <w:t>54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OVER FINANCIAL REPORTING</w:t>
      </w:r>
    </w:p>
    <w:p>
      <w:pPr>
        <w:spacing w:after="0" w:line="103"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80"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conducted an evaluation of the effectiveness of our internal control over financial reporting as of December 31, 2005 based on the framework in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2005.</w:t>
      </w:r>
    </w:p>
    <w:p>
      <w:pPr>
        <w:spacing w:after="0" w:line="80"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management’s assessment of internal control over financial reporting, which is included herein.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2005 and 2004, and the consolidated results of its operations and its cash flows for each of the three years in the period ended December 31, 2005, in conformity with U.S. generally accepted accounting principles.</w:t>
      </w:r>
    </w:p>
    <w:p>
      <w:pPr>
        <w:spacing w:after="0" w:line="73" w:lineRule="exact"/>
        <w:rPr>
          <w:sz w:val="20"/>
          <w:szCs w:val="20"/>
          <w:color w:val="auto"/>
        </w:rPr>
      </w:pPr>
    </w:p>
    <w:p>
      <w:pPr>
        <w:ind w:right="80" w:firstLine="260"/>
        <w:spacing w:after="0" w:line="279" w:lineRule="auto"/>
        <w:rPr>
          <w:sz w:val="20"/>
          <w:szCs w:val="20"/>
          <w:color w:val="auto"/>
        </w:rPr>
      </w:pPr>
      <w:r>
        <w:rPr>
          <w:rFonts w:ascii="Arial" w:cs="Arial" w:eastAsia="Arial" w:hAnsi="Arial"/>
          <w:sz w:val="17"/>
          <w:szCs w:val="17"/>
          <w:color w:val="auto"/>
        </w:rPr>
        <w:t>As discussed in Note 2 to the consolidated financial statements, during 2003 and 2004 the Company adopted the respective portions of Financial Accounting Standards Board Interpretation No. 46, “Consolidation of Variable Interest Entities” and, effective January 1, 2003, the Company (i) changed its method of accounting for major repairs and maintenance costs and annual outage costs, (ii) changed its method of accounting for loss contracts and (iii) adopted Statement of Financial Accounting Standards No. 143, “Accounting for Asset Retirement Obligations.”</w:t>
      </w:r>
    </w:p>
    <w:p>
      <w:pPr>
        <w:spacing w:after="0" w:line="63"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the Company’s internal control over financial reporting as of December 31, 2005, based on criteria established in Internal Control-Integrated Framework issued by the Committee of Sponsoring Organizations of the Treadway Commission and our report dated February 20, 2006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Waste Management, Inc. maintained effective internal control over financial reporting as of December 31, 2005, based on criteria established in Internal Control — 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60" w:firstLine="2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In our opinion, management’s assessment that Waste Management, Inc. maintained effective internal control over financial reporting as of December 31, 2005, is fairly stated, in all material respects, based on the COSO criteria. Also, in our opinion, Waste Management, Inc. maintained, in all material respects, effective internal control over financial reporting as of December 31, 2005, based on the COSO criteria.</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sheets of Waste Management, Inc. as of December 31, 2005 and 2004, and the related consolidated statements of operations, stockholders’ equity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for each of the three years in the period ended December 31, 2005 and our report dated February 20, 2006 expressed an unqualified opinion thereon.</w:t>
      </w:r>
    </w:p>
    <w:p>
      <w:pPr>
        <w:spacing w:after="0" w:line="200" w:lineRule="exact"/>
        <w:rPr>
          <w:sz w:val="20"/>
          <w:szCs w:val="20"/>
          <w:color w:val="auto"/>
        </w:rPr>
      </w:pPr>
    </w:p>
    <w:p>
      <w:pPr>
        <w:spacing w:after="0" w:line="25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666</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Accounts receivable, net of allowance for doubtful accounts of $61 for both periods</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1,757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1,717</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3,451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4"/>
              </w:rPr>
              <w:t>Property and equipment, net of accumulated depreciation and amortization of $11,287 and $10,525, respectively</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11,221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11,476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719</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w:t>
            </w:r>
          </w:p>
        </w:tc>
      </w:tr>
      <w:tr>
        <w:trPr>
          <w:trHeight w:val="223"/>
        </w:trPr>
        <w:tc>
          <w:tcPr>
            <w:tcW w:w="20" w:type="dxa"/>
            <w:vAlign w:val="bottom"/>
          </w:tcPr>
          <w:p>
            <w:pPr>
              <w:spacing w:after="0"/>
              <w:rPr>
                <w:sz w:val="19"/>
                <w:szCs w:val="19"/>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8,165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8,182</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w:t>
            </w:r>
          </w:p>
        </w:tc>
      </w:tr>
      <w:tr>
        <w:trPr>
          <w:trHeight w:val="230"/>
        </w:trPr>
        <w:tc>
          <w:tcPr>
            <w:tcW w:w="20" w:type="dxa"/>
            <w:vAlign w:val="bottom"/>
          </w:tcPr>
          <w:p>
            <w:pPr>
              <w:spacing w:after="0"/>
              <w:rPr>
                <w:sz w:val="20"/>
                <w:szCs w:val="20"/>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14,652</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Common stock, $.01 par value; 1,500,000,000 shares authorized; 630,282,461 shares issued</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3,615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3,004</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Restricted stock unearned compensation</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78,029,452 and 60,069,777 shares, respectively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(1,585)</w:t>
            </w:r>
          </w:p>
        </w:tc>
      </w:tr>
      <w:tr>
        <w:trPr>
          <w:trHeight w:val="230"/>
        </w:trPr>
        <w:tc>
          <w:tcPr>
            <w:tcW w:w="20" w:type="dxa"/>
            <w:vAlign w:val="bottom"/>
          </w:tcPr>
          <w:p>
            <w:pPr>
              <w:spacing w:after="0"/>
              <w:rPr>
                <w:sz w:val="20"/>
                <w:szCs w:val="20"/>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21,135</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20,905</w:t>
            </w: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(losses) of unconsolidated entities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changes in accounting principles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line="201" w:lineRule="exact"/>
              <w:rPr>
                <w:sz w:val="20"/>
                <w:szCs w:val="20"/>
                <w:color w:val="auto"/>
              </w:rPr>
            </w:pPr>
            <w:r>
              <w:rPr>
                <w:rFonts w:ascii="Arial" w:cs="Arial" w:eastAsia="Arial" w:hAnsi="Arial"/>
                <w:sz w:val="18"/>
                <w:szCs w:val="18"/>
                <w:color w:val="auto"/>
                <w:w w:val="95"/>
              </w:rPr>
              <w:t>Cumulative effect of changes in accounting principles, net of income tax expense of $5 in 2004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20"/>
              <w:spacing w:after="0"/>
              <w:rPr>
                <w:sz w:val="20"/>
                <w:szCs w:val="20"/>
                <w:color w:val="auto"/>
              </w:rPr>
            </w:pPr>
            <w:r>
              <w:rPr>
                <w:rFonts w:ascii="Arial" w:cs="Arial" w:eastAsia="Arial" w:hAnsi="Arial"/>
                <w:sz w:val="18"/>
                <w:szCs w:val="18"/>
                <w:color w:val="auto"/>
              </w:rPr>
              <w:t>and income tax benefit of $60 in 2003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939</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vMerge w:val="restart"/>
          </w:tcPr>
          <w:p>
            <w:pPr>
              <w:ind w:left="280"/>
              <w:spacing w:after="0"/>
              <w:rPr>
                <w:sz w:val="20"/>
                <w:szCs w:val="20"/>
                <w:color w:val="auto"/>
              </w:rPr>
            </w:pPr>
            <w:r>
              <w:rPr>
                <w:rFonts w:ascii="Arial" w:cs="Arial" w:eastAsia="Arial" w:hAnsi="Arial"/>
                <w:sz w:val="18"/>
                <w:szCs w:val="18"/>
                <w:color w:val="auto"/>
              </w:rPr>
              <w:t>Cash dividends declared per common share (2005 includes $0.22 payable in 2006)</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1,182</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939</w:t>
            </w:r>
          </w:p>
        </w:tc>
        <w:tc>
          <w:tcPr>
            <w:tcW w:w="50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Cumulative effect of changes in accounting principles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Provision for bad debts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1,361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Deferred income tax provision</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Minority interest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Equity in losses (earnings) of unconsolidated entities, net of distributions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Net gain on disposal of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Effect of asset impairments and unusual items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Receivables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90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9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(187)</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Deferred revenues and other liabilities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708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Acquisitions of businesses, net of cash acquired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(1,180)</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Proceeds from divestitures of businesses, net of cash divested, and other sales of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194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short-term investments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(1,079)</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Proceeds from sales of short-term investments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784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1,319</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receipts from restricted trust and escrow accounts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(1,062)</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7"/>
        </w:trPr>
        <w:tc>
          <w:tcPr>
            <w:tcW w:w="708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 borrowings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Debt repayments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(376)</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(801)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repurchases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(706)</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Cash dividends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(449)</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 of common stock options and warrants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Minority interest distributions paid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(1,090)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80" w:type="dxa"/>
            <w:vAlign w:val="bottom"/>
            <w:gridSpan w:val="2"/>
          </w:tcPr>
          <w:p>
            <w:pPr>
              <w:spacing w:after="0"/>
              <w:rPr>
                <w:sz w:val="20"/>
                <w:szCs w:val="20"/>
                <w:color w:val="auto"/>
              </w:rPr>
            </w:pPr>
            <w:r>
              <w:rPr>
                <w:rFonts w:ascii="Arial" w:cs="Arial" w:eastAsia="Arial" w:hAnsi="Arial"/>
                <w:sz w:val="16"/>
                <w:szCs w:val="16"/>
                <w:color w:val="auto"/>
              </w:rPr>
              <w:t>Increase (decrease) in cash and cash equivalents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year</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666</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424</w:t>
            </w:r>
          </w:p>
        </w:tc>
        <w:tc>
          <w:tcPr>
            <w:tcW w:w="50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5"/>
              </w:rPr>
              <w:t>Interest, net of capitalized interest and periodic settlements from interest rate swap agreements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Pr>
          <w:p>
            <w:pPr>
              <w:ind w:left="60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233</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12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8"/>
              </w:rPr>
              <w:t>Restricted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40" w:type="dxa"/>
            <w:vAlign w:val="bottom"/>
            <w:gridSpan w:val="4"/>
          </w:tcPr>
          <w:p>
            <w:pPr>
              <w:ind w:left="26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right"/>
              <w:ind w:right="4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2"/>
                <w:szCs w:val="12"/>
                <w:color w:val="auto"/>
              </w:rPr>
            </w:pPr>
          </w:p>
        </w:tc>
        <w:tc>
          <w:tcPr>
            <w:tcW w:w="11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4"/>
              </w:rPr>
              <w:t>Stock</w:t>
            </w:r>
          </w:p>
        </w:tc>
        <w:tc>
          <w:tcPr>
            <w:tcW w:w="1720" w:type="dxa"/>
            <w:vAlign w:val="bottom"/>
            <w:gridSpan w:val="5"/>
          </w:tcPr>
          <w:p>
            <w:pPr>
              <w:jc w:val="right"/>
              <w:ind w:right="499"/>
              <w:spacing w:after="0" w:line="135" w:lineRule="exact"/>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17"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0"/>
                <w:szCs w:val="10"/>
                <w:color w:val="auto"/>
              </w:rPr>
            </w:pPr>
          </w:p>
        </w:tc>
        <w:tc>
          <w:tcPr>
            <w:tcW w:w="780" w:type="dxa"/>
            <w:vAlign w:val="bottom"/>
            <w:gridSpan w:val="2"/>
          </w:tcPr>
          <w:p>
            <w:pPr>
              <w:jc w:val="right"/>
              <w:ind w:right="300"/>
              <w:spacing w:after="0" w:line="117" w:lineRule="exact"/>
              <w:rPr>
                <w:sz w:val="20"/>
                <w:szCs w:val="20"/>
                <w:color w:val="auto"/>
              </w:rPr>
            </w:pPr>
            <w:r>
              <w:rPr>
                <w:rFonts w:ascii="Arial" w:cs="Arial" w:eastAsia="Arial" w:hAnsi="Arial"/>
                <w:sz w:val="13"/>
                <w:szCs w:val="13"/>
                <w:b w:val="1"/>
                <w:bCs w:val="1"/>
                <w:color w:val="auto"/>
                <w:w w:val="83"/>
              </w:rPr>
              <w:t>Retained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540"/>
              <w:spacing w:after="0" w:line="117"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0"/>
                <w:szCs w:val="10"/>
                <w:color w:val="auto"/>
              </w:rPr>
            </w:pPr>
          </w:p>
        </w:tc>
        <w:tc>
          <w:tcPr>
            <w:tcW w:w="1120" w:type="dxa"/>
            <w:vAlign w:val="bottom"/>
            <w:gridSpan w:val="2"/>
          </w:tcPr>
          <w:p>
            <w:pPr>
              <w:jc w:val="center"/>
              <w:ind w:right="520"/>
              <w:spacing w:after="0" w:line="117" w:lineRule="exact"/>
              <w:rPr>
                <w:sz w:val="20"/>
                <w:szCs w:val="20"/>
                <w:color w:val="auto"/>
              </w:rPr>
            </w:pPr>
            <w:r>
              <w:rPr>
                <w:rFonts w:ascii="Arial" w:cs="Arial" w:eastAsia="Arial" w:hAnsi="Arial"/>
                <w:sz w:val="13"/>
                <w:szCs w:val="13"/>
                <w:b w:val="1"/>
                <w:bCs w:val="1"/>
                <w:color w:val="auto"/>
                <w:w w:val="86"/>
              </w:rPr>
              <w:t>Unearned</w:t>
            </w: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300"/>
              <w:spacing w:after="0" w:line="117" w:lineRule="exact"/>
              <w:rPr>
                <w:sz w:val="20"/>
                <w:szCs w:val="20"/>
                <w:color w:val="auto"/>
              </w:rPr>
            </w:pPr>
            <w:r>
              <w:rPr>
                <w:rFonts w:ascii="Arial" w:cs="Arial" w:eastAsia="Arial" w:hAnsi="Arial"/>
                <w:sz w:val="13"/>
                <w:szCs w:val="13"/>
                <w:b w:val="1"/>
                <w:bCs w:val="1"/>
                <w:color w:val="auto"/>
                <w:w w:val="84"/>
              </w:rPr>
              <w:t>Comprehensive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85"/>
              </w:rPr>
              <w:t>Amounts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9"/>
              <w:spacing w:after="0"/>
              <w:rPr>
                <w:sz w:val="20"/>
                <w:szCs w:val="20"/>
                <w:color w:val="auto"/>
              </w:rPr>
            </w:pPr>
            <w:r>
              <w:rPr>
                <w:rFonts w:ascii="Arial" w:cs="Arial" w:eastAsia="Arial" w:hAnsi="Arial"/>
                <w:sz w:val="13"/>
                <w:szCs w:val="13"/>
                <w:b w:val="1"/>
                <w:bCs w:val="1"/>
                <w:color w:val="auto"/>
                <w:w w:val="92"/>
              </w:rPr>
              <w:t>Capital</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9"/>
              <w:spacing w:after="0"/>
              <w:rPr>
                <w:sz w:val="20"/>
                <w:szCs w:val="20"/>
                <w:color w:val="auto"/>
              </w:rPr>
            </w:pPr>
            <w:r>
              <w:rPr>
                <w:rFonts w:ascii="Arial" w:cs="Arial" w:eastAsia="Arial" w:hAnsi="Arial"/>
                <w:sz w:val="13"/>
                <w:szCs w:val="13"/>
                <w:b w:val="1"/>
                <w:bCs w:val="1"/>
                <w:color w:val="auto"/>
                <w:w w:val="86"/>
              </w:rPr>
              <w:t>Earnings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(Loss)</w:t>
            </w:r>
          </w:p>
        </w:tc>
        <w:tc>
          <w:tcPr>
            <w:tcW w:w="44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3"/>
                <w:szCs w:val="13"/>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w w:val="85"/>
              </w:rPr>
              <w:t>Amounts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2003</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630,282</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4,513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(35,682)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 options and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warrants, including tax benefit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of $9</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2,779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repurchases, net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settlements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(22,050)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loss resulting from</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changes in fair values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derivative instruments, net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tax benefit of $3</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losses on derivative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instruments reclassified into</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earnings, net of taxes of $1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gain on marketable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securities, net of taxes $0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Minimum pension liability</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 net of taxes of $1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Translations adjustment of</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foreign currency statements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789</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2003</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630,282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4,501</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(54,164)</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stock options and</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and grants of</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stock, including tax</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 of $37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10,019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Earned compensation related to</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restricted stock</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1</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(16,541)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loss resulting from</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changes in fair values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derivative instruments, net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tax benefit of $11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losses on derivative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instruments reclassified into</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earnings, net of taxes of $6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gain on marketable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securities, net of taxes of $2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Translation adjustment of foreign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statements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616</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630,282</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(60,070)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(1,585)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60" w:type="dxa"/>
            <w:vAlign w:val="bottom"/>
            <w:gridSpan w:val="2"/>
            <w:vMerge w:val="restart"/>
          </w:tcPr>
          <w:p>
            <w:pPr>
              <w:spacing w:after="0"/>
              <w:rPr>
                <w:sz w:val="20"/>
                <w:szCs w:val="20"/>
                <w:color w:val="auto"/>
              </w:rPr>
            </w:pPr>
            <w:r>
              <w:rPr>
                <w:rFonts w:ascii="Arial" w:cs="Arial" w:eastAsia="Arial" w:hAnsi="Arial"/>
                <w:sz w:val="14"/>
                <w:szCs w:val="14"/>
                <w:color w:val="auto"/>
              </w:rPr>
              <w:t>Net income</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1,182</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139"/>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paid</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Cash dividends declared, but not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paid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stock options and</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and grants of</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stock, including tax</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 of $17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6,112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Earned compensation related to</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restricted stock</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(24,727)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gain resulting from</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changes in fair values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derivative instruments, net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tax benefit of $11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losses on derivative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instruments reclassified into</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earnings, net of taxes of $4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Unrealized gain on marketable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securities, net of taxes of $1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Translation adjustment of foreign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statements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630,282</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(78,029)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(2,110)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2004 and 2003</w:t>
      </w:r>
    </w:p>
    <w:p>
      <w:pPr>
        <w:spacing w:after="0" w:line="20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(See Note 19). Waste Management, Inc. is a holding company that conducts all of its operations through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80"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We are the leading provider of integrated waste services in North America. We provide collection, transfer, recycling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17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 and Reclassifications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 — Consolidation of Variable Interest Entities</w:t>
      </w:r>
    </w:p>
    <w:p>
      <w:pPr>
        <w:spacing w:after="0" w:line="117"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 xml:space="preserve">In January 2003, the Financial Accounting Standards Board (“FASB”) issued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The impact of our implementation of FIN 46 is summarized below.</w:t>
      </w:r>
    </w:p>
    <w:p>
      <w:pPr>
        <w:spacing w:after="0" w:line="79"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i w:val="1"/>
          <w:iCs w:val="1"/>
          <w:color w:val="auto"/>
        </w:rPr>
        <w:t xml:space="preserve">Special purpose variable interest entities </w:t>
      </w:r>
      <w:r>
        <w:rPr>
          <w:rFonts w:ascii="Arial" w:cs="Arial" w:eastAsia="Arial" w:hAnsi="Arial"/>
          <w:sz w:val="18"/>
          <w:szCs w:val="18"/>
          <w:color w:val="auto"/>
        </w:rPr>
        <w:t>— On December 31, 2003, we began consolidating two limited liability companies from which we lease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Prior to the consolidation of the entities, we accounted for the underlying leases as operating leases and accounted for our investment in the LLCs under the equity method of accounting. Upon consolidating these entities, we recorded a charge to “Cumulative effect of changes in accounting principles” of $43 million, net of tax benefit, or $0.07 per diluted share.</w:t>
      </w:r>
    </w:p>
    <w:p>
      <w:pPr>
        <w:spacing w:after="0" w:line="7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 xml:space="preserve">Non-special purpose variable interest entities </w:t>
      </w:r>
      <w:r>
        <w:rPr>
          <w:rFonts w:ascii="Arial" w:cs="Arial" w:eastAsia="Arial" w:hAnsi="Arial"/>
          <w:sz w:val="18"/>
          <w:szCs w:val="18"/>
          <w:color w:val="auto"/>
        </w:rPr>
        <w:t>— On March 31, 2004, our application of FIN 46 to non-special purpose type variable interest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the consolidation of certain trusts established to support the performance of closure, post-closure and environmental remediation activities. Upon consolidating these entities, we recorded an increase in our net assets and a credit of $8 million, net of taxes, or $0.01 per diluted share, to “Cumulative effect of changes in accounting principles.”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19 for further discussion on these variable interest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Through December 31, 2002, we accrued in advance for major repairs and maintenance expenditures and we deferred costs associated with annual plant outages at our waste-to-energy facilities and independent power production plants. Effective January 1, 2003, we changed our policy from this method to one that expenses these costs as they are incurred. In the first quarter of 2003, we recorded $25 million, net of taxes, or $0.04 per diluted share, as a credit to “Cumulative effect of changes in accounting principles.” Our current method of accounting is preferable because it (i) provides operating results that more clearly reflect the timing and amount of required expenditures, (ii) more clearly reflects our assets and liabilities, and (iii) reduces the need to make additional estimates and assumptions.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Contracts</w:t>
      </w:r>
    </w:p>
    <w:p>
      <w:pPr>
        <w:spacing w:after="0" w:line="117" w:lineRule="exact"/>
        <w:rPr>
          <w:sz w:val="20"/>
          <w:szCs w:val="20"/>
          <w:color w:val="auto"/>
        </w:rPr>
      </w:pPr>
    </w:p>
    <w:p>
      <w:pPr>
        <w:ind w:right="140" w:firstLine="267"/>
        <w:spacing w:after="0" w:line="297" w:lineRule="auto"/>
        <w:rPr>
          <w:sz w:val="20"/>
          <w:szCs w:val="20"/>
          <w:color w:val="auto"/>
        </w:rPr>
      </w:pPr>
      <w:r>
        <w:rPr>
          <w:rFonts w:ascii="Arial" w:cs="Arial" w:eastAsia="Arial" w:hAnsi="Arial"/>
          <w:sz w:val="16"/>
          <w:szCs w:val="16"/>
          <w:color w:val="auto"/>
        </w:rPr>
        <w:t>Through December 31, 2002, if our customer contracts were projected to have direct costs greater than revenues over the life of the contract, we accrued for those future losses. Effective January 1, 2003, we changed our policy from this method to one that expenses these losses as they are incurred. In the first quarter of 2003, we recorded $30 million, net of taxes, or $0.05 per diluted share, as a credit to cumulative effect of changes in accounting principles. Our current method of accounting is preferable because it (i) provides operating results that more clearly reflect the timing and amount of any contract losses generated; (ii) more clearly reflects our liabilities; and (iii) reduces the need to make additional estimates and assumptions.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 xml:space="preserve">In the first quarter of 2003, we recorded $101 million, including tax benefit, or $0.17 per diluted share, as a charge to cumulative effect of changes in accounting principles for the adoption of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(“SFAS No. 143”). Substantially all of this charge was related to changes in accounting for landfill final capping, closure and post-closure costs. See further discussion related to our accounting policies for these costs under </w:t>
      </w:r>
      <w:r>
        <w:rPr>
          <w:rFonts w:ascii="Arial" w:cs="Arial" w:eastAsia="Arial" w:hAnsi="Arial"/>
          <w:sz w:val="18"/>
          <w:szCs w:val="18"/>
          <w:i w:val="1"/>
          <w:iCs w:val="1"/>
          <w:color w:val="auto"/>
        </w:rPr>
        <w:t>Landfill Accounting</w:t>
      </w:r>
      <w:r>
        <w:rPr>
          <w:rFonts w:ascii="Arial" w:cs="Arial" w:eastAsia="Arial" w:hAnsi="Arial"/>
          <w:sz w:val="18"/>
          <w:szCs w:val="18"/>
          <w:color w:val="auto"/>
        </w:rPr>
        <w:t xml:space="preserve"> within Note 3.</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ind w:right="280" w:firstLine="270"/>
        <w:spacing w:after="0" w:line="342" w:lineRule="auto"/>
        <w:rPr>
          <w:sz w:val="20"/>
          <w:szCs w:val="20"/>
          <w:color w:val="auto"/>
        </w:rPr>
      </w:pPr>
      <w:r>
        <w:rPr>
          <w:rFonts w:ascii="Arial" w:cs="Arial" w:eastAsia="Arial" w:hAnsi="Arial"/>
          <w:sz w:val="16"/>
          <w:szCs w:val="16"/>
          <w:color w:val="auto"/>
        </w:rPr>
        <w:t>Our changes in accounting for repairs and maintenance, loss contracts and the adoption of SFAS No. 143 were effective January 1, 2003. Accordingly, these accounting changes do not affect the comparability of our results of operations as presented in the accompanying Statements of Operations.</w:t>
      </w:r>
    </w:p>
    <w:p>
      <w:pPr>
        <w:spacing w:after="0" w:line="16"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If the accounting changes we implemented for special purpose variable interest entities had been effective January 1, 2003, income before cumulative effect of changes in accounting principles would have been greater by $4 million, or $0.01 per diluted share, for the year ended December 31, 2003. The consolidation of the LLCs increased our income before cumulative effect of changes in accounting principles by $4 million, or $0.01 per diluted share for the years ended December 31, 2005 and 2004.</w:t>
      </w:r>
    </w:p>
    <w:p>
      <w:pPr>
        <w:spacing w:after="0" w:line="79"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accounting changes we implemented for non-special purpose variable interest entities have not significantly affected our results of operations for the periods presented.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reclassifications have been made to conform prior year financial information with the current period presentation:</w:t>
      </w:r>
    </w:p>
    <w:p>
      <w:pPr>
        <w:spacing w:after="0" w:line="117" w:lineRule="exact"/>
        <w:rPr>
          <w:sz w:val="20"/>
          <w:szCs w:val="20"/>
          <w:color w:val="auto"/>
        </w:rPr>
      </w:pPr>
    </w:p>
    <w:p>
      <w:pPr>
        <w:ind w:right="120" w:firstLine="270"/>
        <w:spacing w:after="0" w:line="285" w:lineRule="auto"/>
        <w:rPr>
          <w:sz w:val="20"/>
          <w:szCs w:val="20"/>
          <w:color w:val="auto"/>
        </w:rPr>
      </w:pPr>
      <w:r>
        <w:rPr>
          <w:rFonts w:ascii="Arial" w:cs="Arial" w:eastAsia="Arial" w:hAnsi="Arial"/>
          <w:sz w:val="16"/>
          <w:szCs w:val="16"/>
          <w:i w:val="1"/>
          <w:iCs w:val="1"/>
          <w:color w:val="auto"/>
        </w:rPr>
        <w:t xml:space="preserve">Cash balances </w:t>
      </w:r>
      <w:r>
        <w:rPr>
          <w:rFonts w:ascii="Arial" w:cs="Arial" w:eastAsia="Arial" w:hAnsi="Arial"/>
          <w:sz w:val="16"/>
          <w:szCs w:val="16"/>
          <w:color w:val="auto"/>
        </w:rPr>
        <w:t>— During 2004, we began making investments in auction rate securities and variable rate demand notes, which are debt instruments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scheduled maturities and periodic interest rate reset dates. Through December 31, 2004, we included these investments in “Cash and cash equivalents.” As a result of guidance issued in early 2005 associated with these types of securities, we determined that these investments were more appropriately classified as short-term investments, which are a component of current “Other assets” in our Consolidated Balance Sheets. Accordingly, in our accompanying Consolidated Financial Statements we have decreased our “Cash and cash equivalents” and increased our current “Other assets”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$19 million at December 31, 2004.</w:t>
      </w:r>
    </w:p>
    <w:p>
      <w:pPr>
        <w:spacing w:after="0" w:line="10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Gross purchases and sales of these investments are presented within “Cash flows from investing activities” in our Statements of Cash Flows. Additionally, in our 2004 and 2003 Consolidated Statements of Cash Flows, relatively insignificant purchases and sales of other short-term investments were included on a net basis within “Cash flows from investing activities — Other.” This additional activity is now reflected within purchases and sales of short-term investments in the accompanying Consolidated Statements of Cash Flows.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 As discussed further in Note 20, in the third quarter of 2005, we eliminated our Canadian Group office, and the management of our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allocated among our Eastern, Midwest and Western Groups. We have allocated the operating results of our Canadian operations to the Eastern, Midwest and Western Groups for 2003, 2004 and the first half of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84"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Certain other minor reclassifications have also been made to our prior period consolidated financial information in order to conform to the current year presentation.</w:t>
      </w:r>
    </w:p>
    <w:p>
      <w:pPr>
        <w:spacing w:after="0" w:line="16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 These investments are regularly reviewed for impairment and propriety of accounting treatment.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11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that we make in preparing our financial statements relate to our accounting for landfills, environmental liabilities and asset impairments, as described below within </w:t>
      </w:r>
      <w:r>
        <w:rPr>
          <w:rFonts w:ascii="Arial" w:cs="Arial" w:eastAsia="Arial" w:hAnsi="Arial"/>
          <w:sz w:val="18"/>
          <w:szCs w:val="18"/>
          <w:i w:val="1"/>
          <w:iCs w:val="1"/>
          <w:color w:val="auto"/>
        </w:rPr>
        <w:t>Landfill Accounting, Asset Impairments and 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Cash and cash equivalents consist primarily of cash on deposit, certificates of deposit, money market accounts, and investment grade commercial paper purchased with original maturities of three months or less. For discussion regarding the reclassification made to our December 31, 2004 balance to conform to the current year’s presentation, refer to Note 2.</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Short-term investments available for use</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invest in auction rate securities and variable rate demand notes, which are debt instruments with long-term scheduled 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Consolidated Balance Sheets. As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December 31, 2005 and 2004, $300 million and $19 million of investments in auction rate securities and variable rate demand notes have been included as a component of current “Other assets.”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short-term investments, investments held within our trust funds and escrow accounts, accounts receivable and derivative instruments. We control our exposure to credit risk associated with these instruments by (i) placing our assets and other financial interests with a diverse group of credit-worthy financial institutions; (ii) holding high quality financial instruments while limiting investments in any one instrument; and (iii) maintaining strict policies over credit extension that include credit evaluations, credit limits and monitoring procedures, although generally we do not have collateral requirements. In addition, our overall credit risk associated with trade receivables is limited due to the large number of geographically diverse customers we service. At December 31, 2005 and 2004, no single customer represented greater than 5% of total accounts receivable.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Our receivables are recorded when billed or advanced and represent claims against third parties that will be settled in cash. The carrying value of our receivables, net of the allowance for doubtful accounts, represents their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collectiblity of those balances and the allowance is adjusted accordingly. Past-due receivable balances are written-off when our internal collection efforts have been unsuccessful in collecting the amount due. Also, we generally recognize interest income on long-term interest-bearing notes receivable as the interest accrues under the terms of the notes.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i w:val="1"/>
          <w:iCs w:val="1"/>
          <w:color w:val="auto"/>
        </w:rPr>
        <w:t xml:space="preserve">Cost Basis of Landfill Assets </w:t>
      </w:r>
      <w:r>
        <w:rPr>
          <w:rFonts w:ascii="Arial" w:cs="Arial" w:eastAsia="Arial" w:hAnsi="Arial"/>
          <w:sz w:val="18"/>
          <w:szCs w:val="18"/>
          <w:color w:val="auto"/>
        </w:rPr>
        <w:t>— We capitalize various costs that we incur to make a landfill ready to accept waste. These costs generally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in accordance with SFAS No. 143 and its Interpretations. These costs are discussed below.</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these asset retirement activities and our related accounting:</w:t>
      </w:r>
    </w:p>
    <w:p>
      <w:pPr>
        <w:spacing w:after="0" w:line="117" w:lineRule="exact"/>
        <w:rPr>
          <w:sz w:val="20"/>
          <w:szCs w:val="20"/>
          <w:color w:val="auto"/>
        </w:rPr>
      </w:pPr>
    </w:p>
    <w:p>
      <w:pPr>
        <w:ind w:left="460" w:right="340" w:hanging="101"/>
        <w:spacing w:after="0" w:line="25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 topsoil</w:t>
      </w:r>
      <w:r>
        <w:rPr>
          <w:rFonts w:ascii="Arial" w:cs="Arial" w:eastAsia="Arial" w:hAnsi="Arial"/>
          <w:sz w:val="18"/>
          <w:szCs w:val="18"/>
          <w:i w:val="1"/>
          <w:iCs w:val="1"/>
          <w:color w:val="auto"/>
        </w:rPr>
        <w:t xml:space="preserve"> </w:t>
      </w:r>
      <w:r>
        <w:rPr>
          <w:rFonts w:ascii="Arial" w:cs="Arial" w:eastAsia="Arial" w:hAnsi="Arial"/>
          <w:sz w:val="18"/>
          <w:szCs w:val="18"/>
          <w:color w:val="auto"/>
        </w:rPr>
        <w:t>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93"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71" w:lineRule="exact"/>
        <w:rPr>
          <w:sz w:val="20"/>
          <w:szCs w:val="20"/>
          <w:color w:val="auto"/>
        </w:rPr>
      </w:pPr>
    </w:p>
    <w:p>
      <w:pPr>
        <w:ind w:left="460" w:hanging="101"/>
        <w:spacing w:after="0" w:line="30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Involves the maintenance and monitoring of a landfill site that has been certified closed by the applicable regulatory agency.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we are required to 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46" w:lineRule="exact"/>
        <w:rPr>
          <w:sz w:val="20"/>
          <w:szCs w:val="20"/>
          <w:color w:val="auto"/>
        </w:rPr>
      </w:pPr>
    </w:p>
    <w:p>
      <w:pPr>
        <w:ind w:right="20" w:firstLine="267"/>
        <w:spacing w:after="0" w:line="291"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59" w:lineRule="exact"/>
        <w:rPr>
          <w:sz w:val="20"/>
          <w:szCs w:val="20"/>
          <w:color w:val="auto"/>
        </w:rPr>
      </w:pPr>
    </w:p>
    <w:p>
      <w:pPr>
        <w:ind w:right="40" w:firstLine="260"/>
        <w:spacing w:after="0" w:line="276" w:lineRule="auto"/>
        <w:rPr>
          <w:sz w:val="20"/>
          <w:szCs w:val="20"/>
          <w:color w:val="auto"/>
        </w:rPr>
      </w:pPr>
      <w:r>
        <w:rPr>
          <w:rFonts w:ascii="Arial" w:cs="Arial" w:eastAsia="Arial" w:hAnsi="Arial"/>
          <w:sz w:val="17"/>
          <w:szCs w:val="17"/>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64"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 ended December 31, 2005 and 2004,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2005 is between 6.00% and 7.25%, the range of the credit-adjusted, risk-free discount rates effective since adopting SFAS No. 143 in 2003.</w:t>
      </w:r>
    </w:p>
    <w:p>
      <w:pPr>
        <w:spacing w:after="0" w:line="58"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inflation rates or the estimated costs, timing or extent of future final capping and closure and post-closure activities typically result in both</w:t>
      </w:r>
    </w:p>
    <w:p>
      <w:pPr>
        <w:spacing w:after="0" w:line="46" w:lineRule="exact"/>
        <w:rPr>
          <w:sz w:val="20"/>
          <w:szCs w:val="20"/>
          <w:color w:val="auto"/>
        </w:rPr>
      </w:pPr>
    </w:p>
    <w:p>
      <w:pPr>
        <w:ind w:firstLine="8"/>
        <w:spacing w:after="0" w:line="292"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current adjustment to the recorded liability and landfill asset; and (ii) a change in liability and asset amounts to be recorded prospectively over the remaining capacity of either the related discrete final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5"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During the years ended December 31, 2005 and 2004, adjustments associated with changes in our expectations for the timing and cost of future final capping, closure and post-closure of fully utilized airspace resulted in a $12 million and a $20 million net credit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Most of the benefit recognized in 2005 and 2004 was the result of concerted efforts to improve the operating efficiencies of our landfills allowing us to delay spending for final capping activities, landfill expansions that resulted in reduced or deferred final capping costs, or completed final capping construction that cost less than anticipated. Such adjustments to final capping, closure and post-closure were not significant in 2003.</w:t>
      </w:r>
    </w:p>
    <w:p>
      <w:pPr>
        <w:spacing w:after="0" w:line="81" w:lineRule="exact"/>
        <w:rPr>
          <w:sz w:val="20"/>
          <w:szCs w:val="20"/>
          <w:color w:val="auto"/>
        </w:rPr>
      </w:pPr>
    </w:p>
    <w:p>
      <w:pPr>
        <w:ind w:right="380" w:firstLine="270"/>
        <w:spacing w:after="0" w:line="34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1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i w:val="1"/>
          <w:iCs w:val="1"/>
          <w:color w:val="auto"/>
        </w:rPr>
        <w:t xml:space="preserve">Amortization of Landfill Assets </w:t>
      </w:r>
      <w:r>
        <w:rPr>
          <w:rFonts w:ascii="Arial" w:cs="Arial" w:eastAsia="Arial" w:hAnsi="Arial"/>
          <w:sz w:val="16"/>
          <w:szCs w:val="16"/>
          <w:color w:val="auto"/>
        </w:rPr>
        <w:t>— The amortizable basis of a landfill includes (i) amounts previously expended and capitalized, net of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airspace amortization; (ii) capitalized landfill final capping, closure and post-closure costs, net of the related accumulated airspace amortization;</w:t>
      </w:r>
    </w:p>
    <w:p>
      <w:pPr>
        <w:ind w:left="320" w:hanging="312"/>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projections of future purchase and development costs required to develop the landfill site to its final capacity; and (iv) projections of the cost to be</w:t>
      </w:r>
    </w:p>
    <w:p>
      <w:pPr>
        <w:spacing w:after="0" w:line="20" w:lineRule="exact"/>
        <w:rPr>
          <w:rFonts w:ascii="Arial" w:cs="Arial" w:eastAsia="Arial" w:hAnsi="Arial"/>
          <w:sz w:val="17"/>
          <w:szCs w:val="17"/>
          <w:color w:val="auto"/>
        </w:rPr>
      </w:pPr>
    </w:p>
    <w:p>
      <w:pPr>
        <w:ind w:right="260"/>
        <w:spacing w:after="0" w:line="261" w:lineRule="auto"/>
        <w:rPr>
          <w:rFonts w:ascii="Arial" w:cs="Arial" w:eastAsia="Arial" w:hAnsi="Arial"/>
          <w:sz w:val="17"/>
          <w:szCs w:val="17"/>
          <w:color w:val="auto"/>
        </w:rPr>
      </w:pPr>
      <w:r>
        <w:rPr>
          <w:rFonts w:ascii="Arial" w:cs="Arial" w:eastAsia="Arial" w:hAnsi="Arial"/>
          <w:sz w:val="18"/>
          <w:szCs w:val="18"/>
          <w:color w:val="auto"/>
        </w:rPr>
        <w:t>incurred for landfill final capping, closure and post-closure activities. Amortization is recorded on a units-of-consumption basis, applying cost as a rate per ton.</w:t>
      </w:r>
    </w:p>
    <w:p>
      <w:pPr>
        <w:spacing w:after="0" w:line="76"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the lesser of the contractual term of the underlying agreement or the life of the landfill. We account for each discrete final capping event separately, which results in a per ton amortization rate being calculated based on the estimated number of tons required to fill the airspace associated with a single capping event. The per ton amortization rate for all other components of the cost basis of a landfill is determined using the estimated number of tons necessary to fill the entire landfill’s available and likely expansion airspace. These rates per ton are updated annually, or more often if significant facts change.</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apply the following guidelines in determining a landfill’s available and likely airspace:</w:t>
      </w:r>
    </w:p>
    <w:p>
      <w:pPr>
        <w:spacing w:after="0" w:line="117" w:lineRule="exact"/>
        <w:rPr>
          <w:sz w:val="20"/>
          <w:szCs w:val="20"/>
          <w:color w:val="auto"/>
        </w:rPr>
      </w:pPr>
    </w:p>
    <w:p>
      <w:pPr>
        <w:ind w:left="460" w:right="40" w:hanging="101"/>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Available Airspace </w:t>
      </w:r>
      <w:r>
        <w:rPr>
          <w:rFonts w:ascii="Arial" w:cs="Arial" w:eastAsia="Arial" w:hAnsi="Arial"/>
          <w:sz w:val="18"/>
          <w:szCs w:val="18"/>
          <w:color w:val="auto"/>
        </w:rPr>
        <w:t>— Our engineers, in consultation with third-party engineering consultants and surveyors, are responsible for determining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airspace at our landfills. The available airspace is determined by an annual survey, which is then used to compare the existing landfill topography to the final landfill topography. Once the remaining airspace is determined, an airspace utilization factor (AUF) is established to calculate the remaining capacity in tons.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580"/>
        <w:spacing w:after="0" w:line="273" w:lineRule="auto"/>
        <w:rPr>
          <w:sz w:val="20"/>
          <w:szCs w:val="20"/>
          <w:color w:val="auto"/>
        </w:rPr>
      </w:pPr>
      <w:r>
        <w:rPr>
          <w:rFonts w:ascii="Arial" w:cs="Arial" w:eastAsia="Arial" w:hAnsi="Arial"/>
          <w:sz w:val="17"/>
          <w:szCs w:val="17"/>
          <w:color w:val="auto"/>
        </w:rPr>
        <w:t>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 initial selection of the AUF is subject to a subsequent multi-level review by our engineering group. Our historical experience generally indicates that the impact of settlement at a landfill is greater later in the life of the landfill when the waste placed at the landfill approaches its highest point under the permit requirements.</w:t>
      </w:r>
    </w:p>
    <w:p>
      <w:pPr>
        <w:spacing w:after="0" w:line="70" w:lineRule="exact"/>
        <w:rPr>
          <w:sz w:val="20"/>
          <w:szCs w:val="20"/>
          <w:color w:val="auto"/>
        </w:rPr>
      </w:pPr>
    </w:p>
    <w:p>
      <w:pPr>
        <w:ind w:left="460" w:right="20" w:hanging="101"/>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airspace in our estimate of available airspace in certain circumstances. First,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78" w:lineRule="exact"/>
        <w:rPr>
          <w:rFonts w:ascii="Arial" w:cs="Arial" w:eastAsia="Arial" w:hAnsi="Arial"/>
          <w:sz w:val="18"/>
          <w:szCs w:val="18"/>
          <w:color w:val="auto"/>
        </w:rPr>
      </w:pPr>
    </w:p>
    <w:p>
      <w:pPr>
        <w:ind w:left="700" w:hanging="111"/>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130" w:lineRule="exact"/>
        <w:rPr>
          <w:rFonts w:ascii="Arial" w:cs="Arial" w:eastAsia="Arial" w:hAnsi="Arial"/>
          <w:sz w:val="18"/>
          <w:szCs w:val="18"/>
          <w:color w:val="auto"/>
        </w:rPr>
      </w:pPr>
    </w:p>
    <w:p>
      <w:pPr>
        <w:ind w:left="700" w:right="260" w:hanging="111"/>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130" w:lineRule="exact"/>
        <w:rPr>
          <w:rFonts w:ascii="Arial" w:cs="Arial" w:eastAsia="Arial" w:hAnsi="Arial"/>
          <w:sz w:val="18"/>
          <w:szCs w:val="18"/>
          <w:color w:val="auto"/>
        </w:rPr>
      </w:pPr>
    </w:p>
    <w:p>
      <w:pPr>
        <w:ind w:left="700" w:right="120" w:hanging="111"/>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Financial analysis has been completed, and the results demonstrate that the expansion has a positive financial and operational impact; and</w:t>
      </w:r>
    </w:p>
    <w:p>
      <w:pPr>
        <w:spacing w:after="0" w:line="142" w:lineRule="exact"/>
        <w:rPr>
          <w:rFonts w:ascii="Arial" w:cs="Arial" w:eastAsia="Arial" w:hAnsi="Arial"/>
          <w:sz w:val="17"/>
          <w:szCs w:val="17"/>
          <w:color w:val="auto"/>
        </w:rPr>
      </w:pPr>
    </w:p>
    <w:p>
      <w:pPr>
        <w:ind w:left="700" w:hanging="111"/>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117" w:lineRule="exact"/>
        <w:rPr>
          <w:sz w:val="20"/>
          <w:szCs w:val="20"/>
          <w:color w:val="auto"/>
        </w:rPr>
      </w:pPr>
    </w:p>
    <w:p>
      <w:pPr>
        <w:ind w:left="580" w:firstLine="270"/>
        <w:spacing w:after="0" w:line="271" w:lineRule="auto"/>
        <w:rPr>
          <w:sz w:val="20"/>
          <w:szCs w:val="20"/>
          <w:color w:val="auto"/>
        </w:rPr>
      </w:pPr>
      <w:r>
        <w:rPr>
          <w:rFonts w:ascii="Arial" w:cs="Arial" w:eastAsia="Arial" w:hAnsi="Arial"/>
          <w:sz w:val="17"/>
          <w:szCs w:val="17"/>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 Directors on a quarterly basis. Of the 65 landfill sites with expansions at December 31, 2005, 16 landfills required the Chief Financial Officer to approve the inclusion of the unpermitted airspace. Thirteen of these landfills required approval by the Chief Financial Officer because legal, community or other issues could impede the expansion process. The remaining three landfills required approval primarily because the permit application processes would not meet the one or five year requirements, generally due to state-specific permitting procedures.</w:t>
      </w:r>
    </w:p>
    <w:p>
      <w:pPr>
        <w:spacing w:after="0" w:line="84" w:lineRule="exact"/>
        <w:rPr>
          <w:sz w:val="20"/>
          <w:szCs w:val="20"/>
          <w:color w:val="auto"/>
        </w:rPr>
      </w:pPr>
    </w:p>
    <w:p>
      <w:pPr>
        <w:ind w:left="580" w:right="120" w:firstLine="270"/>
        <w:spacing w:after="0" w:line="342" w:lineRule="auto"/>
        <w:rPr>
          <w:sz w:val="20"/>
          <w:szCs w:val="20"/>
          <w:color w:val="auto"/>
        </w:rPr>
      </w:pPr>
      <w:r>
        <w:rPr>
          <w:rFonts w:ascii="Arial" w:cs="Arial" w:eastAsia="Arial" w:hAnsi="Arial"/>
          <w:sz w:val="16"/>
          <w:szCs w:val="16"/>
          <w:color w:val="auto"/>
        </w:rPr>
        <w:t>When we include the expansion airspace in our calculations of available airspace, we also include the projected costs for development, as well as the projected asset retirement costs related to final capping, and closure and post-closure of the expansion in the amortization basis of the landfill.</w:t>
      </w:r>
    </w:p>
    <w:p>
      <w:pPr>
        <w:spacing w:after="0" w:line="16"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 recoverability of the landfill asset, we may be required to recognize an asset impairment. If it is determined that the likelihood of receiving the expansion permit has become remote, the capitalized costs related to the expansion effort are expensed immediately.</w:t>
      </w:r>
    </w:p>
    <w:p>
      <w:pPr>
        <w:spacing w:after="0" w:line="46" w:lineRule="exact"/>
        <w:rPr>
          <w:sz w:val="20"/>
          <w:szCs w:val="20"/>
          <w:color w:val="auto"/>
        </w:rPr>
      </w:pPr>
    </w:p>
    <w:p>
      <w:pPr>
        <w:ind w:right="180" w:firstLine="270"/>
        <w:spacing w:after="0" w:line="293" w:lineRule="auto"/>
        <w:rPr>
          <w:sz w:val="20"/>
          <w:szCs w:val="20"/>
          <w:color w:val="auto"/>
        </w:rPr>
      </w:pPr>
      <w:r>
        <w:rPr>
          <w:rFonts w:ascii="Arial" w:cs="Arial" w:eastAsia="Arial" w:hAnsi="Arial"/>
          <w:sz w:val="16"/>
          <w:szCs w:val="16"/>
          <w:i w:val="1"/>
          <w:iCs w:val="1"/>
          <w:color w:val="auto"/>
        </w:rPr>
        <w:t xml:space="preserve">Environmental Remediation </w:t>
      </w:r>
      <w:r>
        <w:rPr>
          <w:rFonts w:ascii="Arial" w:cs="Arial" w:eastAsia="Arial" w:hAnsi="Arial"/>
          <w:sz w:val="16"/>
          <w:szCs w:val="16"/>
          <w:color w:val="auto"/>
        </w:rPr>
        <w:t>— We are subject to an array of laws and regulations relating to the protection of the environment. Under current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we may have liabilities 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7"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Our estimations are based on several factors. 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50" w:lineRule="exact"/>
        <w:rPr>
          <w:sz w:val="20"/>
          <w:szCs w:val="20"/>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(“SFAS No. 5”) and its interpretations. If we used the high ends of such ranges, our aggregate potential liability would be approximately $165 million higher on a discounted basis than the $289 million recorded in the Consolidated Financial Statements as of December 31, 2005.</w:t>
      </w:r>
    </w:p>
    <w:p>
      <w:pPr>
        <w:spacing w:after="0" w:line="80"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85" w:lineRule="exact"/>
        <w:rPr>
          <w:sz w:val="20"/>
          <w:szCs w:val="20"/>
          <w:color w:val="auto"/>
        </w:rPr>
      </w:pPr>
    </w:p>
    <w:p>
      <w:pPr>
        <w:ind w:right="220" w:firstLine="267"/>
        <w:spacing w:after="0" w:line="264"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(2.5% at both December 31, 2005 and December 31, 2004) until the expected time of payment and discount the cost to present value using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risk-free discount rate, which is based on the rate for United States treasury bonds with a term approximating the weighted average period until settlement of the underlying obligation (4.25% at both December 31, 2005 and December 31, 2004).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The portion of our recorded environmental remedial liabilities that has never been subject to inflation or discounting as the amounts and timing of payments are not readily determinable was $57 million and $63 million at December 31, 2005 and 2004, respectively. Had we not discounted any portion of our environmental remedial liability, the amount recorded would have been increased by $36 million at December 31, 2005 and $40 million at December 31, 2004.</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117" w:lineRule="exact"/>
        <w:rPr>
          <w:sz w:val="20"/>
          <w:szCs w:val="20"/>
          <w:color w:val="auto"/>
        </w:rPr>
      </w:pPr>
    </w:p>
    <w:p>
      <w:pPr>
        <w:ind w:right="800" w:firstLine="270"/>
        <w:spacing w:after="0" w:line="277" w:lineRule="auto"/>
        <w:rPr>
          <w:sz w:val="20"/>
          <w:szCs w:val="20"/>
          <w:color w:val="auto"/>
        </w:rPr>
      </w:pPr>
      <w:r>
        <w:rPr>
          <w:rFonts w:ascii="Arial" w:cs="Arial" w:eastAsia="Arial" w:hAnsi="Arial"/>
          <w:sz w:val="18"/>
          <w:szCs w:val="18"/>
          <w:color w:val="auto"/>
        </w:rPr>
        <w:t>Property and equipment are initially recorded at cost. Expenditures for major additions and improvements are capitalized. Minor replacements, maintenance and repairs are charged to expense as incurred.</w:t>
      </w:r>
    </w:p>
    <w:p>
      <w:pPr>
        <w:spacing w:after="0" w:line="62" w:lineRule="exact"/>
        <w:rPr>
          <w:sz w:val="20"/>
          <w:szCs w:val="20"/>
          <w:color w:val="auto"/>
        </w:rPr>
      </w:pPr>
    </w:p>
    <w:p>
      <w:pPr>
        <w:ind w:right="740" w:firstLine="270"/>
        <w:spacing w:after="0" w:line="342" w:lineRule="auto"/>
        <w:rPr>
          <w:sz w:val="20"/>
          <w:szCs w:val="20"/>
          <w:color w:val="auto"/>
        </w:rPr>
      </w:pPr>
      <w:r>
        <w:rPr>
          <w:rFonts w:ascii="Arial" w:cs="Arial" w:eastAsia="Arial" w:hAnsi="Arial"/>
          <w:sz w:val="16"/>
          <w:szCs w:val="16"/>
          <w:color w:val="auto"/>
        </w:rPr>
        <w:t>Depreciation is provided over the estimated useful lives of the related assets using the straight-line method. We assume no salvage value for our depreciable property and equipment. The estimated useful lives for significant property and equipment categories are as follows (in years):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vMerge w:val="restart"/>
          </w:tcPr>
          <w:p>
            <w:pPr>
              <w:spacing w:after="0"/>
              <w:rPr>
                <w:sz w:val="20"/>
                <w:szCs w:val="20"/>
                <w:color w:val="auto"/>
              </w:rPr>
            </w:pPr>
            <w:r>
              <w:rPr>
                <w:rFonts w:ascii="Arial" w:cs="Arial" w:eastAsia="Arial" w:hAnsi="Arial"/>
                <w:sz w:val="18"/>
                <w:szCs w:val="18"/>
                <w:color w:val="auto"/>
              </w:rPr>
              <w:t>Vehicles — excluding rail haul cars</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09"/>
        </w:trPr>
        <w:tc>
          <w:tcPr>
            <w:tcW w:w="9060" w:type="dxa"/>
            <w:vAlign w:val="bottom"/>
            <w:vMerge w:val="continue"/>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to 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 to 20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Machinery and equipment — excluding aircraft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 to 20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Machinery and equipment — aircraft</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Buildings and improvements — excluding waste-to-energy facilities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 to 40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Buildings and improvements — waste-to-energy facilities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up to 50</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 to 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267"/>
        <w:spacing w:after="0" w:line="259" w:lineRule="auto"/>
        <w:rPr>
          <w:sz w:val="20"/>
          <w:szCs w:val="20"/>
          <w:color w:val="auto"/>
        </w:rPr>
      </w:pPr>
      <w:r>
        <w:rPr>
          <w:rFonts w:ascii="Arial" w:cs="Arial" w:eastAsia="Arial" w:hAnsi="Arial"/>
          <w:sz w:val="18"/>
          <w:szCs w:val="18"/>
          <w:color w:val="auto"/>
        </w:rPr>
        <w:t>We include capitalized costs associated with developing or obtaining internal-use software within furniture, fixtures and office equipment. These costs include external direct costs of materials and services used in developing or obtaining the software and payroll and payroll-related costs for employees directly associated with the software development project. As of December 31, 2005, capitalized software costs, net of accumulated depreciation, were $42 million.</w:t>
      </w:r>
    </w:p>
    <w:p>
      <w:pPr>
        <w:spacing w:after="0" w:line="79"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When property and equipment are retired, sold or otherwise disposed of, the cost and accumulated depreciation are removed from our accounts and any resulting gain or loss is included in results of operations as increases or offsets to operating expense for the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We lease property, plant and equipment in the ordinary course of our business. Most of our lease agreements are for equipment needed to support general and administrative functions. However, our most significant lease obligations are for property and equipment specific to our industry, including real property operated as a landfill, transfer station or waste-to-energy facility and equipment such as compactors.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80" w:lineRule="exact"/>
        <w:rPr>
          <w:sz w:val="20"/>
          <w:szCs w:val="20"/>
          <w:color w:val="auto"/>
        </w:rPr>
      </w:pPr>
    </w:p>
    <w:p>
      <w:pPr>
        <w:ind w:right="580" w:firstLine="270"/>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 majority of our leases are operating leases. This classification generally can be attributed to either (i) relatively low fixed</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lease payments as a result of real property lease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which we are contractually obligated as of December 31, 2005, are disclosed in Note 10.</w:t>
      </w:r>
    </w:p>
    <w:p>
      <w:pPr>
        <w:spacing w:after="0" w:line="79"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i w:val="1"/>
          <w:iCs w:val="1"/>
          <w:color w:val="auto"/>
        </w:rPr>
        <w:t xml:space="preserve">Capital leases </w:t>
      </w:r>
      <w:r>
        <w:rPr>
          <w:rFonts w:ascii="Arial" w:cs="Arial" w:eastAsia="Arial" w:hAnsi="Arial"/>
          <w:sz w:val="17"/>
          <w:szCs w:val="17"/>
          <w:color w:val="auto"/>
        </w:rPr>
        <w:t>— Assets under capital leases are capitalized using interest rates appropriate at the inception of each lease and are amortized over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useful life of the asset or the lease term on a straight-line basis. The present value of the related lease payments is recorded as a debt obligation. Our future minimum annual capital lease payments are included in our total future debt obligations as disclosed in Note 7.</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60" w:firstLine="267"/>
        <w:spacing w:after="0" w:line="293" w:lineRule="auto"/>
        <w:rPr>
          <w:sz w:val="20"/>
          <w:szCs w:val="20"/>
          <w:color w:val="auto"/>
        </w:rPr>
      </w:pPr>
      <w:r>
        <w:rPr>
          <w:rFonts w:ascii="Arial" w:cs="Arial" w:eastAsia="Arial" w:hAnsi="Arial"/>
          <w:sz w:val="16"/>
          <w:szCs w:val="16"/>
          <w:color w:val="auto"/>
        </w:rPr>
        <w:t>We account for the assets acquired and liabilities assumed in a business combination based on fair value estimates as of the date of acquisition.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We do not believe potential differences between our fair value estimates and actual fair values are material.</w:t>
      </w:r>
    </w:p>
    <w:p>
      <w:pPr>
        <w:spacing w:after="0" w:line="5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 xml:space="preserve">In certain business combinations,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Refer to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10 for additional information related to these contingent obligations.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Held-for-sale assets</w:t>
      </w:r>
    </w:p>
    <w:p>
      <w:pPr>
        <w:spacing w:after="0" w:line="11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During our operations review processes, we, from time to time, identify under-performing operations. We assess these operations for opportunities to improve their performance. A possible conclusion of this review may be that offering the related assets for sale to others is in our best interests. Additionally, we continually review our real estate portfolio and identify any surplus property. We classify these assets as held-for-sale when they meet the following criteria: (i) management, having the authority to approve the action, commits to a plan to sell the assets; (ii) the assets are available for immediate sale in their present condition, subject only to conditions that are usual and customary for the sale of such assets; (iii) we are actively searching for a buyer; (iv) the assets are being marketed at a price that is reasonable in relation to their current fair value; (v) actions necessary to complete the plan indicate that it is unlikely that significant changes to the plan will be made or the plan will be withdrawn; and (vi) the sale is probable and the transfer is expected to qualify for recognition as a completed sale within one year. These assets are recorded at the lower of their carrying amount or their fair value less cost to sell and are included within current “Other assets” within our Consolidated Balance Sheets. We continue to review our classification of assets held-for-sale to ensure they meet our held-for-sale criteria.</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Quarterly, we analyze our operations that have been divested or classified as held-for-sale in order to determine if they qualify for discontinued operations accounting. Only operations that qualify as a component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of an entity (“Component”) under generally accepted accounting principles can be included in discontinued operations. We have concluded that routes and contracts do not qualify as a Component, while a business unit or a market area does qualify as a Component. Only Components where we do not have significant continuing involvement with the divested operations would qualify for discontinued operations accounting. For our purposes, continuing involvement would include continuing to receive waste at our landfill, waste-to-energy facility or recycling facility from a divested hauling operation or continuing to dispose of waste at a divested landfill. After completing our analysis at December 31, 2005, we determined that the operations that qualify for discontinued operations accounting are not material to our Consolidated Statements of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In accordance with SFAS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we do not amortize goodwill. As discussed in the</w:t>
      </w:r>
      <w:r>
        <w:rPr>
          <w:rFonts w:ascii="Arial" w:cs="Arial" w:eastAsia="Arial" w:hAnsi="Arial"/>
          <w:sz w:val="18"/>
          <w:szCs w:val="18"/>
          <w:i w:val="1"/>
          <w:iCs w:val="1"/>
          <w:color w:val="auto"/>
        </w:rPr>
        <w:t xml:space="preserve"> Asset impairments </w:t>
      </w:r>
      <w:r>
        <w:rPr>
          <w:rFonts w:ascii="Arial" w:cs="Arial" w:eastAsia="Arial" w:hAnsi="Arial"/>
          <w:sz w:val="18"/>
          <w:szCs w:val="18"/>
          <w:color w:val="auto"/>
        </w:rPr>
        <w:t>section below, we assess our goodwill for impairment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w:t>
      </w:r>
    </w:p>
    <w:p>
      <w:pPr>
        <w:spacing w:after="0" w:line="73"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Other intangible assets consist primarily of customer contracts, customer lists, covenants not-to-compete, licenses and permits (other than landfill permits, as all landfill related intangible assets are combined with landfill tangible assets and amortized using our landfill amortization policy). Other intangible assets are recorded at cost and are amortized using either a 150% declining balance approach or on a straight-line basis as we determine appropriate. Customer contracts and customer lists are generally amortized over seven to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17" w:lineRule="exact"/>
        <w:rPr>
          <w:sz w:val="20"/>
          <w:szCs w:val="20"/>
          <w:color w:val="auto"/>
        </w:rPr>
      </w:pPr>
    </w:p>
    <w:p>
      <w:pPr>
        <w:ind w:right="220" w:firstLine="267"/>
        <w:spacing w:after="0" w:line="308" w:lineRule="auto"/>
        <w:rPr>
          <w:sz w:val="20"/>
          <w:szCs w:val="20"/>
          <w:color w:val="auto"/>
        </w:rPr>
      </w:pPr>
      <w:r>
        <w:rPr>
          <w:rFonts w:ascii="Arial" w:cs="Arial" w:eastAsia="Arial" w:hAnsi="Arial"/>
          <w:sz w:val="17"/>
          <w:szCs w:val="17"/>
          <w:color w:val="auto"/>
        </w:rPr>
        <w:t>We monitor the carrying value of our long-lived assets for potential impairment and test the recoverability of such assets whenever events or changes in circumstances indicate that their carrying amounts may not be recoverable. Typical indicators that an asset may be impaired include:</w:t>
      </w:r>
    </w:p>
    <w:p>
      <w:pPr>
        <w:spacing w:after="0" w:line="38"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30"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30"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75"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62"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If any of these or other indicators occur, the asset is reviewed to determine whether there has been an impairment. An impairment loss is recorded as the difference between the carrying amount and fair value of the asset. If significant events or 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determined by either an internally developed discounted projected cash flow analysis of the asset or asset group or an actual third-party valuation. If the fair value of an asset or asset group is determined to be less than the carrying amount of the asset or asset group, an impairment in the amount of the difference is recorded in the period that the impairment indicator occurs and is included in the “Asset impairments and unusual items” line item in our Consolidated Statement of Operations. Several impairment indicators are beyond our control, and cannot be predicted with any certainty whether or not they will occur. Estimating future cash flows requires significant judgment and projections may vary from cash flows eventually realized. There are other considerations for impairments of landfills and goodwill, as described below.</w:t>
      </w:r>
    </w:p>
    <w:p>
      <w:pPr>
        <w:spacing w:after="0" w:line="58"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 Certain of the indicators listed above require significant judgment and understanding of the waste industry when applied to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At least annually, we assess whether goodwill is impaired. Upon determining the existence of goodwill impairment, we measure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based on the amount by which the book value of goodwill exceeds its implied fair value. The implied fair value of goodwill is determined by deducting the fair value of each of our reporting unit’s (Group’s)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117" w:lineRule="exact"/>
        <w:rPr>
          <w:sz w:val="20"/>
          <w:szCs w:val="20"/>
          <w:color w:val="auto"/>
        </w:rPr>
      </w:pPr>
    </w:p>
    <w:p>
      <w:pPr>
        <w:ind w:right="320" w:firstLine="260"/>
        <w:spacing w:after="0" w:line="259" w:lineRule="auto"/>
        <w:rPr>
          <w:sz w:val="20"/>
          <w:szCs w:val="20"/>
          <w:color w:val="auto"/>
        </w:rPr>
      </w:pPr>
      <w:r>
        <w:rPr>
          <w:rFonts w:ascii="Arial" w:cs="Arial" w:eastAsia="Arial" w:hAnsi="Arial"/>
          <w:sz w:val="18"/>
          <w:szCs w:val="18"/>
          <w:color w:val="auto"/>
        </w:rPr>
        <w:t>As of December 31, 2005, our restricted trust and escrow accounts consist principally of (i) funds deposited in connection with landfill closure, post-closure and remedial obligations; (ii) funds held in trust for the construction of various facilities; and (iii) funds held in trust for the repayment of our debt obligations. As of December 31, 2005 and 2004, we had $460 million and $647 million, respectively, of restricted trust and escrow accounts, which are generally included in long-term “Other assets” in our Consolidated Balance Sheets.</w:t>
      </w:r>
    </w:p>
    <w:p>
      <w:pPr>
        <w:spacing w:after="0" w:line="79"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i w:val="1"/>
          <w:iCs w:val="1"/>
          <w:color w:val="auto"/>
        </w:rPr>
        <w:t xml:space="preserve">Closure, post-closure and remedial funds </w:t>
      </w:r>
      <w:r>
        <w:rPr>
          <w:rFonts w:ascii="Arial" w:cs="Arial" w:eastAsia="Arial" w:hAnsi="Arial"/>
          <w:sz w:val="16"/>
          <w:szCs w:val="16"/>
          <w:color w:val="auto"/>
        </w:rPr>
        <w:t>— At several of our landfills, we provide financial assurance by depositing cash into escrow accounts or trust</w:t>
      </w:r>
      <w:r>
        <w:rPr>
          <w:rFonts w:ascii="Arial" w:cs="Arial" w:eastAsia="Arial" w:hAnsi="Arial"/>
          <w:sz w:val="16"/>
          <w:szCs w:val="16"/>
          <w:i w:val="1"/>
          <w:iCs w:val="1"/>
          <w:color w:val="auto"/>
        </w:rPr>
        <w:t xml:space="preserve"> </w:t>
      </w:r>
      <w:r>
        <w:rPr>
          <w:rFonts w:ascii="Arial" w:cs="Arial" w:eastAsia="Arial" w:hAnsi="Arial"/>
          <w:sz w:val="16"/>
          <w:szCs w:val="16"/>
          <w:color w:val="auto"/>
        </w:rPr>
        <w:t>funds that are legally restricted for purposes of settling closure, post-closure and remedial obligations.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financial instruments held in the trust fund or escrow account.</w:t>
      </w:r>
    </w:p>
    <w:p>
      <w:pPr>
        <w:spacing w:after="0" w:line="46"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Tax-exempt bond funds </w:t>
      </w:r>
      <w:r>
        <w:rPr>
          <w:rFonts w:ascii="Arial" w:cs="Arial" w:eastAsia="Arial" w:hAnsi="Arial"/>
          <w:sz w:val="18"/>
          <w:szCs w:val="18"/>
          <w:color w:val="auto"/>
        </w:rPr>
        <w:t>— We obtain funds from the issuance of industrial revenue bonds for the construction of collection and disposal facilities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necessary to provide waste management services. Proceeds from these arrangements are directly deposited into trust accounts, and we do not have the ability to use the funds in regular operating activities. Accordingly, these borrowings are excluded from financing activities in our statement of cash flows. At the time our construction and equipment expenditures have been documented and approved by the applicable bond trustee, the funds are released and we receive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These amounts are reported in the statement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statement of cash flows.</w:t>
      </w:r>
    </w:p>
    <w:p>
      <w:pPr>
        <w:spacing w:after="0" w:line="73"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Our trust fund assets funded by industrial revenue bonds and held for future capital expenditures are invested in U.S. government agency debt securities with maturities ranging from less than one year to three years. For the years ended December 31, 2005 and 2004, our realized and unrealized gains on these investments have not been material to our results of operations and financial position.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Debt service funds </w:t>
      </w:r>
      <w:r>
        <w:rPr>
          <w:rFonts w:ascii="Arial" w:cs="Arial" w:eastAsia="Arial" w:hAnsi="Arial"/>
          <w:sz w:val="17"/>
          <w:szCs w:val="17"/>
          <w:color w:val="auto"/>
        </w:rPr>
        <w:t>— Funds are held in trust to meet future principal and interest payments required under certain of our tax-exempt project bonds.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20" w:firstLine="267"/>
        <w:spacing w:after="0" w:line="273" w:lineRule="auto"/>
        <w:rPr>
          <w:sz w:val="20"/>
          <w:szCs w:val="20"/>
          <w:color w:val="auto"/>
        </w:rPr>
      </w:pPr>
      <w:r>
        <w:rPr>
          <w:rFonts w:ascii="Arial" w:cs="Arial" w:eastAsia="Arial" w:hAnsi="Arial"/>
          <w:sz w:val="17"/>
          <w:szCs w:val="17"/>
          <w:color w:val="auto"/>
        </w:rPr>
        <w:t>We use derivative financial instruments to manage our risk associated with fluctuations in interest rates, commodity prices and foreign currency exchange rates. We use interest rate swaps to maintain a strategic portion of our debt obligations at variable, market-driven interest rates. In prior periods, we have entered into interest rate derivatives in anticipation of our senior note issuances to effectively lock in a fixed interest rate. We enter into commodity derivatives, including swaps and options, to mitigate some of the risk associated with our Recycling Group’s transactions, which can be significantly affected by market prices for recyclable commodities. Short-term foreign currency exchange rate derivatives are often used to hedge our exposure to changes in exchange rates for anticipated cash transactions between us and our Canadian subsidiaries.</w:t>
      </w:r>
    </w:p>
    <w:p>
      <w:pPr>
        <w:spacing w:after="0" w:line="70" w:lineRule="exact"/>
        <w:rPr>
          <w:sz w:val="20"/>
          <w:szCs w:val="20"/>
          <w:color w:val="auto"/>
        </w:rPr>
      </w:pPr>
    </w:p>
    <w:p>
      <w:pPr>
        <w:ind w:right="140" w:firstLine="267"/>
        <w:spacing w:after="0" w:line="291" w:lineRule="auto"/>
        <w:rPr>
          <w:sz w:val="20"/>
          <w:szCs w:val="20"/>
          <w:color w:val="auto"/>
        </w:rPr>
      </w:pPr>
      <w:r>
        <w:rPr>
          <w:rFonts w:ascii="Arial" w:cs="Arial" w:eastAsia="Arial" w:hAnsi="Arial"/>
          <w:sz w:val="16"/>
          <w:szCs w:val="16"/>
          <w:color w:val="auto"/>
        </w:rPr>
        <w:t>We obtain current valuations of our interest rate hedging instruments from third party pricing models to account for the fair value of outstanding interest rate derivatives. We estimate the future prices of commodity fiber products based upon traded exchange market prices and broker price quotations to derive the current fair value of commodity derivatives. The fair value of our foreign currency exchange rate derivatives is based on quoted market prices. The estimated fair values of derivatives used to hedge risks fluctuate over time and should be viewed in relation to the underlying hedging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2005, 2004 or 2003.</w:t>
      </w:r>
    </w:p>
    <w:p>
      <w:pPr>
        <w:spacing w:after="0" w:line="59" w:lineRule="exact"/>
        <w:rPr>
          <w:sz w:val="20"/>
          <w:szCs w:val="20"/>
          <w:color w:val="auto"/>
        </w:rPr>
      </w:pPr>
    </w:p>
    <w:p>
      <w:pPr>
        <w:ind w:left="460" w:right="420" w:hanging="101"/>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 The effective portion of those derivatives designated as cash flow hedges for accounting purposes is recorded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within the equity section of our balance sheet. Upon termination, the associated balance in other comprehensive income is amortized to earnings as the hedged cash flows occur.</w:t>
      </w:r>
    </w:p>
    <w:p>
      <w:pPr>
        <w:spacing w:after="0" w:line="86" w:lineRule="exact"/>
        <w:rPr>
          <w:rFonts w:ascii="Arial" w:cs="Arial" w:eastAsia="Arial" w:hAnsi="Arial"/>
          <w:sz w:val="18"/>
          <w:szCs w:val="18"/>
          <w:color w:val="auto"/>
        </w:rPr>
      </w:pPr>
    </w:p>
    <w:p>
      <w:pPr>
        <w:ind w:left="460" w:right="60" w:hanging="101"/>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 The offsetting amounts for those derivatives designated as fair value hedges for accounting purposes are recorded as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carrying values of the hedged items. Upon termination, this carrying value adjustment is amortized to earnings over the remaining life of the hedged item.</w:t>
      </w:r>
    </w:p>
    <w:p>
      <w:pPr>
        <w:spacing w:after="0" w:line="73" w:lineRule="exact"/>
        <w:rPr>
          <w:sz w:val="20"/>
          <w:szCs w:val="20"/>
          <w:color w:val="auto"/>
        </w:rPr>
      </w:pPr>
    </w:p>
    <w:p>
      <w:pPr>
        <w:ind w:firstLine="260"/>
        <w:spacing w:after="0" w:line="286" w:lineRule="auto"/>
        <w:rPr>
          <w:sz w:val="20"/>
          <w:szCs w:val="20"/>
          <w:color w:val="auto"/>
        </w:rPr>
      </w:pPr>
      <w:r>
        <w:rPr>
          <w:rFonts w:ascii="Arial" w:cs="Arial" w:eastAsia="Arial" w:hAnsi="Arial"/>
          <w:sz w:val="17"/>
          <w:szCs w:val="17"/>
          <w:color w:val="auto"/>
        </w:rPr>
        <w:t>As of December 31, 2005, 2004 and 2003, the net fair value and earnings impact of our commodity and foreign currency derivatives were immaterial to our financial position and results of operations. As further discussed in Note 7, our use of interest rate derivatives to manage our fixed to floating rate position has had a material impact on our operating cash flows, carrying value of debt and interest expense during these periods.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Self-insurance reserves and recoveries</w:t>
      </w:r>
    </w:p>
    <w:p>
      <w:pPr>
        <w:spacing w:after="0" w:line="117" w:lineRule="exact"/>
        <w:rPr>
          <w:sz w:val="20"/>
          <w:szCs w:val="20"/>
          <w:color w:val="auto"/>
        </w:rPr>
      </w:pPr>
    </w:p>
    <w:p>
      <w:pPr>
        <w:ind w:right="320" w:firstLine="267"/>
        <w:spacing w:after="0" w:line="297" w:lineRule="auto"/>
        <w:rPr>
          <w:sz w:val="20"/>
          <w:szCs w:val="20"/>
          <w:color w:val="auto"/>
        </w:rPr>
      </w:pPr>
      <w:r>
        <w:rPr>
          <w:rFonts w:ascii="Arial" w:cs="Arial" w:eastAsia="Arial" w:hAnsi="Arial"/>
          <w:sz w:val="16"/>
          <w:szCs w:val="16"/>
          <w:color w:val="auto"/>
        </w:rPr>
        <w:t>We have retained a portion of the risks related to our automobile, general liability and workers’ compensation insurance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if expected to be settled within one year, or otherwise is included in long-term “Other liabilities.” Estimated insurance recoveries related to recorded liabilities are reflected as current “Other receivables” or long-term “Other assets,” when we believe that the receipt of such amounts is probable.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20" w:firstLine="267"/>
        <w:spacing w:after="0" w:line="312" w:lineRule="auto"/>
        <w:rPr>
          <w:sz w:val="20"/>
          <w:szCs w:val="20"/>
          <w:color w:val="auto"/>
        </w:rPr>
      </w:pPr>
      <w:r>
        <w:rPr>
          <w:rFonts w:ascii="Arial" w:cs="Arial" w:eastAsia="Arial" w:hAnsi="Arial"/>
          <w:sz w:val="16"/>
          <w:szCs w:val="16"/>
          <w:color w:val="auto"/>
        </w:rPr>
        <w:t>We have significant operations in Canada.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other comprehensive income.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 specific terms such as frequency of service, weight, volume and the general market factors influencing a region’s rates.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50" w:lineRule="exact"/>
        <w:rPr>
          <w:sz w:val="20"/>
          <w:szCs w:val="20"/>
          <w:color w:val="auto"/>
        </w:rPr>
      </w:pPr>
    </w:p>
    <w:p>
      <w:pPr>
        <w:ind w:right="60" w:firstLine="267"/>
        <w:spacing w:after="0" w:line="308" w:lineRule="auto"/>
        <w:rPr>
          <w:sz w:val="20"/>
          <w:szCs w:val="20"/>
          <w:color w:val="auto"/>
        </w:rPr>
      </w:pPr>
      <w:r>
        <w:rPr>
          <w:rFonts w:ascii="Arial" w:cs="Arial" w:eastAsia="Arial" w:hAnsi="Arial"/>
          <w:sz w:val="17"/>
          <w:szCs w:val="17"/>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capitalize interest on certain projects under development, including landfill projects and likely landfill expansion projects, and on certain assets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including internal-use software, operating landfills and waste-to-energy facilities. During 2005, 2004 and 2003, total interest costs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$477 million and $461 million, respectively, of which $9 million for 2005 and $22 million for both 2004 and 2003, were capitalized,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landfill construction costs. The capitalization of interest for operating landfills is based on the costs incurred on discrete landfill cell construction projects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are expected to exceed $500,000 and require over 60 days to construct. In addition to the direct cost of the cell construction project, the calculation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interest includes an allocated portion of the common landfill site costs. The common site costs include the development costs of a landfill project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the purchase price of an operating landfill, and the ongoing infrastructure costs benefiting the landfill over its useful life. These costs are amortized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in a manner consistent with other landfill site costs. The decline in the amount of interest capitalized in 2005 as compared with prior years results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fewer projects on which interest was capitalized in the current year and an adjustment in the second quarter of 2005 reducing amounts previously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to a large capital project.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 options</w:t>
      </w:r>
    </w:p>
    <w:p>
      <w:pPr>
        <w:spacing w:after="0" w:line="11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 xml:space="preserve">Historically, we have accounted for our stock-based compensation, as discussed in detail in Note 15, using the intrinsic value method prescribed by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as amended. Pursuant to APB Opinion No. 25, we generally have not recognized compensation cost for our stock options because the number of shares potentially issuable and the exercise price, which is equal to the fair market value of the underlying stock on the date of grant, are fixed. Refer to Note 23 for discussion of the impact of new accounting pronouncements.</w:t>
      </w:r>
    </w:p>
    <w:p>
      <w:pPr>
        <w:spacing w:after="0" w:line="63"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During the fourth quarter of 2005, we recognized a charge to compensation expense of $2 million for the accelerated vesting of all unvested stock options effective December 28, 2005. We estimate that the acceleration eliminated approximately $55 million in compensation expense, or $34 million net of tax, that would have been recognized under the provisions of SFAS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(“SFAS No. 123(R)”), over the next three years as the stock options vested. For additional information related to this modification of outstanding awards, refer to Note 15. 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which includes a pro forma charge of $41 million, net of tax, for the accelerated vesting of our outstanding stock options (in millions,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Years Ended 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Stock options and warrants outstanding (in millions)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 of stock options granted during related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405"/>
        </w:trPr>
        <w:tc>
          <w:tcPr>
            <w:tcW w:w="7700" w:type="dxa"/>
            <w:vAlign w:val="bottom"/>
            <w:gridSpan w:val="2"/>
          </w:tcPr>
          <w:p>
            <w:pPr>
              <w:jc w:val="right"/>
              <w:ind w:right="181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80" w:firstLine="267"/>
        <w:spacing w:after="0" w:line="257" w:lineRule="auto"/>
        <w:rPr>
          <w:sz w:val="20"/>
          <w:szCs w:val="20"/>
          <w:color w:val="auto"/>
        </w:rPr>
      </w:pPr>
      <w:r>
        <w:rPr>
          <w:rFonts w:ascii="Arial" w:cs="Arial" w:eastAsia="Arial" w:hAnsi="Arial"/>
          <w:sz w:val="18"/>
          <w:szCs w:val="18"/>
          <w:color w:val="auto"/>
        </w:rPr>
        <w:t>The fair value of our stock option grants in the table above was estimated utilizing the Black-Scholes option pricing model. The following weighted average assumptions were used: dividend yield from zero to 2.95%; risk-free interest rates, which vary for each grant, ranging from 1.34% to 4.24%; expected life of six years for all grants; and stock price volatility ranging from 22.75% to 34.02%. Black-Scholes is a formula that calculates an estimated value of stock options based on appreciation and interest rate assumptions. Therefore, the fair value calculation of a stock option using Black-Scholes is not necessarily indicative of the actual value of a stock option.</w:t>
      </w:r>
    </w:p>
    <w:p>
      <w:pPr>
        <w:spacing w:after="0" w:line="80" w:lineRule="exact"/>
        <w:rPr>
          <w:sz w:val="20"/>
          <w:szCs w:val="20"/>
          <w:color w:val="auto"/>
        </w:rPr>
      </w:pPr>
    </w:p>
    <w:p>
      <w:pPr>
        <w:ind w:right="60" w:firstLine="260"/>
        <w:spacing w:after="0" w:line="255" w:lineRule="auto"/>
        <w:rPr>
          <w:sz w:val="20"/>
          <w:szCs w:val="20"/>
          <w:color w:val="auto"/>
        </w:rPr>
      </w:pPr>
      <w:r>
        <w:rPr>
          <w:rFonts w:ascii="Arial" w:cs="Arial" w:eastAsia="Arial" w:hAnsi="Arial"/>
          <w:sz w:val="18"/>
          <w:szCs w:val="18"/>
          <w:color w:val="auto"/>
        </w:rPr>
        <w:t>As a result of both the changes in accounting for share-based payments and a desire to design our long-term incentive plans in a manner that creates a stronger link to operating and market performance, in 2004, our Board of Directors approved a substantial change in the form of equity-based awards that we grant. In prior years, stock option awards were the primary form of equity-based compensation. Beginning in 2005, we replaced this form of compensation with restricted stock units and performance share units. We do not intend to include stock options as a component of our future long-term incentive plans. Additional information regarding the significant terms of our restricted stock units and performance share units, 2005 grants and the related compensation expense is included in Note 15.</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SFAS No. 5. We are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Non-cash investing and financing activities are excluded from the Consolidated Statements of Cash Flows. For the years ended December 31, 2005, 2004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2003, non-cash activities included proceeds from tax-exempt borrowings, net of principal payments made directly from trust funds, of $201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$283 million and $456 million, respectively. We also have increases in our debt obligations as a result of acquisitions and non-cash borrowings. In 2004,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component of our non-cash financings was the issuance of $118.5 million of debt in return for our equity investment in two synthetic fuel production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 These investments are discussed in detail in Note 8. This activity was not significant for the years ended December 31, 2005 or 2003.</w:t>
      </w:r>
    </w:p>
    <w:p>
      <w:pPr>
        <w:spacing w:after="0" w:line="10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December 15, 2005, we declared our first quarterly cash dividend for 2006. The dividend is $0.22 per common share and is payable March 24, 2006 to stockholders of record on March 6, 2006. As of December 31, 2005, $122 million has been accrued for this dividend declaration. As the dividend payment does not occur until March 2006, it has been excluded from our “Net cash used in financing activities” in our Consolidated Statement of Cash Flows for the year ended December 31, 2005.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 2005</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2004</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Landfill</w:t>
            </w:r>
          </w:p>
        </w:tc>
        <w:tc>
          <w:tcPr>
            <w:tcW w:w="26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Environmental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Landfill</w:t>
            </w:r>
          </w:p>
        </w:tc>
        <w:tc>
          <w:tcPr>
            <w:tcW w:w="30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3"/>
          </w:tcPr>
          <w:p>
            <w:pPr>
              <w:jc w:val="center"/>
              <w:ind w:right="860"/>
              <w:spacing w:after="0" w:line="133" w:lineRule="exact"/>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Remediation</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Remediation</w:t>
            </w:r>
          </w:p>
        </w:tc>
        <w:tc>
          <w:tcPr>
            <w:tcW w:w="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938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1,052</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to landfill and environmental remediation liabilities for the years ended December 31, 2004 and 2005 are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Landfill</w:t>
            </w:r>
          </w:p>
        </w:tc>
        <w:tc>
          <w:tcPr>
            <w:tcW w:w="4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Remediation</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accretion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accretion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60" w:firstLine="260"/>
        <w:spacing w:after="0" w:line="264" w:lineRule="auto"/>
        <w:rPr>
          <w:sz w:val="20"/>
          <w:szCs w:val="20"/>
          <w:color w:val="auto"/>
        </w:rPr>
      </w:pPr>
      <w:r>
        <w:rPr>
          <w:rFonts w:ascii="Arial" w:cs="Arial" w:eastAsia="Arial" w:hAnsi="Arial"/>
          <w:sz w:val="18"/>
          <w:szCs w:val="18"/>
          <w:color w:val="auto"/>
        </w:rPr>
        <w:t>Anticipated payments of currently identified environmental remediation liabilities for the next five years and thereafter as measured in current dollars are reflected below (in millions). Our recorded liabilities as of December 31, 2005 include the impact of inflating certain of these costs based on our expectations for the timing of cash settlement and discounting certain of these costs to present value.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r>
    </w:tbl>
    <w:p>
      <w:pPr>
        <w:spacing w:after="0" w:line="93" w:lineRule="exact"/>
        <w:rPr>
          <w:sz w:val="20"/>
          <w:szCs w:val="20"/>
          <w:color w:val="auto"/>
        </w:rPr>
      </w:pPr>
    </w:p>
    <w:p>
      <w:pPr>
        <w:ind w:firstLine="260"/>
        <w:spacing w:after="0" w:line="297" w:lineRule="auto"/>
        <w:rPr>
          <w:sz w:val="20"/>
          <w:szCs w:val="20"/>
          <w:color w:val="auto"/>
        </w:rPr>
      </w:pPr>
      <w:r>
        <w:rPr>
          <w:rFonts w:ascii="Arial" w:cs="Arial" w:eastAsia="Arial" w:hAnsi="Arial"/>
          <w:sz w:val="16"/>
          <w:szCs w:val="16"/>
          <w:color w:val="auto"/>
        </w:rPr>
        <w:t>At several of our landfills, we provide financial assurance by depositing cash into restricted escrow accounts or trust funds for purposes of settling closure, post-closure and environmental remediation obligations. The fair value of these escrow accounts and trust funds was $205 million at December 31, 2005, and is primarily included as long-term “Other assets” in our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67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Property and equipment at December 31 consisted of the following (in millions):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Landfills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10,349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2,829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Containers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22,508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(6,390)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(5,971)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Less accumulated landfill airspace amortization</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70"/>
              <w:spacing w:after="0"/>
              <w:rPr>
                <w:sz w:val="20"/>
                <w:szCs w:val="20"/>
                <w:color w:val="auto"/>
              </w:rPr>
            </w:pPr>
            <w:r>
              <w:rPr>
                <w:rFonts w:ascii="Arial" w:cs="Arial" w:eastAsia="Arial" w:hAnsi="Arial"/>
                <w:sz w:val="18"/>
                <w:szCs w:val="18"/>
                <w:color w:val="auto"/>
              </w:rPr>
              <w:t>(4,897)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11,476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9"/>
          </w:tcPr>
          <w:p>
            <w:pPr>
              <w:ind w:left="60"/>
              <w:spacing w:after="0"/>
              <w:rPr>
                <w:sz w:val="20"/>
                <w:szCs w:val="20"/>
                <w:color w:val="auto"/>
              </w:rPr>
            </w:pPr>
            <w:r>
              <w:rPr>
                <w:rFonts w:ascii="Arial" w:cs="Arial" w:eastAsia="Arial" w:hAnsi="Arial"/>
                <w:sz w:val="18"/>
                <w:szCs w:val="18"/>
                <w:color w:val="auto"/>
                <w:w w:val="97"/>
              </w:rPr>
              <w:t>Depreciation and amortization expense was comprised of the following for the years ended December 31 (in millions):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on tangible property and equipment(a)</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Amortization of landfill airspace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1,298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These amounts include amortization expense for assets recorded as capital leases.</w:t>
      </w:r>
    </w:p>
    <w:p>
      <w:pPr>
        <w:spacing w:after="0" w:line="20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jc w:val="both"/>
        <w:ind w:right="60" w:firstLine="267"/>
        <w:spacing w:after="0" w:line="264" w:lineRule="auto"/>
        <w:rPr>
          <w:sz w:val="20"/>
          <w:szCs w:val="20"/>
          <w:color w:val="auto"/>
        </w:rPr>
      </w:pPr>
      <w:r>
        <w:rPr>
          <w:rFonts w:ascii="Arial" w:cs="Arial" w:eastAsia="Arial" w:hAnsi="Arial"/>
          <w:sz w:val="18"/>
          <w:szCs w:val="18"/>
          <w:color w:val="auto"/>
        </w:rPr>
        <w:t>We incurred no impairment of goodwill as a result of our annual goodwill impairment tests in 2005, 2004 or 2003. Additionally, we did not encounter any events or changes in circumstances that indicated that impairment was more likely than not during interim periods in 2005, 2004 or 2003. However, there can be no assurance that goodwill will not be impaired at any time in the future.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Refer to Note 20 for a reconciliation of changes in our goodwill during 2005 and 2004 by reportable segment.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other intangible assets as of December 31, 2005 and 2004 were comprised of the following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vMerge w:val="restart"/>
          </w:tcPr>
          <w:p>
            <w:pPr>
              <w:jc w:val="center"/>
              <w:ind w:right="1060"/>
              <w:spacing w:after="0"/>
              <w:rPr>
                <w:sz w:val="20"/>
                <w:szCs w:val="20"/>
                <w:color w:val="auto"/>
              </w:rPr>
            </w:pPr>
            <w:r>
              <w:rPr>
                <w:rFonts w:ascii="Arial" w:cs="Arial" w:eastAsia="Arial" w:hAnsi="Arial"/>
                <w:sz w:val="14"/>
                <w:szCs w:val="14"/>
                <w:b w:val="1"/>
                <w:bCs w:val="1"/>
                <w:color w:val="auto"/>
                <w:w w:val="91"/>
              </w:rPr>
              <w:t>Customer</w:t>
            </w: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Covenants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Licenses,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Permits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93"/>
              </w:rPr>
              <w:t>Contracts and</w:t>
            </w:r>
          </w:p>
        </w:tc>
        <w:tc>
          <w:tcPr>
            <w:tcW w:w="1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Not-to-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2"/>
              </w:rPr>
              <w:t>Customer Lists</w:t>
            </w:r>
          </w:p>
        </w:tc>
        <w:tc>
          <w:tcPr>
            <w:tcW w:w="10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Compete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Landfill operating permits are not presented above and are recognized on a combined basis with other landfill assets and amortized using our landfill amortization method. Amortization expense for other intangible assets was $31 million for 2005 and $38 million for both 2004 and 2003. At December 31, 2005, we had $5 million of other intangible assets that are not subject to amortization. The intangible asset amortization expense estimated as of December 31, 2005, for the next five years is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2006</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419"/>
              <w:spacing w:after="0"/>
              <w:rPr>
                <w:sz w:val="20"/>
                <w:szCs w:val="20"/>
                <w:color w:val="auto"/>
              </w:rPr>
            </w:pPr>
            <w:r>
              <w:rPr>
                <w:rFonts w:ascii="Arial" w:cs="Arial" w:eastAsia="Arial" w:hAnsi="Arial"/>
                <w:sz w:val="14"/>
                <w:szCs w:val="14"/>
                <w:b w:val="1"/>
                <w:bCs w:val="1"/>
                <w:color w:val="auto"/>
                <w:w w:val="89"/>
              </w:rPr>
              <w:t>2007</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2008</w:t>
            </w:r>
          </w:p>
        </w:tc>
        <w:tc>
          <w:tcPr>
            <w:tcW w:w="11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w w:val="79"/>
              </w:rPr>
              <w:t>26</w:t>
            </w:r>
          </w:p>
        </w:tc>
        <w:tc>
          <w:tcPr>
            <w:tcW w:w="140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9"/>
                <w:szCs w:val="19"/>
                <w:color w:val="auto"/>
              </w:rPr>
            </w:pPr>
          </w:p>
        </w:tc>
        <w:tc>
          <w:tcPr>
            <w:tcW w:w="980" w:type="dxa"/>
            <w:vAlign w:val="bottom"/>
            <w:tcBorders>
              <w:top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w w:val="79"/>
              </w:rPr>
              <w:t>7.</w:t>
            </w:r>
          </w:p>
        </w:tc>
        <w:tc>
          <w:tcPr>
            <w:tcW w:w="3120" w:type="dxa"/>
            <w:vAlign w:val="bottom"/>
            <w:gridSpan w:val="3"/>
          </w:tcPr>
          <w:p>
            <w:pPr>
              <w:ind w:left="320"/>
              <w:spacing w:after="0"/>
              <w:rPr>
                <w:sz w:val="20"/>
                <w:szCs w:val="20"/>
                <w:color w:val="auto"/>
              </w:rPr>
            </w:pPr>
            <w:r>
              <w:rPr>
                <w:rFonts w:ascii="Arial" w:cs="Arial" w:eastAsia="Arial" w:hAnsi="Arial"/>
                <w:sz w:val="18"/>
                <w:szCs w:val="18"/>
                <w:b w:val="1"/>
                <w:bCs w:val="1"/>
                <w:color w:val="auto"/>
                <w:w w:val="95"/>
              </w:rPr>
              <w:t>Debt and Interest Rate Derivatives</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Debt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5"/>
          </w:tcPr>
          <w:p>
            <w:pPr>
              <w:ind w:left="140"/>
              <w:spacing w:after="0"/>
              <w:rPr>
                <w:sz w:val="20"/>
                <w:szCs w:val="20"/>
                <w:color w:val="auto"/>
              </w:rPr>
            </w:pPr>
            <w:r>
              <w:rPr>
                <w:rFonts w:ascii="Arial" w:cs="Arial" w:eastAsia="Arial" w:hAnsi="Arial"/>
                <w:sz w:val="18"/>
                <w:szCs w:val="18"/>
                <w:color w:val="auto"/>
              </w:rPr>
              <w:t>Debt at December 31 consisted of the following (in millions):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Revolving credit and letter of credit facilities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center"/>
              <w:ind w:left="33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Canadian credit facility</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gridSpan w:val="10"/>
            <w:shd w:val="clear" w:color="auto" w:fill="CCEEFF"/>
          </w:tcPr>
          <w:p>
            <w:pPr>
              <w:spacing w:after="0" w:line="201" w:lineRule="exact"/>
              <w:rPr>
                <w:sz w:val="20"/>
                <w:szCs w:val="20"/>
                <w:color w:val="auto"/>
              </w:rPr>
            </w:pPr>
            <w:r>
              <w:rPr>
                <w:rFonts w:ascii="Arial" w:cs="Arial" w:eastAsia="Arial" w:hAnsi="Arial"/>
                <w:sz w:val="18"/>
                <w:szCs w:val="18"/>
                <w:color w:val="auto"/>
                <w:w w:val="91"/>
              </w:rPr>
              <w:t>Senior notes and debentures, maturing through 2032, interest rates ranging from 5.00% to 8.75% (weighted average</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rate of 7.0% at December 31, 2005 and 2004)</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gridSpan w:val="10"/>
          </w:tcPr>
          <w:p>
            <w:pPr>
              <w:spacing w:after="0" w:line="201" w:lineRule="exact"/>
              <w:rPr>
                <w:sz w:val="20"/>
                <w:szCs w:val="20"/>
                <w:color w:val="auto"/>
              </w:rPr>
            </w:pPr>
            <w:r>
              <w:rPr>
                <w:rFonts w:ascii="Arial" w:cs="Arial" w:eastAsia="Arial" w:hAnsi="Arial"/>
                <w:sz w:val="18"/>
                <w:szCs w:val="18"/>
                <w:color w:val="auto"/>
                <w:w w:val="95"/>
              </w:rPr>
              <w:t>Tax-exempt bonds maturing through 2039, fixed and variable interest rates ranging from 2.3% to 7.4% (weighted</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40" w:type="dxa"/>
            <w:vAlign w:val="bottom"/>
            <w:gridSpan w:val="8"/>
          </w:tcPr>
          <w:p>
            <w:pPr>
              <w:spacing w:after="0"/>
              <w:rPr>
                <w:sz w:val="20"/>
                <w:szCs w:val="20"/>
                <w:color w:val="auto"/>
              </w:rPr>
            </w:pPr>
            <w:r>
              <w:rPr>
                <w:rFonts w:ascii="Arial" w:cs="Arial" w:eastAsia="Arial" w:hAnsi="Arial"/>
                <w:sz w:val="18"/>
                <w:szCs w:val="18"/>
                <w:color w:val="auto"/>
              </w:rPr>
              <w:t>average interest rate of 4.2% at December 31, 2005 and 3.6% at December 31, 2004)</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gridSpan w:val="10"/>
            <w:shd w:val="clear" w:color="auto" w:fill="CCEEFF"/>
          </w:tcPr>
          <w:p>
            <w:pPr>
              <w:spacing w:after="0" w:line="201" w:lineRule="exact"/>
              <w:rPr>
                <w:sz w:val="20"/>
                <w:szCs w:val="20"/>
                <w:color w:val="auto"/>
              </w:rPr>
            </w:pPr>
            <w:r>
              <w:rPr>
                <w:rFonts w:ascii="Arial" w:cs="Arial" w:eastAsia="Arial" w:hAnsi="Arial"/>
                <w:sz w:val="18"/>
                <w:szCs w:val="18"/>
                <w:color w:val="auto"/>
                <w:w w:val="96"/>
              </w:rPr>
              <w:t>Tax-exempt project bonds, principal payable in periodic installments, maturing through 2027, fixed and variable</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2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0"/>
              </w:rPr>
              <w:t>interest rates ranging from 3.6% to 9.3% (weighted average interest rate of 5.3% at December 31, 2005 and 5.2% at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6"/>
          </w:tcPr>
          <w:p>
            <w:pPr>
              <w:spacing w:after="0"/>
              <w:rPr>
                <w:sz w:val="20"/>
                <w:szCs w:val="20"/>
                <w:color w:val="auto"/>
              </w:rPr>
            </w:pPr>
            <w:r>
              <w:rPr>
                <w:rFonts w:ascii="Arial" w:cs="Arial" w:eastAsia="Arial" w:hAnsi="Arial"/>
                <w:sz w:val="18"/>
                <w:szCs w:val="18"/>
                <w:color w:val="auto"/>
              </w:rPr>
              <w:t>5.75% convertible subordinated notes due 2005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Capital leases and other, maturing through 2036, interest rates up to 12%</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vMerge w:val="restart"/>
          </w:tcPr>
          <w:p>
            <w:pPr>
              <w:jc w:val="right"/>
              <w:ind w:right="556"/>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We have a $2.4 billion syndicated revolving credit facility that matures in October 2009, a $350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letter of credit facility that matures in December 2008 and $295 million of letter of credit and term loan agreements maturing at various points through June 2013. These credit facilities generally have been used to issue letters of credit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agreement or facility. Through December 31, 2005, we had not experienced any unreimbursed draws on letters of credit.</w:t>
      </w:r>
    </w:p>
    <w:p>
      <w:pPr>
        <w:spacing w:after="0" w:line="85" w:lineRule="exact"/>
        <w:rPr>
          <w:sz w:val="20"/>
          <w:szCs w:val="20"/>
          <w:color w:val="auto"/>
        </w:rPr>
      </w:pPr>
    </w:p>
    <w:p>
      <w:pPr>
        <w:ind w:right="120" w:firstLine="260"/>
        <w:spacing w:after="0" w:line="264" w:lineRule="auto"/>
        <w:rPr>
          <w:sz w:val="20"/>
          <w:szCs w:val="20"/>
          <w:color w:val="auto"/>
        </w:rPr>
      </w:pPr>
      <w:r>
        <w:rPr>
          <w:rFonts w:ascii="Arial" w:cs="Arial" w:eastAsia="Arial" w:hAnsi="Arial"/>
          <w:sz w:val="18"/>
          <w:szCs w:val="18"/>
          <w:color w:val="auto"/>
        </w:rPr>
        <w:t>As of December 31, 2005, no borrowings were outstanding under our revolving credit or letter of credit facilities, and we had unused and available credit capacity of $963 million under the facilities discussed above. The following table summarizes our outstanding letters of credit (in millions) categorized by each major facility outstanding at December 31: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Letter of credit facility</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Letter of credit and term loan agreements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32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70"/>
        <w:spacing w:after="0" w:line="286"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In November 2005, Waste Management of Canada Corporation, one of our wholly-owned subsidiaries, entered into a three-year credit facility agreement. The agreement was entered into to facilitate WMI’s repatriation of accumulated earnings and capital from its Canadian subsidiaries (See Note 8). The agreement, which matures November 30, 2008, allowed Waste Management of Canada Corporation to borrow up to Canadian $410 million at any time on or before December 31, 2005. Any unused portion of the available credit was subject to immediate cancellation. As of December 31, 2005, the entire credit capacity of the facility had been advanced resulting in proceeds of U.S. $339 million. The advances do not accrue interest during their terms. Accordingly, the proceeds we received were for the principal amount of U.S. $353 million net of the total interest obligation due for the term of the advance. The difference between the principal borrowed and proceeds received is being amortized to interest expense using the effective interest method with a corresponding increase in our recorded debt obligation. During December 2005, we increased the carrying value of the debt for the recognition of $1 million of interest expense for the facility. The advances have a weighted average effective interest rate of 4.39% and mature either three months or twelve months from the date of issuance. However, the terms of the credit facility allow Waste Management of Canada Corporation to elect to renew the advances. As of December 31, 2005, we expect to repay U.S. $86 million of outstanding advances with available cash and renew the remaining borrowings under the terms of the facility. Accordingly, $86 million of debt associated with these borrowings is classified as current in our December 31, 2005 Consolidated Balance Sheet and the remaining borrowings have been classified as long-term.</w:t>
      </w:r>
    </w:p>
    <w:p>
      <w:pPr>
        <w:spacing w:after="0" w:line="67"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On May 15, 2005, $100 million of 7.00% senior notes and $3 million of 6.65% senior notes matured and were repaid with cash on hand.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March 2004, we issued $350 million of 5.0% senior notes due March 15, 2014. Interest on the notes is payable on March 15 and September 15 of each year. The net proceeds of the offering were $346 million after deducting underwriters’ discounts and expenses. These proceeds were used to repay</w:t>
      </w:r>
    </w:p>
    <w:p>
      <w:pPr>
        <w:ind w:right="200"/>
        <w:spacing w:after="0" w:line="254" w:lineRule="auto"/>
        <w:rPr>
          <w:sz w:val="20"/>
          <w:szCs w:val="20"/>
          <w:color w:val="auto"/>
        </w:rPr>
      </w:pPr>
      <w:r>
        <w:rPr>
          <w:rFonts w:ascii="Arial" w:cs="Arial" w:eastAsia="Arial" w:hAnsi="Arial"/>
          <w:sz w:val="18"/>
          <w:szCs w:val="18"/>
          <w:color w:val="auto"/>
        </w:rPr>
        <w:t>$150 million of 8.0% senior notes due April 30, 2004 and $200 million of 6.5% senior notes due May 15, 2004. In the fourth quarter of 2004, we paid, with cash on hand, $295 million of 7.0% senior notes due October 1, 2004. We have $300 million of 7.0% senior notes that mature in October 2006 that we currently expect to repay with available cash. Accordingly, this obligation has been reflected as a current liability in our Consolidated Balance Sheet as of December 31, 2005.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We actively issue tax-exempt bonds as a means of accessing low-cost financing. We issued $246 million of tax-exempt bonds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2005 and $345 million of tax-exempt bonds during 2004, $35 million of which was issued to refinance higher rate tax-exempt debt. The proceeds from these debt issuances may only be used for the specific purpose for which the money was raised, which is generally to finance expenditures for landfill construction and development, equipment, vehicles and facilities in support of our operations. Proceeds from bond issues are held in trust until such time as we incur qualified expenditures, at which time we are reimbursed from the trust funds. We issue both fixed and floating rate obligations. Interest rates on floating rate bonds are re-set on a weekly basis and the underlying bonds are supported by letters of credit.</w:t>
      </w:r>
    </w:p>
    <w:p>
      <w:pPr>
        <w:spacing w:after="0" w:line="70"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Tax-exempt project bonds </w:t>
      </w:r>
      <w:r>
        <w:rPr>
          <w:rFonts w:ascii="Arial" w:cs="Arial" w:eastAsia="Arial" w:hAnsi="Arial"/>
          <w:sz w:val="18"/>
          <w:szCs w:val="18"/>
          <w:color w:val="auto"/>
        </w:rPr>
        <w:t>— Tax-exempt project bonds have been used by our Wheelabrator Group to finance the development of waste-to-energy</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These facilities are integral to the local communities they serve, and, as such, are supported by long-term contracts with multiple municipalities. The bonds generally have periodic amortizations that are supported by the cash flow of each specific facility being financed. During the year ended December 31, 2005, we repaid $91 million of these bonds with either available cash or debt service funds.</w:t>
      </w:r>
    </w:p>
    <w:p>
      <w:pPr>
        <w:spacing w:after="0" w:line="79"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i w:val="1"/>
          <w:iCs w:val="1"/>
          <w:color w:val="auto"/>
        </w:rPr>
        <w:t xml:space="preserve">Convertible subordinated notes </w:t>
      </w:r>
      <w:r>
        <w:rPr>
          <w:rFonts w:ascii="Arial" w:cs="Arial" w:eastAsia="Arial" w:hAnsi="Arial"/>
          <w:sz w:val="18"/>
          <w:szCs w:val="18"/>
          <w:color w:val="auto"/>
        </w:rPr>
        <w:t>— Approximately $35 million of 5.75% convertible subordinated notes were repaid, with cash on hand, upon maturity at</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24, 2005.</w:t>
      </w:r>
    </w:p>
    <w:p>
      <w:pPr>
        <w:spacing w:after="0" w:line="62" w:lineRule="exact"/>
        <w:rPr>
          <w:sz w:val="20"/>
          <w:szCs w:val="20"/>
          <w:color w:val="auto"/>
        </w:rPr>
      </w:pPr>
    </w:p>
    <w:p>
      <w:pPr>
        <w:ind w:right="360" w:firstLine="270"/>
        <w:spacing w:after="0" w:line="312" w:lineRule="auto"/>
        <w:rPr>
          <w:sz w:val="20"/>
          <w:szCs w:val="20"/>
          <w:color w:val="auto"/>
        </w:rPr>
      </w:pPr>
      <w:r>
        <w:rPr>
          <w:rFonts w:ascii="Arial" w:cs="Arial" w:eastAsia="Arial" w:hAnsi="Arial"/>
          <w:sz w:val="16"/>
          <w:szCs w:val="16"/>
          <w:i w:val="1"/>
          <w:iCs w:val="1"/>
          <w:color w:val="auto"/>
        </w:rPr>
        <w:t xml:space="preserve">Scheduled debt payments </w:t>
      </w:r>
      <w:r>
        <w:rPr>
          <w:rFonts w:ascii="Arial" w:cs="Arial" w:eastAsia="Arial" w:hAnsi="Arial"/>
          <w:sz w:val="16"/>
          <w:szCs w:val="16"/>
          <w:color w:val="auto"/>
        </w:rPr>
        <w:t>— The schedule of anticipated debt and capital lease payments (including the current portion) for the next five years is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below (in millions). Our recorded debt and capital lease obligations include non-cash adjustments associated with discounts, premiums and fair value adjustments for interest rate hedging activities. These amounts have been excluded here because they will not result in cash payments.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2006(a),(b),(c)</w:t>
            </w:r>
          </w:p>
        </w:tc>
        <w:tc>
          <w:tcPr>
            <w:tcW w:w="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r>
      <w:tr>
        <w:trPr>
          <w:trHeight w:val="224"/>
        </w:trPr>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806</w:t>
            </w:r>
          </w:p>
        </w:tc>
        <w:tc>
          <w:tcPr>
            <w:tcW w:w="9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533</w:t>
            </w:r>
          </w:p>
        </w:tc>
        <w:tc>
          <w:tcPr>
            <w:tcW w:w="9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c>
          <w:tcPr>
            <w:tcW w:w="9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303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3" w:lineRule="exact"/>
        <w:rPr>
          <w:sz w:val="20"/>
          <w:szCs w:val="20"/>
          <w:color w:val="auto"/>
        </w:rPr>
      </w:pPr>
    </w:p>
    <w:p>
      <w:pPr>
        <w:ind w:left="360" w:hanging="352"/>
        <w:spacing w:after="0" w:line="251" w:lineRule="auto"/>
        <w:tabs>
          <w:tab w:leader="none" w:pos="3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debt obligations as of December 31, 2005 include $333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December 31, 2005.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28" w:lineRule="exact"/>
        <w:rPr>
          <w:rFonts w:ascii="Arial" w:cs="Arial" w:eastAsia="Arial" w:hAnsi="Arial"/>
          <w:sz w:val="13"/>
          <w:szCs w:val="13"/>
          <w:color w:val="auto"/>
        </w:rPr>
      </w:pPr>
    </w:p>
    <w:p>
      <w:pPr>
        <w:ind w:left="360" w:hanging="352"/>
        <w:spacing w:after="0" w:line="234"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At December 31, 2005, we have $615 million of tax-exempt bonds and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2005 because the borrowings are supported by letters of credit primarily issued under our five-year revolving credit facility, which is long-term.</w:t>
      </w:r>
    </w:p>
    <w:p>
      <w:pPr>
        <w:spacing w:after="0" w:line="33" w:lineRule="exact"/>
        <w:rPr>
          <w:rFonts w:ascii="Arial" w:cs="Arial" w:eastAsia="Arial" w:hAnsi="Arial"/>
          <w:sz w:val="14"/>
          <w:szCs w:val="14"/>
          <w:color w:val="auto"/>
        </w:rPr>
      </w:pPr>
    </w:p>
    <w:p>
      <w:pPr>
        <w:ind w:left="360" w:right="580" w:hanging="352"/>
        <w:spacing w:after="0" w:line="253"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have classified approximately $290 million of our debt obligations with contractual maturities on or before December 31, 2006 as long-term in our Consolidated Balance Sheet at December 31, 2005 because we have the intent and ability to refinance these obligations with long-term debt instruments.</w:t>
      </w:r>
    </w:p>
    <w:p>
      <w:pPr>
        <w:spacing w:after="0" w:line="7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Secured debt </w:t>
      </w:r>
      <w:r>
        <w:rPr>
          <w:rFonts w:ascii="Arial" w:cs="Arial" w:eastAsia="Arial" w:hAnsi="Arial"/>
          <w:sz w:val="18"/>
          <w:szCs w:val="18"/>
          <w:color w:val="auto"/>
        </w:rPr>
        <w:t>— Our debt balances are generally unsecured, except for $313 million of the tax-exempt project bonds outstanding at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by certain subsidiaries within our Wheelabrator Group. These bonds are secured by the related subsidiaries’ assets that have a carrying value of $466 million and the related subsidiaries’ future revenue. Additionally, our consolidated variable interest entities have $86 million of outstanding borrowings that are collateralized by certain of their assets. These assets have a carrying value of $377 million as of December 31, 2005. See Note 19 for further discussion.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Covenant</w:t>
            </w:r>
          </w:p>
        </w:tc>
        <w:tc>
          <w:tcPr>
            <w:tcW w:w="360" w:type="dxa"/>
            <w:vAlign w:val="bottom"/>
          </w:tcPr>
          <w:p>
            <w:pPr>
              <w:spacing w:after="0"/>
              <w:rPr>
                <w:sz w:val="14"/>
                <w:szCs w:val="14"/>
                <w:color w:val="auto"/>
              </w:rPr>
            </w:pPr>
          </w:p>
        </w:tc>
        <w:tc>
          <w:tcPr>
            <w:tcW w:w="2060" w:type="dxa"/>
            <w:vAlign w:val="bottom"/>
          </w:tcPr>
          <w:p>
            <w:pPr>
              <w:ind w:left="620"/>
              <w:spacing w:after="0"/>
              <w:rPr>
                <w:sz w:val="20"/>
                <w:szCs w:val="20"/>
                <w:color w:val="auto"/>
              </w:rPr>
            </w:pPr>
            <w:r>
              <w:rPr>
                <w:rFonts w:ascii="Arial" w:cs="Arial" w:eastAsia="Arial" w:hAnsi="Arial"/>
                <w:sz w:val="14"/>
                <w:szCs w:val="14"/>
                <w:b w:val="1"/>
                <w:bCs w:val="1"/>
                <w:color w:val="auto"/>
              </w:rPr>
              <w:t>Requirement</w:t>
            </w:r>
          </w:p>
        </w:tc>
        <w:tc>
          <w:tcPr>
            <w:tcW w:w="34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ind w:left="680"/>
              <w:spacing w:after="0"/>
              <w:rPr>
                <w:sz w:val="20"/>
                <w:szCs w:val="20"/>
                <w:color w:val="auto"/>
              </w:rPr>
            </w:pPr>
            <w:r>
              <w:rPr>
                <w:rFonts w:ascii="Arial" w:cs="Arial" w:eastAsia="Arial" w:hAnsi="Arial"/>
                <w:sz w:val="14"/>
                <w:szCs w:val="14"/>
                <w:b w:val="1"/>
                <w:bCs w:val="1"/>
                <w:color w:val="auto"/>
              </w:rPr>
              <w:t>per Facility</w:t>
            </w:r>
          </w:p>
        </w:tc>
        <w:tc>
          <w:tcPr>
            <w:tcW w:w="274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89"/>
              </w:rPr>
              <w:t>2005</w:t>
            </w:r>
          </w:p>
        </w:tc>
        <w:tc>
          <w:tcPr>
            <w:tcW w:w="27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209"/>
        </w:trPr>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coverage ratio</w:t>
            </w:r>
          </w:p>
        </w:tc>
        <w:tc>
          <w:tcPr>
            <w:tcW w:w="360" w:type="dxa"/>
            <w:vAlign w:val="bottom"/>
          </w:tcPr>
          <w:p>
            <w:pPr>
              <w:spacing w:after="0"/>
              <w:rPr>
                <w:sz w:val="18"/>
                <w:szCs w:val="18"/>
                <w:color w:val="auto"/>
              </w:rPr>
            </w:pPr>
          </w:p>
        </w:tc>
        <w:tc>
          <w:tcPr>
            <w:tcW w:w="20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&gt;2.75 to 1</w:t>
            </w:r>
          </w:p>
        </w:tc>
        <w:tc>
          <w:tcPr>
            <w:tcW w:w="34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 to 1</w:t>
            </w:r>
          </w:p>
        </w:tc>
        <w:tc>
          <w:tcPr>
            <w:tcW w:w="32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3.5 to 1</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Total debt to EBITDA</w:t>
            </w:r>
          </w:p>
        </w:tc>
        <w:tc>
          <w:tcPr>
            <w:tcW w:w="360" w:type="dxa"/>
            <w:vAlign w:val="bottom"/>
          </w:tcPr>
          <w:p>
            <w:pPr>
              <w:spacing w:after="0"/>
              <w:rPr>
                <w:sz w:val="20"/>
                <w:szCs w:val="20"/>
                <w:color w:val="auto"/>
              </w:rPr>
            </w:pPr>
          </w:p>
        </w:tc>
        <w:tc>
          <w:tcPr>
            <w:tcW w:w="2060" w:type="dxa"/>
            <w:vAlign w:val="bottom"/>
          </w:tcPr>
          <w:p>
            <w:pPr>
              <w:ind w:left="680"/>
              <w:spacing w:after="0"/>
              <w:rPr>
                <w:sz w:val="20"/>
                <w:szCs w:val="20"/>
                <w:color w:val="auto"/>
              </w:rPr>
            </w:pPr>
            <w:r>
              <w:rPr>
                <w:rFonts w:ascii="Arial" w:cs="Arial" w:eastAsia="Arial" w:hAnsi="Arial"/>
                <w:sz w:val="18"/>
                <w:szCs w:val="18"/>
                <w:color w:val="auto"/>
              </w:rPr>
              <w:t>&lt;3.5 to 1</w:t>
            </w:r>
          </w:p>
        </w:tc>
        <w:tc>
          <w:tcPr>
            <w:tcW w:w="3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2.7 to 1</w:t>
            </w:r>
          </w:p>
        </w:tc>
        <w:tc>
          <w:tcPr>
            <w:tcW w:w="3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2.8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2005, we were in compliance with the covenants and restrictions under all of our debt agreements.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17" w:lineRule="exact"/>
        <w:rPr>
          <w:sz w:val="20"/>
          <w:szCs w:val="20"/>
          <w:color w:val="auto"/>
        </w:rPr>
      </w:pPr>
    </w:p>
    <w:p>
      <w:pPr>
        <w:ind w:right="20" w:firstLine="267"/>
        <w:spacing w:after="0" w:line="312" w:lineRule="auto"/>
        <w:rPr>
          <w:sz w:val="20"/>
          <w:szCs w:val="20"/>
          <w:color w:val="auto"/>
        </w:rPr>
      </w:pPr>
      <w:r>
        <w:rPr>
          <w:rFonts w:ascii="Arial" w:cs="Arial" w:eastAsia="Arial" w:hAnsi="Arial"/>
          <w:sz w:val="16"/>
          <w:szCs w:val="16"/>
          <w:color w:val="auto"/>
        </w:rPr>
        <w:t>We manage the interest rate risk of our debt portfolio principally by using interest rate derivatives to achieve a desired position of fixed and floating rate debt, which was approximately 65% fixed and 35% floating at December 31, 2005. We do not use interest rate derivatives for trading or speculative purposes. Our significant interest rate swap agreements that were outstanding as of December 31, 2005 and 2004 are set forth in the table below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4"/>
              </w:rPr>
              <w:t>Notional</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8"/>
              <w:spacing w:after="0"/>
              <w:rPr>
                <w:sz w:val="20"/>
                <w:szCs w:val="20"/>
                <w:color w:val="auto"/>
              </w:rPr>
            </w:pPr>
            <w:r>
              <w:rPr>
                <w:rFonts w:ascii="Arial" w:cs="Arial" w:eastAsia="Arial" w:hAnsi="Arial"/>
                <w:sz w:val="13"/>
                <w:szCs w:val="13"/>
                <w:b w:val="1"/>
                <w:bCs w:val="1"/>
                <w:color w:val="auto"/>
                <w:w w:val="89"/>
              </w:rPr>
              <w:t>Fair Value Net</w:t>
            </w:r>
          </w:p>
        </w:tc>
      </w:tr>
      <w:tr>
        <w:trPr>
          <w:trHeight w:val="153"/>
        </w:trPr>
        <w:tc>
          <w:tcPr>
            <w:tcW w:w="1980" w:type="dxa"/>
            <w:vAlign w:val="bottom"/>
          </w:tcPr>
          <w:p>
            <w:pPr>
              <w:spacing w:after="0"/>
              <w:rPr>
                <w:sz w:val="20"/>
                <w:szCs w:val="20"/>
                <w:color w:val="auto"/>
              </w:rPr>
            </w:pPr>
            <w:r>
              <w:rPr>
                <w:rFonts w:ascii="Arial" w:cs="Arial" w:eastAsia="Arial" w:hAnsi="Arial"/>
                <w:sz w:val="13"/>
                <w:szCs w:val="13"/>
                <w:b w:val="1"/>
                <w:bCs w:val="1"/>
                <w:color w:val="auto"/>
              </w:rPr>
              <w:t>As of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Receive</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Pay</w:t>
            </w:r>
          </w:p>
        </w:tc>
        <w:tc>
          <w:tcPr>
            <w:tcW w:w="2180" w:type="dxa"/>
            <w:vAlign w:val="bottom"/>
          </w:tcPr>
          <w:p>
            <w:pPr>
              <w:ind w:left="700"/>
              <w:spacing w:after="0"/>
              <w:rPr>
                <w:sz w:val="20"/>
                <w:szCs w:val="20"/>
                <w:color w:val="auto"/>
              </w:rPr>
            </w:pPr>
            <w:r>
              <w:rPr>
                <w:rFonts w:ascii="Arial" w:cs="Arial" w:eastAsia="Arial" w:hAnsi="Arial"/>
                <w:sz w:val="13"/>
                <w:szCs w:val="13"/>
                <w:b w:val="1"/>
                <w:bCs w:val="1"/>
                <w:color w:val="auto"/>
              </w:rPr>
              <w:t>Maturity Date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8"/>
              <w:spacing w:after="0"/>
              <w:rPr>
                <w:sz w:val="20"/>
                <w:szCs w:val="20"/>
                <w:color w:val="auto"/>
              </w:rPr>
            </w:pPr>
            <w:r>
              <w:rPr>
                <w:rFonts w:ascii="Arial" w:cs="Arial" w:eastAsia="Arial" w:hAnsi="Arial"/>
                <w:sz w:val="13"/>
                <w:szCs w:val="13"/>
                <w:b w:val="1"/>
                <w:bCs w:val="1"/>
                <w:color w:val="auto"/>
                <w:w w:val="95"/>
              </w:rPr>
              <w:t>Liability(a)</w:t>
            </w:r>
          </w:p>
        </w:tc>
      </w:tr>
      <w:tr>
        <w:trPr>
          <w:trHeight w:val="137"/>
        </w:trPr>
        <w:tc>
          <w:tcPr>
            <w:tcW w:w="19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December 31, 2005</w:t>
            </w:r>
          </w:p>
        </w:tc>
        <w:tc>
          <w:tcPr>
            <w:tcW w:w="200" w:type="dxa"/>
            <w:vAlign w:val="bottom"/>
          </w:tcPr>
          <w:p>
            <w:pPr>
              <w:spacing w:after="0"/>
              <w:rPr>
                <w:sz w:val="11"/>
                <w:szCs w:val="11"/>
                <w:color w:val="auto"/>
              </w:rPr>
            </w:pPr>
          </w:p>
        </w:tc>
        <w:tc>
          <w:tcPr>
            <w:tcW w:w="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2,350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Fixed</w:t>
            </w:r>
          </w:p>
        </w:tc>
        <w:tc>
          <w:tcPr>
            <w:tcW w:w="1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5.00%-7.65%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Floating</w:t>
            </w:r>
          </w:p>
        </w:tc>
        <w:tc>
          <w:tcPr>
            <w:tcW w:w="10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4.33%-8.93%</w:t>
            </w:r>
          </w:p>
        </w:tc>
        <w:tc>
          <w:tcPr>
            <w:tcW w:w="400" w:type="dxa"/>
            <w:vAlign w:val="bottom"/>
          </w:tcPr>
          <w:p>
            <w:pPr>
              <w:spacing w:after="0"/>
              <w:rPr>
                <w:sz w:val="11"/>
                <w:szCs w:val="11"/>
                <w:color w:val="auto"/>
              </w:rPr>
            </w:pPr>
          </w:p>
        </w:tc>
        <w:tc>
          <w:tcPr>
            <w:tcW w:w="2180" w:type="dxa"/>
            <w:vAlign w:val="bottom"/>
            <w:tcBorders>
              <w:top w:val="single" w:sz="8" w:color="auto"/>
            </w:tcBorders>
          </w:tcPr>
          <w:p>
            <w:pPr>
              <w:ind w:left="520"/>
              <w:spacing w:after="0" w:line="137" w:lineRule="exact"/>
              <w:rPr>
                <w:sz w:val="20"/>
                <w:szCs w:val="20"/>
                <w:color w:val="auto"/>
              </w:rPr>
            </w:pPr>
            <w:r>
              <w:rPr>
                <w:rFonts w:ascii="Arial" w:cs="Arial" w:eastAsia="Arial" w:hAnsi="Arial"/>
                <w:sz w:val="14"/>
                <w:szCs w:val="14"/>
                <w:color w:val="auto"/>
                <w:w w:val="91"/>
              </w:rPr>
              <w:t>Through December 15, 2017</w:t>
            </w:r>
          </w:p>
        </w:tc>
        <w:tc>
          <w:tcPr>
            <w:tcW w:w="720" w:type="dxa"/>
            <w:vAlign w:val="bottom"/>
          </w:tcPr>
          <w:p>
            <w:pPr>
              <w:spacing w:after="0"/>
              <w:rPr>
                <w:sz w:val="11"/>
                <w:szCs w:val="11"/>
                <w:color w:val="auto"/>
              </w:rPr>
            </w:pPr>
          </w:p>
        </w:tc>
        <w:tc>
          <w:tcPr>
            <w:tcW w:w="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(131)</w:t>
            </w:r>
          </w:p>
        </w:tc>
        <w:tc>
          <w:tcPr>
            <w:tcW w:w="220" w:type="dxa"/>
            <w:vAlign w:val="bottom"/>
          </w:tcPr>
          <w:p>
            <w:pPr>
              <w:ind w:left="40"/>
              <w:spacing w:after="0" w:line="137" w:lineRule="exact"/>
              <w:rPr>
                <w:sz w:val="20"/>
                <w:szCs w:val="20"/>
                <w:color w:val="auto"/>
              </w:rPr>
            </w:pPr>
            <w:r>
              <w:rPr>
                <w:rFonts w:ascii="Arial" w:cs="Arial" w:eastAsia="Arial" w:hAnsi="Arial"/>
                <w:sz w:val="14"/>
                <w:szCs w:val="14"/>
                <w:color w:val="auto"/>
                <w:w w:val="93"/>
              </w:rPr>
              <w:t>(b)</w:t>
            </w: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December 31, 2004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2,550</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Fixed</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5.00%-7.65%</w:t>
            </w: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Floating</w:t>
            </w:r>
          </w:p>
        </w:tc>
        <w:tc>
          <w:tcPr>
            <w:tcW w:w="1480" w:type="dxa"/>
            <w:vAlign w:val="bottom"/>
            <w:gridSpan w:val="2"/>
          </w:tcPr>
          <w:p>
            <w:pPr>
              <w:jc w:val="right"/>
              <w:ind w:right="400"/>
              <w:spacing w:after="0"/>
              <w:rPr>
                <w:sz w:val="20"/>
                <w:szCs w:val="20"/>
                <w:color w:val="auto"/>
              </w:rPr>
            </w:pPr>
            <w:r>
              <w:rPr>
                <w:rFonts w:ascii="Arial" w:cs="Arial" w:eastAsia="Arial" w:hAnsi="Arial"/>
                <w:sz w:val="14"/>
                <w:szCs w:val="14"/>
                <w:color w:val="auto"/>
              </w:rPr>
              <w:t>2.36%-6.95%</w:t>
            </w:r>
          </w:p>
        </w:tc>
        <w:tc>
          <w:tcPr>
            <w:tcW w:w="2180" w:type="dxa"/>
            <w:vAlign w:val="bottom"/>
          </w:tcPr>
          <w:p>
            <w:pPr>
              <w:ind w:left="520"/>
              <w:spacing w:after="0"/>
              <w:rPr>
                <w:sz w:val="20"/>
                <w:szCs w:val="20"/>
                <w:color w:val="auto"/>
              </w:rPr>
            </w:pPr>
            <w:r>
              <w:rPr>
                <w:rFonts w:ascii="Arial" w:cs="Arial" w:eastAsia="Arial" w:hAnsi="Arial"/>
                <w:sz w:val="14"/>
                <w:szCs w:val="14"/>
                <w:color w:val="auto"/>
                <w:w w:val="91"/>
              </w:rPr>
              <w:t>Through December 15, 2017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w w:val="96"/>
              </w:rPr>
              <w:t>(84)(c)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9" w:lineRule="exact"/>
        <w:rPr>
          <w:sz w:val="20"/>
          <w:szCs w:val="20"/>
          <w:color w:val="auto"/>
        </w:rPr>
      </w:pPr>
    </w:p>
    <w:p>
      <w:pPr>
        <w:ind w:left="360" w:right="60" w:hanging="352"/>
        <w:spacing w:after="0" w:line="238"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interest rate derivatives qualify for hedge accounting. Therefore, the fair value of each interest rate derivative is included in our Consolidated Balance Sheets as either a component of long-term “Other assets” or long-term “Other liabilities,” and fair value adjustments to the underlying debt are deferred and recognized as an adjustment to interest expense over the remaining term of the hedged instrument.</w:t>
      </w:r>
    </w:p>
    <w:p>
      <w:pPr>
        <w:spacing w:after="0" w:line="34" w:lineRule="exact"/>
        <w:rPr>
          <w:rFonts w:ascii="Arial" w:cs="Arial" w:eastAsia="Arial" w:hAnsi="Arial"/>
          <w:sz w:val="14"/>
          <w:szCs w:val="14"/>
          <w:color w:val="auto"/>
        </w:rPr>
      </w:pPr>
    </w:p>
    <w:p>
      <w:pPr>
        <w:ind w:left="360" w:hanging="352"/>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fair value for these interest rate derivatives is comprised of $2 million of long-term assets and $133 million of long-term liabilities.</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fair value for these interest rate derivatives is comprised of $7 million of long-term assets and $91 million of long-term liabilities.</w:t>
      </w:r>
    </w:p>
    <w:p>
      <w:pPr>
        <w:spacing w:after="0" w:line="10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$47 million as of December 31, 2005 and $135 million as of December 31, 2004. The following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table summarizes the accumulated fair value adjustments from interest rate swap agreements by underlying debt instrument category at December 31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Increase (decrease) in carrying value of debt due to</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hedge accounting for interest rate swaps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Active swap agreements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Terminated swap agreements(a)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Tax-exempt and project bonds: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Terminated swap agreements(a)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right="120" w:hanging="352"/>
        <w:spacing w:after="0" w:line="25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At December 31, 2005, $41 million (on a pre-tax basis) of the carrying value of debt associated with terminated swap agreements is scheduled to be reclassified as a credit to interest expense over the next twelve months. Approximately $42 million (on a pre-tax basis) of the December 31, 2004 balance was reclassified into earnings during 2005.</w:t>
      </w:r>
    </w:p>
    <w:p>
      <w:pPr>
        <w:spacing w:after="0" w:line="70" w:lineRule="exact"/>
        <w:rPr>
          <w:sz w:val="20"/>
          <w:szCs w:val="20"/>
          <w:color w:val="auto"/>
        </w:rPr>
      </w:pPr>
    </w:p>
    <w:p>
      <w:pPr>
        <w:ind w:right="600" w:firstLine="225"/>
        <w:spacing w:after="0" w:line="264" w:lineRule="auto"/>
        <w:rPr>
          <w:sz w:val="20"/>
          <w:szCs w:val="20"/>
          <w:color w:val="auto"/>
        </w:rPr>
      </w:pPr>
      <w:r>
        <w:rPr>
          <w:rFonts w:ascii="Arial" w:cs="Arial" w:eastAsia="Arial" w:hAnsi="Arial"/>
          <w:sz w:val="18"/>
          <w:szCs w:val="18"/>
          <w:color w:val="auto"/>
        </w:rPr>
        <w:t>Interest rate swap agreements reduced net interest expense by $39 million for the year ended December 31, 2005, $90 million for the year ended December 31, 2004 and $96 million for the year ended December 31, 2003. The significant terms of the interest rate contracts and the underlying debt instruments are identical and therefore no ineffectiveness has been realized.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117"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We have entered into cash flow hedges to secure underlying interest rates in anticipation of senior note issuances. These hedging agreements resulted in a deferred loss, net of taxes, of $32 million at December 31, 2005 and $35 million at December 31, 2004, which is included in accumulated other comprehensive income. As of December 31, 2005, $6 million (on a pre-tax basis) is scheduled to be reclassified into interest expense over the next twelve months.</w:t>
      </w:r>
    </w:p>
    <w:p>
      <w:pPr>
        <w:spacing w:after="0" w:line="18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For financial reporting purposes, income before income taxes and cumulative effect of changes in accounting principles, showing domestic and foreign sources, was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Foreign(a)</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before income taxes and cumulative effect of changes in accounting principles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increase in foreign income in 2005 as compared with 2004 and 2003 is primarily attributable to a gain on the divestiture of a landfill in Ontario, Canada, which is discussed in Note 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 for taxes on income before cumulative effect of changes in accounting principles consisted of the following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Federal</w:t>
            </w:r>
          </w:p>
        </w:tc>
        <w:tc>
          <w:tcPr>
            <w:tcW w:w="50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Provision for income taxes</w:t>
            </w:r>
          </w:p>
        </w:tc>
        <w:tc>
          <w:tcPr>
            <w:tcW w:w="50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260"/>
              <w:spacing w:after="0"/>
              <w:rPr>
                <w:sz w:val="20"/>
                <w:szCs w:val="20"/>
                <w:color w:val="auto"/>
              </w:rPr>
            </w:pPr>
            <w:r>
              <w:rPr>
                <w:rFonts w:ascii="Arial" w:cs="Arial" w:eastAsia="Arial" w:hAnsi="Arial"/>
                <w:sz w:val="18"/>
                <w:szCs w:val="18"/>
                <w:color w:val="auto"/>
              </w:rPr>
              <w:t>The U.S. federal statutory income tax rate is reconciled to the effective rate as follows: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211"/>
              <w:spacing w:after="0" w:line="155"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Nonconventional fuel tax credits</w:t>
            </w:r>
          </w:p>
        </w:tc>
        <w:tc>
          <w:tcPr>
            <w:tcW w:w="10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080" w:type="dxa"/>
            <w:vAlign w:val="bottom"/>
            <w:gridSpan w:val="4"/>
          </w:tcPr>
          <w:p>
            <w:pPr>
              <w:jc w:val="right"/>
              <w:ind w:right="68"/>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costs relating to acquired intangibles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tax rates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9"/>
              </w:rPr>
              <w:t>(1.18)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w w:val="89"/>
              </w:rPr>
              <w:t>(1.79)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(8.24)%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Non-conventional fuel tax credits </w:t>
      </w:r>
      <w:r>
        <w:rPr>
          <w:rFonts w:ascii="Arial" w:cs="Arial" w:eastAsia="Arial" w:hAnsi="Arial"/>
          <w:sz w:val="18"/>
          <w:szCs w:val="18"/>
          <w:color w:val="auto"/>
        </w:rPr>
        <w:t>— The favorable impact of non-conventional fuel tax credits has been derived from our landfills and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two coal-based, synthetic fuel production facilities (the “Facilities”), which are discussed in more detail below. The fuel generated from our landfills and the Facilities qualifies for tax credits through 2007 pursuant to Section 29 of the Internal Revenue Code, but may be phased out if the price of oil exceeds an annual average price threshold determined by the U.S. Internal Revenue Service.</w:t>
      </w:r>
    </w:p>
    <w:p>
      <w:pPr>
        <w:spacing w:after="0" w:line="79" w:lineRule="exact"/>
        <w:rPr>
          <w:sz w:val="20"/>
          <w:szCs w:val="20"/>
          <w:color w:val="auto"/>
        </w:rPr>
      </w:pPr>
    </w:p>
    <w:p>
      <w:pPr>
        <w:jc w:val="both"/>
        <w:ind w:right="200" w:firstLine="267"/>
        <w:spacing w:after="0" w:line="264" w:lineRule="auto"/>
        <w:rPr>
          <w:sz w:val="20"/>
          <w:szCs w:val="20"/>
          <w:color w:val="auto"/>
        </w:rPr>
      </w:pPr>
      <w:r>
        <w:rPr>
          <w:rFonts w:ascii="Arial" w:cs="Arial" w:eastAsia="Arial" w:hAnsi="Arial"/>
          <w:sz w:val="18"/>
          <w:szCs w:val="18"/>
          <w:color w:val="auto"/>
        </w:rPr>
        <w:t>The tax credits generated by our landfills are provided by our Renewable Energy Program, under which we develop, operate and promote the beneficial use of landfill gas. Our recorded taxes include benefits of $34 million, $32 million and $28 million for the years ended December 31, 2005, 2004 and 2003, respectively, from tax credits generated by our landfill gas-to-energy projects.</w:t>
      </w:r>
    </w:p>
    <w:p>
      <w:pPr>
        <w:spacing w:after="0" w:line="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In the first and second quarters of 2004, we acquired minority ownership interests in the Facilities, which result in the recognition of our pro-rata share of the Facilities’ losses, the amortization of our initial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investments and additional expense associated with other estimated obligations being recorded as “Equity in net losses of unconsolidated entities” within our Consolidated Statements of Operations. The following table summarizes the impact of our investments in the Facilities on our Consolidated Statements of Operations for the years ended December 31, 2005 and 2004 (in millions):</w:t>
      </w:r>
    </w:p>
    <w:p>
      <w:pPr>
        <w:spacing w:after="0" w:line="78"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Years Ended</w:t>
      </w:r>
    </w:p>
    <w:p>
      <w:pPr>
        <w:ind w:left="9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entities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income taxes(a)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r>
    </w:tbl>
    <w:p>
      <w:pPr>
        <w:spacing w:after="0" w:line="62"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benefit from income taxes attributable to the Facilities includes tax credits of $99 million and $88 million for the years ended December 31, 2005 and 2004, respectively.</w:t>
      </w:r>
    </w:p>
    <w:p>
      <w:pPr>
        <w:spacing w:after="0" w:line="100"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equity losses and associated tax benefits would not have been incurred if we had not acquired the minority ownership interest in the Facilities. In addition, if the tax credits generated by the Facilities were no longer allowable under Section 29 of the Internal Revenue Code, we could unwind the investment in the period that determination is made and not incur these losses in future periods.</w:t>
      </w:r>
    </w:p>
    <w:p>
      <w:pPr>
        <w:spacing w:after="0" w:line="73" w:lineRule="exact"/>
        <w:rPr>
          <w:sz w:val="20"/>
          <w:szCs w:val="20"/>
          <w:color w:val="auto"/>
        </w:rPr>
      </w:pPr>
    </w:p>
    <w:p>
      <w:pPr>
        <w:ind w:right="140" w:firstLine="270"/>
        <w:spacing w:after="0" w:line="293" w:lineRule="auto"/>
        <w:rPr>
          <w:sz w:val="20"/>
          <w:szCs w:val="20"/>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At December 31, 2003, we were either within the examination or appeals phase of IRS audits for the years 1989 to 2001.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then, the audits for these periods have been completed, which have resulted in net tax benefits upon resolution. The settlement of tax audits during 2005 resulted in a reduction in income tax expense of $398 million, or $0.70 per diluted share. During 2004, we realized $101 million in tax benefits, or $0.17 per diluted share, related to audit settlements as well as realized $46 million in interest income as a result of these settlements. In 2003, the settlement of tax audits resulted in a $6 million tax benefit, or $0.01 per diluted share. The reduction in income taxes recognized is primarily attributable to the associated reduction in our accrued tax and related accrued interest liabilities. For information regarding the status of current activity, refer to Note 10.</w:t>
      </w:r>
    </w:p>
    <w:p>
      <w:pPr>
        <w:spacing w:after="0" w:line="57"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i w:val="1"/>
          <w:iCs w:val="1"/>
          <w:color w:val="auto"/>
        </w:rPr>
        <w:t xml:space="preserve">Repatriation of earnings in foreign subsidiaries </w:t>
      </w:r>
      <w:r>
        <w:rPr>
          <w:rFonts w:ascii="Arial" w:cs="Arial" w:eastAsia="Arial" w:hAnsi="Arial"/>
          <w:sz w:val="16"/>
          <w:szCs w:val="16"/>
          <w:color w:val="auto"/>
        </w:rPr>
        <w:t>— On October 22, 2004, the American Jobs Creation Act of 2004 (the “Act”) became law. A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Act allowed U.S. companies to repatriate earnings from their foreign subsidiaries at a reduced tax rate during 2005. We decided to repatriate net accumulated earnings and capital from certain of our Canadian subsidiaries in accordance with this provision, which were previously accounted for as permanently reinvested in accordance with APB Opinion No. 23, </w:t>
      </w:r>
      <w:r>
        <w:rPr>
          <w:rFonts w:ascii="Arial" w:cs="Arial" w:eastAsia="Arial" w:hAnsi="Arial"/>
          <w:sz w:val="16"/>
          <w:szCs w:val="16"/>
          <w:i w:val="1"/>
          <w:iCs w:val="1"/>
          <w:color w:val="auto"/>
        </w:rPr>
        <w:t>Accounting for Income Taxes — Special Areas</w:t>
      </w:r>
      <w:r>
        <w:rPr>
          <w:rFonts w:ascii="Arial" w:cs="Arial" w:eastAsia="Arial" w:hAnsi="Arial"/>
          <w:sz w:val="16"/>
          <w:szCs w:val="16"/>
          <w:color w:val="auto"/>
        </w:rPr>
        <w:t>. During 2005, our Chief Executive Officer and Board of Directors approved a domestic reinvestment plan under which we repatriated $496 million of our accumulated foreign earnings and capital through cash on hand as well as debt borrowings. Refer to Note 7 for discussion on the related debt issuance. During 2005, we accrued $34 million in tax expense for these repatriations. The repatriation of earnings from our Canadian subsidiaries increased our 2005 effective tax rate by approximately 3.1%, which has been reflected as a component of the “Tax rate differential on foreign income” line item of the effective tax rate reconciliation provided above.</w:t>
      </w:r>
    </w:p>
    <w:p>
      <w:pPr>
        <w:spacing w:after="0" w:line="58" w:lineRule="exact"/>
        <w:rPr>
          <w:sz w:val="20"/>
          <w:szCs w:val="20"/>
          <w:color w:val="auto"/>
        </w:rPr>
      </w:pPr>
    </w:p>
    <w:p>
      <w:pPr>
        <w:ind w:right="180" w:firstLine="260"/>
        <w:spacing w:after="0" w:line="277" w:lineRule="auto"/>
        <w:rPr>
          <w:sz w:val="20"/>
          <w:szCs w:val="20"/>
          <w:color w:val="auto"/>
        </w:rPr>
      </w:pPr>
      <w:r>
        <w:rPr>
          <w:rFonts w:ascii="Arial" w:cs="Arial" w:eastAsia="Arial" w:hAnsi="Arial"/>
          <w:sz w:val="18"/>
          <w:szCs w:val="18"/>
          <w:color w:val="auto"/>
        </w:rPr>
        <w:t>At December 31, 2005, remaining unremitted earnings in foreign operations was approximately $230 million, which is considered permanently invested and, therefore, no provision for income taxes has been accrued for these unremitted earnings.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the net deferred tax assets (liabilities) at December 31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0"/>
              </w:rPr>
              <w:t>December 31,</w:t>
            </w:r>
          </w:p>
        </w:tc>
        <w:tc>
          <w:tcPr>
            <w:tcW w:w="7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Net operating loss, capital loss and tax credit carryforwards</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8"/>
              <w:spacing w:after="0"/>
              <w:rPr>
                <w:sz w:val="20"/>
                <w:szCs w:val="20"/>
                <w:color w:val="auto"/>
              </w:rPr>
            </w:pPr>
            <w:r>
              <w:rPr>
                <w:rFonts w:ascii="Arial" w:cs="Arial" w:eastAsia="Arial" w:hAnsi="Arial"/>
                <w:sz w:val="18"/>
                <w:szCs w:val="18"/>
                <w:color w:val="auto"/>
              </w:rPr>
              <w:t>400</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368</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Miscellaneous and other reserves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222</w:t>
            </w: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8"/>
              <w:spacing w:after="0"/>
              <w:rPr>
                <w:sz w:val="20"/>
                <w:szCs w:val="20"/>
                <w:color w:val="auto"/>
              </w:rPr>
            </w:pPr>
            <w:r>
              <w:rPr>
                <w:rFonts w:ascii="Arial" w:cs="Arial" w:eastAsia="Arial" w:hAnsi="Arial"/>
                <w:sz w:val="18"/>
                <w:szCs w:val="18"/>
                <w:color w:val="auto"/>
              </w:rPr>
              <w:t>(335)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8"/>
              <w:spacing w:after="0"/>
              <w:rPr>
                <w:sz w:val="20"/>
                <w:szCs w:val="20"/>
                <w:color w:val="auto"/>
              </w:rPr>
            </w:pPr>
            <w:r>
              <w:rPr>
                <w:rFonts w:ascii="Arial" w:cs="Arial" w:eastAsia="Arial" w:hAnsi="Arial"/>
                <w:sz w:val="18"/>
                <w:szCs w:val="18"/>
                <w:color w:val="auto"/>
              </w:rPr>
              <w:t>(1,063)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(544)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w:t>
            </w:r>
          </w:p>
        </w:tc>
      </w:tr>
      <w:tr>
        <w:trPr>
          <w:trHeight w:val="223"/>
        </w:trPr>
        <w:tc>
          <w:tcPr>
            <w:tcW w:w="20" w:type="dxa"/>
            <w:vAlign w:val="bottom"/>
          </w:tcPr>
          <w:p>
            <w:pPr>
              <w:spacing w:after="0"/>
              <w:rPr>
                <w:sz w:val="19"/>
                <w:szCs w:val="19"/>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4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60"/>
        <w:spacing w:after="0" w:line="279" w:lineRule="auto"/>
        <w:rPr>
          <w:sz w:val="20"/>
          <w:szCs w:val="20"/>
          <w:color w:val="auto"/>
        </w:rPr>
      </w:pPr>
      <w:r>
        <w:rPr>
          <w:rFonts w:ascii="Arial" w:cs="Arial" w:eastAsia="Arial" w:hAnsi="Arial"/>
          <w:sz w:val="17"/>
          <w:szCs w:val="17"/>
          <w:color w:val="auto"/>
        </w:rPr>
        <w:t>At December 31, 2005 we had $29 million of federal net operating loss (“NOL”) carryforwards, $4.1 billion of state NOL carryforwards, and $79 million of Canadian NOL carryforwards. The federal and state NOL carryforwards have expiration dates through the year 2025. The Canadian NOL carryforwards have the following expiry: $26 million in 2006, $27 million in 2007, $24 million in 2009, $1 million in 2010 and $1 million in 2011. We have $39 million of alternative minimum tax credit carryforwards that may be used indefinitely and state tax credit carryforwards of $13 million.</w:t>
      </w:r>
    </w:p>
    <w:p>
      <w:pPr>
        <w:spacing w:after="0" w:line="63"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increased $1 million in 2005 primarily due to the uncertainty of realizing federal and state NOL carryforwards and tax credits.</w:t>
      </w:r>
    </w:p>
    <w:p>
      <w:pPr>
        <w:spacing w:after="0" w:line="18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140" w:firstLine="270"/>
        <w:spacing w:after="0" w:line="272" w:lineRule="auto"/>
        <w:rPr>
          <w:sz w:val="20"/>
          <w:szCs w:val="20"/>
          <w:color w:val="auto"/>
        </w:rPr>
      </w:pPr>
      <w:r>
        <w:rPr>
          <w:rFonts w:ascii="Arial" w:cs="Arial" w:eastAsia="Arial" w:hAnsi="Arial"/>
          <w:sz w:val="17"/>
          <w:szCs w:val="17"/>
          <w:color w:val="auto"/>
        </w:rPr>
        <w:t>Our Waste Management Retirement Savings Plan (“Savings Plan”) covers employees (except those working subject to collective bargaining agreements, which do not provide for coverage under such plans) following a 90-day waiting period after hire. Through December 31, 2004 eligible employees were allowed to contribute up to 15% of their annual compensation. Effective January 1, 2005, eligible employees may contribute as much as 25% of their pay under the Savings Plan. All employee contributions are subject to annual contribution limitations established by the IRS. Under the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operations for our defined contribution plans were $48 million in 2005, $46 million in 2004 and $43 million in 2003.</w:t>
      </w:r>
    </w:p>
    <w:p>
      <w:pPr>
        <w:spacing w:after="0" w:line="70"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Waste Management Holdings, Inc.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benefit obligation for these plans was $58 million and $62 million at December 31, 2005 and 2004, respectively. The discount rate assumptions used in the measurement of our benefit obligations as of December 31, 2005 and 2004 was 5.5%. The accrued benefit liability as of December 31, 2005 and 2004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 $60 million and $62 million, respectively, which is reflected in “Accrued liabilities” in our Consolidated Balance Sheets.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Participants in the WM Holdings post-retirement plan contribute to the cost of the benefit. For measurement purposes, a 12% annual rate of increase in the per capita cost of covered health care claims was assumed for 2005 (being an average of the rate used by all plans); the rate was assumed to gradually decrease to 5.5% in 2010 and remain at that level thereafter.</w:t>
      </w:r>
    </w:p>
    <w:p>
      <w:pPr>
        <w:spacing w:after="0" w:line="73" w:lineRule="exact"/>
        <w:rPr>
          <w:sz w:val="20"/>
          <w:szCs w:val="20"/>
          <w:color w:val="auto"/>
        </w:rPr>
      </w:pPr>
    </w:p>
    <w:p>
      <w:pPr>
        <w:ind w:right="80" w:firstLine="260"/>
        <w:spacing w:after="0" w:line="264" w:lineRule="auto"/>
        <w:rPr>
          <w:sz w:val="20"/>
          <w:szCs w:val="20"/>
          <w:color w:val="auto"/>
        </w:rPr>
      </w:pPr>
      <w:r>
        <w:rPr>
          <w:rFonts w:ascii="Arial" w:cs="Arial" w:eastAsia="Arial" w:hAnsi="Arial"/>
          <w:sz w:val="18"/>
          <w:szCs w:val="18"/>
          <w:color w:val="auto"/>
        </w:rPr>
        <w:t>A 1% change in assumed health care cost trend rates has no significant effect on total service and interest cost components of net periodic post-retirement health care costs. A 1% increase or decrease in assumed health care cost trend rates would increase or decrease the accumulated post-retirement benefit obligation by approximately $5 million.</w:t>
      </w:r>
    </w:p>
    <w:p>
      <w:pPr>
        <w:spacing w:after="0" w:line="73"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Certain of our subsidiaries participate in various multi-employer employee benefit and pension plans covering union employees not covered under other pension plans. These multi-employer plans are generally defined contribution plans. Specific benefit levels provided by union pension plans are not negotiated with or known by the employer contributors. Additionally, we have one instance of a site-specific plan for employees not covered under other plans. The projected benefit obligation, plan assets and unfunded liability of the multi-employer pension plans and the site specific plan are not material. Contributions of $40 million in 2005, $35 million in 2004 and $31 million in 2003 were charged to operations for those subsidiaries’ defined benefit and contribution plans.</w:t>
      </w:r>
    </w:p>
    <w:p>
      <w:pPr>
        <w:spacing w:after="0" w:line="189"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guarantees to support tax-exempt bonds, contracts, performance of landfill closure and post-closure requirements, environmental remediation, and other obligations.</w:t>
      </w:r>
    </w:p>
    <w:p>
      <w:pPr>
        <w:spacing w:after="0" w:line="73" w:lineRule="exact"/>
        <w:rPr>
          <w:sz w:val="20"/>
          <w:szCs w:val="20"/>
          <w:color w:val="auto"/>
        </w:rPr>
      </w:pPr>
    </w:p>
    <w:p>
      <w:pPr>
        <w:ind w:right="100" w:firstLine="270"/>
        <w:spacing w:after="0" w:line="271" w:lineRule="auto"/>
        <w:rPr>
          <w:sz w:val="20"/>
          <w:szCs w:val="20"/>
          <w:color w:val="auto"/>
        </w:rPr>
      </w:pPr>
      <w:r>
        <w:rPr>
          <w:rFonts w:ascii="Arial" w:cs="Arial" w:eastAsia="Arial" w:hAnsi="Arial"/>
          <w:sz w:val="17"/>
          <w:szCs w:val="17"/>
          <w:color w:val="auto"/>
        </w:rPr>
        <w:t xml:space="preserve">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These facilities and agreements are discussed further in Note 7. We obtain surety bonds and insurance policies from an affiliated entity that we have an investment in and account for under the cost method. Additionally in 2003, we guaranteed the debt of a newly-formed surety company in order to assist in the establishment of that entity. The terms of this guarantee are further discussed within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this note. This variable interest entity is consolidated as described in Note 19.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71" w:lineRule="exact"/>
        <w:rPr>
          <w:sz w:val="20"/>
          <w:szCs w:val="20"/>
          <w:color w:val="auto"/>
        </w:rPr>
      </w:pPr>
    </w:p>
    <w:p>
      <w:pPr>
        <w:ind w:right="420" w:firstLine="270"/>
        <w:spacing w:after="0" w:line="257"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80"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exposure to loss for insurance claims is generally limited to the per incident deductible under the related insurance policy. Our exposure, however, could increase if our insurers were unable to meet their commitments on a timely basis.</w:t>
      </w:r>
    </w:p>
    <w:p>
      <w:pPr>
        <w:spacing w:after="0" w:line="62" w:lineRule="exact"/>
        <w:rPr>
          <w:sz w:val="20"/>
          <w:szCs w:val="20"/>
          <w:color w:val="auto"/>
        </w:rPr>
      </w:pPr>
    </w:p>
    <w:p>
      <w:pPr>
        <w:ind w:right="140" w:firstLine="267"/>
        <w:spacing w:after="0" w:line="284" w:lineRule="auto"/>
        <w:rPr>
          <w:sz w:val="20"/>
          <w:szCs w:val="20"/>
          <w:color w:val="auto"/>
        </w:rPr>
      </w:pPr>
      <w:r>
        <w:rPr>
          <w:rFonts w:ascii="Arial" w:cs="Arial" w:eastAsia="Arial" w:hAnsi="Arial"/>
          <w:sz w:val="16"/>
          <w:szCs w:val="16"/>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 As of December 31, 2005, our insurance programs carried self-insurance exposures of up to $2.5 million, $1 million and $20,000 per incident with regards to general liability, workers’ compensation and auto, respectively. Effective January 1, 2006, we increased the per incident deductible for our auto insurance programs to $1 million. Self-insurance claims reserves acquired as part of our acquisition of WM Holdings in July 1998 were discounted at</w:t>
      </w:r>
    </w:p>
    <w:p>
      <w:pPr>
        <w:spacing w:after="0" w:line="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4.25% at December 31, 2005 and 2004. The changes to our net insurance liabilities for the years ended December 31, 2004 and 2005 are summarized below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Claims</w:t>
            </w:r>
          </w:p>
        </w:tc>
        <w:tc>
          <w:tcPr>
            <w:tcW w:w="100" w:type="dxa"/>
            <w:vAlign w:val="bottom"/>
          </w:tcPr>
          <w:p>
            <w:pPr>
              <w:spacing w:after="0"/>
              <w:rPr>
                <w:sz w:val="12"/>
                <w:szCs w:val="12"/>
                <w:color w:val="auto"/>
              </w:rPr>
            </w:pPr>
          </w:p>
        </w:tc>
        <w:tc>
          <w:tcPr>
            <w:tcW w:w="15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Claims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8"/>
              </w:rPr>
              <w:t>Liability</w:t>
            </w: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Recoveries</w:t>
            </w: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Liability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Self-insurance expense incurred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Payments made to fund self-insurance related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1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Self-insurance expense incurred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Payments made to fund self-insurance related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Current portion at December 31, 2005</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at December 31, 2005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80"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right="320" w:firstLine="270"/>
        <w:spacing w:after="0" w:line="302"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Rental expense for leased properties was $129 million, $127 million and $174 million during 2005, 2004 and 2003,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amounts primarily include rents under long-term operating leases. Contractual payments due during the next five years and thereafter on long-term operating lease obligations are noted below. The decrease in rental expense for 2005 and 2004 as compared with 2003 is primarily attributable to the consolidation of two limited liability companies from which we lease three waste-to-energy facilities as of December 31, 2003. See Note 2 for discussion.</w:t>
      </w:r>
    </w:p>
    <w:p>
      <w:pPr>
        <w:spacing w:after="0" w:line="46"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Our minimum contractual payments for lease agreements during future periods is significantly less than current year rent expense because our significant lease agreements at landfills have variable terms based either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 percentage of revenue or a rate per ton of waste received. Our minimum operating lease payments for the next five years are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2006</w:t>
            </w:r>
          </w:p>
        </w:tc>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2007</w:t>
            </w:r>
          </w:p>
        </w:tc>
        <w:tc>
          <w:tcPr>
            <w:tcW w:w="1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2008</w:t>
            </w:r>
          </w:p>
        </w:tc>
        <w:tc>
          <w:tcPr>
            <w:tcW w:w="1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1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bl>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Other long-term commitments </w:t>
      </w:r>
      <w:r>
        <w:rPr>
          <w:rFonts w:ascii="Arial" w:cs="Arial" w:eastAsia="Arial" w:hAnsi="Arial"/>
          <w:sz w:val="18"/>
          <w:szCs w:val="18"/>
          <w:color w:val="auto"/>
        </w:rPr>
        <w:t>— We have the following unconditional obligations:</w:t>
      </w:r>
    </w:p>
    <w:p>
      <w:pPr>
        <w:spacing w:after="0" w:line="117" w:lineRule="exact"/>
        <w:rPr>
          <w:sz w:val="20"/>
          <w:szCs w:val="20"/>
          <w:color w:val="auto"/>
        </w:rPr>
      </w:pPr>
    </w:p>
    <w:p>
      <w:pPr>
        <w:ind w:left="460" w:right="20" w:hanging="101"/>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Share Repurchases </w:t>
      </w:r>
      <w:r>
        <w:rPr>
          <w:rFonts w:ascii="Arial" w:cs="Arial" w:eastAsia="Arial" w:hAnsi="Arial"/>
          <w:sz w:val="17"/>
          <w:szCs w:val="17"/>
          <w:color w:val="auto"/>
        </w:rPr>
        <w:t>— In December 2005, we entered into an agreement to repurchase $275 million of our common stock through an accelerated share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transaction in January 2006. The terms of the accelerated share repurchase transaction are discussed in Note 14.</w:t>
      </w:r>
    </w:p>
    <w:p>
      <w:pPr>
        <w:spacing w:after="0" w:line="51" w:lineRule="exact"/>
        <w:rPr>
          <w:rFonts w:ascii="Arial" w:cs="Arial" w:eastAsia="Arial" w:hAnsi="Arial"/>
          <w:sz w:val="17"/>
          <w:szCs w:val="17"/>
          <w:color w:val="auto"/>
        </w:rPr>
      </w:pPr>
    </w:p>
    <w:p>
      <w:pPr>
        <w:ind w:left="460" w:right="100" w:hanging="101"/>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Fuel Supply </w:t>
      </w:r>
      <w:r>
        <w:rPr>
          <w:rFonts w:ascii="Arial" w:cs="Arial" w:eastAsia="Arial" w:hAnsi="Arial"/>
          <w:sz w:val="18"/>
          <w:szCs w:val="18"/>
          <w:color w:val="auto"/>
        </w:rPr>
        <w:t>— We have purchase agreements expiring at various dates through 2010 that require us to purchase minimum amounts of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conventional fuels at our independent power production plants. These fuel supplies are used to produce electricity for sale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98"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2030 that require us to dispose of a minimum number of tons at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w:t>
      </w:r>
    </w:p>
    <w:p>
      <w:pPr>
        <w:spacing w:after="0" w:line="86"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a waste paper purchase agreement that expires in 2010 that requires us to purchase a minimum number of tons of waste</w:t>
      </w:r>
      <w:r>
        <w:rPr>
          <w:rFonts w:ascii="Arial" w:cs="Arial" w:eastAsia="Arial" w:hAnsi="Arial"/>
          <w:sz w:val="18"/>
          <w:szCs w:val="18"/>
          <w:i w:val="1"/>
          <w:iCs w:val="1"/>
          <w:color w:val="auto"/>
        </w:rPr>
        <w:t xml:space="preserve"> </w:t>
      </w:r>
      <w:r>
        <w:rPr>
          <w:rFonts w:ascii="Arial" w:cs="Arial" w:eastAsia="Arial" w:hAnsi="Arial"/>
          <w:sz w:val="18"/>
          <w:szCs w:val="18"/>
          <w:color w:val="auto"/>
        </w:rPr>
        <w:t>paper from the counterparty. The cost per ton of waste paper purchased is based on market prices plus the cost of delivery of the product to our customers.</w:t>
      </w:r>
    </w:p>
    <w:p>
      <w:pPr>
        <w:spacing w:after="0" w:line="86" w:lineRule="exact"/>
        <w:rPr>
          <w:rFonts w:ascii="Arial" w:cs="Arial" w:eastAsia="Arial" w:hAnsi="Arial"/>
          <w:sz w:val="18"/>
          <w:szCs w:val="18"/>
          <w:color w:val="auto"/>
        </w:rPr>
      </w:pPr>
    </w:p>
    <w:p>
      <w:pPr>
        <w:ind w:left="460" w:right="180" w:hanging="101"/>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Certain of our landfill operating agreements require us to make minimum royalty payments to the prior land owners, lessors or host</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where the landfill is located. Our obligations under these agreements expire at various dates through 2023. Although the agreements provide for minimum payments, the actual payments we expect to make under the agreements, which are based on per ton rates for waste received at the landfill, are significantly higher.</w:t>
      </w:r>
    </w:p>
    <w:p>
      <w:pPr>
        <w:spacing w:after="0" w:line="79"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2005. We currently expect the products and services provided by these agreements to continue to meet the needs of our ongoing operations. Therefore, we do not expect these established arrangements to materially impact our future financial position, results of operations or liquidity.</w:t>
      </w:r>
    </w:p>
    <w:p>
      <w:pPr>
        <w:spacing w:after="0" w:line="80"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In addition to the unconditional obligations discussed above, we are party to contracts that require us to purchase an established percentage of our annual expenditures for equipment used in our collection operations and certain materials used for landfill construction and final capping activities from specific vendors. These agreements do not establish minimum purchase obligations, and expire in 2006.</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17" w:lineRule="exact"/>
        <w:rPr>
          <w:sz w:val="20"/>
          <w:szCs w:val="20"/>
          <w:color w:val="auto"/>
        </w:rPr>
      </w:pPr>
    </w:p>
    <w:p>
      <w:pPr>
        <w:jc w:val="both"/>
        <w:ind w:left="460" w:right="360" w:hanging="101"/>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December 31, 2005, WM Holdings, one of WMI’s wholly-owned subsidiaries, has fully and unconditionally guaranteed all of WMI’s senior indebtedness, which matures through 2032. WMI has fully and unconditionally guaranteed all of the senior indebtedness of WM Holdings, which matures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through 2026. Performance under these guarantee agreements would be required if either party defaulted on its respective obligations. No additional liability has been recorded for these guarantees because the underlying obligations are reflected in our Consolidated Balance Sheets. See Note 22 for further information.</w:t>
      </w:r>
    </w:p>
    <w:p>
      <w:pPr>
        <w:spacing w:after="0" w:line="87" w:lineRule="exact"/>
        <w:rPr>
          <w:sz w:val="20"/>
          <w:szCs w:val="20"/>
          <w:color w:val="auto"/>
        </w:rPr>
      </w:pPr>
    </w:p>
    <w:p>
      <w:pPr>
        <w:ind w:left="460" w:right="120" w:hanging="101"/>
        <w:spacing w:after="0" w:line="279"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WMI and WM Holdings have guaranteed the tax-exempt bonds and other debt obligations of their subsidiaries. If a subsidiary fails to meet its obligations associated with its debt agreements as they come due, WMI or WM Holdings will be required to perform under the related guarantee agreement. No additional liability has been recorded for these guarantees because the underlying obligations are reflected in our Consolidated Balance Sheets. See Note 7 for information related to the balances and maturities of our tax-exempt bonds.</w:t>
      </w:r>
    </w:p>
    <w:p>
      <w:pPr>
        <w:spacing w:after="0" w:line="76" w:lineRule="exact"/>
        <w:rPr>
          <w:rFonts w:ascii="Arial" w:cs="Arial" w:eastAsia="Arial" w:hAnsi="Arial"/>
          <w:sz w:val="17"/>
          <w:szCs w:val="17"/>
          <w:color w:val="auto"/>
        </w:rPr>
      </w:pPr>
    </w:p>
    <w:p>
      <w:pPr>
        <w:ind w:left="460" w:right="240" w:hanging="101"/>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related obligations, which mature through 2020, are not recorded on our Consolidated Balance Sheets. As of December 31, 2005, our maximum future payments associated with these guarantees are approximately $25 million. We do not believe that it is likely that we will be required to perform under these guarantees.</w:t>
      </w:r>
    </w:p>
    <w:p>
      <w:pPr>
        <w:spacing w:after="0" w:line="86" w:lineRule="exact"/>
        <w:rPr>
          <w:rFonts w:ascii="Arial" w:cs="Arial" w:eastAsia="Arial" w:hAnsi="Arial"/>
          <w:sz w:val="18"/>
          <w:szCs w:val="18"/>
          <w:color w:val="auto"/>
        </w:rPr>
      </w:pPr>
    </w:p>
    <w:p>
      <w:pPr>
        <w:ind w:left="460" w:right="80" w:hanging="101"/>
        <w:spacing w:after="0" w:line="25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of December 31, 2005, we had issued a $24.8 million letter of credit to support the debt of a surety bonding company. We initially guaranteed the debt of this entity during the third quarter of 2003. At that time we determined that we are the primary beneficiary of this entity under the provisions of FIN 46. As a result, since the third quarter of 2003, this variable interest entity has been consolidated into our financial statements. The guaranteed obligation is primarily included as a component of “Long-term debt” in our Consolidated Balance Sheets. See Note 19 for additional discussion about our financial interest in this surety bonding company.</w:t>
      </w:r>
    </w:p>
    <w:p>
      <w:pPr>
        <w:spacing w:after="0" w:line="93" w:lineRule="exact"/>
        <w:rPr>
          <w:rFonts w:ascii="Arial" w:cs="Arial" w:eastAsia="Arial" w:hAnsi="Arial"/>
          <w:sz w:val="18"/>
          <w:szCs w:val="18"/>
          <w:color w:val="auto"/>
        </w:rPr>
      </w:pPr>
    </w:p>
    <w:p>
      <w:pPr>
        <w:ind w:left="460" w:right="80" w:hanging="101"/>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December 31, 2005, we had $623 million in outstanding letters of credit under these facilities.</w:t>
      </w:r>
    </w:p>
    <w:p>
      <w:pPr>
        <w:spacing w:after="0" w:line="86" w:lineRule="exact"/>
        <w:rPr>
          <w:rFonts w:ascii="Arial" w:cs="Arial" w:eastAsia="Arial" w:hAnsi="Arial"/>
          <w:sz w:val="18"/>
          <w:szCs w:val="18"/>
          <w:color w:val="auto"/>
        </w:rPr>
      </w:pPr>
    </w:p>
    <w:p>
      <w:pPr>
        <w:jc w:val="both"/>
        <w:ind w:left="460" w:right="580" w:hanging="101"/>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86" w:lineRule="exact"/>
        <w:rPr>
          <w:rFonts w:ascii="Arial" w:cs="Arial" w:eastAsia="Arial" w:hAnsi="Arial"/>
          <w:sz w:val="18"/>
          <w:szCs w:val="18"/>
          <w:color w:val="auto"/>
        </w:rPr>
      </w:pPr>
    </w:p>
    <w:p>
      <w:pPr>
        <w:ind w:left="460" w:right="100" w:hanging="101"/>
        <w:spacing w:after="0" w:line="25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value of certain homeowners’ properties that are adjacent to our landfills. These guarantee agreements generally extend over the life of the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93" w:lineRule="exact"/>
        <w:rPr>
          <w:rFonts w:ascii="Arial" w:cs="Arial" w:eastAsia="Arial" w:hAnsi="Arial"/>
          <w:sz w:val="18"/>
          <w:szCs w:val="18"/>
          <w:color w:val="auto"/>
        </w:rPr>
      </w:pPr>
    </w:p>
    <w:p>
      <w:pPr>
        <w:ind w:left="460" w:hanging="101"/>
        <w:spacing w:after="0" w:line="25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460" w:right="80" w:hanging="101"/>
        <w:spacing w:after="0" w:line="297"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50" w:lineRule="exact"/>
        <w:rPr>
          <w:sz w:val="20"/>
          <w:szCs w:val="20"/>
          <w:color w:val="auto"/>
        </w:rPr>
      </w:pPr>
    </w:p>
    <w:p>
      <w:pPr>
        <w:ind w:right="640" w:firstLine="267"/>
        <w:spacing w:after="0" w:line="277"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62"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Our business is intrinsically connected with the protection of the environment. As such, a significant portion of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w:t>
      </w:r>
    </w:p>
    <w:p>
      <w:pPr>
        <w:spacing w:after="0" w:line="79"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70" w:lineRule="exact"/>
        <w:rPr>
          <w:sz w:val="20"/>
          <w:szCs w:val="20"/>
          <w:color w:val="auto"/>
        </w:rPr>
      </w:pPr>
    </w:p>
    <w:p>
      <w:pPr>
        <w:ind w:firstLine="260"/>
        <w:spacing w:after="0" w:line="272" w:lineRule="auto"/>
        <w:rPr>
          <w:sz w:val="20"/>
          <w:szCs w:val="20"/>
          <w:color w:val="auto"/>
        </w:rPr>
      </w:pPr>
      <w:r>
        <w:rPr>
          <w:rFonts w:ascii="Arial" w:cs="Arial" w:eastAsia="Arial" w:hAnsi="Arial"/>
          <w:sz w:val="17"/>
          <w:szCs w:val="17"/>
          <w:color w:val="auto"/>
        </w:rPr>
        <w:t>As of December 31, 2005, we had been notified that we are a PRP in connection with 72 locations listed on the EPA’s National Priorities List (“NPL”). Of the 72 sites at which claims have been made against us, 16 are sites we own. Each of the NPL sites we own was initially developed by others as land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56 NPL sites at which claims have been made against us and that we do not own are at different procedural stages under the Comprehensive Environmental Response, Compensation and Liability Act of 1980, as amended, which is known as CERCLA or Superfund.</w:t>
      </w:r>
    </w:p>
    <w:p>
      <w:pPr>
        <w:spacing w:after="0" w:line="70"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3.</w:t>
      </w:r>
    </w:p>
    <w:p>
      <w:pPr>
        <w:spacing w:after="0" w:line="11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has been filed by the Company. Only limited discovery has occurred and the defendants continue to defend themselves vigorously. The extent of possible damages, if any, in this action cannot yet be determined.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WMI,</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9" w:lineRule="exact"/>
        <w:rPr>
          <w:sz w:val="20"/>
          <w:szCs w:val="20"/>
          <w:color w:val="auto"/>
        </w:rPr>
      </w:pPr>
    </w:p>
    <w:p>
      <w:pPr>
        <w:ind w:right="60" w:firstLine="267"/>
        <w:spacing w:after="0" w:line="270" w:lineRule="auto"/>
        <w:rPr>
          <w:sz w:val="20"/>
          <w:szCs w:val="20"/>
          <w:color w:val="auto"/>
        </w:rPr>
      </w:pPr>
      <w:r>
        <w:rPr>
          <w:rFonts w:ascii="Arial" w:cs="Arial" w:eastAsia="Arial" w:hAnsi="Arial"/>
          <w:sz w:val="17"/>
          <w:szCs w:val="17"/>
          <w:color w:val="auto"/>
        </w:rPr>
        <w:t>Two separate lawsuits currently pending in Texas state court against WMI and certain former officers of WMI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ultimately upheld by the appellate court and the plaintiffs have appealed this decision to the highest state court in Texas. The second case is stayed pending resolution of the first case. We intend to continue to vigorously defend ourselves against these claims. Additionally, another shareholder has sued the Company in Louisiana making allegations similar to those made in the securities class action referred to above and by the plaintiffs claiming damages for having held stock. The case has been removed to federal court and transferred to Texas where we are seeking a dismissal.</w:t>
      </w:r>
    </w:p>
    <w:p>
      <w:pPr>
        <w:spacing w:after="0" w:line="70"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The Company has been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first of these proceedings was settled in the fourth quarter through a price adjustment that resulted in us paying additional consideration for our acquisition of the plaintiff’s interest in the joint venture. The second matter has been fully tried and we are awaiting a final ruling. The parties in this matter are seeking a variety of remedies, ranging from monetary damages to unwinding the transaction; however, the nature and extent of the outcome cannot be predicted at this time.</w:t>
      </w:r>
    </w:p>
    <w:p>
      <w:pPr>
        <w:spacing w:after="0" w:line="85"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From time to time, we pay fines or penalties in environmental proceedings relating primarily to waste treatment, storage or disposal facilities. As of December 31, 2005, there were four proceedings involving our subsidiaries where we reasonably believe that the sanctions could exceed $100,000. The matters involve allegations that subsidiaries (i) improperly operated a solid waste landfill by failing to maintain required records, properly place and cover waste and adhere to proper leachate levels; (ii) failed to comply with air permit and emission limit requirements at an operating landfill; (iii) failed to maintain adequate leachate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storage capacity at two operating landfills; and (iv) violated federal and state air pollution control statutes and rules, state solid waste and ground water protection statutes and rules and state permits at an operating landfill. We do not believe that the fines or other penalties in any of these matters will, individually or in the aggregate, have a material adverse effect on our financial condition or results of operations.</w:t>
      </w:r>
    </w:p>
    <w:p>
      <w:pPr>
        <w:spacing w:after="0" w:line="57"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79"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Like many Delaware companies, WMI’s charter and bylaws require indemnification and advancement of expenses if these standards have been met. Additionally, the charter and bylaw documents of certain of WMI’s subsidiaries, including WM Holdings, include similar indemnification provisions, and some subsidiaries, including WM Holdings, entered into separate indemnification agreements with their officers and directors prior to our acquisition of them that provide for even greater rights and protections for the individuals.</w:t>
      </w:r>
    </w:p>
    <w:p>
      <w:pPr>
        <w:spacing w:after="0" w:line="7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March 2002, the SEC filed a civil lawsuit against six former officers of WM Holdings in federal court in the Northern District of Illinois (the “Court”). Neither WMI nor any of its subsidiaries was a party to the proceeding. However, we had been advancing these individuals’ defense costs since the inception of the case and would have been obligated to continue advancing defense costs through the conclusion of this case pursuant to applicable charter and bylaw provisions of WM Holdings, as well as individual indemnification agreements. One of the defendants settled with the SEC in September 2004 by payment of a penalty and disgorgement and interest amounts of less than one million dollars.</w:t>
      </w:r>
    </w:p>
    <w:p>
      <w:pPr>
        <w:spacing w:after="0" w:line="80"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In connection with the SEC’s settlement with all except one of the defendants, WMI and WM Holdings entered into a settlement agreement (the “Settlement Agreement”) with the individuals whereby we agreed to pay approximately $26.8 million to the Court, as payment of the disgorgement and interest amounts that these individuals agreed to pay in settlement of the SEC’s claims against them. The individuals paid their own fines and penalties totaling $4.1 million, which was not reimbursed or paid by us. The Settlement Agreement was expressly conditioned on the Court issuing a final and non-appealable Plan of Distribution distributing an amount not less than the $26.8 million to WMI’s stockholders. On September 1, 2005, we funded the agreed amount of $26.8 million, and in October 2005 distributions of $27.5 million were made to WMI’s stockholders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of record as of August 25, 2005. We continue to advance the defense costs, which may be substantial, for the one remaining defendant in the lawsuit.</w:t>
      </w:r>
    </w:p>
    <w:p>
      <w:pPr>
        <w:spacing w:after="0" w:line="129"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The Company may in the future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 in the future. The Company’s obligations to indemnify and advance expenses continue after individuals leave the Company for claims related to actions that occurred before their departure from the Company.</w:t>
      </w:r>
    </w:p>
    <w:p>
      <w:pPr>
        <w:spacing w:after="0" w:line="63"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73"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under audit by the IRS and from time to time are audited by other taxing authorities. We fully cooperate with all audits,</w:t>
      </w:r>
      <w:r>
        <w:rPr>
          <w:rFonts w:ascii="Arial" w:cs="Arial" w:eastAsia="Arial" w:hAnsi="Arial"/>
          <w:sz w:val="16"/>
          <w:szCs w:val="16"/>
          <w:i w:val="1"/>
          <w:iCs w:val="1"/>
          <w:color w:val="auto"/>
        </w:rPr>
        <w:t xml:space="preserve"> </w:t>
      </w:r>
      <w:r>
        <w:rPr>
          <w:rFonts w:ascii="Arial" w:cs="Arial" w:eastAsia="Arial" w:hAnsi="Arial"/>
          <w:sz w:val="16"/>
          <w:szCs w:val="16"/>
          <w:color w:val="auto"/>
        </w:rPr>
        <w:t>but defend our positions vigorously. Our audits are in various stages of completion. We have concluded several audits in the last two years and the financial statement impacts of concluding these audits is discussed in Note 8. We are currently in the examination phase of the IRS audit for the years 2002 and 2003. We expect that this audit could be completed within the next three months. In addition, we are anticipating the initiation in 2006 of an IRS audit for the year 2004. To provide for certain potential tax exposures, we maintain an allowance for specific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9" w:lineRule="exact"/>
        <w:rPr>
          <w:sz w:val="20"/>
          <w:szCs w:val="20"/>
          <w:color w:val="auto"/>
        </w:rPr>
      </w:pPr>
    </w:p>
    <w:p>
      <w:pPr>
        <w:ind w:right="220" w:firstLine="270"/>
        <w:spacing w:after="0" w:line="276" w:lineRule="auto"/>
        <w:rPr>
          <w:sz w:val="20"/>
          <w:szCs w:val="20"/>
          <w:color w:val="auto"/>
        </w:rPr>
      </w:pPr>
      <w:r>
        <w:rPr>
          <w:rFonts w:ascii="Arial" w:cs="Arial" w:eastAsia="Arial" w:hAnsi="Arial"/>
          <w:sz w:val="17"/>
          <w:szCs w:val="17"/>
          <w:i w:val="1"/>
          <w:iCs w:val="1"/>
          <w:color w:val="auto"/>
        </w:rPr>
        <w:t xml:space="preserve">Unclaimed property audits </w:t>
      </w:r>
      <w:r>
        <w:rPr>
          <w:rFonts w:ascii="Arial" w:cs="Arial" w:eastAsia="Arial" w:hAnsi="Arial"/>
          <w:sz w:val="17"/>
          <w:szCs w:val="17"/>
          <w:color w:val="auto"/>
        </w:rPr>
        <w:t>— We are currently in the preliminary phases of audits, which are being conducted by various state authorities,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unclaimed property laws. State and federal escheat laws generally require entities to report and return abandoned and unclaimed property. Failure to timely report and remit the property can result in assessments that include substantial interest and penalties, in addition to the payment of the escheat liability itself. Although we cannot currently estimate the potential financial impacts that these audit findings may have, we do not expect any resulting obligations to have a material adverse effect on our consolidated results of operations or cash flows.</w:t>
      </w:r>
    </w:p>
    <w:p>
      <w:pPr>
        <w:spacing w:after="0" w:line="169"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 xml:space="preserve">2003 Restructurings and Workforce Reductions </w:t>
      </w:r>
      <w:r>
        <w:rPr>
          <w:rFonts w:ascii="Arial" w:cs="Arial" w:eastAsia="Arial" w:hAnsi="Arial"/>
          <w:sz w:val="18"/>
          <w:szCs w:val="18"/>
          <w:color w:val="auto"/>
        </w:rPr>
        <w:t>— In February 2003, we reduced the number of Market Areas that make up our geographic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Groups and reduced certain overhead positions in order to improve the efficiency of our organization. In connection with the restructuring, we reduced our workforce by about 700 employees and 270 contract workers. We recorded $20 million of pre-tax charges for costs associated with this restructuring and workforce reduction, all of which was associated with employee severance and benefit costs. The operational efficiencies provided by the February 2003 organizational changes enabled us to further reduce our workforce in June 2003. This workforce reduction resulted in the elimination of an additional 600 employee positions and 200 contract worker positions. In 2003, we recorded $24 million of pre-tax charges for costs associated with the June 2003 workforce reduction. During 2004, we recorded a credit of $1 million to reduce our accrual for employee severance costs associated with these restructuring and workforce reductions.</w:t>
      </w:r>
    </w:p>
    <w:p>
      <w:pPr>
        <w:spacing w:after="0" w:line="84" w:lineRule="exact"/>
        <w:rPr>
          <w:sz w:val="20"/>
          <w:szCs w:val="20"/>
          <w:color w:val="auto"/>
        </w:rPr>
      </w:pPr>
    </w:p>
    <w:p>
      <w:pPr>
        <w:ind w:right="320" w:firstLine="270"/>
        <w:spacing w:after="0" w:line="286" w:lineRule="auto"/>
        <w:rPr>
          <w:sz w:val="20"/>
          <w:szCs w:val="20"/>
          <w:color w:val="auto"/>
        </w:rPr>
      </w:pPr>
      <w:r>
        <w:rPr>
          <w:rFonts w:ascii="Arial" w:cs="Arial" w:eastAsia="Arial" w:hAnsi="Arial"/>
          <w:sz w:val="17"/>
          <w:szCs w:val="17"/>
          <w:color w:val="auto"/>
        </w:rPr>
        <w:t>During the year ended December 31, 2003, we paid employee severance and benefit costs of $18 million for the February 2003 restructuring and workforce reduction and $15 million for the June 2003 workforce reduction. During the year ended December 31, 2004 we made additional payments for employee severance and benefit costs of $1 million for the February 2003 restructuring and workforce reduction and $8 million for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June 2003 workforce reduction. As of December 31, 2005, substantially all payments related to the 2003 restructuring and workforce reductions had been made.</w:t>
      </w:r>
    </w:p>
    <w:p>
      <w:pPr>
        <w:spacing w:after="0" w:line="62" w:lineRule="exact"/>
        <w:rPr>
          <w:sz w:val="20"/>
          <w:szCs w:val="20"/>
          <w:color w:val="auto"/>
        </w:rPr>
      </w:pPr>
    </w:p>
    <w:p>
      <w:pPr>
        <w:jc w:val="both"/>
        <w:ind w:right="20" w:firstLine="270"/>
        <w:spacing w:after="0" w:line="257" w:lineRule="auto"/>
        <w:rPr>
          <w:sz w:val="20"/>
          <w:szCs w:val="20"/>
          <w:color w:val="auto"/>
        </w:rPr>
      </w:pPr>
      <w:r>
        <w:rPr>
          <w:rFonts w:ascii="Arial" w:cs="Arial" w:eastAsia="Arial" w:hAnsi="Arial"/>
          <w:sz w:val="18"/>
          <w:szCs w:val="18"/>
          <w:i w:val="1"/>
          <w:iCs w:val="1"/>
          <w:color w:val="auto"/>
        </w:rPr>
        <w:t xml:space="preserve">2005 Restructuring and Workforce Reduction </w:t>
      </w:r>
      <w:r>
        <w:rPr>
          <w:rFonts w:ascii="Arial" w:cs="Arial" w:eastAsia="Arial" w:hAnsi="Arial"/>
          <w:sz w:val="18"/>
          <w:szCs w:val="18"/>
          <w:color w:val="auto"/>
        </w:rPr>
        <w:t>— During the third quarter of 2005, we reorganized and simplified our management structure by reducing</w:t>
      </w:r>
      <w:r>
        <w:rPr>
          <w:rFonts w:ascii="Arial" w:cs="Arial" w:eastAsia="Arial" w:hAnsi="Arial"/>
          <w:sz w:val="18"/>
          <w:szCs w:val="18"/>
          <w:i w:val="1"/>
          <w:iCs w:val="1"/>
          <w:color w:val="auto"/>
        </w:rPr>
        <w:t xml:space="preserve"> </w:t>
      </w:r>
      <w:r>
        <w:rPr>
          <w:rFonts w:ascii="Arial" w:cs="Arial" w:eastAsia="Arial" w:hAnsi="Arial"/>
          <w:sz w:val="18"/>
          <w:szCs w:val="18"/>
          <w:color w:val="auto"/>
        </w:rPr>
        <w:t>our Group and Corporate staffing levels. This reorganization increases the accountability and responsibility of our Market Areas and allows us to streamline business decisions and to reduce costs at the Group and Corporate offices. Additionally, as part of our restructuring, the responsibility for the management of our Canadian operations has been assumed by our Eastern, Midwest and Western Groups, thus eliminating the Canadian Group. See discussion at Notes 2 and 20.</w:t>
      </w:r>
    </w:p>
    <w:p>
      <w:pPr>
        <w:spacing w:after="0" w:line="80"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reorganization has eliminated about 600 employee positions throughout the Company. In 2005, we recorded $28 million for costs associated with the implementation of the new structure. These 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During 2005, we paid $18 million of the employee severance and benefit costs incurred as a result of this restructuring. As of December 31, 2005,</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$7 million of the related accrual remained for employee severance and benefit costs. The length of time we are obligated to make severance payments varies, with the longest obligation continuing through the third quarter of 2007.</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total costs recorded to date for the restructurings by our current reportable segments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Restructuring</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Restructurings</w:t>
            </w:r>
          </w:p>
        </w:tc>
        <w:tc>
          <w:tcPr>
            <w:tcW w:w="6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Recycling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121" w:lineRule="exact"/>
        <w:rPr>
          <w:sz w:val="20"/>
          <w:szCs w:val="20"/>
          <w:color w:val="auto"/>
        </w:rPr>
      </w:pPr>
    </w:p>
    <w:p>
      <w:pPr>
        <w:ind w:right="440" w:firstLine="267"/>
        <w:spacing w:after="0" w:line="277" w:lineRule="auto"/>
        <w:rPr>
          <w:sz w:val="20"/>
          <w:szCs w:val="20"/>
          <w:color w:val="auto"/>
        </w:rPr>
      </w:pPr>
      <w:r>
        <w:rPr>
          <w:rFonts w:ascii="Arial" w:cs="Arial" w:eastAsia="Arial" w:hAnsi="Arial"/>
          <w:sz w:val="18"/>
          <w:szCs w:val="18"/>
          <w:color w:val="auto"/>
        </w:rPr>
        <w:t>The following table summarizes the major components of “Asset impairments and unusual items” for the year ended December 31 for the respective periods (in millions):</w:t>
      </w:r>
    </w:p>
    <w:p>
      <w:pPr>
        <w:spacing w:after="0" w:line="6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Years Ended</w:t>
      </w:r>
    </w:p>
    <w:p>
      <w:pPr>
        <w:ind w:left="9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2004</w:t>
            </w: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gains on divestitures</w:t>
            </w: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5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20" w:type="dxa"/>
            <w:vAlign w:val="bottom"/>
            <w:vMerge w:val="restart"/>
          </w:tcPr>
          <w:p>
            <w:pPr>
              <w:jc w:val="right"/>
              <w:ind w:right="2430"/>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520" w:firstLine="267"/>
        <w:spacing w:after="0" w:line="342" w:lineRule="auto"/>
        <w:rPr>
          <w:sz w:val="20"/>
          <w:szCs w:val="20"/>
          <w:color w:val="auto"/>
        </w:rPr>
      </w:pPr>
      <w:r>
        <w:rPr>
          <w:rFonts w:ascii="Arial" w:cs="Arial" w:eastAsia="Arial" w:hAnsi="Arial"/>
          <w:sz w:val="16"/>
          <w:szCs w:val="16"/>
          <w:color w:val="auto"/>
        </w:rPr>
        <w:t>The significant transactions and events resulting in asset impairments, net gains on divestitures and other financial statement impacts within “Asset impairments and unusual items” in our Consolidated Statements of Operations during the three years ended December 31, 2005 are discussed below:</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Year Ended December 31, 2005</w:t>
      </w:r>
    </w:p>
    <w:p>
      <w:pPr>
        <w:spacing w:after="0" w:line="117"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During the second quarter of 2005, our Eastern Group recorded a $35 million charge for the impairment of the Pottstown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located in West Pottsgrove Township, Pennsylvania. We determined that an impairment was necessary after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 The Pottstown Landfill had not been a significant contributor to our recent earnings nor do we expect the expansion denial to have a material adverse effect on our future results of operations or cash flows.</w:t>
      </w:r>
    </w:p>
    <w:p>
      <w:pPr>
        <w:spacing w:after="0" w:line="59"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Through June 30, 2005, our “Property and equipment” had included approximately $80 million of accumulated costs associated with a revenue management system.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our revenue management system were suspended in 2003. Since that time, there have been changes in the viable software alternatives available to address our current needs. During the third quarter of 2005, we concluded our assessment of potential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7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During the fourth quarter of 2005, we recognized an $18 million charge for asset impairments. This charge was primarily attributable to the impairment of a landfill in our Eastern Group, as a result of a change in our expectations for future expansions, and the impairment of capitalized software costs related to two applications we decided not to develop further.</w:t>
      </w:r>
    </w:p>
    <w:p>
      <w:pPr>
        <w:spacing w:after="0" w:line="73"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Net gains on divestitures </w:t>
      </w:r>
      <w:r>
        <w:rPr>
          <w:rFonts w:ascii="Arial" w:cs="Arial" w:eastAsia="Arial" w:hAnsi="Arial"/>
          <w:sz w:val="18"/>
          <w:szCs w:val="18"/>
          <w:color w:val="auto"/>
        </w:rPr>
        <w:t>— During the first quarter of 2005, we recognized a $39 million gain as a result of the divestiture of a landfill in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Canada, which was required as a result of a Divestiture Order from the Canadian Competition Bureau. During the remainder of 2005, we recognized a total of $40 million in gains as a result of the divestiture of operations. With the exception of our divestiture of the Ontario, Canada landfill, our divestitures during 2005 were generally part of our plan to review under-performing or non-strategic operations and to either improve their performance or dispose of the operations.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proceeds from divestitures completed during the year ended December 31, 2005 were $172 million, of which $140 million was received in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 million was in the form of a note receivable and $9 million was in the form of non-monetary assets. We do not believe that these divestitures are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either individually or in the aggregate and we do not expect these divestitures to materially affect our consolidated financial position or future results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or cash flows.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During the first quarter of 2005, we recognized a charge of approximately $16 million for the impact of a litigation settlement reached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group of stockholders that opted not to participate in the 2000 settlement of the securities class action lawsuit against us related to 1998 and 1999 activity. During the third quarter of 2005, we settled our ongoing defense costs and any future indemnity obligations for four former officers of WM Holdings related to legacy litigation brought by the SEC against such former officers. As a result, we recorded a $26.8 million charge for the funding of the court ordered distribution to our shareholders for the former officers’ settlement of the litigation. As discussed in Note 10, this settlement agreement resulted in a distribution of $27.5 million to WMI shareholders of record as of August 25, 2005.</w:t>
      </w:r>
    </w:p>
    <w:p>
      <w:pPr>
        <w:spacing w:after="0" w:line="70" w:lineRule="exact"/>
        <w:rPr>
          <w:sz w:val="20"/>
          <w:szCs w:val="20"/>
          <w:color w:val="auto"/>
        </w:rPr>
      </w:pPr>
    </w:p>
    <w:p>
      <w:pPr>
        <w:ind w:right="680" w:firstLine="267"/>
        <w:spacing w:after="0" w:line="308" w:lineRule="auto"/>
        <w:rPr>
          <w:sz w:val="20"/>
          <w:szCs w:val="20"/>
          <w:color w:val="auto"/>
        </w:rPr>
      </w:pPr>
      <w:r>
        <w:rPr>
          <w:rFonts w:ascii="Arial" w:cs="Arial" w:eastAsia="Arial" w:hAnsi="Arial"/>
          <w:sz w:val="17"/>
          <w:szCs w:val="17"/>
          <w:color w:val="auto"/>
        </w:rPr>
        <w:t>These charges were partially offset by the recognition of a $12 million net benefit recorded during the year ended December 31, 2005, which was primarily for adjustments to our receivables and estimated obligations for non-solid waste operations divested in 1999 and 2000.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Year Ended December 31, 2004</w:t>
      </w:r>
    </w:p>
    <w:p>
      <w:pPr>
        <w:spacing w:after="0" w:line="117"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For 2004, the significant items included within “Asset impairments and unusual items” were (i) $17 million in impairment losses primarily due to the impairment of certain landfill assets and software development costs; (ii) $12 million in gains on divestitures that primarily related to certain Port-O-Let</w:t>
      </w:r>
      <w:r>
        <w:rPr>
          <w:rFonts w:ascii="Arial" w:cs="Arial" w:eastAsia="Arial" w:hAnsi="Arial"/>
          <w:sz w:val="15"/>
          <w:szCs w:val="15"/>
          <w:color w:val="auto"/>
        </w:rPr>
        <w:t>®</w:t>
      </w:r>
      <w:r>
        <w:rPr>
          <w:rFonts w:ascii="Arial" w:cs="Arial" w:eastAsia="Arial" w:hAnsi="Arial"/>
          <w:sz w:val="18"/>
          <w:szCs w:val="18"/>
          <w:color w:val="auto"/>
        </w:rPr>
        <w:t xml:space="preserve"> operations; and (iii) $18 million in miscellaneous net gains, which were primarily for adjustments to our estimated obligations associated with non-solid waste services, which were divested in 1999 and 2000.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Year Ended December 31, 2003</w:t>
      </w:r>
    </w:p>
    <w:p>
      <w:pPr>
        <w:spacing w:after="0" w:line="117" w:lineRule="exact"/>
        <w:rPr>
          <w:sz w:val="20"/>
          <w:szCs w:val="20"/>
          <w:color w:val="auto"/>
        </w:rPr>
      </w:pPr>
    </w:p>
    <w:p>
      <w:pPr>
        <w:ind w:right="680" w:firstLine="270"/>
        <w:spacing w:after="0" w:line="342" w:lineRule="auto"/>
        <w:rPr>
          <w:sz w:val="20"/>
          <w:szCs w:val="20"/>
          <w:color w:val="auto"/>
        </w:rPr>
      </w:pPr>
      <w:r>
        <w:rPr>
          <w:rFonts w:ascii="Arial" w:cs="Arial" w:eastAsia="Arial" w:hAnsi="Arial"/>
          <w:sz w:val="16"/>
          <w:szCs w:val="16"/>
          <w:color w:val="auto"/>
        </w:rPr>
        <w:t>For 2003, the significant items included within “Asset impairments and unusual items” were $5 million in impairment losses primarily due to the impairment of certain landfill assets and $13 million in gains on divestitures that primarily related to divested operations in the Western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13.</w:t>
            </w:r>
          </w:p>
        </w:tc>
        <w:tc>
          <w:tcPr>
            <w:tcW w:w="7880" w:type="dxa"/>
            <w:vAlign w:val="bottom"/>
          </w:tcPr>
          <w:p>
            <w:pPr>
              <w:ind w:left="3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The components of accumulated other comprehensive income (loss) were as follows (in millions):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2004</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Accumulated unrealized loss on derivative instruments, net of a tax benefit of $17 million for 2005,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 million for 2004 and $27 million for 2003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2"/>
          </w:tcPr>
          <w:p>
            <w:pPr>
              <w:spacing w:after="0" w:line="201" w:lineRule="exact"/>
              <w:rPr>
                <w:sz w:val="20"/>
                <w:szCs w:val="20"/>
                <w:color w:val="auto"/>
              </w:rPr>
            </w:pPr>
            <w:r>
              <w:rPr>
                <w:rFonts w:ascii="Arial" w:cs="Arial" w:eastAsia="Arial" w:hAnsi="Arial"/>
                <w:sz w:val="18"/>
                <w:szCs w:val="18"/>
                <w:color w:val="auto"/>
                <w:w w:val="93"/>
              </w:rPr>
              <w:t>Accumulated unrealized gain on marketable securities, net of taxes of $3 million for 2005, $2 million for 2004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and $0 for 2003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14.</w:t>
            </w:r>
          </w:p>
        </w:tc>
        <w:tc>
          <w:tcPr>
            <w:tcW w:w="78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Capital Stock, Share Repurchases and Dividends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60" w:type="dxa"/>
            <w:vAlign w:val="bottom"/>
            <w:gridSpan w:val="2"/>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Capital stock</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60"/>
        <w:spacing w:after="0" w:line="302" w:lineRule="auto"/>
        <w:rPr>
          <w:sz w:val="20"/>
          <w:szCs w:val="20"/>
          <w:color w:val="auto"/>
        </w:rPr>
      </w:pPr>
      <w:r>
        <w:rPr>
          <w:rFonts w:ascii="Arial" w:cs="Arial" w:eastAsia="Arial" w:hAnsi="Arial"/>
          <w:sz w:val="16"/>
          <w:szCs w:val="16"/>
          <w:color w:val="auto"/>
        </w:rPr>
        <w:t>As of December 31, 2005, we have 552.3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through 2004 to be implemented at management’s discretion. In August 2003, we amended the program, starting in 2004, to allow for $1 billion of annual expenditures for share repurchases, net of dividends. In 2004, our Board of Directors approved a new capital allocation plan that allows for up to $1.2 billion in annual share repurchases, net of dividends, for 2005 through 2007. During the year ended December 31, 2005, we paid $706 million to repurchase approximately 25 million shares.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activity under our stock repurchase programs (in millions, except shares in thousands and price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3"/>
          </w:tcPr>
          <w:p>
            <w:pPr>
              <w:ind w:left="1300"/>
              <w:spacing w:after="0"/>
              <w:rPr>
                <w:sz w:val="20"/>
                <w:szCs w:val="20"/>
                <w:color w:val="auto"/>
              </w:rPr>
            </w:pPr>
            <w:r>
              <w:rPr>
                <w:rFonts w:ascii="Arial" w:cs="Arial" w:eastAsia="Arial" w:hAnsi="Arial"/>
                <w:sz w:val="14"/>
                <w:szCs w:val="14"/>
                <w:b w:val="1"/>
                <w:bCs w:val="1"/>
                <w:color w:val="auto"/>
              </w:rPr>
              <w:t>Agreement</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40" w:type="dxa"/>
            <w:vAlign w:val="bottom"/>
            <w:gridSpan w:val="4"/>
          </w:tcPr>
          <w:p>
            <w:pPr>
              <w:ind w:left="7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50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940" w:type="dxa"/>
            <w:vAlign w:val="bottom"/>
            <w:gridSpan w:val="4"/>
          </w:tcPr>
          <w:p>
            <w:pPr>
              <w:spacing w:after="0"/>
              <w:rPr>
                <w:sz w:val="20"/>
                <w:szCs w:val="20"/>
                <w:color w:val="auto"/>
              </w:rPr>
            </w:pPr>
            <w:r>
              <w:rPr>
                <w:rFonts w:ascii="Arial" w:cs="Arial" w:eastAsia="Arial" w:hAnsi="Arial"/>
                <w:sz w:val="14"/>
                <w:szCs w:val="14"/>
                <w:b w:val="1"/>
                <w:bCs w:val="1"/>
                <w:color w:val="auto"/>
              </w:rPr>
              <w:t>Transaction Type</w:t>
            </w:r>
          </w:p>
        </w:tc>
        <w:tc>
          <w:tcPr>
            <w:tcW w:w="2140" w:type="dxa"/>
            <w:vAlign w:val="bottom"/>
            <w:gridSpan w:val="3"/>
          </w:tcPr>
          <w:p>
            <w:pPr>
              <w:ind w:left="440"/>
              <w:spacing w:after="0"/>
              <w:rPr>
                <w:sz w:val="20"/>
                <w:szCs w:val="20"/>
                <w:color w:val="auto"/>
              </w:rPr>
            </w:pPr>
            <w:r>
              <w:rPr>
                <w:rFonts w:ascii="Arial" w:cs="Arial" w:eastAsia="Arial" w:hAnsi="Arial"/>
                <w:sz w:val="14"/>
                <w:szCs w:val="14"/>
                <w:b w:val="1"/>
                <w:bCs w:val="1"/>
                <w:color w:val="auto"/>
              </w:rPr>
              <w:t>Initiated</w:t>
            </w: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Settled</w:t>
            </w:r>
          </w:p>
        </w:tc>
        <w:tc>
          <w:tcPr>
            <w:tcW w:w="58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2"/>
          </w:tcPr>
          <w:p>
            <w:pPr>
              <w:ind w:left="50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Repurchases(a)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Private accelerated purchase</w:t>
            </w:r>
          </w:p>
        </w:tc>
        <w:tc>
          <w:tcPr>
            <w:tcW w:w="2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March 2002</w:t>
            </w:r>
          </w:p>
        </w:tc>
        <w:tc>
          <w:tcPr>
            <w:tcW w:w="5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August 2002</w:t>
            </w: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10,925</w:t>
            </w:r>
          </w:p>
        </w:tc>
        <w:tc>
          <w:tcPr>
            <w:tcW w:w="38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Private accelerated purchase</w:t>
            </w:r>
          </w:p>
        </w:tc>
        <w:tc>
          <w:tcPr>
            <w:tcW w:w="2140" w:type="dxa"/>
            <w:vAlign w:val="bottom"/>
            <w:gridSpan w:val="3"/>
          </w:tcPr>
          <w:p>
            <w:pPr>
              <w:ind w:left="340"/>
              <w:spacing w:after="0"/>
              <w:rPr>
                <w:sz w:val="20"/>
                <w:szCs w:val="20"/>
                <w:color w:val="auto"/>
              </w:rPr>
            </w:pPr>
            <w:r>
              <w:rPr>
                <w:rFonts w:ascii="Arial" w:cs="Arial" w:eastAsia="Arial" w:hAnsi="Arial"/>
                <w:sz w:val="16"/>
                <w:szCs w:val="16"/>
                <w:color w:val="auto"/>
              </w:rPr>
              <w:t>December 2002</w:t>
            </w:r>
          </w:p>
        </w:tc>
        <w:tc>
          <w:tcPr>
            <w:tcW w:w="1120" w:type="dxa"/>
            <w:vAlign w:val="bottom"/>
          </w:tcPr>
          <w:p>
            <w:pPr>
              <w:ind w:left="160"/>
              <w:spacing w:after="0"/>
              <w:rPr>
                <w:sz w:val="20"/>
                <w:szCs w:val="20"/>
                <w:color w:val="auto"/>
              </w:rPr>
            </w:pPr>
            <w:r>
              <w:rPr>
                <w:rFonts w:ascii="Arial" w:cs="Arial" w:eastAsia="Arial" w:hAnsi="Arial"/>
                <w:sz w:val="16"/>
                <w:szCs w:val="16"/>
                <w:color w:val="auto"/>
                <w:w w:val="90"/>
              </w:rPr>
              <w:t>February 2003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1,731</w:t>
            </w:r>
          </w:p>
        </w:tc>
        <w:tc>
          <w:tcPr>
            <w:tcW w:w="3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Private accelerated purchase</w:t>
            </w: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March 2003</w:t>
            </w:r>
          </w:p>
        </w:tc>
        <w:tc>
          <w:tcPr>
            <w:tcW w:w="1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May 2003</w:t>
            </w:r>
          </w:p>
        </w:tc>
        <w:tc>
          <w:tcPr>
            <w:tcW w:w="5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3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3"/>
          </w:tcPr>
          <w:p>
            <w:pPr>
              <w:ind w:left="220"/>
              <w:spacing w:after="0"/>
              <w:rPr>
                <w:sz w:val="20"/>
                <w:szCs w:val="20"/>
                <w:color w:val="auto"/>
              </w:rPr>
            </w:pPr>
            <w:r>
              <w:rPr>
                <w:rFonts w:ascii="Arial" w:cs="Arial" w:eastAsia="Arial" w:hAnsi="Arial"/>
                <w:sz w:val="16"/>
                <w:szCs w:val="16"/>
                <w:color w:val="auto"/>
              </w:rPr>
              <w:t>Subtotal</w:t>
            </w: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15,056</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372(a)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Open market purchases - 2002</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25,594</w:t>
            </w: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$23.01-$28.19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Open market purchases - 2003</w:t>
            </w: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19,650</w:t>
            </w:r>
          </w:p>
        </w:tc>
        <w:tc>
          <w:tcPr>
            <w:tcW w:w="3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$19.70-$29.48</w:t>
            </w: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526(b)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Open market purchases - 2004</w:t>
            </w: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16,541</w:t>
            </w:r>
          </w:p>
        </w:tc>
        <w:tc>
          <w:tcPr>
            <w:tcW w:w="3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$26.32-$30.79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Open market purchases - 2005</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24,727</w:t>
            </w:r>
          </w:p>
        </w:tc>
        <w:tc>
          <w:tcPr>
            <w:tcW w:w="38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$27.01-$30.67</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86,512</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gridSpan w:val="4"/>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101,568</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2,734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60" w:right="40" w:hanging="452"/>
        <w:spacing w:after="0" w:line="231"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At the inception of each of our private accelerated share repurchase agreements, we purchased shares by paying an amount equal to the number of shares of common stock multiplied by the per share market price of our common stock on that day. Pursuant to the terms of the agreements, the March 2002 and December 2002 accelerated repurchase agreements resulted in cash settlement payments by our counterparties at the termination of each agreement’s valuation period for the difference between our initial payment and the weighted average daily market price during that valuation period times the number of shares. We made a similar cash settlement payment at the termination of the March 2003 accelerated repurchase agreement’s valuation period. The amount included here represents the total cash paid, net of any cash received for each agreement.</w:t>
      </w:r>
    </w:p>
    <w:p>
      <w:pPr>
        <w:spacing w:after="0" w:line="89" w:lineRule="exact"/>
        <w:rPr>
          <w:rFonts w:ascii="Arial" w:cs="Arial" w:eastAsia="Arial" w:hAnsi="Arial"/>
          <w:sz w:val="14"/>
          <w:szCs w:val="14"/>
          <w:color w:val="auto"/>
        </w:rPr>
      </w:pPr>
    </w:p>
    <w:p>
      <w:pPr>
        <w:ind w:left="460" w:hanging="452"/>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Approximately $24 million of our 2003 share repurchases were settled in cash in January 2004.</w:t>
      </w:r>
    </w:p>
    <w:p>
      <w:pPr>
        <w:spacing w:after="0" w:line="10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December 2005, we entered into an agreement to repurchase $275 million of our common stock through an accelerated share repurchase transaction in January 2006. The number of shares we repurchase under the accelerated repurchase transaction is determined by dividing the $275 million by the fair market value of our common stock on the repurchase date. Consistent with our previous accelerated repurchase agreements, at the end of the contractual valuation period we may be required to make a settlement payment for the difference between the $275 million paid at the inception of the agreement and the weighted average daily market price of our common stock during the valuation period times the number of shares we repurchased. We would be required to make such a settlement payment if the weighted average daily market price of our stock during the valuation period is higher than the weighted average per share price we initially pay. If such a settlement payment is required, we may elect to settle in either cash or shares of our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520" w:firstLine="270"/>
        <w:spacing w:after="0" w:line="264" w:lineRule="auto"/>
        <w:rPr>
          <w:sz w:val="20"/>
          <w:szCs w:val="20"/>
          <w:color w:val="auto"/>
        </w:rPr>
      </w:pPr>
      <w:r>
        <w:rPr>
          <w:rFonts w:ascii="Arial" w:cs="Arial" w:eastAsia="Arial" w:hAnsi="Arial"/>
          <w:sz w:val="18"/>
          <w:szCs w:val="18"/>
          <w:color w:val="auto"/>
        </w:rPr>
        <w:t>In August 2003, our Board of Directors approved our quarterly dividend program, which began in the first quarter of 2004. Under this program, we declared and paid a dividend of $0.20 per share in each quarter of 2005 and of $0.1875 per share in each quarter of 2004. The payment of our quarterly dividends resulted in cash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dividends of $449 million in 2005 and $432 million in 2004. Before this program was implemented, we paid an annual $0.01 per share dividend, which resulted in a $6 million dividend payment in 2003. In October 2005, the Board of Directors announced that it expects future quarterly dividend payments will be $0.22 per share. On December 15, 2005, the Board declared our first quarterly dividend for 2006 of $0.22 per share, which will be paid on March 24, 2006 to stockholders of record as of March 6, 2006. All future dividend declarations are at the discretion of the Board of Directors, and depend on various factors, including our net earnings, financial condition, cash required for future prospects and other factors the Board may deem relevant.</w:t>
      </w:r>
    </w:p>
    <w:p>
      <w:pPr>
        <w:spacing w:after="0" w:line="169"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have an Employee Stock Purchase Plan under which an aggregate of 4.25 million shares has been reserved for issuance since the plan’s adoption in 1997. Under the Stock Purchase Plan, employees that have been employed for at least 30 days may participate in the plan and make purchases of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or last day of such offering period. The purchases are made through payroll deductions, and the number of shares that may be purchased is limited by IRS regulations. The total number of shares issued under the plan for the offering periods in each of 2005, 2004 and 2003 was approximately 675,000, 654,000 and 597,000, respectively. Including the impact of the January 2006 issuance of shares associated with the July to December 2005 offering period, approximately 165,000 shares remain available for issuance under the plan.</w:t>
      </w:r>
    </w:p>
    <w:p>
      <w:pPr>
        <w:spacing w:after="0" w:line="71"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Our Employee Stock Purchase Plan is “compensatory” under the provisions of SFAS No. 123(R). Accordingly, beginning January 1, 2006 we will recognize compensation expense associated with our employees’ participation in the Stock Purchase Plan. Based on historical participation levels, we expect our Employee Stock Purchase Plan to increase annual compensation expense by approximately $5 million, or $3 million net of tax. Refer to Note 23 for additional information related to the expected impact of adopting SFAS No. 123(R).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11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Pursuant to our stock incentive plan, we have the ability to issue stock options, stock awards and stock appreciation rights, all on terms and conditions determined by the Compensation Committee of our Board of Directors.</w:t>
      </w:r>
    </w:p>
    <w:p>
      <w:pPr>
        <w:spacing w:after="0" w:line="62"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As of December 31, 2003, we had three plans under which we granted stock options and restricted stock awards: the 1993 Stock Incentive Plan, the 2000 Stock Incentive Plan and the 2000 Broad-Based Plan. All three plans allowed for grants of stock options, appreciation rights and stock awards to key employees, except grants under the 2000 Broad-Based Plan could not be made to any executive officer. All of the options granted under these plans had exercise prices equaling the fair market value as of the date of the grant, expired no later than ten years from the date of grant and vested ratably over a four or five-year period. The 1993 Stock Incentive Plan expired in May of 2003.</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May 2004, our stockholders approved the adoption of the 2004 Stock Incentive Plan, which included stockholder approval of an allocation of</w:t>
      </w:r>
    </w:p>
    <w:p>
      <w:pPr>
        <w:spacing w:after="0" w:line="35"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22.5 million additional shares for equity compensation. The terms of the 2004 Stock Incentive Plan also allowed for all shares available under our 2000 Stock Incentive Plan and our 1996 Non-Employee Director Plan, discussed below, to become available for issuance under the 2004 Stock Incentive Plan. Under the 2004 Stock Incentive Plan, an aggregate of 34 million shares of our common stock may be issued pursuant to awards granted under the plan. Under this plan, stock options have exercise prices equal to the fair market value of our common stock as of the date of grant, expire ten years from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date of grant and vest ratably over a four-year period. The restricted stock grants made under the plan also vest ratably over a four-year period. The restricted shares issued are subject to forfeiture in the event of termination of employment and entitle the holder to all benefits of a stockholder, including the right to receive dividends and vote on all matters put to a vote of security holders.</w:t>
      </w:r>
    </w:p>
    <w:p>
      <w:pPr>
        <w:spacing w:after="0" w:line="73"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On December 16,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pre-tax compensation charges that would have been recognized over the next three years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w:t>
      </w:r>
    </w:p>
    <w:p>
      <w:pPr>
        <w:spacing w:after="0" w:line="70" w:lineRule="exact"/>
        <w:rPr>
          <w:sz w:val="20"/>
          <w:szCs w:val="20"/>
          <w:color w:val="auto"/>
        </w:rPr>
      </w:pPr>
    </w:p>
    <w:p>
      <w:pPr>
        <w:ind w:right="60" w:firstLine="260"/>
        <w:spacing w:after="0" w:line="257" w:lineRule="auto"/>
        <w:rPr>
          <w:sz w:val="20"/>
          <w:szCs w:val="20"/>
          <w:color w:val="auto"/>
        </w:rPr>
      </w:pPr>
      <w:r>
        <w:rPr>
          <w:rFonts w:ascii="Arial" w:cs="Arial" w:eastAsia="Arial" w:hAnsi="Arial"/>
          <w:sz w:val="18"/>
          <w:szCs w:val="18"/>
          <w:color w:val="auto"/>
        </w:rPr>
        <w:t>As a result of both the changes in accounting for share-based payments discussed in Note 23 and a desire to design our long-term incentive plans in a manner that creates a stronger link to operating and market performance, our Board of Directors approved a substantial change in the form of awards that we grant. As discussed above, through December 31, 2004, stock option awards were the primary form of equity-based compensation. Beginning in 2005, our long-term incentive plan includes grants of restricted stock units and performance share units. Currently, we do not intend to include stock option awards as a component of our future long-term incentive plans.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During the year ended December 31, 2005, we granted approximately 762,000 restricted stock units with an average fair value at the date of grant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$28.96 and approximately 760,000 performance share units with an average fair value at the date of grant of $26.70 to selected participants under our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Incentive Plan. The restricted stock units vest ratably over a four-year period, and unvested units are subject to forfeiture in the event of voluntary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for-cause termination. The restricted stock units become immediately vested in the event of an employee’s death or disability and continue to vest for up to 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following an employee’s retirement. The performance share units are payable in shares of common stock based on the achievement of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measures, after the end of a three-year performance period. The performance share units are also payable to an employee (or their beneficiary)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death, disability or retirement as if that employee had remained employed until the end of the performance period, but are subject to forfeiture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voluntary or for-cause termination.</w:t>
      </w:r>
    </w:p>
    <w:p>
      <w:pPr>
        <w:spacing w:after="0" w:line="103"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In accordance with APB No. 25, compensation expense associated with restricted stock and restricted stock units that continue to vest based on future employment is measured based on the grant-date fair value of our common stock and is recognized on a straight-line basis over the required employment period, which is generally the vesting period. Compensation expense associated with performance share units that continue to vest based on future performance is measured based on the fair value of our common stock at each balance sheet date and recognized ratably over the performance period based on our expectations for achieving the defined performance criteria.</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Compensation expense included in reported net income associated with restricted stock, restricted stock units and performance share units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$17 million, or $11 million net of tax, for the year ended December 31, 2005. Approximately $6 million, or $4 million net of tax, of the current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is associated with the recognition of compensation costs for restricted stock, restricted stock units and performance share units that were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who were either eligible for retirement at the date of grant or have become eligible for retirement during the vesting period. As discussed above,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these awards provide for continued vesting upon retirement and, as a result, the future vesting in awards granted to retirement-eligible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employees is not dependent upon future service. Accordingly, compensation expense associated with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portion of restricted stock, restricted stock unit and performance share unit grants that does not require future service has been recognized immediately. As restricted stock, restricted stock units and performance share units were not a significant component of our stock incentive plan in 2004 or 2003, compensation costs included in reported net income were insignificant.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Non-Employee Director Plans</w:t>
      </w:r>
    </w:p>
    <w:p>
      <w:pPr>
        <w:spacing w:after="0" w:line="117"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Pursuant to our 2003 Directors’ Deferred Compensation Plan, a portion of the cash compensation that our directors would otherwise receive is deferred until after their termination from board service and each director may elect to defer the remaining cash compensation to a date that he chooses, which must be after termination of board service. At that time, all deferred compensation is paid in shares of our common stock. The number of shares the directors receive is calculated on the date the cash compensation would have been payable, based on the fair market value of our common stock on that day.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We have outstanding warrants that we issued to non-employees for goods and services through 1997 in individual arrangements. These warrants generally vest over a period of time, up to five years, and have terms of up to ten years. All of the warrants have exercise prices equal to the fair market value of our common stock on the date they were granted. Additionally, we have outstanding options and warrants that we acquired in acquisitions. At the time of those acquisitions, the options and warrants were converted into the right to purchase shares of our common stock. These options and warrants generally continue to vest under their original schedules, which range up to five years, although some vested immediately upon the change in control related to the acquisition.</w:t>
      </w:r>
    </w:p>
    <w:p>
      <w:pPr>
        <w:spacing w:after="0" w:line="50" w:lineRule="exact"/>
        <w:rPr>
          <w:sz w:val="20"/>
          <w:szCs w:val="20"/>
          <w:color w:val="auto"/>
        </w:rPr>
      </w:pPr>
    </w:p>
    <w:p>
      <w:pPr>
        <w:ind w:right="240" w:firstLine="267"/>
        <w:spacing w:after="0" w:line="342" w:lineRule="auto"/>
        <w:rPr>
          <w:sz w:val="20"/>
          <w:szCs w:val="20"/>
          <w:color w:val="auto"/>
        </w:rPr>
      </w:pPr>
      <w:r>
        <w:rPr>
          <w:rFonts w:ascii="Arial" w:cs="Arial" w:eastAsia="Arial" w:hAnsi="Arial"/>
          <w:sz w:val="16"/>
          <w:szCs w:val="16"/>
          <w:color w:val="auto"/>
        </w:rPr>
        <w:t>We generally issue treasury stock upon exercises of stock options and warrants. When issuing shares of treasury stock, the difference between the stock option or warrant exercise price and the average treasury stock cost is recorded as an addition to or deduction from additional paid in capital.</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common stock option and warrant activity (shares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2"/>
              </w:rPr>
              <w:t>Years Ended December 31,</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5"/>
              </w:rPr>
              <w:t>Weighted</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Price</w:t>
            </w:r>
          </w:p>
        </w:tc>
        <w:tc>
          <w:tcPr>
            <w:tcW w:w="6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27.56</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26.19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29.17</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8,985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29.18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10,358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(3,058)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31.45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(3,463)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34.10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(2,854)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28.15</w:t>
            </w: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27.56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860" w:type="dxa"/>
            <w:vAlign w:val="bottom"/>
            <w:gridSpan w:val="2"/>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28.15</w:t>
            </w:r>
          </w:p>
        </w:tc>
        <w:tc>
          <w:tcPr>
            <w:tcW w:w="1480" w:type="dxa"/>
            <w:vAlign w:val="bottom"/>
            <w:gridSpan w:val="3"/>
          </w:tcPr>
          <w:p>
            <w:pPr>
              <w:spacing w:after="0" w:line="20" w:lineRule="exact"/>
              <w:rPr>
                <w:sz w:val="1"/>
                <w:szCs w:val="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29.35</w:t>
            </w:r>
          </w:p>
        </w:tc>
        <w:tc>
          <w:tcPr>
            <w:tcW w:w="900" w:type="dxa"/>
            <w:vAlign w:val="bottom"/>
            <w:gridSpan w:val="2"/>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29.10</w:t>
            </w: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34,786</w:t>
            </w:r>
          </w:p>
        </w:tc>
        <w:tc>
          <w:tcPr>
            <w:tcW w:w="1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25,918</w:t>
            </w:r>
          </w:p>
        </w:tc>
        <w:tc>
          <w:tcPr>
            <w:tcW w:w="1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102</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Outstanding and exercisable stock options and warrants at December 31, 2005, were as follows (shares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Outstanding and Exercisable</w:t>
            </w:r>
          </w:p>
        </w:tc>
        <w:tc>
          <w:tcPr>
            <w:tcW w:w="12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4"/>
              </w:rPr>
              <w:t>Weighted Average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Exercise Price</w:t>
            </w:r>
          </w:p>
        </w:tc>
        <w:tc>
          <w:tcPr>
            <w:tcW w:w="20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8"/>
              </w:rPr>
              <w:t>Remaining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$10.54-$20.00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18.66</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$20.01-$30.00</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27.04</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$30.01-$40.00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35.13</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$40.01-$50.00</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43.12</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$50.01-$56.44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52.96</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$10.54-$56.44</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34,786</w:t>
            </w:r>
          </w:p>
        </w:tc>
        <w:tc>
          <w:tcPr>
            <w:tcW w:w="20" w:type="dxa"/>
            <w:vAlign w:val="bottom"/>
            <w:tcBorders>
              <w:bottom w:val="single" w:sz="8" w:color="auto"/>
            </w:tcBorders>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28.15</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reconciles income before cumulative effect of changes in accounting principles as presented in the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with diluted “Net income” for the purposes of calculating “Diluted earnings per common share”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3"/>
              </w:rPr>
              <w:t>Years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2004</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before cumulative effect of changes in accounting principles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 net of income taxes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7"/>
        <w:spacing w:after="0" w:line="279" w:lineRule="auto"/>
        <w:rPr>
          <w:sz w:val="20"/>
          <w:szCs w:val="20"/>
          <w:color w:val="auto"/>
        </w:rPr>
      </w:pPr>
      <w:r>
        <w:rPr>
          <w:rFonts w:ascii="Arial" w:cs="Arial" w:eastAsia="Arial" w:hAnsi="Arial"/>
          <w:sz w:val="17"/>
          <w:szCs w:val="17"/>
          <w:color w:val="auto"/>
        </w:rPr>
        <w:t>The following table reconciles the number of common shares outstanding at December 31 of each year to the number of weighted average basic common shares outstanding and the number of weighted average diluted common shares outstanding for the purposes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year-end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Effect of using weighted average common shares outstanding</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280"/>
              <w:spacing w:after="0" w:line="201" w:lineRule="exact"/>
              <w:rPr>
                <w:sz w:val="20"/>
                <w:szCs w:val="20"/>
                <w:color w:val="auto"/>
              </w:rPr>
            </w:pPr>
            <w:r>
              <w:rPr>
                <w:rFonts w:ascii="Arial" w:cs="Arial" w:eastAsia="Arial" w:hAnsi="Arial"/>
                <w:sz w:val="18"/>
                <w:szCs w:val="18"/>
                <w:color w:val="auto"/>
              </w:rPr>
              <w:t>Dilutive effect of equity-based compensation awards, warrants, and other contingently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issuable shares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2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405"/>
        </w:trPr>
        <w:tc>
          <w:tcPr>
            <w:tcW w:w="7400" w:type="dxa"/>
            <w:vAlign w:val="bottom"/>
            <w:gridSpan w:val="2"/>
          </w:tcPr>
          <w:p>
            <w:pPr>
              <w:jc w:val="right"/>
              <w:ind w:right="1470"/>
              <w:spacing w:after="0"/>
              <w:rPr>
                <w:sz w:val="20"/>
                <w:szCs w:val="20"/>
                <w:color w:val="auto"/>
              </w:rPr>
            </w:pPr>
            <w:r>
              <w:rPr>
                <w:rFonts w:ascii="Arial" w:cs="Arial" w:eastAsia="Arial" w:hAnsi="Arial"/>
                <w:sz w:val="18"/>
                <w:szCs w:val="18"/>
                <w:color w:val="auto"/>
              </w:rPr>
              <w:t>103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2005 and 2004. These amounts have not been revalued since those dates, and current estimates of fair value could differ significantly from the amounts presented.</w:t>
      </w:r>
    </w:p>
    <w:p>
      <w:pPr>
        <w:spacing w:after="0" w:line="85" w:lineRule="exact"/>
        <w:rPr>
          <w:sz w:val="20"/>
          <w:szCs w:val="20"/>
          <w:color w:val="auto"/>
        </w:rPr>
      </w:pPr>
    </w:p>
    <w:p>
      <w:pPr>
        <w:ind w:right="560" w:firstLine="267"/>
        <w:spacing w:after="0" w:line="312" w:lineRule="auto"/>
        <w:rPr>
          <w:sz w:val="20"/>
          <w:szCs w:val="20"/>
          <w:color w:val="auto"/>
        </w:rPr>
      </w:pPr>
      <w:r>
        <w:rPr>
          <w:rFonts w:ascii="Arial" w:cs="Arial" w:eastAsia="Arial" w:hAnsi="Arial"/>
          <w:sz w:val="16"/>
          <w:szCs w:val="16"/>
          <w:color w:val="auto"/>
        </w:rPr>
        <w:t>The carrying values of cash and cash equivalents, short-term investments, trade accounts receivable, trade accounts payable, financial instruments included in other receivables and certain financial instruments included in other assets or other liabilities are reflected in our Consolidated Financial Statements at historical cost, which is materially representative of their fair value principally because of the short-term maturities of these instruments.</w:t>
      </w:r>
    </w:p>
    <w:p>
      <w:pPr>
        <w:spacing w:after="0" w:line="3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 Included as a component of “Other assets” in our Consolidated Balance Sheet at December 31, 2005 and December 31, 2004 is</w:t>
      </w:r>
      <w:r>
        <w:rPr>
          <w:rFonts w:ascii="Arial" w:cs="Arial" w:eastAsia="Arial" w:hAnsi="Arial"/>
          <w:sz w:val="17"/>
          <w:szCs w:val="17"/>
          <w:i w:val="1"/>
          <w:iCs w:val="1"/>
          <w:color w:val="auto"/>
        </w:rPr>
        <w:t xml:space="preserve"> </w:t>
      </w:r>
      <w:r>
        <w:rPr>
          <w:rFonts w:ascii="Arial" w:cs="Arial" w:eastAsia="Arial" w:hAnsi="Arial"/>
          <w:sz w:val="17"/>
          <w:szCs w:val="17"/>
          <w:color w:val="auto"/>
        </w:rPr>
        <w:t>$51 million and $148 million, respectively, of restricted investments in U.S. government agency debt securities and other fixed income investments. At December 31, 2005 and December 31, 2004, we also had $70 million and $82 million, respectively, of restricted investments in equity-based mutual funds. These investments are recorded at fair value. Unrealized holding gains and losses on these instruments are deferred as a component of “Accumulated other comprehensive income” in the equity section of our Consolidated Balance Sheets. Refer to Note 13. There has not been a material difference between the cost basis and fair market value of these investments in either 2005 or 2004.</w:t>
      </w:r>
    </w:p>
    <w:p>
      <w:pPr>
        <w:spacing w:after="0" w:line="70"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 xml:space="preserve">Debt and interest rate derivatives </w:t>
      </w:r>
      <w:r>
        <w:rPr>
          <w:rFonts w:ascii="Arial" w:cs="Arial" w:eastAsia="Arial" w:hAnsi="Arial"/>
          <w:sz w:val="16"/>
          <w:szCs w:val="16"/>
          <w:color w:val="auto"/>
        </w:rPr>
        <w:t>— At December 31, 2005 and 2004, the carrying value of our debt was approximately $8.7 billion and $8.6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carrying value includes adjustments for both the unamortized fair value adjustments related to terminated hedge arrangements and fair value adjustments of debt instruments that are currently hedged. See Note 7. For active hedge arrangements, the fair value of the derivative is included in other current assets, other long-term assets, accrued liabilities or other long-term liabilities, as appropriate. The estimated fair value of our debt was approximately $9.2 billion at both December 31, 2005 and 2004. The estimated fair values of our senior notes and convertible subordinated notes are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w:t>
      </w:r>
    </w:p>
    <w:p>
      <w:pPr>
        <w:spacing w:after="0" w:line="163"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Divestitures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Purchase Acquisitions</w:t>
      </w:r>
    </w:p>
    <w:p>
      <w:pPr>
        <w:spacing w:after="0" w:line="117" w:lineRule="exact"/>
        <w:rPr>
          <w:sz w:val="20"/>
          <w:szCs w:val="20"/>
          <w:color w:val="auto"/>
        </w:rPr>
      </w:pPr>
    </w:p>
    <w:p>
      <w:pPr>
        <w:ind w:right="160" w:firstLine="267"/>
        <w:spacing w:after="0" w:line="257" w:lineRule="auto"/>
        <w:rPr>
          <w:sz w:val="20"/>
          <w:szCs w:val="20"/>
          <w:color w:val="auto"/>
        </w:rPr>
      </w:pPr>
      <w:r>
        <w:rPr>
          <w:rFonts w:ascii="Arial" w:cs="Arial" w:eastAsia="Arial" w:hAnsi="Arial"/>
          <w:sz w:val="18"/>
          <w:szCs w:val="18"/>
          <w:color w:val="auto"/>
        </w:rPr>
        <w:t>We continue to pursue the acquisition of businesses that are accretive to our solid waste operations. For both 2005 and 2004, we have seen the greatest opportunities for realizing superior returns from tuck-in acquisitions, which are primarily the purchases of collection operations that enhance our existing route structures and are strategically located near our existing disposal operations. During the year ended December 31, 2005, we completed 39 acquisitions for a cost, net of cash acquired, of $142 million. During the year ended December 31, 2004, we completed over 50 acquisitions for a cost, net of cash acquired, of $130 million.</w:t>
      </w:r>
    </w:p>
    <w:p>
      <w:pPr>
        <w:spacing w:after="0" w:line="80"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During the year ended December 31, 2003, we paid $337 million, net of cash acquired, for the acquisitions of approximately 75 businesses. This included $85 million in the first quarter of 2003 primarily for our acquisition of the Peltz Group, the largest privately-held recycler in the United States whose assets we contributed to our Recycling Group’s operations. The most significant of the other transactions was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certain collections assets from Allied Waste Industries, Inc. in the third and fourth quarters of 2003.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Additionally, in 2003 we acquired certain operations from Bio-Energy Partners, a general partnership in which we have a 50% ownership interest,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Bio-Energy Partners owns and operates facilities that produce electrical power from landfill gas that is ultimately sold to public utilities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users. Concurrent with this transaction, we received net cash proceeds from Bio-Energy Partners of $30 million in exchange for assuming a like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indebtedness of the partnership. We continue to account for our remaining interests in Bio-Energy Partners as an equity investment.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100" w:firstLine="267"/>
        <w:spacing w:after="0" w:line="286" w:lineRule="auto"/>
        <w:rPr>
          <w:sz w:val="20"/>
          <w:szCs w:val="20"/>
          <w:color w:val="auto"/>
        </w:rPr>
      </w:pPr>
      <w:r>
        <w:rPr>
          <w:rFonts w:ascii="Arial" w:cs="Arial" w:eastAsia="Arial" w:hAnsi="Arial"/>
          <w:sz w:val="17"/>
          <w:szCs w:val="17"/>
          <w:color w:val="auto"/>
        </w:rPr>
        <w:t>The approximate aggregate sales price for the divestiture of our non-integrated operations was $172 million in 2005, $39 million in 2004 and $18 million in 2003. The proceeds from these sales were comprised substantially of cash. We recognized net gains on these divestitures of $79 million in 2005, $12 million in 2004 and $13 million in 2003. Additional information related to our divestiture activity is included in Note 12.</w:t>
      </w:r>
    </w:p>
    <w:p>
      <w:pPr>
        <w:spacing w:after="0" w:line="57"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 July 2005, our Board of Directors approved a plan to divest certain under-performing and non-strategic operations. At that time, assets representing approximately $400 million in annual gross revenues were identified for inclusion in this divestiture plan. In January 2006, we identified additional operations, representing over $500 million in annual gross revenues, that may also be sold as part of this divestiture plan. We are in the initial stages of the marketing and negotiation processes associated with divesting these operations and currently expect the majority of the planned divestitures to be complete in the next twelve to eighteen months.</w:t>
      </w:r>
    </w:p>
    <w:p>
      <w:pPr>
        <w:spacing w:after="0" w:line="184"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We have financial interests in various variable interest entities. Following is a description of all interests that we consider significant. For purposes of applying FIN 46, we are considered the primary beneficiary of certain of these entities. Such entities have been consolidated into our financial statements as noted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Financial Interest in Surety Bonding Company </w:t>
      </w:r>
      <w:r>
        <w:rPr>
          <w:rFonts w:ascii="Arial" w:cs="Arial" w:eastAsia="Arial" w:hAnsi="Arial"/>
          <w:sz w:val="17"/>
          <w:szCs w:val="17"/>
          <w:color w:val="auto"/>
        </w:rPr>
        <w:t>— During the third quarter of 2003, we issued a letter of credit to support the debt of a surety bonding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established by an unrelated third party to issue surety bonds to the waste industry and other industries. The letter of credit, which is valued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$24.8 million as of December 31, 2005, serves to guarantee the surety bonding company’s obligations associated with its debt and represents our exposure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associated with our financial interest in the entity.</w:t>
      </w:r>
    </w:p>
    <w:p>
      <w:pPr>
        <w:spacing w:after="0" w:line="103" w:lineRule="exact"/>
        <w:rPr>
          <w:sz w:val="20"/>
          <w:szCs w:val="20"/>
          <w:color w:val="auto"/>
        </w:rPr>
      </w:pPr>
    </w:p>
    <w:p>
      <w:pPr>
        <w:ind w:right="280" w:firstLine="260"/>
        <w:spacing w:after="0" w:line="342" w:lineRule="auto"/>
        <w:rPr>
          <w:sz w:val="20"/>
          <w:szCs w:val="20"/>
          <w:color w:val="auto"/>
        </w:rPr>
      </w:pPr>
      <w:r>
        <w:rPr>
          <w:rFonts w:ascii="Arial" w:cs="Arial" w:eastAsia="Arial" w:hAnsi="Arial"/>
          <w:sz w:val="16"/>
          <w:szCs w:val="16"/>
          <w:color w:val="auto"/>
        </w:rPr>
        <w:t>As of December 31, 2005, $60 million of current assets, $6 million of long-term assets, $33 million of current liabilities, $22 million of long-term debt and $11 million in minority interest have been included in our Consolidated Balance Sheet as a result of applying FIN 46 to this variable interest entity.</w:t>
      </w:r>
    </w:p>
    <w:p>
      <w:pPr>
        <w:spacing w:after="0" w:line="16" w:lineRule="exact"/>
        <w:rPr>
          <w:sz w:val="20"/>
          <w:szCs w:val="20"/>
          <w:color w:val="auto"/>
        </w:rPr>
      </w:pPr>
    </w:p>
    <w:p>
      <w:pPr>
        <w:ind w:right="140" w:firstLine="260"/>
        <w:spacing w:after="0" w:line="259" w:lineRule="auto"/>
        <w:rPr>
          <w:sz w:val="20"/>
          <w:szCs w:val="20"/>
          <w:color w:val="auto"/>
        </w:rPr>
      </w:pPr>
      <w:r>
        <w:rPr>
          <w:rFonts w:ascii="Arial" w:cs="Arial" w:eastAsia="Arial" w:hAnsi="Arial"/>
          <w:sz w:val="18"/>
          <w:szCs w:val="18"/>
          <w:color w:val="auto"/>
        </w:rPr>
        <w:t>Although we are the primary beneficiary of this variable interest entity, the creditors of the entity do not have recourse against our general credit and our losses are limited to our exposure under the guarantee. Consolidation of this entity did not materially impact our results of operations during the years ended December 31, 2005, 2004 or 2003 nor do we anticipate that it will materially impact our results of operations in the foreseeable future. See Note 10 for additional discussion related to our financial assurance activities.</w:t>
      </w:r>
    </w:p>
    <w:p>
      <w:pPr>
        <w:spacing w:after="0" w:line="79" w:lineRule="exact"/>
        <w:rPr>
          <w:sz w:val="20"/>
          <w:szCs w:val="20"/>
          <w:color w:val="auto"/>
        </w:rPr>
      </w:pPr>
    </w:p>
    <w:p>
      <w:pPr>
        <w:jc w:val="both"/>
        <w:ind w:right="160" w:firstLine="270"/>
        <w:spacing w:after="0" w:line="286" w:lineRule="auto"/>
        <w:rPr>
          <w:sz w:val="20"/>
          <w:szCs w:val="20"/>
          <w:color w:val="auto"/>
        </w:rPr>
      </w:pPr>
      <w:r>
        <w:rPr>
          <w:rFonts w:ascii="Arial" w:cs="Arial" w:eastAsia="Arial" w:hAnsi="Arial"/>
          <w:sz w:val="17"/>
          <w:szCs w:val="17"/>
          <w:i w:val="1"/>
          <w:iCs w:val="1"/>
          <w:color w:val="auto"/>
        </w:rPr>
        <w:t xml:space="preserve">Waste-to-Energy LLCs </w:t>
      </w:r>
      <w:r>
        <w:rPr>
          <w:rFonts w:ascii="Arial" w:cs="Arial" w:eastAsia="Arial" w:hAnsi="Arial"/>
          <w:sz w:val="17"/>
          <w:szCs w:val="17"/>
          <w:color w:val="auto"/>
        </w:rPr>
        <w:t>— On June 30, 2000, two limited liability companies (“LLCs”) were established to purchase interests in existing leveraged lease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financings at three waste-to-energy facilities that we operate under an agreement with the owner. John Hancock Life Insurance Company (“Hancock”) has a 99.5% ownership interest in one of the LLCs (“LLC I”), and the second LLC (“LLC II”) is 99.75% collectively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owned by LLC I and the CIT Group (“CIT”). We own the remaining equity interest in each LLC. Hancock and CIT made an initial investment of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(ii) December 31, 2063, (iii) the entry of a decree of judicial dissolution under the Delaware Limited Liability Company Act, or (iv) the LLCs ceasing to own any interest in the waste-to-energy facilities.</w:t>
      </w:r>
    </w:p>
    <w:p>
      <w:pPr>
        <w:spacing w:after="0" w:line="64"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We do not expect Hancock and CIT to achieve the targeted returns at any time during the initial base term of the leases.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 Additionally, if we exercise certain renewal options under the leases, we will be required to make payments to the LLCs for the difference between fair market rents and the scheduled renewal rents, if any.</w:t>
      </w:r>
    </w:p>
    <w:p>
      <w:pPr>
        <w:spacing w:after="0" w:line="70" w:lineRule="exact"/>
        <w:rPr>
          <w:sz w:val="20"/>
          <w:szCs w:val="20"/>
          <w:color w:val="auto"/>
        </w:rPr>
      </w:pPr>
    </w:p>
    <w:p>
      <w:pPr>
        <w:ind w:right="220" w:firstLine="260"/>
        <w:spacing w:after="0" w:line="264" w:lineRule="auto"/>
        <w:rPr>
          <w:sz w:val="20"/>
          <w:szCs w:val="20"/>
          <w:color w:val="auto"/>
        </w:rPr>
      </w:pPr>
      <w:r>
        <w:rPr>
          <w:rFonts w:ascii="Arial" w:cs="Arial" w:eastAsia="Arial" w:hAnsi="Arial"/>
          <w:sz w:val="18"/>
          <w:szCs w:val="18"/>
          <w:color w:val="auto"/>
        </w:rPr>
        <w:t>As of December 31, 2005, our Consolidated Balance Sheet includes $377 million of net property and equipment associated with the LLCs’ waste-to-energy facilities, $86 million of debt associated with the financing of the facilities and $221 million in minority interest associated with Hancock and CIT’s interests in the LLCs.</w:t>
      </w:r>
    </w:p>
    <w:p>
      <w:pPr>
        <w:spacing w:after="0" w:line="73"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i w:val="1"/>
          <w:iCs w:val="1"/>
          <w:color w:val="auto"/>
        </w:rPr>
        <w:t xml:space="preserve">Trusts for Closure, Post-Closure or Environmental Remediation Obligations </w:t>
      </w:r>
      <w:r>
        <w:rPr>
          <w:rFonts w:ascii="Arial" w:cs="Arial" w:eastAsia="Arial" w:hAnsi="Arial"/>
          <w:sz w:val="16"/>
          <w:szCs w:val="16"/>
          <w:color w:val="auto"/>
        </w:rPr>
        <w:t>— We have determined that we are the primary beneficiary of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closure, post-closure or environmental remediation obligations.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 in 2005 or 2004.</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11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Investments in Coal-Based Synthetic Fuel Production Facilities </w:t>
      </w:r>
      <w:r>
        <w:rPr>
          <w:rFonts w:ascii="Arial" w:cs="Arial" w:eastAsia="Arial" w:hAnsi="Arial"/>
          <w:sz w:val="18"/>
          <w:szCs w:val="18"/>
          <w:color w:val="auto"/>
        </w:rPr>
        <w:t>— As discussed in Note 8, we own an interest in two coal-based synthetic fuel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Along with the other equity investors, we support the operations of the entities in exchange for a pro-rata share of the tax credits generated by the facilities. Our obligation to support the facilities’ future operations is, therefore, limited to the tax benefit we expect to receive. We are not the primary beneficiary of either of these entities, and we do not believe that we have any material exposure to loss, as measured under the provisions of FIN 46, as a result of our investments. As such, we account for these investments under the equity method of accounting and do not consolidate the facilities. As of December 31, 2005, our investment in the facilities is $49 million.</w:t>
      </w:r>
    </w:p>
    <w:p>
      <w:pPr>
        <w:spacing w:after="0" w:line="189"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We manage and evaluate our operations primarily through our Eastern, Midwest, Southern, Western, Wheelabrator and Recycling Groups. These six operating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20" w:firstLine="260"/>
        <w:spacing w:after="0" w:line="312" w:lineRule="auto"/>
        <w:rPr>
          <w:sz w:val="20"/>
          <w:szCs w:val="20"/>
          <w:color w:val="auto"/>
        </w:rPr>
      </w:pPr>
      <w:r>
        <w:rPr>
          <w:rFonts w:ascii="Arial" w:cs="Arial" w:eastAsia="Arial" w:hAnsi="Arial"/>
          <w:sz w:val="16"/>
          <w:szCs w:val="16"/>
          <w:color w:val="auto"/>
        </w:rPr>
        <w:t>As discussed in Note 2, in the third quarter of 2005, we eliminated our Canadian Group, and the management of our Canadian operations was allocated among our Eastern, Midwest and Western Groups. We have allocated the operating results of our Canadian operations to the Eastern, Midwest and Western Groups for all periods presented to provide financial information that consistently reflects our current approach to managing our operations.</w:t>
      </w:r>
    </w:p>
    <w:p>
      <w:pPr>
        <w:spacing w:after="0" w:line="39" w:lineRule="exact"/>
        <w:rPr>
          <w:sz w:val="20"/>
          <w:szCs w:val="20"/>
          <w:color w:val="auto"/>
        </w:rPr>
      </w:pPr>
    </w:p>
    <w:p>
      <w:pPr>
        <w:jc w:val="both"/>
        <w:ind w:right="60" w:firstLine="270"/>
        <w:spacing w:after="0" w:line="302" w:lineRule="auto"/>
        <w:rPr>
          <w:sz w:val="20"/>
          <w:szCs w:val="20"/>
          <w:color w:val="auto"/>
        </w:rPr>
      </w:pPr>
      <w:r>
        <w:rPr>
          <w:rFonts w:ascii="Arial" w:cs="Arial" w:eastAsia="Arial" w:hAnsi="Arial"/>
          <w:sz w:val="16"/>
          <w:szCs w:val="16"/>
          <w:color w:val="auto"/>
        </w:rPr>
        <w:t>Our July 2005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income from operations of “Corporate.” The reallocation of these costs has not significantly affected the operating results of our reportable segments for the periods presented.</w:t>
      </w:r>
    </w:p>
    <w:p>
      <w:pPr>
        <w:spacing w:after="0" w:line="46"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Intercompany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Depreciation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1620" w:type="dxa"/>
            <w:vAlign w:val="bottom"/>
            <w:gridSpan w:val="2"/>
          </w:tcPr>
          <w:p>
            <w:pPr>
              <w:jc w:val="right"/>
              <w:ind w:right="780"/>
              <w:spacing w:after="0" w:line="135" w:lineRule="exact"/>
              <w:rPr>
                <w:sz w:val="20"/>
                <w:szCs w:val="20"/>
                <w:color w:val="auto"/>
              </w:rPr>
            </w:pPr>
            <w:r>
              <w:rPr>
                <w:rFonts w:ascii="Arial" w:cs="Arial" w:eastAsia="Arial" w:hAnsi="Arial"/>
                <w:sz w:val="13"/>
                <w:szCs w:val="13"/>
                <w:b w:val="1"/>
                <w:bCs w:val="1"/>
                <w:color w:val="auto"/>
              </w:rPr>
              <w:t>Income from</w:t>
            </w:r>
          </w:p>
        </w:tc>
        <w:tc>
          <w:tcPr>
            <w:tcW w:w="1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01"/>
              <w:spacing w:after="0" w:line="135" w:lineRule="exact"/>
              <w:rPr>
                <w:sz w:val="20"/>
                <w:szCs w:val="20"/>
                <w:color w:val="auto"/>
              </w:rPr>
            </w:pPr>
            <w:r>
              <w:rPr>
                <w:rFonts w:ascii="Arial" w:cs="Arial" w:eastAsia="Arial" w:hAnsi="Arial"/>
                <w:sz w:val="13"/>
                <w:szCs w:val="13"/>
                <w:b w:val="1"/>
                <w:bCs w:val="1"/>
                <w:color w:val="auto"/>
              </w:rPr>
              <w:t>Capital</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1"/>
              </w:rPr>
              <w:t>Revenues</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Revenues(c)</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Revenues</w:t>
            </w:r>
          </w:p>
        </w:tc>
        <w:tc>
          <w:tcPr>
            <w:tcW w:w="10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86"/>
              </w:rPr>
              <w:t>Operations(d), (e)</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1"/>
              <w:spacing w:after="0"/>
              <w:rPr>
                <w:sz w:val="20"/>
                <w:szCs w:val="20"/>
                <w:color w:val="auto"/>
              </w:rPr>
            </w:pPr>
            <w:r>
              <w:rPr>
                <w:rFonts w:ascii="Arial" w:cs="Arial" w:eastAsia="Arial" w:hAnsi="Arial"/>
                <w:sz w:val="13"/>
                <w:szCs w:val="13"/>
                <w:b w:val="1"/>
                <w:bCs w:val="1"/>
                <w:color w:val="auto"/>
                <w:w w:val="87"/>
              </w:rPr>
              <w:t>Expenditures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Assets(f), (g)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2005</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Eastern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3,809</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(805)</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3,004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5,208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Midwest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Southern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3,590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Western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2,671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Wheelabrator</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Recycling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Other(a)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13,074</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Corporate(b)</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2004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Midwest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Southern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Western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Wheelabrator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Recycling</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Other(a)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14,920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(2,404)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12,516</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20,020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Corporate(b)</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6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14,920</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(2,404)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12,516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1,699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1,258</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21,875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Intercompany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Depreciation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1620" w:type="dxa"/>
            <w:vAlign w:val="bottom"/>
            <w:gridSpan w:val="2"/>
          </w:tcPr>
          <w:p>
            <w:pPr>
              <w:jc w:val="right"/>
              <w:ind w:right="780"/>
              <w:spacing w:after="0" w:line="135" w:lineRule="exact"/>
              <w:rPr>
                <w:sz w:val="20"/>
                <w:szCs w:val="20"/>
                <w:color w:val="auto"/>
              </w:rPr>
            </w:pPr>
            <w:r>
              <w:rPr>
                <w:rFonts w:ascii="Arial" w:cs="Arial" w:eastAsia="Arial" w:hAnsi="Arial"/>
                <w:sz w:val="13"/>
                <w:szCs w:val="13"/>
                <w:b w:val="1"/>
                <w:bCs w:val="1"/>
                <w:color w:val="auto"/>
              </w:rPr>
              <w:t>Income from</w:t>
            </w:r>
          </w:p>
        </w:tc>
        <w:tc>
          <w:tcPr>
            <w:tcW w:w="1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1"/>
              </w:rPr>
              <w:t>Revenues</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Revenues(c)</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Revenues</w:t>
            </w:r>
          </w:p>
        </w:tc>
        <w:tc>
          <w:tcPr>
            <w:tcW w:w="10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86"/>
              </w:rPr>
              <w:t>Operations(d), (e)</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Expenditures</w:t>
            </w:r>
          </w:p>
        </w:tc>
        <w:tc>
          <w:tcPr>
            <w:tcW w:w="1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Assets(f), (g)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2003</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Eastern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3,591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(753)</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5,127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Midwest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2,840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2,339</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Southern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Western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2,725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2,367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Wheelabrator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Recycling</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Other(a)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11,648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Corporate(b)</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460" w:right="80" w:hanging="452"/>
        <w:spacing w:after="0" w:line="256" w:lineRule="auto"/>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Our other revenues are generally from services provided throughout our operating Groups for in-plant services, methane gas recovery and certain third party sub-contract and administration revenues managed by our National Accounts and Upstream organizations. Other operating results reflect the combined impact of (i) the services described above; (ii) non-operating entities that provide financial assurance and self-insurance support for the operating Groups or financing for our Canadian operations; and (iii) certain year-end adjustments related to the reportable segments that are not included in the measure of segment profit or loss used to assess their performance for the periods disclosed.</w:t>
      </w:r>
    </w:p>
    <w:p>
      <w:pPr>
        <w:spacing w:after="0" w:line="23" w:lineRule="exact"/>
        <w:rPr>
          <w:rFonts w:ascii="Arial" w:cs="Arial" w:eastAsia="Arial" w:hAnsi="Arial"/>
          <w:sz w:val="13"/>
          <w:szCs w:val="13"/>
          <w:color w:val="auto"/>
        </w:rPr>
      </w:pPr>
    </w:p>
    <w:p>
      <w:pPr>
        <w:ind w:left="460" w:right="20" w:hanging="452"/>
        <w:spacing w:after="0" w:line="244" w:lineRule="auto"/>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also includes costs associated with our long-term incentive program and managing our international and non-solid waste divested operations, which primarily includes administrative expenses and the impact of revisions to our estimated obligations. As discussed above, we recently centralized support functions that had been provided by our Group offices. Beginning in the third quarter of 2005, our Corporate operating results also include the costs associated with these support functions. The significant increase in our Corporate expenses in 2005 as compared with prior years was driven primarily by impairment charges of $68 million associated with capitalized software costs and $31 million of net charges associated with various legal and divestiture matters. These items are discussed further in Note 12. Also contributing to the increase in expenses during 2005 were (i) an increase in non-cash employee compensation costs associated with current year changes in equity-based compensation; (ii) increases in employee health care costs; (iii) salary and wage increases attributable to annual merit raises; (iv) increased sales and marketing costs attributed to a national advertising campaign and consulting fees related to our pricing initiatives; and (v) costs at Corporate associated with our July 2005 restructuring charge and organizational changes, which were partially offset by associated savings at Corporate.</w:t>
      </w:r>
    </w:p>
    <w:p>
      <w:pPr>
        <w:spacing w:after="0" w:line="33" w:lineRule="exact"/>
        <w:rPr>
          <w:rFonts w:ascii="Arial" w:cs="Arial" w:eastAsia="Arial" w:hAnsi="Arial"/>
          <w:sz w:val="13"/>
          <w:szCs w:val="13"/>
          <w:color w:val="auto"/>
        </w:rPr>
      </w:pPr>
    </w:p>
    <w:p>
      <w:pPr>
        <w:ind w:left="460" w:right="200" w:hanging="452"/>
        <w:spacing w:after="0" w:line="253"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25" w:lineRule="exact"/>
        <w:rPr>
          <w:rFonts w:ascii="Arial" w:cs="Arial" w:eastAsia="Arial" w:hAnsi="Arial"/>
          <w:sz w:val="14"/>
          <w:szCs w:val="14"/>
          <w:color w:val="auto"/>
        </w:rPr>
      </w:pPr>
    </w:p>
    <w:p>
      <w:pPr>
        <w:ind w:left="460" w:right="200" w:hanging="452"/>
        <w:spacing w:after="0" w:line="253"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those items included in the determination of income from operations, the accounting policies of the segments are the same as those described in the summary of significant accounting policies in Note 3.</w:t>
      </w:r>
    </w:p>
    <w:p>
      <w:pPr>
        <w:spacing w:after="0" w:line="25" w:lineRule="exact"/>
        <w:rPr>
          <w:rFonts w:ascii="Arial" w:cs="Arial" w:eastAsia="Arial" w:hAnsi="Arial"/>
          <w:sz w:val="14"/>
          <w:szCs w:val="14"/>
          <w:color w:val="auto"/>
        </w:rPr>
      </w:pPr>
    </w:p>
    <w:p>
      <w:pPr>
        <w:ind w:left="460" w:right="160" w:hanging="452"/>
        <w:spacing w:after="0" w:line="227"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 Refer to Note 11 and Note 12 for an explanation of transactions and events affecting the operating results of our reportable segments.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reconciliation of total assets reported above to “Total assets” on the Consolidated Balance Sheets is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 as reported above</w:t>
            </w:r>
          </w:p>
        </w:tc>
        <w:tc>
          <w:tcPr>
            <w:tcW w:w="2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21,723</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21,875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21,240</w:t>
            </w: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Elimination of intercompany investments and advances</w:t>
            </w: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(970)</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(858)</w:t>
            </w: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assets, per Consolidated Balance Sheets</w:t>
            </w:r>
          </w:p>
        </w:tc>
        <w:tc>
          <w:tcPr>
            <w:tcW w:w="2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21,135</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20,905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20,382</w:t>
            </w: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6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Goodwill is included in total assets. Goodwill balances and activity related to our Canadian operations have been allocated to the Eastern, Midwest and Western Groups to provide information in a manner that consistently reflects our current approach to managing our operations. The reconciliation of changes in goodwill during 2004 and 2005 by reportable segment is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3"/>
              </w:rPr>
              <w:t>Eastern</w:t>
            </w:r>
          </w:p>
        </w:tc>
        <w:tc>
          <w:tcPr>
            <w:tcW w:w="2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5"/>
              </w:rPr>
              <w:t>Midwest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Southern</w:t>
            </w:r>
          </w:p>
        </w:tc>
        <w:tc>
          <w:tcPr>
            <w:tcW w:w="48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Western</w:t>
            </w:r>
          </w:p>
        </w:tc>
        <w:tc>
          <w:tcPr>
            <w:tcW w:w="48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Wheelabrator</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Recycling</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1,635</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1,191</w:t>
            </w:r>
          </w:p>
        </w:tc>
        <w:tc>
          <w:tcPr>
            <w:tcW w:w="440" w:type="dxa"/>
            <w:vAlign w:val="bottom"/>
            <w:gridSpan w:val="2"/>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660" w:type="dxa"/>
            <w:vAlign w:val="bottom"/>
            <w:gridSpan w:val="2"/>
            <w:shd w:val="clear" w:color="auto" w:fill="CCEEFF"/>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977</w:t>
            </w:r>
          </w:p>
        </w:tc>
        <w:tc>
          <w:tcPr>
            <w:tcW w:w="340" w:type="dxa"/>
            <w:vAlign w:val="bottom"/>
            <w:shd w:val="clear" w:color="auto" w:fill="CCEEFF"/>
          </w:tcPr>
          <w:p>
            <w:pPr>
              <w:jc w:val="right"/>
              <w:ind w:right="191"/>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788</w:t>
            </w:r>
          </w:p>
        </w:tc>
        <w:tc>
          <w:tcPr>
            <w:tcW w:w="56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5,220</w:t>
            </w:r>
          </w:p>
        </w:tc>
      </w:tr>
      <w:tr>
        <w:trPr>
          <w:trHeight w:val="149"/>
        </w:trPr>
        <w:tc>
          <w:tcPr>
            <w:tcW w:w="20" w:type="dxa"/>
            <w:vAlign w:val="bottom"/>
          </w:tcPr>
          <w:p>
            <w:pPr>
              <w:spacing w:after="0"/>
              <w:rPr>
                <w:sz w:val="12"/>
                <w:szCs w:val="12"/>
                <w:color w:val="auto"/>
              </w:rPr>
            </w:pPr>
          </w:p>
        </w:tc>
        <w:tc>
          <w:tcPr>
            <w:tcW w:w="3900" w:type="dxa"/>
            <w:vAlign w:val="bottom"/>
          </w:tcPr>
          <w:p>
            <w:pPr>
              <w:ind w:left="260"/>
              <w:spacing w:after="0" w:line="149" w:lineRule="exact"/>
              <w:rPr>
                <w:sz w:val="20"/>
                <w:szCs w:val="20"/>
                <w:color w:val="auto"/>
              </w:rPr>
            </w:pPr>
            <w:r>
              <w:rPr>
                <w:rFonts w:ascii="Arial" w:cs="Arial" w:eastAsia="Arial" w:hAnsi="Arial"/>
                <w:sz w:val="14"/>
                <w:szCs w:val="14"/>
                <w:color w:val="auto"/>
              </w:rPr>
              <w:t>Acquired goodwill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w:t>
            </w: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Divested goodwill, net of assets held for sale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r>
      <w:tr>
        <w:trPr>
          <w:trHeight w:val="149"/>
        </w:trPr>
        <w:tc>
          <w:tcPr>
            <w:tcW w:w="20" w:type="dxa"/>
            <w:vAlign w:val="bottom"/>
          </w:tcPr>
          <w:p>
            <w:pPr>
              <w:spacing w:after="0"/>
              <w:rPr>
                <w:sz w:val="12"/>
                <w:szCs w:val="12"/>
                <w:color w:val="auto"/>
              </w:rPr>
            </w:pPr>
          </w:p>
        </w:tc>
        <w:tc>
          <w:tcPr>
            <w:tcW w:w="3900" w:type="dxa"/>
            <w:vAlign w:val="bottom"/>
          </w:tcPr>
          <w:p>
            <w:pPr>
              <w:ind w:left="260"/>
              <w:spacing w:after="0" w:line="149" w:lineRule="exact"/>
              <w:rPr>
                <w:sz w:val="20"/>
                <w:szCs w:val="20"/>
                <w:color w:val="auto"/>
              </w:rPr>
            </w:pPr>
            <w:r>
              <w:rPr>
                <w:rFonts w:ascii="Arial" w:cs="Arial" w:eastAsia="Arial" w:hAnsi="Arial"/>
                <w:sz w:val="14"/>
                <w:szCs w:val="14"/>
                <w:color w:val="auto"/>
              </w:rPr>
              <w:t>Translation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adjustments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2004</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1,643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561</w:t>
            </w:r>
          </w:p>
        </w:tc>
        <w:tc>
          <w:tcPr>
            <w:tcW w:w="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972</w:t>
            </w:r>
          </w:p>
        </w:tc>
        <w:tc>
          <w:tcPr>
            <w:tcW w:w="4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788</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5,301</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Acquired goodwill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w:t>
            </w:r>
          </w:p>
        </w:tc>
      </w:tr>
      <w:tr>
        <w:trPr>
          <w:trHeight w:val="149"/>
        </w:trPr>
        <w:tc>
          <w:tcPr>
            <w:tcW w:w="20" w:type="dxa"/>
            <w:vAlign w:val="bottom"/>
          </w:tcPr>
          <w:p>
            <w:pPr>
              <w:spacing w:after="0"/>
              <w:rPr>
                <w:sz w:val="12"/>
                <w:szCs w:val="12"/>
                <w:color w:val="auto"/>
              </w:rPr>
            </w:pPr>
          </w:p>
        </w:tc>
        <w:tc>
          <w:tcPr>
            <w:tcW w:w="3900" w:type="dxa"/>
            <w:vAlign w:val="bottom"/>
          </w:tcPr>
          <w:p>
            <w:pPr>
              <w:ind w:left="260"/>
              <w:spacing w:after="0" w:line="149" w:lineRule="exact"/>
              <w:rPr>
                <w:sz w:val="20"/>
                <w:szCs w:val="20"/>
                <w:color w:val="auto"/>
              </w:rPr>
            </w:pPr>
            <w:r>
              <w:rPr>
                <w:rFonts w:ascii="Arial" w:cs="Arial" w:eastAsia="Arial" w:hAnsi="Arial"/>
                <w:sz w:val="14"/>
                <w:szCs w:val="14"/>
                <w:color w:val="auto"/>
              </w:rPr>
              <w:t>Divested goodwill, net of assets held for sale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w:t>
            </w:r>
          </w:p>
        </w:tc>
        <w:tc>
          <w:tcPr>
            <w:tcW w:w="3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w:t>
            </w: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Translation adjustments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2005</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1,667</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w:t>
            </w:r>
          </w:p>
        </w:tc>
        <w:tc>
          <w:tcPr>
            <w:tcW w:w="4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959</w:t>
            </w:r>
          </w:p>
        </w:tc>
        <w:tc>
          <w:tcPr>
            <w:tcW w:w="4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788</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5,364</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by principal line of business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5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7,782</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Landfill</w:t>
            </w:r>
          </w:p>
        </w:tc>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3,089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1,582</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Wheelabrator</w:t>
            </w:r>
          </w:p>
        </w:tc>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other(a)</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Intercompany(b)</w:t>
            </w:r>
          </w:p>
        </w:tc>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revenues</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11,648</w:t>
            </w: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5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r>
    </w:tbl>
    <w:p>
      <w:pPr>
        <w:spacing w:after="0" w:line="8" w:lineRule="exact"/>
        <w:rPr>
          <w:sz w:val="20"/>
          <w:szCs w:val="20"/>
          <w:color w:val="auto"/>
        </w:rPr>
      </w:pPr>
    </w:p>
    <w:p>
      <w:pPr>
        <w:ind w:left="460" w:right="460" w:hanging="452"/>
        <w:spacing w:after="0" w:line="253" w:lineRule="auto"/>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addition to the revenue generated by our Recycling Group, we have included revenues generated within our four geographic operating Groups derived from recycling, methane gas operations, sweeping services and Port-O-Let</w:t>
      </w:r>
      <w:r>
        <w:rPr>
          <w:rFonts w:ascii="Arial" w:cs="Arial" w:eastAsia="Arial" w:hAnsi="Arial"/>
          <w:sz w:val="12"/>
          <w:szCs w:val="12"/>
          <w:color w:val="auto"/>
        </w:rPr>
        <w:t>®</w:t>
      </w:r>
      <w:r>
        <w:rPr>
          <w:rFonts w:ascii="Arial" w:cs="Arial" w:eastAsia="Arial" w:hAnsi="Arial"/>
          <w:sz w:val="14"/>
          <w:szCs w:val="14"/>
          <w:color w:val="auto"/>
        </w:rPr>
        <w:t xml:space="preserve"> services in the “recycling and other” line of business.</w:t>
      </w:r>
    </w:p>
    <w:p>
      <w:pPr>
        <w:spacing w:after="0" w:line="25" w:lineRule="exact"/>
        <w:rPr>
          <w:rFonts w:ascii="Arial" w:cs="Arial" w:eastAsia="Arial" w:hAnsi="Arial"/>
          <w:sz w:val="14"/>
          <w:szCs w:val="14"/>
          <w:color w:val="auto"/>
        </w:rPr>
      </w:pP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Consolidated Financial Statements included herein.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operating revenues relating to operations in the United States and Puerto Rico, as well as Canada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9"/>
              </w:rPr>
              <w:t>Years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United States and Puerto Rico</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12,430</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11,924</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11,114</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auto"/>
              </w:rPr>
              <w:t>United States and Puerto Rico</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10,229</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10,481</w:t>
            </w: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10,482</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w:t>
            </w:r>
          </w:p>
        </w:tc>
      </w:tr>
      <w:tr>
        <w:trPr>
          <w:trHeight w:val="223"/>
        </w:trPr>
        <w:tc>
          <w:tcPr>
            <w:tcW w:w="20" w:type="dxa"/>
            <w:vAlign w:val="bottom"/>
          </w:tcPr>
          <w:p>
            <w:pPr>
              <w:spacing w:after="0"/>
              <w:rPr>
                <w:sz w:val="19"/>
                <w:szCs w:val="19"/>
                <w:color w:val="auto"/>
              </w:rPr>
            </w:pPr>
          </w:p>
        </w:tc>
        <w:tc>
          <w:tcPr>
            <w:tcW w:w="7220" w:type="dxa"/>
            <w:vAlign w:val="bottom"/>
          </w:tcPr>
          <w:p>
            <w:pPr>
              <w:ind w:left="5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unaudited quarterly results of operations for 2005 and 2004 (in millions,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Second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Fourth</w:t>
            </w: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Quarter</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3,289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3,375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3,372</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operations(a),(b)</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income(c)</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Net income(c)</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r>
      <w:tr>
        <w:trPr>
          <w:trHeight w:val="216"/>
        </w:trPr>
        <w:tc>
          <w:tcPr>
            <w:tcW w:w="20" w:type="dxa"/>
            <w:vAlign w:val="bottom"/>
          </w:tcPr>
          <w:p>
            <w:pPr>
              <w:spacing w:after="0"/>
              <w:rPr>
                <w:sz w:val="18"/>
                <w:szCs w:val="18"/>
                <w:color w:val="auto"/>
              </w:rPr>
            </w:pPr>
          </w:p>
        </w:tc>
        <w:tc>
          <w:tcPr>
            <w:tcW w:w="618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Net income(c)</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3,208</w:t>
            </w: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changes in accounting principles(d)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income(d),(e)</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Income before cumulative effect of changes in accounting principles(d)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6180" w:type="dxa"/>
            <w:vAlign w:val="bottom"/>
            <w:gridSpan w:val="2"/>
          </w:tcPr>
          <w:p>
            <w:pPr>
              <w:ind w:left="560"/>
              <w:spacing w:after="0"/>
              <w:rPr>
                <w:sz w:val="20"/>
                <w:szCs w:val="20"/>
                <w:color w:val="auto"/>
              </w:rPr>
            </w:pPr>
            <w:r>
              <w:rPr>
                <w:rFonts w:ascii="Arial" w:cs="Arial" w:eastAsia="Arial" w:hAnsi="Arial"/>
                <w:sz w:val="18"/>
                <w:szCs w:val="18"/>
                <w:color w:val="auto"/>
              </w:rPr>
              <w:t>Net income(d),(e)</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560"/>
              <w:spacing w:after="0"/>
              <w:rPr>
                <w:sz w:val="20"/>
                <w:szCs w:val="20"/>
                <w:color w:val="auto"/>
              </w:rPr>
            </w:pPr>
            <w:r>
              <w:rPr>
                <w:rFonts w:ascii="Arial" w:cs="Arial" w:eastAsia="Arial" w:hAnsi="Arial"/>
                <w:sz w:val="18"/>
                <w:szCs w:val="18"/>
                <w:color w:val="auto"/>
                <w:w w:val="99"/>
              </w:rPr>
              <w:t>Income before cumulative effect of changes in accounting principles(d)</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Net income(d),(e)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62" w:lineRule="exact"/>
        <w:rPr>
          <w:sz w:val="20"/>
          <w:szCs w:val="20"/>
          <w:color w:val="auto"/>
        </w:rPr>
      </w:pPr>
    </w:p>
    <w:p>
      <w:pPr>
        <w:ind w:left="460" w:right="20" w:hanging="452"/>
        <w:spacing w:after="0" w:line="264" w:lineRule="auto"/>
        <w:tabs>
          <w:tab w:leader="none" w:pos="4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Asset impairments and unusual items significantly affected our income from operations in each quarter of 2005. In the first and second quarters of 2005, asset impairments and unusual items increased our income from operations by $23 million and $6 million, respectively. In the third and fourth quarters of 2005, our income from operations was unfavorably affected by net charges for asset impairments and unusual items of $86 million and $11 million, respectively. Information related to the nature of these adjustments is included in Note 12.</w:t>
      </w:r>
    </w:p>
    <w:p>
      <w:pPr>
        <w:spacing w:after="0" w:line="19" w:lineRule="exact"/>
        <w:rPr>
          <w:rFonts w:ascii="Arial" w:cs="Arial" w:eastAsia="Arial" w:hAnsi="Arial"/>
          <w:sz w:val="13"/>
          <w:szCs w:val="13"/>
          <w:color w:val="auto"/>
        </w:rPr>
      </w:pPr>
    </w:p>
    <w:p>
      <w:pPr>
        <w:ind w:left="460" w:right="340" w:hanging="452"/>
        <w:spacing w:after="0" w:line="253"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income from operations for the third quarter of 2005 includes a pre-tax charge of $27 million associated with our 2005 restructuring. This charge was primarily related to employee severance and benefit costs. Refer to Note 11 for additional information regarding the reorganization and simplification of our organizational structure.</w:t>
      </w:r>
    </w:p>
    <w:p>
      <w:pPr>
        <w:spacing w:after="0" w:line="25" w:lineRule="exact"/>
        <w:rPr>
          <w:rFonts w:ascii="Arial" w:cs="Arial" w:eastAsia="Arial" w:hAnsi="Arial"/>
          <w:sz w:val="14"/>
          <w:szCs w:val="14"/>
          <w:color w:val="auto"/>
        </w:rPr>
      </w:pPr>
    </w:p>
    <w:p>
      <w:pPr>
        <w:jc w:val="both"/>
        <w:ind w:left="460" w:right="20" w:hanging="452"/>
        <w:spacing w:after="0" w:line="238"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settlement of several tax audits during 2005 resulted in significant reductions in income tax expense. Tax audit settlements reduced our income tax expense by $2 million during the first quarter, $345 million, or $0.61 per diluted share, during the second quarter, $28 million, or $0.05 per diluted share, during the third quarter and $23 million, or $0.04 per diluted share, during the fourth quarter. Refer to Note 8 for additional information.</w:t>
      </w:r>
    </w:p>
    <w:p>
      <w:pPr>
        <w:spacing w:after="0" w:line="34" w:lineRule="exact"/>
        <w:rPr>
          <w:rFonts w:ascii="Arial" w:cs="Arial" w:eastAsia="Arial" w:hAnsi="Arial"/>
          <w:sz w:val="14"/>
          <w:szCs w:val="14"/>
          <w:color w:val="auto"/>
        </w:rPr>
      </w:pPr>
    </w:p>
    <w:p>
      <w:pPr>
        <w:ind w:left="460" w:right="240" w:hanging="452"/>
        <w:spacing w:after="0" w:line="253"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recognized benefits for federal tax audit settlements during the third and fourth quarters of 2004 of $62 million and $27 million, respectively. Related to these settlements, we realized interest income, net of tax, of $9 million and $19 million during the third and fourth quarters, respectively. Refer to Note 8 for additional information.</w:t>
      </w:r>
    </w:p>
    <w:p>
      <w:pPr>
        <w:spacing w:after="0" w:line="25" w:lineRule="exact"/>
        <w:rPr>
          <w:rFonts w:ascii="Arial" w:cs="Arial" w:eastAsia="Arial" w:hAnsi="Arial"/>
          <w:sz w:val="14"/>
          <w:szCs w:val="14"/>
          <w:color w:val="auto"/>
        </w:rPr>
      </w:pPr>
    </w:p>
    <w:p>
      <w:pPr>
        <w:ind w:left="460" w:right="280" w:hanging="452"/>
        <w:spacing w:after="0" w:line="253"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March 31, 2004, we recorded a credit of $8 million, net of taxes, or $0.01 per diluted share, as a cumulative effect of change in accounting principle as a result of the consolidation of previously unrecorded trusts as required by FIN 46. See Note 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 For certain quarters presented, the effect of our convertible subordinated notes are excluded from the diluted earnings per share calculations since inclusion of these items would be antidilutive for those periods.</w:t>
      </w:r>
    </w:p>
    <w:p>
      <w:pPr>
        <w:spacing w:after="0" w:line="167"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121"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WM Holdings has fully and unconditionally guaranteed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WMI</w:t>
            </w:r>
          </w:p>
        </w:tc>
        <w:tc>
          <w:tcPr>
            <w:tcW w:w="1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Eliminations</w:t>
            </w:r>
          </w:p>
        </w:tc>
        <w:tc>
          <w:tcPr>
            <w:tcW w:w="3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Consolidated</w:t>
            </w: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Subsidiaries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2,485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2,485</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11,221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11,221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(17,861)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6,418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6,463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10,631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20,124</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(17,893)</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21,135</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CCEEFF"/>
          </w:tcPr>
          <w:p>
            <w:pPr>
              <w:spacing w:after="0"/>
              <w:rPr>
                <w:sz w:val="14"/>
                <w:szCs w:val="14"/>
                <w:color w:val="auto"/>
              </w:rPr>
            </w:pPr>
          </w:p>
        </w:tc>
        <w:tc>
          <w:tcPr>
            <w:tcW w:w="4140" w:type="dxa"/>
            <w:vAlign w:val="bottom"/>
            <w:gridSpan w:val="13"/>
            <w:shd w:val="clear" w:color="auto" w:fill="CCEEFF"/>
          </w:tcPr>
          <w:p>
            <w:pPr>
              <w:ind w:left="3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3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840" w:type="dxa"/>
            <w:vAlign w:val="bottom"/>
            <w:gridSpan w:val="3"/>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w:t>
            </w:r>
          </w:p>
        </w:tc>
        <w:tc>
          <w:tcPr>
            <w:tcW w:w="5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w:t>
            </w:r>
          </w:p>
        </w:tc>
        <w:tc>
          <w:tcPr>
            <w:tcW w:w="6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360" w:type="dxa"/>
            <w:vAlign w:val="bottom"/>
            <w:shd w:val="clear" w:color="auto" w:fill="CCEEFF"/>
          </w:tcPr>
          <w:p>
            <w:pPr>
              <w:spacing w:after="0"/>
              <w:rPr>
                <w:sz w:val="12"/>
                <w:szCs w:val="12"/>
                <w:color w:val="auto"/>
              </w:rPr>
            </w:pPr>
          </w:p>
        </w:tc>
      </w:tr>
      <w:tr>
        <w:trPr>
          <w:trHeight w:val="149"/>
        </w:trPr>
        <w:tc>
          <w:tcPr>
            <w:tcW w:w="382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2,539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2,735</w:t>
            </w:r>
          </w:p>
        </w:tc>
      </w:tr>
      <w:tr>
        <w:trPr>
          <w:trHeight w:val="27"/>
        </w:trPr>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49"/>
        </w:trPr>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2,758</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3,257</w:t>
            </w: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4,183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3,092</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8,165</w:t>
            </w: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3,006</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(3,006)</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r>
      <w:tr>
        <w:trPr>
          <w:trHeight w:val="156"/>
        </w:trPr>
        <w:tc>
          <w:tcPr>
            <w:tcW w:w="38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3,178</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3,311</w:t>
            </w:r>
          </w:p>
        </w:tc>
        <w:tc>
          <w:tcPr>
            <w:tcW w:w="360" w:type="dxa"/>
            <w:vAlign w:val="bottom"/>
          </w:tcPr>
          <w:p>
            <w:pPr>
              <w:spacing w:after="0"/>
              <w:rPr>
                <w:sz w:val="13"/>
                <w:szCs w:val="13"/>
                <w:color w:val="auto"/>
              </w:rPr>
            </w:pPr>
          </w:p>
        </w:tc>
      </w:tr>
      <w:tr>
        <w:trPr>
          <w:trHeight w:val="149"/>
        </w:trPr>
        <w:tc>
          <w:tcPr>
            <w:tcW w:w="3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liabilities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4,510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1,227</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12,034</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(3,038)</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14,733</w:t>
            </w: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360" w:type="dxa"/>
            <w:vAlign w:val="bottom"/>
          </w:tcPr>
          <w:p>
            <w:pPr>
              <w:spacing w:after="0"/>
              <w:rPr>
                <w:sz w:val="12"/>
                <w:szCs w:val="12"/>
                <w:color w:val="auto"/>
              </w:rPr>
            </w:pP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6,121</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7,809</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(14,855)</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6,121</w:t>
            </w:r>
          </w:p>
        </w:tc>
      </w:tr>
      <w:tr>
        <w:trPr>
          <w:trHeight w:val="156"/>
        </w:trPr>
        <w:tc>
          <w:tcPr>
            <w:tcW w:w="3820" w:type="dxa"/>
            <w:vAlign w:val="bottom"/>
          </w:tcPr>
          <w:p>
            <w:pPr>
              <w:ind w:left="2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10,631</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20,124</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21,135</w:t>
            </w:r>
          </w:p>
        </w:tc>
        <w:tc>
          <w:tcPr>
            <w:tcW w:w="360" w:type="dxa"/>
            <w:vAlign w:val="bottom"/>
          </w:tcPr>
          <w:p>
            <w:pPr>
              <w:spacing w:after="0"/>
              <w:rPr>
                <w:sz w:val="13"/>
                <w:szCs w:val="13"/>
                <w:color w:val="auto"/>
              </w:rPr>
            </w:pPr>
          </w:p>
        </w:tc>
      </w:tr>
      <w:tr>
        <w:trPr>
          <w:trHeight w:val="21"/>
        </w:trPr>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WMI</w:t>
            </w:r>
          </w:p>
        </w:tc>
        <w:tc>
          <w:tcPr>
            <w:tcW w:w="1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Eliminations</w:t>
            </w:r>
          </w:p>
        </w:tc>
        <w:tc>
          <w:tcPr>
            <w:tcW w:w="3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Consolidated</w:t>
            </w: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Subsidiaries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2,369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11,476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11,476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and advances to affiliates</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(17,013)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6,554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6,610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assets</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10,388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20,466</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(17,013)</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CCEEFF"/>
          </w:tcPr>
          <w:p>
            <w:pPr>
              <w:spacing w:after="0"/>
              <w:rPr>
                <w:sz w:val="14"/>
                <w:szCs w:val="14"/>
                <w:color w:val="auto"/>
              </w:rPr>
            </w:pPr>
          </w:p>
        </w:tc>
        <w:tc>
          <w:tcPr>
            <w:tcW w:w="4140" w:type="dxa"/>
            <w:vAlign w:val="bottom"/>
            <w:gridSpan w:val="13"/>
            <w:shd w:val="clear" w:color="auto" w:fill="CCEEFF"/>
          </w:tcPr>
          <w:p>
            <w:pPr>
              <w:ind w:left="3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3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840" w:type="dxa"/>
            <w:vAlign w:val="bottom"/>
            <w:gridSpan w:val="3"/>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5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246</w:t>
            </w:r>
          </w:p>
        </w:tc>
        <w:tc>
          <w:tcPr>
            <w:tcW w:w="6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360" w:type="dxa"/>
            <w:vAlign w:val="bottom"/>
            <w:shd w:val="clear" w:color="auto" w:fill="CCEEFF"/>
          </w:tcPr>
          <w:p>
            <w:pPr>
              <w:spacing w:after="0"/>
              <w:rPr>
                <w:sz w:val="12"/>
                <w:szCs w:val="12"/>
                <w:color w:val="auto"/>
              </w:rPr>
            </w:pPr>
          </w:p>
        </w:tc>
      </w:tr>
      <w:tr>
        <w:trPr>
          <w:trHeight w:val="149"/>
        </w:trPr>
        <w:tc>
          <w:tcPr>
            <w:tcW w:w="382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2,721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2,821</w:t>
            </w:r>
          </w:p>
        </w:tc>
      </w:tr>
      <w:tr>
        <w:trPr>
          <w:trHeight w:val="27"/>
        </w:trPr>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49"/>
        </w:trPr>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3,205</w:t>
            </w: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2,721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8,182</w:t>
            </w: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4,954</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(4,954)</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3,174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3,265</w:t>
            </w:r>
          </w:p>
        </w:tc>
      </w:tr>
      <w:tr>
        <w:trPr>
          <w:trHeight w:val="27"/>
        </w:trPr>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49"/>
        </w:trPr>
        <w:tc>
          <w:tcPr>
            <w:tcW w:w="3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liabilities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13,816</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(4,954)</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14,652</w:t>
            </w: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360" w:type="dxa"/>
            <w:vAlign w:val="bottom"/>
          </w:tcPr>
          <w:p>
            <w:pPr>
              <w:spacing w:after="0"/>
              <w:rPr>
                <w:sz w:val="12"/>
                <w:szCs w:val="12"/>
                <w:color w:val="auto"/>
              </w:rPr>
            </w:pP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5,971</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5,691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(12,059)</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5,971</w:t>
            </w:r>
          </w:p>
        </w:tc>
      </w:tr>
      <w:tr>
        <w:trPr>
          <w:trHeight w:val="156"/>
        </w:trPr>
        <w:tc>
          <w:tcPr>
            <w:tcW w:w="3820" w:type="dxa"/>
            <w:vAlign w:val="bottom"/>
          </w:tcPr>
          <w:p>
            <w:pPr>
              <w:ind w:left="2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10,388</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20,466</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(17,013)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20,905</w:t>
            </w:r>
          </w:p>
        </w:tc>
        <w:tc>
          <w:tcPr>
            <w:tcW w:w="360" w:type="dxa"/>
            <w:vAlign w:val="bottom"/>
          </w:tcPr>
          <w:p>
            <w:pPr>
              <w:spacing w:after="0"/>
              <w:rPr>
                <w:sz w:val="13"/>
                <w:szCs w:val="13"/>
                <w:color w:val="auto"/>
              </w:rPr>
            </w:pPr>
          </w:p>
        </w:tc>
      </w:tr>
      <w:tr>
        <w:trPr>
          <w:trHeight w:val="21"/>
        </w:trPr>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WMI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WM</w:t>
            </w:r>
          </w:p>
        </w:tc>
        <w:tc>
          <w:tcPr>
            <w:tcW w:w="220" w:type="dxa"/>
            <w:vAlign w:val="bottom"/>
          </w:tcPr>
          <w:p>
            <w:pPr>
              <w:spacing w:after="0"/>
              <w:rPr>
                <w:sz w:val="14"/>
                <w:szCs w:val="14"/>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Holdings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2005</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13,074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11,364</w:t>
            </w:r>
          </w:p>
        </w:tc>
        <w:tc>
          <w:tcPr>
            <w:tcW w:w="0" w:type="dxa"/>
            <w:vAlign w:val="bottom"/>
          </w:tcPr>
          <w:p>
            <w:pPr>
              <w:spacing w:after="0"/>
              <w:rPr>
                <w:sz w:val="1"/>
                <w:szCs w:val="1"/>
                <w:color w:val="auto"/>
              </w:rPr>
            </w:pPr>
          </w:p>
        </w:tc>
      </w:tr>
      <w:tr>
        <w:trPr>
          <w:trHeight w:val="163"/>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Income from operations</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1,710</w:t>
            </w:r>
          </w:p>
        </w:tc>
        <w:tc>
          <w:tcPr>
            <w:tcW w:w="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Equity in losses of unconsolidated entities and other,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w:t>
            </w:r>
          </w:p>
        </w:tc>
        <w:tc>
          <w:tcPr>
            <w:tcW w:w="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(618)</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before income taxes and cumulative effect of changes in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accounting principles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(2,763)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1,408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2004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12,516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10,817</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56"/>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(2,258)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Equity in losses of unconsolidated entities and other, net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(2,258)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37"/>
        </w:trPr>
        <w:tc>
          <w:tcPr>
            <w:tcW w:w="4620" w:type="dxa"/>
            <w:vAlign w:val="bottom"/>
            <w:gridSpan w:val="2"/>
          </w:tcPr>
          <w:p>
            <w:pPr>
              <w:spacing w:after="0" w:line="137" w:lineRule="exact"/>
              <w:rPr>
                <w:sz w:val="20"/>
                <w:szCs w:val="20"/>
                <w:color w:val="auto"/>
              </w:rPr>
            </w:pPr>
            <w:r>
              <w:rPr>
                <w:rFonts w:ascii="Arial" w:cs="Arial" w:eastAsia="Arial" w:hAnsi="Arial"/>
                <w:sz w:val="14"/>
                <w:szCs w:val="14"/>
                <w:color w:val="auto"/>
              </w:rPr>
              <w:t>Income before income taxes and cumulative effect of changes in</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ind w:left="120"/>
              <w:spacing w:after="0"/>
              <w:rPr>
                <w:sz w:val="20"/>
                <w:szCs w:val="20"/>
                <w:color w:val="auto"/>
              </w:rPr>
            </w:pPr>
            <w:r>
              <w:rPr>
                <w:rFonts w:ascii="Arial" w:cs="Arial" w:eastAsia="Arial" w:hAnsi="Arial"/>
                <w:sz w:val="14"/>
                <w:szCs w:val="14"/>
                <w:color w:val="auto"/>
              </w:rPr>
              <w:t>accounting principles</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846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1,066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(2,258)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56"/>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cumulative effect of change in accounting principles</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1,150</w:t>
            </w:r>
          </w:p>
        </w:tc>
        <w:tc>
          <w:tcPr>
            <w:tcW w:w="6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(2,258)</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principles, net of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1,158</w:t>
            </w:r>
          </w:p>
        </w:tc>
        <w:tc>
          <w:tcPr>
            <w:tcW w:w="6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(2,258)</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11,648</w:t>
            </w: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10,108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10,108</w:t>
            </w:r>
          </w:p>
        </w:tc>
        <w:tc>
          <w:tcPr>
            <w:tcW w:w="0" w:type="dxa"/>
            <w:vAlign w:val="bottom"/>
          </w:tcPr>
          <w:p>
            <w:pPr>
              <w:spacing w:after="0"/>
              <w:rPr>
                <w:sz w:val="1"/>
                <w:szCs w:val="1"/>
                <w:color w:val="auto"/>
              </w:rPr>
            </w:pPr>
          </w:p>
        </w:tc>
      </w:tr>
      <w:tr>
        <w:trPr>
          <w:trHeight w:val="163"/>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Income from operations</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1,540</w:t>
            </w:r>
          </w:p>
        </w:tc>
        <w:tc>
          <w:tcPr>
            <w:tcW w:w="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4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Equity in losses of unconsolidated entities and other,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before income taxes and cumulative effect of changes in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accounting principles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1,490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(1,646)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principles, net of taxes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WM</w:t>
            </w:r>
          </w:p>
        </w:tc>
        <w:tc>
          <w:tcPr>
            <w:tcW w:w="220" w:type="dxa"/>
            <w:vAlign w:val="bottom"/>
          </w:tcPr>
          <w:p>
            <w:pPr>
              <w:spacing w:after="0"/>
              <w:rPr>
                <w:sz w:val="13"/>
                <w:szCs w:val="13"/>
                <w:color w:val="auto"/>
              </w:rPr>
            </w:pPr>
          </w:p>
        </w:tc>
        <w:tc>
          <w:tcPr>
            <w:tcW w:w="160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auto"/>
                <w:w w:val="95"/>
              </w:rPr>
              <w:t>Non-Guarantor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WMI</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6"/>
              </w:rPr>
              <w:t>Holdings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5"/>
              </w:rPr>
              <w:t>Subsidiaries</w:t>
            </w:r>
          </w:p>
        </w:tc>
        <w:tc>
          <w:tcPr>
            <w:tcW w:w="10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0"/>
              </w:rPr>
              <w:t>Eliminations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2005</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(2,763)</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2,763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adjustments and changes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63"/>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2,642</w:t>
            </w:r>
          </w:p>
        </w:tc>
        <w:tc>
          <w:tcPr>
            <w:tcW w:w="6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85"/>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Acquisition of businesses, net of cash acquired</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720" w:type="dxa"/>
            <w:vAlign w:val="bottom"/>
          </w:tcPr>
          <w:p>
            <w:pPr>
              <w:ind w:left="260"/>
              <w:spacing w:after="0" w:line="130" w:lineRule="exact"/>
              <w:rPr>
                <w:sz w:val="20"/>
                <w:szCs w:val="20"/>
                <w:color w:val="auto"/>
              </w:rPr>
            </w:pPr>
            <w:r>
              <w:rPr>
                <w:rFonts w:ascii="Arial" w:cs="Arial" w:eastAsia="Arial" w:hAnsi="Arial"/>
                <w:sz w:val="14"/>
                <w:szCs w:val="14"/>
                <w:color w:val="auto"/>
                <w:w w:val="97"/>
              </w:rPr>
              <w:t>Proceeds from divestitures of businesses, net of cash divested, and other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ind w:left="400"/>
              <w:spacing w:after="0"/>
              <w:rPr>
                <w:sz w:val="20"/>
                <w:szCs w:val="20"/>
                <w:color w:val="auto"/>
              </w:rPr>
            </w:pPr>
            <w:r>
              <w:rPr>
                <w:rFonts w:ascii="Arial" w:cs="Arial" w:eastAsia="Arial" w:hAnsi="Arial"/>
                <w:sz w:val="14"/>
                <w:szCs w:val="14"/>
                <w:color w:val="auto"/>
              </w:rPr>
              <w:t>asset sales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784</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receipts from restricted trust and escrow accounts and 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(782)</w:t>
            </w:r>
          </w:p>
        </w:tc>
        <w:tc>
          <w:tcPr>
            <w:tcW w:w="6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85"/>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365</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1,837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63"/>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6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85"/>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2004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1,158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(2,258)</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939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2,258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changes</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1,314</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 of businesses, net of cash acquired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(1,258)</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7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7"/>
              </w:rPr>
              <w:t>Proceeds from divestitures of businesses, net of cash divested, and other</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asset sales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60"/>
              <w:spacing w:after="0" w:line="149" w:lineRule="exact"/>
              <w:rPr>
                <w:sz w:val="20"/>
                <w:szCs w:val="20"/>
                <w:color w:val="auto"/>
              </w:rPr>
            </w:pPr>
            <w:r>
              <w:rPr>
                <w:rFonts w:ascii="Arial" w:cs="Arial" w:eastAsia="Arial" w:hAnsi="Arial"/>
                <w:sz w:val="14"/>
                <w:szCs w:val="14"/>
                <w:color w:val="auto"/>
              </w:rPr>
              <w:t>Net receipts from restricted trust and escrow accounts and other</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434</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WM</w:t>
            </w:r>
          </w:p>
        </w:tc>
        <w:tc>
          <w:tcPr>
            <w:tcW w:w="220" w:type="dxa"/>
            <w:vAlign w:val="bottom"/>
          </w:tcPr>
          <w:p>
            <w:pPr>
              <w:spacing w:after="0"/>
              <w:rPr>
                <w:sz w:val="13"/>
                <w:szCs w:val="13"/>
                <w:color w:val="auto"/>
              </w:rPr>
            </w:pPr>
          </w:p>
        </w:tc>
        <w:tc>
          <w:tcPr>
            <w:tcW w:w="1620" w:type="dxa"/>
            <w:vAlign w:val="bottom"/>
            <w:gridSpan w:val="3"/>
          </w:tcPr>
          <w:p>
            <w:pPr>
              <w:jc w:val="right"/>
              <w:ind w:right="720"/>
              <w:spacing w:after="0"/>
              <w:rPr>
                <w:sz w:val="20"/>
                <w:szCs w:val="20"/>
                <w:color w:val="auto"/>
              </w:rPr>
            </w:pPr>
            <w:r>
              <w:rPr>
                <w:rFonts w:ascii="Arial" w:cs="Arial" w:eastAsia="Arial" w:hAnsi="Arial"/>
                <w:sz w:val="13"/>
                <w:szCs w:val="13"/>
                <w:b w:val="1"/>
                <w:bCs w:val="1"/>
                <w:color w:val="auto"/>
                <w:w w:val="95"/>
              </w:rPr>
              <w:t>Non-Guarantor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WMI</w:t>
            </w:r>
          </w:p>
        </w:tc>
        <w:tc>
          <w:tcPr>
            <w:tcW w:w="180" w:type="dxa"/>
            <w:vAlign w:val="bottom"/>
          </w:tcPr>
          <w:p>
            <w:pPr>
              <w:spacing w:after="0"/>
              <w:rPr>
                <w:sz w:val="13"/>
                <w:szCs w:val="13"/>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3"/>
              </w:rPr>
              <w:t>Holdings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w w:val="87"/>
              </w:rPr>
              <w:t>Subsidiaries</w:t>
            </w:r>
          </w:p>
        </w:tc>
        <w:tc>
          <w:tcPr>
            <w:tcW w:w="100" w:type="dxa"/>
            <w:vAlign w:val="bottom"/>
          </w:tcPr>
          <w:p>
            <w:pPr>
              <w:spacing w:after="0"/>
              <w:rPr>
                <w:sz w:val="13"/>
                <w:szCs w:val="13"/>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7"/>
              </w:rPr>
              <w:t>Eliminations</w:t>
            </w:r>
          </w:p>
        </w:tc>
        <w:tc>
          <w:tcPr>
            <w:tcW w:w="10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1,254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(1,472)</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6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2003</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2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863</w:t>
            </w:r>
          </w:p>
        </w:tc>
        <w:tc>
          <w:tcPr>
            <w:tcW w:w="6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1,227</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2,090</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9"/>
              </w:rPr>
              <w:t>Proceeds from divestitures of businesses, net of cash divested, and other</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asset sales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Net receipts from restricted trust and escrow accounts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79</w:t>
            </w:r>
          </w:p>
        </w:tc>
        <w:tc>
          <w:tcPr>
            <w:tcW w:w="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(1,051)</w:t>
            </w: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(986)</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period</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224</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217</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(Unaudited)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123 (revised 2004), Share Based Payment</w:t>
      </w:r>
    </w:p>
    <w:p>
      <w:pPr>
        <w:spacing w:after="0" w:line="11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December 2004, the FASB issued SFAS No. 123(R), which amends SFAS No. 123 and supersedes APB No. 25. SFAS No. 123(R) requires compensation expense to be recognized for all share-based payments made to employees based on the fair value of the award at the date of grant, eliminating the intrinsic value alternative and narrowing the non-compensatory exception associated with employee stock purchase plans allowed by SFAS No. 123. Generally, the approach to determining fair value under the original pronouncement has not changed. However, there are revisions to the accounting guidelines established, such as accounting for forfeitures, that will affect our accounting for stock-based awards in the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80" w:firstLine="267"/>
        <w:spacing w:after="0" w:line="312" w:lineRule="auto"/>
        <w:rPr>
          <w:sz w:val="20"/>
          <w:szCs w:val="20"/>
          <w:color w:val="auto"/>
        </w:rPr>
      </w:pPr>
      <w:r>
        <w:rPr>
          <w:rFonts w:ascii="Arial" w:cs="Arial" w:eastAsia="Arial" w:hAnsi="Arial"/>
          <w:sz w:val="16"/>
          <w:szCs w:val="16"/>
          <w:color w:val="auto"/>
        </w:rPr>
        <w:t>The provisions of SFAS No. 123(R) provide for an effective date of July 1, 2005 for calendar-year public companies. However, in April 2005, the Securities and Exchange Commission adopted a rule that amends the compliance dates for SFAS No. 123(R), making it effective at the beginning of the first fiscal year that begins after June 15, 2005. The statement allows companies to adopt its provisions using either of the following transition alternatives:</w:t>
      </w:r>
    </w:p>
    <w:p>
      <w:pPr>
        <w:spacing w:after="0" w:line="39" w:lineRule="exact"/>
        <w:rPr>
          <w:sz w:val="20"/>
          <w:szCs w:val="20"/>
          <w:color w:val="auto"/>
        </w:rPr>
      </w:pPr>
    </w:p>
    <w:p>
      <w:pPr>
        <w:ind w:left="360" w:right="80" w:firstLine="269"/>
        <w:spacing w:after="0" w:line="264" w:lineRule="auto"/>
        <w:tabs>
          <w:tab w:leader="none" w:pos="8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modified prospective method, which results in the recognition of compensation expense using SFAS 123(R) for all share-based awards granted or modified after the effective date and the recognition of compensation expense using SFAS 123 for all previously granted share-based awards that remain unvested at the effective date; or</w:t>
      </w:r>
    </w:p>
    <w:p>
      <w:pPr>
        <w:spacing w:after="0" w:line="86" w:lineRule="exact"/>
        <w:rPr>
          <w:rFonts w:ascii="Arial" w:cs="Arial" w:eastAsia="Arial" w:hAnsi="Arial"/>
          <w:sz w:val="18"/>
          <w:szCs w:val="18"/>
          <w:color w:val="auto"/>
        </w:rPr>
      </w:pPr>
    </w:p>
    <w:p>
      <w:pPr>
        <w:ind w:left="360" w:right="120" w:firstLine="269"/>
        <w:spacing w:after="0" w:line="286" w:lineRule="auto"/>
        <w:tabs>
          <w:tab w:leader="none" w:pos="89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modified retrospective method, which results in applying the modified prospective method and restating prior periods by recognizing the financial statement impact of share-based payments in a manner consistent with the pro forma disclosure requirements of SFAS No. 123. The modified retrospective method may be applied to all prior periods presented or previously reported interim periods of the year of adoption.</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adopted SFAS No. 123(R) on January 1, 2006 using the modified prospective method.</w:t>
      </w:r>
    </w:p>
    <w:p>
      <w:pPr>
        <w:spacing w:after="0" w:line="117" w:lineRule="exact"/>
        <w:rPr>
          <w:sz w:val="20"/>
          <w:szCs w:val="20"/>
          <w:color w:val="auto"/>
        </w:rPr>
      </w:pPr>
    </w:p>
    <w:p>
      <w:pPr>
        <w:ind w:firstLine="260"/>
        <w:spacing w:after="0" w:line="271" w:lineRule="auto"/>
        <w:rPr>
          <w:sz w:val="20"/>
          <w:szCs w:val="20"/>
          <w:color w:val="auto"/>
        </w:rPr>
      </w:pPr>
      <w:r>
        <w:rPr>
          <w:rFonts w:ascii="Arial" w:cs="Arial" w:eastAsia="Arial" w:hAnsi="Arial"/>
          <w:sz w:val="17"/>
          <w:szCs w:val="17"/>
          <w:color w:val="auto"/>
        </w:rPr>
        <w:t>As disclosed in Note 15, on December 16,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pre-tax compensation charges that would have been recognized over the next three years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 As a result of the acceleration, we do not expect the adoption of SFAS No. 123(R) to materially impact our financial position, results of operations or cash flows.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Effectiveness of Controls and Procedures</w:t>
      </w:r>
    </w:p>
    <w:p>
      <w:pPr>
        <w:spacing w:after="0" w:line="117"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Internal Controls Over Financial Reporting</w:t>
      </w:r>
    </w:p>
    <w:p>
      <w:pPr>
        <w:spacing w:after="0" w:line="117"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Management’s report on our internal controls over financial reporting can be found in Item 8 of this report. The Independent Registered Public Accounting Firm’s attestation report on management’s assessment of the effectiveness of our internal control over financial reporting can also be found in Item 8 of this report.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21" w:lineRule="exact"/>
        <w:rPr>
          <w:sz w:val="20"/>
          <w:szCs w:val="20"/>
          <w:color w:val="auto"/>
        </w:rPr>
      </w:pPr>
    </w:p>
    <w:p>
      <w:pPr>
        <w:ind w:right="580" w:firstLine="267"/>
        <w:spacing w:after="0" w:line="342" w:lineRule="auto"/>
        <w:rPr>
          <w:sz w:val="20"/>
          <w:szCs w:val="20"/>
          <w:color w:val="auto"/>
        </w:rPr>
      </w:pPr>
      <w:r>
        <w:rPr>
          <w:rFonts w:ascii="Arial" w:cs="Arial" w:eastAsia="Arial" w:hAnsi="Arial"/>
          <w:sz w:val="16"/>
          <w:szCs w:val="16"/>
          <w:color w:val="auto"/>
        </w:rPr>
        <w:t>The information required by this Item is incorporated by reference to “Election of Directors,” “Executive Officers,” and “Section 16(a) Beneficial Ownership Reporting” in the Company’s definitive Proxy Statement for its 2006 Annual Meeting of Stockholders, to be held May 5, 2006.</w:t>
      </w:r>
    </w:p>
    <w:p>
      <w:pPr>
        <w:spacing w:after="0" w:line="16" w:lineRule="exact"/>
        <w:rPr>
          <w:sz w:val="20"/>
          <w:szCs w:val="20"/>
          <w:color w:val="auto"/>
        </w:rPr>
      </w:pPr>
    </w:p>
    <w:p>
      <w:pPr>
        <w:ind w:right="220" w:firstLine="267"/>
        <w:spacing w:after="0" w:line="342" w:lineRule="auto"/>
        <w:rPr>
          <w:sz w:val="20"/>
          <w:szCs w:val="20"/>
          <w:color w:val="auto"/>
        </w:rPr>
      </w:pPr>
      <w:r>
        <w:rPr>
          <w:rFonts w:ascii="Arial" w:cs="Arial" w:eastAsia="Arial" w:hAnsi="Arial"/>
          <w:sz w:val="16"/>
          <w:szCs w:val="16"/>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information required by this Item is set forth under the caption “Executive Compensation” in the 2006 Proxy Statement and is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information required by this Item is incorporated by reference to “Director and Officer Stock Ownership” and “Equity Compensation Plan Table” in the 2006 Proxy Statement.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information required by this Item is set forth under the caption “Related Party Transactions” in the 2006 Proxy Statement and is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680" w:firstLine="267"/>
        <w:spacing w:after="0" w:line="277" w:lineRule="auto"/>
        <w:rPr>
          <w:sz w:val="20"/>
          <w:szCs w:val="20"/>
          <w:color w:val="auto"/>
        </w:rPr>
      </w:pPr>
      <w:r>
        <w:rPr>
          <w:rFonts w:ascii="Arial" w:cs="Arial" w:eastAsia="Arial" w:hAnsi="Arial"/>
          <w:sz w:val="18"/>
          <w:szCs w:val="18"/>
          <w:color w:val="auto"/>
        </w:rPr>
        <w:t>The information required by this Item is set forth under the caption “Principal Accounting Fees and Services” in the 2006 Proxy Statement and is incorporated herein by reference.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Consolidated Financial Statements: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as of December 31, 2005 and 2004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Operations for the years ended December 31,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2005, 2004 and 2003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Cash Flows for the years ended December 31,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2005, 2004 and 2003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Stockholders’ Equity for the years ended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2005, 2004 and 2003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Consolidated Financial Statements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Consolidated Financial Statement Schedules: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right="200" w:firstLine="260"/>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Exhibit No.</w:t>
            </w:r>
          </w:p>
        </w:tc>
        <w:tc>
          <w:tcPr>
            <w:tcW w:w="112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844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37"/>
        </w:trPr>
        <w:tc>
          <w:tcPr>
            <w:tcW w:w="1860" w:type="dxa"/>
            <w:vAlign w:val="bottom"/>
          </w:tcPr>
          <w:p>
            <w:pPr>
              <w:jc w:val="right"/>
              <w:ind w:right="628"/>
              <w:spacing w:after="0" w:line="137" w:lineRule="exact"/>
              <w:rPr>
                <w:sz w:val="20"/>
                <w:szCs w:val="20"/>
                <w:color w:val="auto"/>
              </w:rPr>
            </w:pPr>
            <w:r>
              <w:rPr>
                <w:rFonts w:ascii="Arial" w:cs="Arial" w:eastAsia="Arial" w:hAnsi="Arial"/>
                <w:sz w:val="14"/>
                <w:szCs w:val="14"/>
                <w:color w:val="auto"/>
              </w:rPr>
              <w:t>3.1</w:t>
            </w:r>
          </w:p>
        </w:tc>
        <w:tc>
          <w:tcPr>
            <w:tcW w:w="1120" w:type="dxa"/>
            <w:vAlign w:val="bottom"/>
            <w:vMerge w:val="continue"/>
          </w:tcPr>
          <w:p>
            <w:pPr>
              <w:spacing w:after="0"/>
              <w:rPr>
                <w:sz w:val="11"/>
                <w:szCs w:val="11"/>
                <w:color w:val="auto"/>
              </w:rPr>
            </w:pPr>
          </w:p>
        </w:tc>
        <w:tc>
          <w:tcPr>
            <w:tcW w:w="8440" w:type="dxa"/>
            <w:vAlign w:val="bottom"/>
          </w:tcPr>
          <w:p>
            <w:pPr>
              <w:spacing w:after="0" w:line="137" w:lineRule="exact"/>
              <w:rPr>
                <w:sz w:val="20"/>
                <w:szCs w:val="20"/>
                <w:color w:val="auto"/>
              </w:rPr>
            </w:pPr>
            <w:r>
              <w:rPr>
                <w:rFonts w:ascii="Arial" w:cs="Arial" w:eastAsia="Arial" w:hAnsi="Arial"/>
                <w:sz w:val="14"/>
                <w:szCs w:val="14"/>
                <w:color w:val="auto"/>
                <w:w w:val="93"/>
              </w:rPr>
              <w:t>Second Amended and Restated Certificate of Incorporation [Incorporated by reference to Exhibit 3.1 to Form 10-Q for the quarter ended June 30,</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3.2</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Bylaws [Incorporated by reference to Exhibit 3.2 to Form 10-K for the year ended December 31, 2004].</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4.1</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4.2</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Indenture for Subordinated Debt Securities dated February 1, 1997, among the Registrant and Texas Commerce Bank National Association, as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trustee [Incorporated by reference to Exhibit 4.1 to Form 8-K dated February 7, 1997].</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4.3</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2"/>
              </w:rPr>
              <w:t>Indenture for Senior Debt Securities dated September 10, 1997, among the Registrant and Texas Commerce Bank National Association, as trustee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[Incorporated by reference to Exhibit 4.1 to Form 8-K dated September 10, 1997].</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10.1</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2004 Stock Incentive Plan [Incorporated by reference to Appendix C-1 to the Proxy Statement for the 2004 Annual Meeting of Stockholders].</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10.2</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2005 Annual Incentive Plan [Incorporated by reference to Appendix D-1 to the Proxy Statement for the 2004 Annual Meeting of Stockholders].</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10.3</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1997 Employee Stock Purchase Plan [Incorporated by reference to Appendix C to the Proxy Statement for the 2000 Annual Meeting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49"/>
        </w:trPr>
        <w:tc>
          <w:tcPr>
            <w:tcW w:w="1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10.4</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Waste Management, Inc. Retirement Savings Restoration Plan [Incorporated by reference to Exhibit 10.1 to Form 10-Q for the quarter ended</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40" w:type="dxa"/>
            <w:vAlign w:val="bottom"/>
          </w:tcPr>
          <w:p>
            <w:pPr>
              <w:spacing w:after="0"/>
              <w:rPr>
                <w:sz w:val="20"/>
                <w:szCs w:val="20"/>
                <w:color w:val="auto"/>
              </w:rPr>
            </w:pPr>
            <w:r>
              <w:rPr>
                <w:rFonts w:ascii="Arial" w:cs="Arial" w:eastAsia="Arial" w:hAnsi="Arial"/>
                <w:sz w:val="14"/>
                <w:szCs w:val="14"/>
                <w:color w:val="auto"/>
              </w:rPr>
              <w:t>June 30, 2002].</w:t>
            </w:r>
          </w:p>
        </w:tc>
        <w:tc>
          <w:tcPr>
            <w:tcW w:w="0" w:type="dxa"/>
            <w:vAlign w:val="bottom"/>
          </w:tcPr>
          <w:p>
            <w:pPr>
              <w:spacing w:after="0"/>
              <w:rPr>
                <w:sz w:val="1"/>
                <w:szCs w:val="1"/>
                <w:color w:val="auto"/>
              </w:rPr>
            </w:pPr>
          </w:p>
        </w:tc>
      </w:tr>
      <w:tr>
        <w:trPr>
          <w:trHeight w:val="390"/>
        </w:trPr>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Pr>
          <w:p>
            <w:pPr>
              <w:ind w:left="26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18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40" w:type="dxa"/>
            <w:vAlign w:val="bottom"/>
          </w:tcPr>
          <w:p>
            <w:pPr>
              <w:jc w:val="center"/>
              <w:ind w:right="2888"/>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80" w:type="dxa"/>
            <w:vAlign w:val="bottom"/>
            <w:gridSpan w:val="2"/>
          </w:tcPr>
          <w:p>
            <w:pPr>
              <w:jc w:val="center"/>
              <w:ind w:right="2468"/>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0" w:type="dxa"/>
            <w:vAlign w:val="bottom"/>
          </w:tcPr>
          <w:p>
            <w:pPr>
              <w:spacing w:after="0"/>
              <w:rPr>
                <w:sz w:val="1"/>
                <w:szCs w:val="1"/>
                <w:color w:val="auto"/>
              </w:rPr>
            </w:pPr>
          </w:p>
        </w:tc>
      </w:tr>
      <w:tr>
        <w:trPr>
          <w:trHeight w:val="378"/>
        </w:trPr>
        <w:tc>
          <w:tcPr>
            <w:tcW w:w="1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Exhibit No.</w:t>
            </w:r>
          </w:p>
        </w:tc>
        <w:tc>
          <w:tcPr>
            <w:tcW w:w="68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44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37"/>
        </w:trPr>
        <w:tc>
          <w:tcPr>
            <w:tcW w:w="1860" w:type="dxa"/>
            <w:vAlign w:val="bottom"/>
          </w:tcPr>
          <w:p>
            <w:pPr>
              <w:ind w:left="920"/>
              <w:spacing w:after="0" w:line="137" w:lineRule="exact"/>
              <w:rPr>
                <w:sz w:val="20"/>
                <w:szCs w:val="20"/>
                <w:color w:val="auto"/>
              </w:rPr>
            </w:pPr>
            <w:r>
              <w:rPr>
                <w:rFonts w:ascii="Arial" w:cs="Arial" w:eastAsia="Arial" w:hAnsi="Arial"/>
                <w:sz w:val="14"/>
                <w:szCs w:val="14"/>
                <w:color w:val="auto"/>
              </w:rPr>
              <w:t>10.5</w:t>
            </w:r>
          </w:p>
        </w:tc>
        <w:tc>
          <w:tcPr>
            <w:tcW w:w="6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440" w:type="dxa"/>
            <w:vAlign w:val="bottom"/>
          </w:tcPr>
          <w:p>
            <w:pPr>
              <w:spacing w:after="0" w:line="137" w:lineRule="exact"/>
              <w:rPr>
                <w:sz w:val="20"/>
                <w:szCs w:val="20"/>
                <w:color w:val="auto"/>
              </w:rPr>
            </w:pPr>
            <w:r>
              <w:rPr>
                <w:rFonts w:ascii="Arial" w:cs="Arial" w:eastAsia="Arial" w:hAnsi="Arial"/>
                <w:sz w:val="14"/>
                <w:szCs w:val="14"/>
                <w:color w:val="auto"/>
                <w:w w:val="95"/>
              </w:rPr>
              <w:t>$2.4 Billion Revolving Credit Agreement dated as of October15, 2004, by and among Waste Management, Inc., Waste Management Holdings,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Inc. and Certain Banks and Citibank, N.A. as Administrative Agent, JP Morgan Chase Bank and Bank of America, N.A. as Syndication Agents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and Barclays Bank PLC and Deutsche Bank AG as Documentation Agents and J.P. Morgan Securities Inc. and Banc of America Securities LLC</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as Lead Arrangers and Book Managers. [Incorporated by reference to Exhibit 10.1 to Form 10-Q for the quarter ended September 30,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10.6</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Ten-Year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10.2 to Form 10-Q for the quarter ended June 30,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10.7</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Five-Year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10.3 to Form 10-Q for the quarter ended June 30,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10.8</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Seven-Year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10.4 to Form 10-Q for the quarter ended June 30,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10.9</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Reimbursement Agreement between the Company and Oakmont Asset Trust, dated as of December 22, 2003.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10.10 to Form 10-K for the year ended December 31,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10.10*</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2006 Form of Restricted Stock Unit Award Agreement under the 2004 Stock Incentive Plan.</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2006 Form of Performance Share Unit Award Agreement under the 2004 Stock Incentive Plan.</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10.12</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2003 Waste Management, Inc. Directors Deferred Compensation Plan [Incorporated by reference to Exhibit 10.5 to Form 10-Q for the quarter</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ended June 30,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10.13</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3"/>
              </w:rPr>
              <w:t>Employment Agreement between the Company and Cherie C. Rice dated August 26, 2005 [Incorporated by reference to Exhibit 99.1 to Form 8-K</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dated August 26, 2005].</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10.14</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8"/>
              </w:rPr>
              <w:t>Employment Agreement between the Company and Greg A. Robertson dated August 1, 2003 [Incorporated by reference to Exhibit 10.2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10.15</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Lawrence O’Donnell III dated January 21, 2000 [Incorporated by reference to Exhibit 10.1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2000].</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10.16</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Lynn M. Caddell dated March 12, 2004 [Incorporated by reference to Exhibit 10.1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March 31,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10.17</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Employment Agreement between the Company and Robert A. Damico dated December 17, 1998 [Incorporated by reference to Exhibit 10.39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1999].</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10.18</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7"/>
              </w:rPr>
              <w:t>Employment Agreement between the Company and Duane C. Woods dated October 20, 2004 [Incorporated by reference to Form 8-K dated</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October 20,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10.19</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David R. Hopkins dated March 30, 2000 [Incorporated by reference to Exhibit 10.2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March 31, 2000].</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10.20</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David Steiner dated as of May 6, 2002 [Incorporated by reference to Exhibits 10.1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March 31, 2002].</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3"/>
              </w:rPr>
              <w:t>Employment Agreement between the Company and James E. Trevathan dated as of June 1, 2000. [Incorporated by reference to Exhibit 10.19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2000].</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10.22</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Charles E. Williams dated as of June 1, 2000. [Incorporated by reference to Exhibit 10.20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2000].</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10.23</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Recycle America Alliance, LLC and Patrick DeRueda dated as of August 4, 2005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99.1 to Form 8-K dated August 8, 2005].</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10.24</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Employment Agreement between the Company and Richard T. Felago dated as of May 14, 2001 [Incorporated by reference to Exhibit 10.5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2001].</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10.25</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Employment Agreement between the Company and Robert G. Simpson dated as of October 20, 2004 [Incorporated by reference to Form 8-K</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dated October 20,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10.26</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Employment Agreement between the Company and Barry H. Caldwell dated as of September 23, 2002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10.24 to Form 10-K for the year ended December 31, 2002].</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10.27</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David Aardsma dated June 16, 2005 [Incorporated by reference to Exhibit 99.1 to Form 8-K</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40" w:type="dxa"/>
            <w:vAlign w:val="bottom"/>
          </w:tcPr>
          <w:p>
            <w:pPr>
              <w:spacing w:after="0"/>
              <w:rPr>
                <w:sz w:val="20"/>
                <w:szCs w:val="20"/>
                <w:color w:val="auto"/>
              </w:rPr>
            </w:pPr>
            <w:r>
              <w:rPr>
                <w:rFonts w:ascii="Arial" w:cs="Arial" w:eastAsia="Arial" w:hAnsi="Arial"/>
                <w:sz w:val="14"/>
                <w:szCs w:val="14"/>
                <w:color w:val="auto"/>
              </w:rPr>
              <w:t>dated June 22, 2005].</w:t>
            </w:r>
          </w:p>
        </w:tc>
        <w:tc>
          <w:tcPr>
            <w:tcW w:w="0" w:type="dxa"/>
            <w:vAlign w:val="bottom"/>
          </w:tcPr>
          <w:p>
            <w:pPr>
              <w:spacing w:after="0"/>
              <w:rPr>
                <w:sz w:val="1"/>
                <w:szCs w:val="1"/>
                <w:color w:val="auto"/>
              </w:rPr>
            </w:pPr>
          </w:p>
        </w:tc>
      </w:tr>
      <w:tr>
        <w:trPr>
          <w:trHeight w:val="390"/>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80" w:type="dxa"/>
            <w:vAlign w:val="bottom"/>
            <w:gridSpan w:val="2"/>
          </w:tcPr>
          <w:p>
            <w:pPr>
              <w:jc w:val="center"/>
              <w:ind w:right="2468"/>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26"/>
        </w:trPr>
        <w:tc>
          <w:tcPr>
            <w:tcW w:w="18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40" w:type="dxa"/>
            <w:vAlign w:val="bottom"/>
          </w:tcPr>
          <w:p>
            <w:pPr>
              <w:ind w:left="150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8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0" w:type="dxa"/>
            <w:vAlign w:val="bottom"/>
          </w:tcPr>
          <w:p>
            <w:pPr>
              <w:spacing w:after="0"/>
              <w:rPr>
                <w:sz w:val="1"/>
                <w:szCs w:val="1"/>
                <w:color w:val="auto"/>
              </w:rPr>
            </w:pPr>
          </w:p>
        </w:tc>
      </w:tr>
      <w:tr>
        <w:trPr>
          <w:trHeight w:val="378"/>
        </w:trPr>
        <w:tc>
          <w:tcPr>
            <w:tcW w:w="1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Exhibit No.</w:t>
            </w:r>
          </w:p>
        </w:tc>
        <w:tc>
          <w:tcPr>
            <w:tcW w:w="68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44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37"/>
        </w:trPr>
        <w:tc>
          <w:tcPr>
            <w:tcW w:w="1860" w:type="dxa"/>
            <w:vAlign w:val="bottom"/>
          </w:tcPr>
          <w:p>
            <w:pPr>
              <w:ind w:left="920"/>
              <w:spacing w:after="0" w:line="137" w:lineRule="exact"/>
              <w:rPr>
                <w:sz w:val="20"/>
                <w:szCs w:val="20"/>
                <w:color w:val="auto"/>
              </w:rPr>
            </w:pPr>
            <w:r>
              <w:rPr>
                <w:rFonts w:ascii="Arial" w:cs="Arial" w:eastAsia="Arial" w:hAnsi="Arial"/>
                <w:sz w:val="14"/>
                <w:szCs w:val="14"/>
                <w:color w:val="auto"/>
              </w:rPr>
              <w:t>10.28</w:t>
            </w:r>
          </w:p>
        </w:tc>
        <w:tc>
          <w:tcPr>
            <w:tcW w:w="6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440" w:type="dxa"/>
            <w:vAlign w:val="bottom"/>
          </w:tcPr>
          <w:p>
            <w:pPr>
              <w:spacing w:after="0" w:line="137" w:lineRule="exact"/>
              <w:rPr>
                <w:sz w:val="20"/>
                <w:szCs w:val="20"/>
                <w:color w:val="auto"/>
              </w:rPr>
            </w:pPr>
            <w:r>
              <w:rPr>
                <w:rFonts w:ascii="Arial" w:cs="Arial" w:eastAsia="Arial" w:hAnsi="Arial"/>
                <w:sz w:val="14"/>
                <w:szCs w:val="14"/>
                <w:color w:val="auto"/>
              </w:rPr>
              <w:t>Employment Agreement between the Company and Rick L Wittenbraker, dated as of November 10, 2003 [Incorporated by reference to</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10.30 to Form 10-K for the year ended December 31,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10.29</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Jimmy D. LaValley dated as of January 21, 2004 [Incorporated by reference to Exhibit 10.31</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to Form 10-K for the year ended December 31, 2003].</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10.30</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3"/>
              </w:rPr>
              <w:t>Employment Agreement and First Amendment to Employment Agreement between Wheelabrator Technologies Inc. and Drennan Lowell dated as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of July 2002. [Incorporated by reference to Exhibit 10.30 to Form 10-K for the year ended December 31, 2004].</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10.31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2000 Broad-Based Employee Plan [Incorporated by reference to Exhibit 10.49 to Form 10-K for the year ended December 31, 1999].</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10.32*</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CDN $410,000,000 Credit Facility Credit Agreement by and between Waste Management of Canada Corporation (as Borrower), Waste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Management, Inc. and Waste Management Holdings, Inc. (as Guarantors), BNP Paribas Securities Corp. and Scotia Capital (as Lead Arrangers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and Book Runners) and Bank of Nova Scotia (as Administrative Agent) and the Lenders from time to time party to the Agreement dated as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November 30, 2005.</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12.1*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Computation of Ratio of Earnings to Fixed Charges.</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21.1*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Subsidiaries of the Registrant.</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23.1*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Consent of Independent Registered Public Accounting Firm.</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31.1*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Certification Pursuant to Rule 15d-14(a) under the Securities Exchange Act of 1934, as amended of David P. Steiner, Chief Executive Officer.</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31.2*</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Certification Pursuant to Rule 15d-14(a) under the Securities Exchange Act of 1934, as amended, of Robert G. Simpson, Senior Vice President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and Chief Financial Officer.</w:t>
            </w:r>
          </w:p>
        </w:tc>
        <w:tc>
          <w:tcPr>
            <w:tcW w:w="0" w:type="dxa"/>
            <w:vAlign w:val="bottom"/>
          </w:tcPr>
          <w:p>
            <w:pPr>
              <w:spacing w:after="0"/>
              <w:rPr>
                <w:sz w:val="1"/>
                <w:szCs w:val="1"/>
                <w:color w:val="auto"/>
              </w:rPr>
            </w:pPr>
          </w:p>
        </w:tc>
      </w:tr>
      <w:tr>
        <w:trPr>
          <w:trHeight w:val="149"/>
        </w:trPr>
        <w:tc>
          <w:tcPr>
            <w:tcW w:w="1860" w:type="dxa"/>
            <w:vAlign w:val="bottom"/>
          </w:tcPr>
          <w:p>
            <w:pPr>
              <w:ind w:left="920"/>
              <w:spacing w:after="0" w:line="149" w:lineRule="exact"/>
              <w:rPr>
                <w:sz w:val="20"/>
                <w:szCs w:val="20"/>
                <w:color w:val="auto"/>
              </w:rPr>
            </w:pPr>
            <w:r>
              <w:rPr>
                <w:rFonts w:ascii="Arial" w:cs="Arial" w:eastAsia="Arial" w:hAnsi="Arial"/>
                <w:sz w:val="14"/>
                <w:szCs w:val="14"/>
                <w:color w:val="auto"/>
              </w:rPr>
              <w:t>32.1*</w:t>
            </w:r>
          </w:p>
        </w:tc>
        <w:tc>
          <w:tcPr>
            <w:tcW w:w="68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Certification Pursuant to 18 U.S.C. §1350 of David P. Steiner, Chief Executive Officer.</w:t>
            </w:r>
          </w:p>
        </w:tc>
        <w:tc>
          <w:tcPr>
            <w:tcW w:w="0" w:type="dxa"/>
            <w:vAlign w:val="bottom"/>
          </w:tcPr>
          <w:p>
            <w:pPr>
              <w:spacing w:after="0"/>
              <w:rPr>
                <w:sz w:val="1"/>
                <w:szCs w:val="1"/>
                <w:color w:val="auto"/>
              </w:rPr>
            </w:pPr>
          </w:p>
        </w:tc>
      </w:tr>
      <w:tr>
        <w:trPr>
          <w:trHeight w:val="182"/>
        </w:trPr>
        <w:tc>
          <w:tcPr>
            <w:tcW w:w="1860" w:type="dxa"/>
            <w:vAlign w:val="bottom"/>
          </w:tcPr>
          <w:p>
            <w:pPr>
              <w:ind w:left="920"/>
              <w:spacing w:after="0"/>
              <w:rPr>
                <w:sz w:val="20"/>
                <w:szCs w:val="20"/>
                <w:color w:val="auto"/>
              </w:rPr>
            </w:pPr>
            <w:r>
              <w:rPr>
                <w:rFonts w:ascii="Arial" w:cs="Arial" w:eastAsia="Arial" w:hAnsi="Arial"/>
                <w:sz w:val="14"/>
                <w:szCs w:val="14"/>
                <w:color w:val="auto"/>
              </w:rPr>
              <w:t>32.2*</w:t>
            </w: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40" w:type="dxa"/>
            <w:vAlign w:val="bottom"/>
          </w:tcPr>
          <w:p>
            <w:pPr>
              <w:spacing w:after="0"/>
              <w:rPr>
                <w:sz w:val="20"/>
                <w:szCs w:val="20"/>
                <w:color w:val="auto"/>
              </w:rPr>
            </w:pPr>
            <w:r>
              <w:rPr>
                <w:rFonts w:ascii="Arial" w:cs="Arial" w:eastAsia="Arial" w:hAnsi="Arial"/>
                <w:sz w:val="14"/>
                <w:szCs w:val="14"/>
                <w:color w:val="auto"/>
              </w:rPr>
              <w:t>Certification Pursuant to 18 U.S.C. §1350 of Robert G. Simpson, Senior Vice President and 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03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tabs>
          <w:tab w:leader="none" w:pos="7420" w:val="left"/>
        </w:tabs>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 D</w:t>
      </w:r>
      <w:r>
        <w:rPr>
          <w:rFonts w:ascii="Arial" w:cs="Arial" w:eastAsia="Arial" w:hAnsi="Arial"/>
          <w:sz w:val="11"/>
          <w:szCs w:val="11"/>
          <w:color w:val="auto"/>
        </w:rPr>
        <w:t>AVID</w:t>
      </w:r>
      <w:r>
        <w:rPr>
          <w:rFonts w:ascii="Arial" w:cs="Arial" w:eastAsia="Arial" w:hAnsi="Arial"/>
          <w:sz w:val="17"/>
          <w:szCs w:val="17"/>
          <w:color w:val="auto"/>
        </w:rPr>
        <w:t xml:space="preserve"> P. S</w:t>
      </w:r>
      <w:r>
        <w:rPr>
          <w:rFonts w:ascii="Arial" w:cs="Arial" w:eastAsia="Arial" w:hAnsi="Arial"/>
          <w:sz w:val="11"/>
          <w:szCs w:val="11"/>
          <w:color w:val="auto"/>
        </w:rPr>
        <w:t>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2006</w:t>
      </w:r>
    </w:p>
    <w:p>
      <w:pPr>
        <w:spacing w:after="0" w:line="117"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4"/>
                <w:szCs w:val="1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25"/>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D</w:t>
            </w:r>
            <w:r>
              <w:rPr>
                <w:rFonts w:ascii="Arial" w:cs="Arial" w:eastAsia="Arial" w:hAnsi="Arial"/>
                <w:sz w:val="12"/>
                <w:szCs w:val="12"/>
                <w:color w:val="auto"/>
                <w:w w:val="93"/>
              </w:rPr>
              <w:t>AVID</w:t>
            </w:r>
            <w:r>
              <w:rPr>
                <w:rFonts w:ascii="Arial" w:cs="Arial" w:eastAsia="Arial" w:hAnsi="Arial"/>
                <w:sz w:val="18"/>
                <w:szCs w:val="18"/>
                <w:color w:val="auto"/>
                <w:w w:val="93"/>
              </w:rPr>
              <w:t xml:space="preserve"> P. S</w:t>
            </w:r>
            <w:r>
              <w:rPr>
                <w:rFonts w:ascii="Arial" w:cs="Arial" w:eastAsia="Arial" w:hAnsi="Arial"/>
                <w:sz w:val="12"/>
                <w:szCs w:val="12"/>
                <w:color w:val="auto"/>
                <w:w w:val="93"/>
              </w:rPr>
              <w:t>TEINER</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 (Principal Executive</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109"/>
        </w:trPr>
        <w:tc>
          <w:tcPr>
            <w:tcW w:w="4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8"/>
              </w:rPr>
              <w:t>Officer)</w:t>
            </w: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89"/>
              </w:rPr>
              <w:t>David P. Steiner</w:t>
            </w:r>
          </w:p>
        </w:tc>
        <w:tc>
          <w:tcPr>
            <w:tcW w:w="34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R</w:t>
            </w:r>
            <w:r>
              <w:rPr>
                <w:rFonts w:ascii="Arial" w:cs="Arial" w:eastAsia="Arial" w:hAnsi="Arial"/>
                <w:sz w:val="12"/>
                <w:szCs w:val="12"/>
                <w:color w:val="auto"/>
                <w:w w:val="93"/>
              </w:rPr>
              <w:t>OBERT</w:t>
            </w:r>
            <w:r>
              <w:rPr>
                <w:rFonts w:ascii="Arial" w:cs="Arial" w:eastAsia="Arial" w:hAnsi="Arial"/>
                <w:sz w:val="18"/>
                <w:szCs w:val="18"/>
                <w:color w:val="auto"/>
                <w:w w:val="93"/>
              </w:rPr>
              <w:t xml:space="preserve"> G. S</w:t>
            </w:r>
            <w:r>
              <w:rPr>
                <w:rFonts w:ascii="Arial" w:cs="Arial" w:eastAsia="Arial" w:hAnsi="Arial"/>
                <w:sz w:val="12"/>
                <w:szCs w:val="12"/>
                <w:color w:val="auto"/>
                <w:w w:val="93"/>
              </w:rPr>
              <w:t>IMPSON</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109"/>
        </w:trPr>
        <w:tc>
          <w:tcPr>
            <w:tcW w:w="4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4"/>
              </w:rPr>
              <w:t>Financial Officer (Principal</w:t>
            </w: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91"/>
              </w:rPr>
              <w:t>Robert G. Simpson</w:t>
            </w:r>
          </w:p>
        </w:tc>
        <w:tc>
          <w:tcPr>
            <w:tcW w:w="34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Financial Officer)</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G</w:t>
            </w:r>
            <w:r>
              <w:rPr>
                <w:rFonts w:ascii="Arial" w:cs="Arial" w:eastAsia="Arial" w:hAnsi="Arial"/>
                <w:sz w:val="12"/>
                <w:szCs w:val="12"/>
                <w:color w:val="auto"/>
                <w:w w:val="93"/>
              </w:rPr>
              <w:t>REG</w:t>
            </w:r>
            <w:r>
              <w:rPr>
                <w:rFonts w:ascii="Arial" w:cs="Arial" w:eastAsia="Arial" w:hAnsi="Arial"/>
                <w:sz w:val="18"/>
                <w:szCs w:val="18"/>
                <w:color w:val="auto"/>
                <w:w w:val="93"/>
              </w:rPr>
              <w:t xml:space="preserve"> A. R</w:t>
            </w:r>
            <w:r>
              <w:rPr>
                <w:rFonts w:ascii="Arial" w:cs="Arial" w:eastAsia="Arial" w:hAnsi="Arial"/>
                <w:sz w:val="12"/>
                <w:szCs w:val="12"/>
                <w:color w:val="auto"/>
                <w:w w:val="93"/>
              </w:rPr>
              <w:t>OBERTSON</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0"/>
              </w:rPr>
              <w:t>Vice President and Chief</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109"/>
        </w:trPr>
        <w:tc>
          <w:tcPr>
            <w:tcW w:w="4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 (Principal</w:t>
            </w: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90"/>
              </w:rPr>
              <w:t>Greg A. Robertson</w:t>
            </w:r>
          </w:p>
        </w:tc>
        <w:tc>
          <w:tcPr>
            <w:tcW w:w="34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ASTORA</w:t>
            </w:r>
            <w:r>
              <w:rPr>
                <w:rFonts w:ascii="Arial" w:cs="Arial" w:eastAsia="Arial" w:hAnsi="Arial"/>
                <w:sz w:val="18"/>
                <w:szCs w:val="18"/>
                <w:color w:val="auto"/>
                <w:w w:val="95"/>
              </w:rPr>
              <w:t xml:space="preserve"> S</w:t>
            </w:r>
            <w:r>
              <w:rPr>
                <w:rFonts w:ascii="Arial" w:cs="Arial" w:eastAsia="Arial" w:hAnsi="Arial"/>
                <w:sz w:val="12"/>
                <w:szCs w:val="12"/>
                <w:color w:val="auto"/>
                <w:w w:val="95"/>
              </w:rPr>
              <w:t>AN</w:t>
            </w:r>
            <w:r>
              <w:rPr>
                <w:rFonts w:ascii="Arial" w:cs="Arial" w:eastAsia="Arial" w:hAnsi="Arial"/>
                <w:sz w:val="18"/>
                <w:szCs w:val="18"/>
                <w:color w:val="auto"/>
                <w:w w:val="95"/>
              </w:rPr>
              <w:t xml:space="preserve"> J</w:t>
            </w:r>
            <w:r>
              <w:rPr>
                <w:rFonts w:ascii="Arial" w:cs="Arial" w:eastAsia="Arial" w:hAnsi="Arial"/>
                <w:sz w:val="12"/>
                <w:szCs w:val="12"/>
                <w:color w:val="auto"/>
                <w:w w:val="95"/>
              </w:rPr>
              <w:t>UAN</w:t>
            </w:r>
            <w:r>
              <w:rPr>
                <w:rFonts w:ascii="Arial" w:cs="Arial" w:eastAsia="Arial" w:hAnsi="Arial"/>
                <w:sz w:val="18"/>
                <w:szCs w:val="18"/>
                <w:color w:val="auto"/>
                <w:w w:val="95"/>
              </w:rPr>
              <w:t xml:space="preserve"> C</w:t>
            </w:r>
            <w:r>
              <w:rPr>
                <w:rFonts w:ascii="Arial" w:cs="Arial" w:eastAsia="Arial" w:hAnsi="Arial"/>
                <w:sz w:val="12"/>
                <w:szCs w:val="12"/>
                <w:color w:val="auto"/>
                <w:w w:val="95"/>
              </w:rPr>
              <w:t>AFFERTY</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88"/>
              </w:rPr>
              <w:t>Pastora San Juan Cafferty</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F</w:t>
            </w:r>
            <w:r>
              <w:rPr>
                <w:rFonts w:ascii="Arial" w:cs="Arial" w:eastAsia="Arial" w:hAnsi="Arial"/>
                <w:sz w:val="12"/>
                <w:szCs w:val="12"/>
                <w:color w:val="auto"/>
                <w:w w:val="98"/>
              </w:rPr>
              <w:t>RANK</w:t>
            </w:r>
            <w:r>
              <w:rPr>
                <w:rFonts w:ascii="Arial" w:cs="Arial" w:eastAsia="Arial" w:hAnsi="Arial"/>
                <w:sz w:val="18"/>
                <w:szCs w:val="18"/>
                <w:color w:val="auto"/>
                <w:w w:val="98"/>
              </w:rPr>
              <w:t xml:space="preserve"> M. C</w:t>
            </w:r>
            <w:r>
              <w:rPr>
                <w:rFonts w:ascii="Arial" w:cs="Arial" w:eastAsia="Arial" w:hAnsi="Arial"/>
                <w:sz w:val="12"/>
                <w:szCs w:val="12"/>
                <w:color w:val="auto"/>
                <w:w w:val="98"/>
              </w:rPr>
              <w:t>LARK</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94"/>
              </w:rPr>
              <w:t>Frank M. Clark</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jc w:val="center"/>
              <w:spacing w:after="0"/>
              <w:rPr>
                <w:sz w:val="20"/>
                <w:szCs w:val="20"/>
                <w:color w:val="auto"/>
              </w:rPr>
            </w:pPr>
            <w:r>
              <w:rPr>
                <w:rFonts w:ascii="Arial" w:cs="Arial" w:eastAsia="Arial" w:hAnsi="Arial"/>
                <w:sz w:val="18"/>
                <w:szCs w:val="18"/>
                <w:color w:val="auto"/>
                <w:w w:val="89"/>
              </w:rPr>
              <w:t>/s/ J</w:t>
            </w:r>
            <w:r>
              <w:rPr>
                <w:rFonts w:ascii="Arial" w:cs="Arial" w:eastAsia="Arial" w:hAnsi="Arial"/>
                <w:sz w:val="12"/>
                <w:szCs w:val="12"/>
                <w:color w:val="auto"/>
                <w:w w:val="89"/>
              </w:rPr>
              <w:t>OHN</w:t>
            </w:r>
            <w:r>
              <w:rPr>
                <w:rFonts w:ascii="Arial" w:cs="Arial" w:eastAsia="Arial" w:hAnsi="Arial"/>
                <w:sz w:val="18"/>
                <w:szCs w:val="18"/>
                <w:color w:val="auto"/>
                <w:w w:val="89"/>
              </w:rPr>
              <w:t xml:space="preserve"> C. P</w:t>
            </w:r>
            <w:r>
              <w:rPr>
                <w:rFonts w:ascii="Arial" w:cs="Arial" w:eastAsia="Arial" w:hAnsi="Arial"/>
                <w:sz w:val="12"/>
                <w:szCs w:val="12"/>
                <w:color w:val="auto"/>
                <w:w w:val="89"/>
              </w:rPr>
              <w:t>OPE</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W. R</w:t>
            </w:r>
            <w:r>
              <w:rPr>
                <w:rFonts w:ascii="Arial" w:cs="Arial" w:eastAsia="Arial" w:hAnsi="Arial"/>
                <w:sz w:val="12"/>
                <w:szCs w:val="12"/>
                <w:color w:val="auto"/>
                <w:w w:val="93"/>
              </w:rPr>
              <w:t>OBERT</w:t>
            </w:r>
            <w:r>
              <w:rPr>
                <w:rFonts w:ascii="Arial" w:cs="Arial" w:eastAsia="Arial" w:hAnsi="Arial"/>
                <w:sz w:val="18"/>
                <w:szCs w:val="18"/>
                <w:color w:val="auto"/>
                <w:w w:val="93"/>
              </w:rPr>
              <w:t xml:space="preserve"> R</w:t>
            </w:r>
            <w:r>
              <w:rPr>
                <w:rFonts w:ascii="Arial" w:cs="Arial" w:eastAsia="Arial" w:hAnsi="Arial"/>
                <w:sz w:val="12"/>
                <w:szCs w:val="12"/>
                <w:color w:val="auto"/>
                <w:w w:val="93"/>
              </w:rPr>
              <w:t>EUM</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89"/>
              </w:rPr>
              <w:t>W. Robert Reum</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S</w:t>
            </w:r>
            <w:r>
              <w:rPr>
                <w:rFonts w:ascii="Arial" w:cs="Arial" w:eastAsia="Arial" w:hAnsi="Arial"/>
                <w:sz w:val="12"/>
                <w:szCs w:val="12"/>
                <w:color w:val="auto"/>
                <w:w w:val="94"/>
              </w:rPr>
              <w:t>TEVEN</w:t>
            </w:r>
            <w:r>
              <w:rPr>
                <w:rFonts w:ascii="Arial" w:cs="Arial" w:eastAsia="Arial" w:hAnsi="Arial"/>
                <w:sz w:val="18"/>
                <w:szCs w:val="18"/>
                <w:color w:val="auto"/>
                <w:w w:val="94"/>
              </w:rPr>
              <w:t xml:space="preserve"> G. R</w:t>
            </w:r>
            <w:r>
              <w:rPr>
                <w:rFonts w:ascii="Arial" w:cs="Arial" w:eastAsia="Arial" w:hAnsi="Arial"/>
                <w:sz w:val="12"/>
                <w:szCs w:val="12"/>
                <w:color w:val="auto"/>
                <w:w w:val="94"/>
              </w:rPr>
              <w:t>OTHMEIER</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90"/>
              </w:rPr>
              <w:t>Steven G. Rothmeier</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T</w:t>
            </w:r>
            <w:r>
              <w:rPr>
                <w:rFonts w:ascii="Arial" w:cs="Arial" w:eastAsia="Arial" w:hAnsi="Arial"/>
                <w:sz w:val="12"/>
                <w:szCs w:val="12"/>
                <w:color w:val="auto"/>
                <w:w w:val="97"/>
              </w:rPr>
              <w:t>HOMAS</w:t>
            </w:r>
            <w:r>
              <w:rPr>
                <w:rFonts w:ascii="Arial" w:cs="Arial" w:eastAsia="Arial" w:hAnsi="Arial"/>
                <w:sz w:val="18"/>
                <w:szCs w:val="18"/>
                <w:color w:val="auto"/>
                <w:w w:val="97"/>
              </w:rPr>
              <w:t xml:space="preserve"> H. W</w:t>
            </w:r>
            <w:r>
              <w:rPr>
                <w:rFonts w:ascii="Arial" w:cs="Arial" w:eastAsia="Arial" w:hAnsi="Arial"/>
                <w:sz w:val="12"/>
                <w:szCs w:val="12"/>
                <w:color w:val="auto"/>
                <w:w w:val="97"/>
              </w:rPr>
              <w:t>EIDEMEYER</w:t>
            </w:r>
          </w:p>
        </w:tc>
        <w:tc>
          <w:tcPr>
            <w:tcW w:w="3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c>
          <w:tcPr>
            <w:tcW w:w="0" w:type="dxa"/>
            <w:vAlign w:val="bottom"/>
          </w:tcPr>
          <w:p>
            <w:pPr>
              <w:spacing w:after="0"/>
              <w:rPr>
                <w:sz w:val="1"/>
                <w:szCs w:val="1"/>
                <w:color w:val="auto"/>
              </w:rPr>
            </w:pPr>
          </w:p>
        </w:tc>
      </w:tr>
      <w:tr>
        <w:trPr>
          <w:trHeight w:val="95"/>
        </w:trPr>
        <w:tc>
          <w:tcPr>
            <w:tcW w:w="4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700" w:type="dxa"/>
            <w:vAlign w:val="bottom"/>
          </w:tcPr>
          <w:p>
            <w:pPr>
              <w:jc w:val="center"/>
              <w:spacing w:after="0"/>
              <w:rPr>
                <w:sz w:val="20"/>
                <w:szCs w:val="20"/>
                <w:color w:val="auto"/>
              </w:rPr>
            </w:pPr>
            <w:r>
              <w:rPr>
                <w:rFonts w:ascii="Arial" w:cs="Arial" w:eastAsia="Arial" w:hAnsi="Arial"/>
                <w:sz w:val="18"/>
                <w:szCs w:val="18"/>
                <w:color w:val="auto"/>
                <w:w w:val="90"/>
              </w:rPr>
              <w:t>Thomas H. Weidemeyer</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audited the consolidated financial statements of Waste Management, Inc. (the “Company”) as of December 31, 2005 and 2004, and for each of the three years in the period ended December 31, 2005, and have issued our report thereon dated February 20, 2006 (included elsewhere in this Form 10-K). Our audits also included the financial statement schedule listed in Item 15(a)(2) of this Form 10-K. This schedule is the responsibility of the Company’s management. Our responsibility is to express an opinion based on our audit.</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consolidated financial statements taken as a whole, presents fairly, in all material respects, the information set forth therein.</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2006</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0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Charged</w:t>
            </w:r>
          </w:p>
        </w:tc>
        <w:tc>
          <w:tcPr>
            <w:tcW w:w="30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Accounts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Written</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(Credited)</w:t>
            </w:r>
          </w:p>
        </w:tc>
        <w:tc>
          <w:tcPr>
            <w:tcW w:w="3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Off/Use of</w:t>
            </w:r>
          </w:p>
        </w:tc>
        <w:tc>
          <w:tcPr>
            <w:tcW w:w="30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Other(A)</w:t>
            </w:r>
          </w:p>
        </w:tc>
        <w:tc>
          <w:tcPr>
            <w:tcW w:w="680" w:type="dxa"/>
            <w:vAlign w:val="bottom"/>
            <w:vMerge w:val="restart"/>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of Year</w:t>
            </w:r>
          </w:p>
        </w:tc>
        <w:tc>
          <w:tcPr>
            <w:tcW w:w="54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to Income</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Reserve</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2003</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accounts(B)</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2004</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 Reserves for doubtful accounts(B)</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2005</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accounts(B)</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2003</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2004</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Merger and restructuring accruals(C)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2005</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2003</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2004</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2005</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right="240" w:hanging="352"/>
        <w:spacing w:after="0" w:line="25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Reserves for doubtful accounts related to purchase business combinations, reserves associated with dispositions of businesses, reserves reclassified to operations held for sale, and reclasses among reserve accounts.</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reserves for doubtful accounts receivable and notes receivable.</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Included in accrued liabilities in our Consolidated Balance Sheets. These accruals represent employee severance and benefit costs and transitional costs.</w:t>
      </w:r>
    </w:p>
    <w:p>
      <w:pPr>
        <w:spacing w:after="0" w:line="55" w:lineRule="exact"/>
        <w:rPr>
          <w:rFonts w:ascii="Arial" w:cs="Arial" w:eastAsia="Arial" w:hAnsi="Arial"/>
          <w:sz w:val="14"/>
          <w:szCs w:val="14"/>
          <w:color w:val="auto"/>
        </w:rPr>
      </w:pPr>
    </w:p>
    <w:p>
      <w:pPr>
        <w:ind w:left="360" w:right="60" w:hanging="352"/>
        <w:spacing w:after="0" w:line="25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major maintenance expenditures at the Company’s waste-to-energy and independent power production facilities. Policy changed in January 2003 to a method of expensing expenditures as incurred.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40" w:type="dxa"/>
            <w:vAlign w:val="bottom"/>
          </w:tcPr>
          <w:p>
            <w:pPr>
              <w:ind w:left="18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78"/>
        </w:trPr>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 No.*</w:t>
            </w:r>
          </w:p>
        </w:tc>
        <w:tc>
          <w:tcPr>
            <w:tcW w:w="700" w:type="dxa"/>
            <w:vAlign w:val="bottom"/>
          </w:tcPr>
          <w:p>
            <w:pPr>
              <w:spacing w:after="0"/>
              <w:rPr>
                <w:sz w:val="24"/>
                <w:szCs w:val="24"/>
                <w:color w:val="auto"/>
              </w:rPr>
            </w:pPr>
          </w:p>
        </w:tc>
        <w:tc>
          <w:tcPr>
            <w:tcW w:w="122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44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37"/>
        </w:trPr>
        <w:tc>
          <w:tcPr>
            <w:tcW w:w="1760" w:type="dxa"/>
            <w:vAlign w:val="bottom"/>
            <w:gridSpan w:val="2"/>
          </w:tcPr>
          <w:p>
            <w:pPr>
              <w:ind w:left="980"/>
              <w:spacing w:after="0" w:line="137" w:lineRule="exact"/>
              <w:rPr>
                <w:sz w:val="20"/>
                <w:szCs w:val="20"/>
                <w:color w:val="auto"/>
              </w:rPr>
            </w:pPr>
            <w:r>
              <w:rPr>
                <w:rFonts w:ascii="Arial" w:cs="Arial" w:eastAsia="Arial" w:hAnsi="Arial"/>
                <w:sz w:val="14"/>
                <w:szCs w:val="14"/>
                <w:color w:val="auto"/>
              </w:rPr>
              <w:t>3.1</w:t>
            </w:r>
          </w:p>
        </w:tc>
        <w:tc>
          <w:tcPr>
            <w:tcW w:w="1220" w:type="dxa"/>
            <w:vAlign w:val="bottom"/>
            <w:vMerge w:val="continue"/>
          </w:tcPr>
          <w:p>
            <w:pPr>
              <w:spacing w:after="0"/>
              <w:rPr>
                <w:sz w:val="11"/>
                <w:szCs w:val="11"/>
                <w:color w:val="auto"/>
              </w:rPr>
            </w:pPr>
          </w:p>
        </w:tc>
        <w:tc>
          <w:tcPr>
            <w:tcW w:w="8440" w:type="dxa"/>
            <w:vAlign w:val="bottom"/>
          </w:tcPr>
          <w:p>
            <w:pPr>
              <w:spacing w:after="0" w:line="137" w:lineRule="exact"/>
              <w:rPr>
                <w:sz w:val="20"/>
                <w:szCs w:val="20"/>
                <w:color w:val="auto"/>
              </w:rPr>
            </w:pPr>
            <w:r>
              <w:rPr>
                <w:rFonts w:ascii="Arial" w:cs="Arial" w:eastAsia="Arial" w:hAnsi="Arial"/>
                <w:sz w:val="14"/>
                <w:szCs w:val="14"/>
                <w:color w:val="auto"/>
                <w:w w:val="93"/>
              </w:rPr>
              <w:t>Second Amended and Restated Certificate of Incorporation [Incorporated by reference to Exhibit 3.1 to Form 10-Q for the quarter ended June 30,</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3.2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Bylaws [Incorporated by reference to Exhibit 3.2 to Form 10-K for the year ended December 31,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4.1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4.2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Indenture for Subordinated Debt Securities dated February 1, 1997, among the Registrant and Texas Commerce Bank National Association, as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trustee [Incorporated by reference to Exhibit 4.1 to Form 8-K dated February 7, 1997].</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4.3</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2"/>
              </w:rPr>
              <w:t>Indenture for Senior Debt Securities dated September 10, 1997, among the Registrant and Texas Commerce Bank National Association, as trustee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[Incorporated by reference to Exhibit 4.1 to Form 8-K dated September 10, 1997].</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2004 Stock Incentive Plan [Incorporated by reference to Appendix C-1 to the Proxy Statement for the 2004 Annual Meeting of Stockholders].</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2005 Annual Incentive Plan [Incorporated by reference to Appendix D-1 to the Proxy Statement for the 2004 Annual Meeting of Stockholders].</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10.3</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1997 Employee Stock Purchase Plan [Incorporated by reference to Appendix C to the Proxy Statement for the 2000 Annual Meeting of</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10.4</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Waste Management, Inc. Retirement Savings Restoration Plan [Incorporated by reference to Exhibit 10.1 to Form 10-Q for the quarter ended</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June 30, 2002].</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10.5</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$2.4 Billion Revolving Credit Agreement dated as of October 15, 2004, by and among Waste Management, Inc., Waste Management Holdings,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Inc. and Certain Banks and Citibank, N.A. as Administrative Agent, JP Morgan Chase Bank and Bank of America, N.A. as Syndication Agents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and Barclays Bank PLC and Deutsche Bank AG as Documentation Agents and J.P. Morgan Securities Inc. and Banc of America Securities LLC</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as Lead Arrangers and Book Managers. [Incorporated by reference to Exhibit 10.1 to Form 10-Q for the quarter ended September 30,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10.6</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Ten-Year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10.2 to Form 10-Q for the quarter ended June 30,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10.7</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Five-Year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10.3 to Form 10-Q for the quarter ended June 30,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10.8</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Seven-Year Letter of Credit and Term Loan Agreement among the Company, Waste Management Holdings, Inc., and Bank of America, N.A., as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Administrative Agent and Letter of Credit Issuer and the Lenders party thereto, dated as of June 30, 2003.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10.4 to Form 10-Q for the quarter ended June 30,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10.9</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Reimbursement Agreement between the Company and Oakmont Asset Trust, dated as of December 22, 2003.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10.10 to Form 10-K for the year ended December 31,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10.10*</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2006 Form of Restricted Stock Unit Award Agreement under the 2004 Stock Incentive Plan.</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2006 Form of Performance Share Unit Award Agreement under the 2004 Stock Incentive Plan.</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2003 Waste Management, Inc. Directors Deferred Compensation Plan [Incorporated by reference to Exhibit 10.5 to Form 10-Q for the quarter</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ended June 30,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10.13</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3"/>
              </w:rPr>
              <w:t>Employment Agreement between the Company and Cherie C. Rice dated August 26, 2005 [Incorporated by reference to Exhibit 99.1 to Form 8-K</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dated August 26, 2005].</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10.14</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8"/>
              </w:rPr>
              <w:t>Employment Agreement between the Company and Greg A. Robertson dated August 1, 2003 [Incorporated by reference to Exhibit 10.2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10.15</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Lawrence O’Donnell III dated January 21, 2000 [Incorporated by reference to Exhibit 10.1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2000].</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10.16</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Lynn M. Caddell dated March 12, 2004 [Incorporated by reference to Exhibit 10.1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March 31,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10.17</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Employment Agreement between the Company and Robert A. Damico dated December 17, 1998 [Incorporated by reference to Exhibit 10.39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1999].</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10.18</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7"/>
              </w:rPr>
              <w:t>Employment Agreement between the Company and Duane C. Woods dated October 20, 2004 [Incorporated by reference to Form 8-K dated</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October 20,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10.19</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David R. Hopkins dated March 30, 2000 [Incorporated by reference to Exhibit 10.2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March 31, 2000].</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10.20</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9"/>
              </w:rPr>
              <w:t>Employment Agreement between the Company and David Steiner dated as of May 6, 2002 [Incorporated by reference to Exhibits 10.1 to</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40" w:type="dxa"/>
            <w:vAlign w:val="bottom"/>
          </w:tcPr>
          <w:p>
            <w:pPr>
              <w:spacing w:after="0"/>
              <w:rPr>
                <w:sz w:val="20"/>
                <w:szCs w:val="20"/>
                <w:color w:val="auto"/>
              </w:rPr>
            </w:pPr>
            <w:r>
              <w:rPr>
                <w:rFonts w:ascii="Arial" w:cs="Arial" w:eastAsia="Arial" w:hAnsi="Arial"/>
                <w:sz w:val="14"/>
                <w:szCs w:val="14"/>
                <w:color w:val="auto"/>
              </w:rPr>
              <w:t>Form 10-Q for the quarter ended March 31, 2002].</w:t>
            </w:r>
          </w:p>
        </w:tc>
        <w:tc>
          <w:tcPr>
            <w:tcW w:w="0" w:type="dxa"/>
            <w:vAlign w:val="bottom"/>
          </w:tcPr>
          <w:p>
            <w:pPr>
              <w:spacing w:after="0"/>
              <w:rPr>
                <w:sz w:val="1"/>
                <w:szCs w:val="1"/>
                <w:color w:val="auto"/>
              </w:rPr>
            </w:pPr>
          </w:p>
        </w:tc>
      </w:tr>
      <w:tr>
        <w:trPr>
          <w:trHeight w:val="211"/>
        </w:trPr>
        <w:tc>
          <w:tcPr>
            <w:tcW w:w="10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8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No.*</w:t>
            </w:r>
          </w:p>
        </w:tc>
        <w:tc>
          <w:tcPr>
            <w:tcW w:w="122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440" w:type="dxa"/>
            <w:vAlign w:val="bottom"/>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37"/>
        </w:trPr>
        <w:tc>
          <w:tcPr>
            <w:tcW w:w="1060" w:type="dxa"/>
            <w:vAlign w:val="bottom"/>
            <w:tcBorders>
              <w:top w:val="single" w:sz="8" w:color="auto"/>
            </w:tcBorders>
          </w:tcPr>
          <w:p>
            <w:pPr>
              <w:ind w:left="920"/>
              <w:spacing w:after="0" w:line="137" w:lineRule="exact"/>
              <w:rPr>
                <w:sz w:val="20"/>
                <w:szCs w:val="20"/>
                <w:color w:val="auto"/>
              </w:rPr>
            </w:pPr>
            <w:r>
              <w:rPr>
                <w:rFonts w:ascii="Arial" w:cs="Arial" w:eastAsia="Arial" w:hAnsi="Arial"/>
                <w:sz w:val="12"/>
                <w:szCs w:val="12"/>
                <w:color w:val="auto"/>
                <w:w w:val="71"/>
              </w:rPr>
              <w:t>10.</w:t>
            </w:r>
          </w:p>
        </w:tc>
        <w:tc>
          <w:tcPr>
            <w:tcW w:w="700" w:type="dxa"/>
            <w:vAlign w:val="bottom"/>
          </w:tcPr>
          <w:p>
            <w:pPr>
              <w:jc w:val="right"/>
              <w:ind w:right="448"/>
              <w:spacing w:after="0" w:line="137" w:lineRule="exact"/>
              <w:rPr>
                <w:sz w:val="20"/>
                <w:szCs w:val="20"/>
                <w:color w:val="auto"/>
              </w:rPr>
            </w:pPr>
            <w:r>
              <w:rPr>
                <w:rFonts w:ascii="Arial" w:cs="Arial" w:eastAsia="Arial" w:hAnsi="Arial"/>
                <w:sz w:val="14"/>
                <w:szCs w:val="14"/>
                <w:color w:val="auto"/>
              </w:rPr>
              <w:t>21</w:t>
            </w:r>
          </w:p>
        </w:tc>
        <w:tc>
          <w:tcPr>
            <w:tcW w:w="1220" w:type="dxa"/>
            <w:vAlign w:val="bottom"/>
            <w:vMerge w:val="continue"/>
          </w:tcPr>
          <w:p>
            <w:pPr>
              <w:spacing w:after="0"/>
              <w:rPr>
                <w:sz w:val="11"/>
                <w:szCs w:val="11"/>
                <w:color w:val="auto"/>
              </w:rPr>
            </w:pPr>
          </w:p>
        </w:tc>
        <w:tc>
          <w:tcPr>
            <w:tcW w:w="84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w w:val="93"/>
              </w:rPr>
              <w:t>Employment Agreement between the Company and James E. Trevathan dated as of June 1, 2000. [Incorporated by reference to Exhibit 10.19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2000].</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Charles E. Williams dated as of June 1, 2000. [Incorporated by reference to Exhibit 10.20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10-K for the year ended December 31, 2000].</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10.23</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Recycle America Alliance, LLC and Patrick DeRueda dated as of August 4, 2005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99.1 to Form 8-K dated August 8, 2005].</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10.24</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Employment Agreement between the Company and Richard T. Felago dated as of May 14, 2001 [Incorporated by reference to Exhibit 10.5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Form 10-Q for the quarter ended June 30, 2001].</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10.25</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Employment Agreement between the Company and Robert G. Simpson dated as of October 20, 2004 [Incorporated by reference to Form 8-K</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dated October 20,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10.26</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Employment Agreement between the Company and Barry H. Caldwell dated as of September 23, 2002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10.24 to Form 10-K for the year ended December 31, 2002].</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10.27</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David Aardsma dated June 16, 2005 [Incorporated by reference to Exhibit 99.1 to Form 8-K</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dated June 22, 2005].</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10.28</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Employment Agreement between the Company and Rick L Wittenbraker, dated as of November 10, 2003 [Incorporated by reference to</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Exhibit 10.30 to Form 10-K for the year ended December 31,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10.29</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Employment Agreement between the Company and Jimmy D. LaValley dated as of January 21, 2004 [Incorporated by reference to Exhibit 10.31</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to Form 10-K for the year ended December 31, 2003].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10.30</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3"/>
              </w:rPr>
              <w:t>Employment Agreement and First Amendment to Employment Agreement between Wheelabrator Technologies Inc. and Drennan Lowell dated as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of July 2002. [Incorporated by reference to Exhibit 10.30 to Form 10-K for the year ended December 31, 2004].</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10.31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2000 Broad-Based Employee Plan [Incorporated by reference to Exhibit 10.49 to Form 10-K for the year ended December 31, 1999].</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10.32*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CDN $410,000,000 Credit Facility Credit Agreement by and between Waste Management of Canada Corporation (as Borrower), Waste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4"/>
              </w:rPr>
              <w:t>Management, Inc. and Waste Management Holdings, Inc. (as Guarantors), BNP Paribas Securities Corp. and Scotia Capital (as Lead Arrangers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and Book Runners) and Bank of Nova Scotia (as Administrative Agent) and the Lenders from time to time party to the Agreement dated as of</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November 30, 2005.</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12.1*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Computation of Ratio of Earnings to Fixed Charges.</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21.1*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Subsidiaries of the Registrant.</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23.1*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Consent of Independent Registered Public Accounting Firm.</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31.1*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6"/>
              </w:rPr>
              <w:t>Certification Pursuant to Rule 15d-14(a) under the Securities Exchange Act of 1934, as amended of David P. Steiner, Chief Executive Officer.</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31.2*</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w w:val="95"/>
              </w:rPr>
              <w:t>Certification Pursuant to Rule 15d-14(a) under the Securities Exchange Act of 1934, as amended, of Robert G. Simpson, Senior Vice President</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and Chief Financial Officer.</w:t>
            </w:r>
          </w:p>
        </w:tc>
        <w:tc>
          <w:tcPr>
            <w:tcW w:w="0" w:type="dxa"/>
            <w:vAlign w:val="bottom"/>
          </w:tcPr>
          <w:p>
            <w:pPr>
              <w:spacing w:after="0"/>
              <w:rPr>
                <w:sz w:val="1"/>
                <w:szCs w:val="1"/>
                <w:color w:val="auto"/>
              </w:rPr>
            </w:pPr>
          </w:p>
        </w:tc>
      </w:tr>
      <w:tr>
        <w:trPr>
          <w:trHeight w:val="149"/>
        </w:trPr>
        <w:tc>
          <w:tcPr>
            <w:tcW w:w="176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32.1*</w:t>
            </w:r>
          </w:p>
        </w:tc>
        <w:tc>
          <w:tcPr>
            <w:tcW w:w="12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Certification Pursuant to 18 U.S.C. §1350 of David P. Steiner, Chief Executive Officer.</w:t>
            </w:r>
          </w:p>
        </w:tc>
        <w:tc>
          <w:tcPr>
            <w:tcW w:w="0" w:type="dxa"/>
            <w:vAlign w:val="bottom"/>
          </w:tcPr>
          <w:p>
            <w:pPr>
              <w:spacing w:after="0"/>
              <w:rPr>
                <w:sz w:val="1"/>
                <w:szCs w:val="1"/>
                <w:color w:val="auto"/>
              </w:rPr>
            </w:pPr>
          </w:p>
        </w:tc>
      </w:tr>
      <w:tr>
        <w:trPr>
          <w:trHeight w:val="182"/>
        </w:trPr>
        <w:tc>
          <w:tcPr>
            <w:tcW w:w="1760" w:type="dxa"/>
            <w:vAlign w:val="bottom"/>
            <w:gridSpan w:val="2"/>
          </w:tcPr>
          <w:p>
            <w:pPr>
              <w:ind w:left="920"/>
              <w:spacing w:after="0"/>
              <w:rPr>
                <w:sz w:val="20"/>
                <w:szCs w:val="20"/>
                <w:color w:val="auto"/>
              </w:rPr>
            </w:pPr>
            <w:r>
              <w:rPr>
                <w:rFonts w:ascii="Arial" w:cs="Arial" w:eastAsia="Arial" w:hAnsi="Arial"/>
                <w:sz w:val="14"/>
                <w:szCs w:val="14"/>
                <w:color w:val="auto"/>
              </w:rPr>
              <w:t>32.2*</w:t>
            </w:r>
          </w:p>
        </w:tc>
        <w:tc>
          <w:tcPr>
            <w:tcW w:w="1220" w:type="dxa"/>
            <w:vAlign w:val="bottom"/>
          </w:tcPr>
          <w:p>
            <w:pPr>
              <w:ind w:left="440"/>
              <w:spacing w:after="0"/>
              <w:rPr>
                <w:sz w:val="20"/>
                <w:szCs w:val="20"/>
                <w:color w:val="auto"/>
              </w:rPr>
            </w:pPr>
            <w:r>
              <w:rPr>
                <w:rFonts w:ascii="Arial" w:cs="Arial" w:eastAsia="Arial" w:hAnsi="Arial"/>
                <w:sz w:val="14"/>
                <w:szCs w:val="14"/>
                <w:color w:val="auto"/>
              </w:rPr>
              <w:t>—</w:t>
            </w:r>
          </w:p>
        </w:tc>
        <w:tc>
          <w:tcPr>
            <w:tcW w:w="8440" w:type="dxa"/>
            <w:vAlign w:val="bottom"/>
          </w:tcPr>
          <w:p>
            <w:pPr>
              <w:spacing w:after="0"/>
              <w:rPr>
                <w:sz w:val="20"/>
                <w:szCs w:val="20"/>
                <w:color w:val="auto"/>
              </w:rPr>
            </w:pPr>
            <w:r>
              <w:rPr>
                <w:rFonts w:ascii="Arial" w:cs="Arial" w:eastAsia="Arial" w:hAnsi="Arial"/>
                <w:sz w:val="14"/>
                <w:szCs w:val="14"/>
                <w:color w:val="auto"/>
              </w:rPr>
              <w:t>Certification Pursuant to 18 U.S.C. §1350 of Robert G. Simpson, Senior Vice President and 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03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Filed herewith.</w:t>
      </w:r>
    </w:p>
    <w:p>
      <w:pPr>
        <w:sectPr>
          <w:pgSz w:w="11900" w:h="16838" w:orient="portrait"/>
          <w:cols w:equalWidth="0" w:num="1">
            <w:col w:w="11420"/>
          </w:cols>
          <w:pgMar w:left="240" w:top="41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This Restricted Stock Unit Award Agreement (“Agreement”) is entered into effective as of January 27, 2006 (the “Grant Date”), by and between Waste Management, Inc., a Delaware corporation (together with its Subsidiaries and Affiliates, the “Company”), and «Full_NameFirst» (the “Employee”), pursuant to the Waste Management, Inc. 2004 Stock Incentive Plan (the “Plan”). Employee and the Company agree to execute such further instruments and to take such further action as may reasonably be necessary to carry out the intent of this Agreement.</w:t>
      </w:r>
    </w:p>
    <w:p>
      <w:pPr>
        <w:spacing w:after="0" w:line="63" w:lineRule="exact"/>
        <w:rPr>
          <w:sz w:val="20"/>
          <w:szCs w:val="20"/>
          <w:color w:val="auto"/>
        </w:rPr>
      </w:pPr>
    </w:p>
    <w:p>
      <w:pPr>
        <w:ind w:right="40" w:firstLine="233"/>
        <w:spacing w:after="0" w:line="259" w:lineRule="auto"/>
        <w:tabs>
          <w:tab w:leader="none" w:pos="4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The Company hereby grants to Employee «M___Units» Restricted Stock Units. Restricted Stock Units are notational units of measurement denominated in shares of common stock of Waste Management, Inc., $.01 par value (“Common Stock”). Each Restricted Stock Unit represents a hypothetical share of Common Stock, subject to the conditions and restrictions on transferability set forth below and in the Plan. The Restricted Stock Units will be credited to Employee in an unfunded bookkeeping account established for Employee.</w:t>
      </w:r>
    </w:p>
    <w:p>
      <w:pPr>
        <w:spacing w:after="0" w:line="78" w:lineRule="exact"/>
        <w:rPr>
          <w:rFonts w:ascii="Arial" w:cs="Arial" w:eastAsia="Arial" w:hAnsi="Arial"/>
          <w:sz w:val="18"/>
          <w:szCs w:val="18"/>
          <w:color w:val="auto"/>
        </w:rPr>
      </w:pPr>
    </w:p>
    <w:p>
      <w:pPr>
        <w:ind w:right="720" w:firstLine="233"/>
        <w:spacing w:after="0" w:line="277" w:lineRule="auto"/>
        <w:tabs>
          <w:tab w:leader="none" w:pos="4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period of time between the Grant Date and the vesting of Restricted Stock Units (and the termination of restriction thereon) will be referred to herein as the “Restricted Period.”</w:t>
      </w:r>
    </w:p>
    <w:p>
      <w:pPr>
        <w:spacing w:after="0" w:line="62" w:lineRule="exact"/>
        <w:rPr>
          <w:rFonts w:ascii="Arial" w:cs="Arial" w:eastAsia="Arial" w:hAnsi="Arial"/>
          <w:sz w:val="18"/>
          <w:szCs w:val="18"/>
          <w:color w:val="auto"/>
        </w:rPr>
      </w:pPr>
    </w:p>
    <w:p>
      <w:pPr>
        <w:jc w:val="both"/>
        <w:ind w:left="360" w:right="60" w:firstLine="215"/>
        <w:spacing w:after="0" w:line="286" w:lineRule="auto"/>
        <w:tabs>
          <w:tab w:leader="none" w:pos="83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For a period of four (4) years commencing on the Grant Date, the Restricted Stock Units will be subject to the restrictions as set forth herein; provided, however, that, unless earlier vested or forfeited pursuant to this Agreement, the restrictions will lapse on certain anniversary dates of the Grant Date on a number of units during the Restricted Period as determined in accordance with the following schedule: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w w:val="91"/>
              </w:rPr>
              <w:t>Percentage of Units granted on the Grant</w:t>
            </w:r>
          </w:p>
        </w:tc>
      </w:tr>
      <w:tr>
        <w:trPr>
          <w:trHeight w:val="167"/>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5120" w:type="dxa"/>
            <w:vAlign w:val="bottom"/>
          </w:tcPr>
          <w:p>
            <w:pPr>
              <w:spacing w:after="0"/>
              <w:rPr>
                <w:sz w:val="14"/>
                <w:szCs w:val="14"/>
                <w:color w:val="auto"/>
              </w:rPr>
            </w:pPr>
          </w:p>
        </w:tc>
        <w:tc>
          <w:tcPr>
            <w:tcW w:w="2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Date to be Vested</w:t>
            </w:r>
          </w:p>
        </w:tc>
      </w:tr>
      <w:tr>
        <w:trPr>
          <w:trHeight w:val="210"/>
        </w:trPr>
        <w:tc>
          <w:tcPr>
            <w:tcW w:w="3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First anniversary of Grant Date</w:t>
            </w:r>
          </w:p>
        </w:tc>
        <w:tc>
          <w:tcPr>
            <w:tcW w:w="74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25%</w:t>
            </w: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Second anniversary of Grant Date</w:t>
            </w:r>
          </w:p>
        </w:tc>
        <w:tc>
          <w:tcPr>
            <w:tcW w:w="7480" w:type="dxa"/>
            <w:vAlign w:val="bottom"/>
            <w:gridSpan w:val="2"/>
          </w:tcPr>
          <w:p>
            <w:pPr>
              <w:jc w:val="right"/>
              <w:ind w:right="728"/>
              <w:spacing w:after="0"/>
              <w:rPr>
                <w:sz w:val="20"/>
                <w:szCs w:val="20"/>
                <w:color w:val="auto"/>
              </w:rPr>
            </w:pPr>
            <w:r>
              <w:rPr>
                <w:rFonts w:ascii="Arial" w:cs="Arial" w:eastAsia="Arial" w:hAnsi="Arial"/>
                <w:sz w:val="18"/>
                <w:szCs w:val="18"/>
                <w:color w:val="auto"/>
              </w:rPr>
              <w:t>50%</w:t>
            </w:r>
          </w:p>
        </w:tc>
      </w:tr>
      <w:tr>
        <w:trPr>
          <w:trHeight w:val="216"/>
        </w:trPr>
        <w:tc>
          <w:tcPr>
            <w:tcW w:w="3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Third anniversary of Grant Date</w:t>
            </w:r>
          </w:p>
        </w:tc>
        <w:tc>
          <w:tcPr>
            <w:tcW w:w="74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75%</w:t>
            </w:r>
          </w:p>
        </w:tc>
      </w:tr>
      <w:tr>
        <w:trPr>
          <w:trHeight w:val="230"/>
        </w:trPr>
        <w:tc>
          <w:tcPr>
            <w:tcW w:w="3940" w:type="dxa"/>
            <w:vAlign w:val="bottom"/>
          </w:tcPr>
          <w:p>
            <w:pPr>
              <w:ind w:left="980"/>
              <w:spacing w:after="0"/>
              <w:rPr>
                <w:sz w:val="20"/>
                <w:szCs w:val="20"/>
                <w:color w:val="auto"/>
              </w:rPr>
            </w:pPr>
            <w:r>
              <w:rPr>
                <w:rFonts w:ascii="Arial" w:cs="Arial" w:eastAsia="Arial" w:hAnsi="Arial"/>
                <w:sz w:val="18"/>
                <w:szCs w:val="18"/>
                <w:color w:val="auto"/>
              </w:rPr>
              <w:t>Fourth anniversary Grant Date</w:t>
            </w:r>
          </w:p>
        </w:tc>
        <w:tc>
          <w:tcPr>
            <w:tcW w:w="7480" w:type="dxa"/>
            <w:vAlign w:val="bottom"/>
            <w:gridSpan w:val="2"/>
          </w:tcPr>
          <w:p>
            <w:pPr>
              <w:jc w:val="right"/>
              <w:ind w:right="728"/>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left="360" w:right="20"/>
        <w:spacing w:after="0" w:line="259" w:lineRule="auto"/>
        <w:rPr>
          <w:sz w:val="20"/>
          <w:szCs w:val="20"/>
          <w:color w:val="auto"/>
        </w:rPr>
      </w:pPr>
      <w:r>
        <w:rPr>
          <w:rFonts w:ascii="Arial" w:cs="Arial" w:eastAsia="Arial" w:hAnsi="Arial"/>
          <w:sz w:val="18"/>
          <w:szCs w:val="18"/>
          <w:color w:val="auto"/>
        </w:rPr>
        <w:t>When applying this schedule, any fractional units shall be rounded up to the next whole unit, but in the aggregate may not exceed the total number of Restricted Stock Units granted on the Grant Date. Unless timely deferred by Employee in accordance with Section 5, upon vesting, each Restricted Stock Unit will be converted into one share of Company Common Stock and Employee will be issued shares of Common Stock equal to the number of Restricted Stock Units held, free of any restrictions.</w:t>
      </w:r>
    </w:p>
    <w:p>
      <w:pPr>
        <w:spacing w:after="0" w:line="79"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Accelerated Vesting of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540" w:firstLine="229"/>
        <w:spacing w:after="0" w:line="277"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Acceleration on Death or Disability</w:t>
      </w:r>
      <w:r>
        <w:rPr>
          <w:rFonts w:ascii="Arial" w:cs="Arial" w:eastAsia="Arial" w:hAnsi="Arial"/>
          <w:sz w:val="18"/>
          <w:szCs w:val="18"/>
          <w:color w:val="auto"/>
        </w:rPr>
        <w:t>. Upon Termination of Employment from the Company by reason of Employee’s death or disability (as determined by the Committee), or upon Employee’s disability prior to a Termination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ind w:left="360" w:right="300"/>
        <w:spacing w:after="0" w:line="308" w:lineRule="auto"/>
        <w:rPr>
          <w:sz w:val="20"/>
          <w:szCs w:val="20"/>
          <w:color w:val="auto"/>
        </w:rPr>
      </w:pPr>
      <w:r>
        <w:rPr>
          <w:rFonts w:ascii="Arial" w:cs="Arial" w:eastAsia="Arial" w:hAnsi="Arial"/>
          <w:sz w:val="17"/>
          <w:szCs w:val="17"/>
          <w:color w:val="auto"/>
        </w:rPr>
        <w:t>of Employment (as determined by the Committee and within the meaning of Section 409A of the Internal Revenue Code of 1986, as amended (the “Internal Revenue Code”)) all Restricted Stock Units that are not vested at that time immediately will become vested in full.</w:t>
      </w:r>
    </w:p>
    <w:p>
      <w:pPr>
        <w:spacing w:after="0" w:line="38" w:lineRule="exact"/>
        <w:rPr>
          <w:sz w:val="20"/>
          <w:szCs w:val="20"/>
          <w:color w:val="auto"/>
        </w:rPr>
      </w:pPr>
    </w:p>
    <w:p>
      <w:pPr>
        <w:ind w:left="360" w:firstLine="229"/>
        <w:spacing w:after="0" w:line="297" w:lineRule="auto"/>
        <w:tabs>
          <w:tab w:leader="none" w:pos="850" w:val="left"/>
        </w:tabs>
        <w:numPr>
          <w:ilvl w:val="3"/>
          <w:numId w:val="81"/>
        </w:numPr>
        <w:rPr>
          <w:rFonts w:ascii="Arial" w:cs="Arial" w:eastAsia="Arial" w:hAnsi="Arial"/>
          <w:sz w:val="16"/>
          <w:szCs w:val="16"/>
          <w:color w:val="auto"/>
        </w:rPr>
      </w:pPr>
      <w:r>
        <w:rPr>
          <w:rFonts w:ascii="Arial" w:cs="Arial" w:eastAsia="Arial" w:hAnsi="Arial"/>
          <w:sz w:val="16"/>
          <w:szCs w:val="16"/>
          <w:u w:val="single" w:color="auto"/>
          <w:color w:val="auto"/>
        </w:rPr>
        <w:t>Pro-rated Vesting upon Involuntary Termination by the Company or Retirement by Employee</w:t>
      </w:r>
      <w:r>
        <w:rPr>
          <w:rFonts w:ascii="Arial" w:cs="Arial" w:eastAsia="Arial" w:hAnsi="Arial"/>
          <w:sz w:val="16"/>
          <w:szCs w:val="16"/>
          <w:color w:val="auto"/>
        </w:rPr>
        <w:t>. Upon either an involuntary Termination of Employment without Cause by the Company or a qualifying Retirement by Employee, Employee will be entitled to have vested under this award (including the amount of Restricted Stock Units that have already vested at that time) the amount of Restricted Stock Units equivalent to the total Restricted Stock Units granted under this Agreement multiplied by the fraction which has as its numerator the total number of days that Employee was employed by the Company during the period beginning on the Grant Date, and has as its denominator 1,460 (being four times 365 days).</w:t>
      </w:r>
    </w:p>
    <w:p>
      <w:pPr>
        <w:spacing w:after="0" w:line="50" w:lineRule="exact"/>
        <w:rPr>
          <w:rFonts w:ascii="Arial" w:cs="Arial" w:eastAsia="Arial" w:hAnsi="Arial"/>
          <w:sz w:val="16"/>
          <w:szCs w:val="16"/>
          <w:color w:val="auto"/>
        </w:rPr>
      </w:pPr>
    </w:p>
    <w:p>
      <w:pPr>
        <w:ind w:left="360" w:right="20" w:firstLine="229"/>
        <w:spacing w:after="0" w:line="288" w:lineRule="auto"/>
        <w:tabs>
          <w:tab w:leader="none" w:pos="900" w:val="left"/>
        </w:tabs>
        <w:numPr>
          <w:ilvl w:val="3"/>
          <w:numId w:val="81"/>
        </w:numPr>
        <w:rPr>
          <w:rFonts w:ascii="Arial" w:cs="Arial" w:eastAsia="Arial" w:hAnsi="Arial"/>
          <w:sz w:val="16"/>
          <w:szCs w:val="16"/>
          <w:color w:val="auto"/>
        </w:rPr>
      </w:pPr>
      <w:r>
        <w:rPr>
          <w:rFonts w:ascii="Arial" w:cs="Arial" w:eastAsia="Arial" w:hAnsi="Arial"/>
          <w:sz w:val="16"/>
          <w:szCs w:val="16"/>
          <w:u w:val="single" w:color="auto"/>
          <w:color w:val="auto"/>
        </w:rPr>
        <w:t>Possible Acceleration upon Change in Control or Certain Terminations Following Change in Control</w:t>
      </w:r>
      <w:r>
        <w:rPr>
          <w:rFonts w:ascii="Arial" w:cs="Arial" w:eastAsia="Arial" w:hAnsi="Arial"/>
          <w:sz w:val="16"/>
          <w:szCs w:val="16"/>
          <w:color w:val="auto"/>
        </w:rPr>
        <w:t>. If there is a Change in Control of Waste Management, Inc., all outstanding but unvested Restricted Stock Units that are not vested will become immediately vested in full, unless the successor entity assumes all awards granted under the Plan and converts the awards to equivalent grants in the successor effective as of the Change in Control.</w:t>
      </w:r>
    </w:p>
    <w:p>
      <w:pPr>
        <w:ind w:left="360" w:right="120"/>
        <w:spacing w:after="0" w:line="254" w:lineRule="auto"/>
        <w:rPr>
          <w:rFonts w:ascii="Arial" w:cs="Arial" w:eastAsia="Arial" w:hAnsi="Arial"/>
          <w:sz w:val="16"/>
          <w:szCs w:val="16"/>
          <w:color w:val="auto"/>
        </w:rPr>
      </w:pPr>
      <w:r>
        <w:rPr>
          <w:rFonts w:ascii="Arial" w:cs="Arial" w:eastAsia="Arial" w:hAnsi="Arial"/>
          <w:sz w:val="18"/>
          <w:szCs w:val="18"/>
          <w:color w:val="auto"/>
        </w:rPr>
        <w:t>Provided, however, even if the successor entity so assumes and converts all awards granted under the Plan, if the successor entity terminates Employee’s employment during the Window Period without Cause (as each term is defined in Section 16 below), or due to Employee’s death or disability, then all outstanding but unvested Restricted Stock Units (or its equivalent grant in the successor entity) will become immediately vested in full as of such termination.</w:t>
      </w:r>
    </w:p>
    <w:p>
      <w:pPr>
        <w:spacing w:after="0" w:line="81" w:lineRule="exact"/>
        <w:rPr>
          <w:rFonts w:ascii="Arial" w:cs="Arial" w:eastAsia="Arial" w:hAnsi="Arial"/>
          <w:sz w:val="16"/>
          <w:szCs w:val="16"/>
          <w:color w:val="auto"/>
        </w:rPr>
      </w:pPr>
    </w:p>
    <w:p>
      <w:pPr>
        <w:ind w:left="-100" w:right="80" w:firstLine="233"/>
        <w:spacing w:after="0" w:line="259" w:lineRule="auto"/>
        <w:tabs>
          <w:tab w:leader="none" w:pos="30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Forfeitures of Restricted Stock Units</w:t>
      </w:r>
      <w:r>
        <w:rPr>
          <w:rFonts w:ascii="Arial" w:cs="Arial" w:eastAsia="Arial" w:hAnsi="Arial"/>
          <w:sz w:val="18"/>
          <w:szCs w:val="18"/>
          <w:color w:val="auto"/>
        </w:rPr>
        <w:t>. Upon Termination of Employment from the Company for any reason other than as described in Section 2, Employee shall immediately forfeit all unvested Restricted Stock Units, without the payment of any consideration or further consideration by the Company. Upon forfeiture, neither Employee nor any successors, heirs, assigns, or legal representatives of Employee shall thereafter have any further rights or interest in the unvested Restricted Stock Units or certificates therefor.</w:t>
      </w:r>
    </w:p>
    <w:p>
      <w:pPr>
        <w:spacing w:after="0" w:line="78" w:lineRule="exact"/>
        <w:rPr>
          <w:rFonts w:ascii="Arial" w:cs="Arial" w:eastAsia="Arial" w:hAnsi="Arial"/>
          <w:sz w:val="18"/>
          <w:szCs w:val="18"/>
          <w:color w:val="auto"/>
        </w:rPr>
      </w:pPr>
    </w:p>
    <w:p>
      <w:pPr>
        <w:ind w:left="440" w:hanging="190"/>
        <w:spacing w:after="0"/>
        <w:tabs>
          <w:tab w:leader="none" w:pos="4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Before 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right="40" w:firstLine="215"/>
        <w:spacing w:after="0" w:line="264" w:lineRule="auto"/>
        <w:tabs>
          <w:tab w:leader="none" w:pos="73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Absent prior written consent of the Committee, the Restricted Stock Units granted hereunder to Employee may not be sold, assigned, transferred, pledged or otherwise encumbered, whether voluntarily or involuntarily, by operation of law or otherwise, from the Grant Date until such shares have become vested and not subject to deferral.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131" w:name="page132"/>
    <w:bookmarkEnd w:id="131"/>
    <w:p>
      <w:pPr>
        <w:ind w:left="340" w:right="20" w:firstLine="215"/>
        <w:spacing w:after="0" w:line="272" w:lineRule="auto"/>
        <w:tabs>
          <w:tab w:leader="none" w:pos="820" w:val="left"/>
        </w:tabs>
        <w:numPr>
          <w:ilvl w:val="2"/>
          <w:numId w:val="83"/>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or her Beneficiary hereunder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left="520" w:hanging="190"/>
        <w:spacing w:after="0"/>
        <w:tabs>
          <w:tab w:leader="none" w:pos="5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Elective Deferrals Prior to Vesting.</w:t>
      </w:r>
    </w:p>
    <w:p>
      <w:pPr>
        <w:spacing w:after="0" w:line="117" w:lineRule="exact"/>
        <w:rPr>
          <w:rFonts w:ascii="Arial" w:cs="Arial" w:eastAsia="Arial" w:hAnsi="Arial"/>
          <w:sz w:val="18"/>
          <w:szCs w:val="18"/>
          <w:color w:val="auto"/>
        </w:rPr>
      </w:pPr>
    </w:p>
    <w:p>
      <w:pPr>
        <w:ind w:left="340" w:firstLine="215"/>
        <w:spacing w:after="0" w:line="297" w:lineRule="auto"/>
        <w:tabs>
          <w:tab w:leader="none" w:pos="810"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Committee may establish procedures pursuant to which Employee may elect to defer, until a time or times later than the vesting of a Restricted Stock Unit, receipt of all or a portion of the shares of Common Stock deliverable in respect of a Restricted Stock Unit, all on such terms and conditions as Company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50" w:lineRule="exact"/>
        <w:rPr>
          <w:rFonts w:ascii="Arial" w:cs="Arial" w:eastAsia="Arial" w:hAnsi="Arial"/>
          <w:sz w:val="16"/>
          <w:szCs w:val="16"/>
          <w:color w:val="auto"/>
        </w:rPr>
      </w:pPr>
    </w:p>
    <w:p>
      <w:pPr>
        <w:ind w:left="340" w:right="40" w:firstLine="215"/>
        <w:spacing w:after="0" w:line="273" w:lineRule="auto"/>
        <w:tabs>
          <w:tab w:leader="none" w:pos="820" w:val="left"/>
        </w:tabs>
        <w:numPr>
          <w:ilvl w:val="2"/>
          <w:numId w:val="84"/>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if deferral of Restricted Stock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70" w:lineRule="exact"/>
        <w:rPr>
          <w:rFonts w:ascii="Arial" w:cs="Arial" w:eastAsia="Arial" w:hAnsi="Arial"/>
          <w:sz w:val="17"/>
          <w:szCs w:val="17"/>
          <w:color w:val="auto"/>
        </w:rPr>
      </w:pPr>
    </w:p>
    <w:p>
      <w:pPr>
        <w:ind w:left="-20" w:right="600" w:firstLine="233"/>
        <w:spacing w:after="0" w:line="264" w:lineRule="auto"/>
        <w:tabs>
          <w:tab w:leader="none" w:pos="38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will have no rights as a stockholder with regard to the Restricted Stock Units prior to vesting. However, the Company will pay Dividend Equivalents on unvested Restricted Stock Units, in the form of cash at such time as dividends are paid on the Company’s outstanding shares of Common Stock; provided that, for Restricted Stock Units that 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32" w:name="page133"/>
    <w:bookmarkEnd w:id="132"/>
    <w:p>
      <w:pPr>
        <w:ind w:right="400"/>
        <w:spacing w:after="0" w:line="308" w:lineRule="auto"/>
        <w:rPr>
          <w:sz w:val="20"/>
          <w:szCs w:val="20"/>
          <w:color w:val="auto"/>
        </w:rPr>
      </w:pPr>
      <w:r>
        <w:rPr>
          <w:rFonts w:ascii="Arial" w:cs="Arial" w:eastAsia="Arial" w:hAnsi="Arial"/>
          <w:sz w:val="17"/>
          <w:szCs w:val="17"/>
          <w:color w:val="auto"/>
        </w:rPr>
        <w:t>subject to a deferral election of Employee pursuant to Section 5, the Company will pay Dividend Equivalents in the form of cash or additional Restricted Stock Units, at Employee’s election, at such time as dividends are paid on the Company’s outstanding shares of Common Stock.</w:t>
      </w:r>
    </w:p>
    <w:p>
      <w:pPr>
        <w:spacing w:after="0" w:line="38" w:lineRule="exact"/>
        <w:rPr>
          <w:sz w:val="20"/>
          <w:szCs w:val="20"/>
          <w:color w:val="auto"/>
        </w:rPr>
      </w:pPr>
    </w:p>
    <w:p>
      <w:pPr>
        <w:ind w:right="120" w:firstLine="233"/>
        <w:spacing w:after="0" w:line="293" w:lineRule="auto"/>
        <w:tabs>
          <w:tab w:leader="none" w:pos="4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vesting or receipt of the Restricted Stock Units or the lapse of any restrictions results in income to Employee for federal or state tax purposes, Employee shall deliver to the Company at the time of such receipt or lapse, as the case may be, such amount of money or shares of Common Stock received upon vesting of Restricted Stock Units or other shares of Common Stock owned by employee, at Employee’s election, as the Company may require to meet its obligation under applicable tax laws or regulations, and, if Employee fails to do so, the Company is authorized to withhold from the shares of Common Stock deliverable as a result of the vesting of the Restricted Stock Units or from any cash or other form of remuneration then or thereafter payable to Employee an amount equivalent to any tax required to be withheld by reasons of such resulting compensation income.</w:t>
      </w:r>
    </w:p>
    <w:p>
      <w:pPr>
        <w:spacing w:after="0" w:line="56" w:lineRule="exact"/>
        <w:rPr>
          <w:rFonts w:ascii="Arial" w:cs="Arial" w:eastAsia="Arial" w:hAnsi="Arial"/>
          <w:sz w:val="16"/>
          <w:szCs w:val="16"/>
          <w:color w:val="auto"/>
        </w:rPr>
      </w:pPr>
    </w:p>
    <w:p>
      <w:pPr>
        <w:ind w:right="260" w:firstLine="233"/>
        <w:spacing w:after="0" w:line="264"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If the outstanding shares of Common Stock or other securities of Waste Management, Inc., or both, shall at any time be changed or exchanged by declaration of a stock dividend, stock split, combination of shares, or recapitalization, the number and kind of Restricted Stock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firstLine="233"/>
        <w:spacing w:after="0" w:line="257"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ind w:right="20" w:firstLine="233"/>
        <w:spacing w:after="0" w:line="291" w:lineRule="auto"/>
        <w:tabs>
          <w:tab w:leader="none" w:pos="4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Restricted Stock Units are not transferable (either voluntarily or involuntarily), other than pursuant to a domestic relations order. Employee may designate a beneficiary or beneficiaries (the “Beneficiary”) to whom the Restricted Stock Units will pass upon Employee’s death and may change such designation from time to time by filing a written designation of Beneficiary on such form as may be prescribed by the Company; provided that no such designation shall be effective until filed with the Company. Employee may change his or her Beneficiary without the consent of any prior Beneficiary by filing a new designation with the Company; provided that no such designation shall be effective prior to receipt by the Company. Following Employee’s death, the Restricted Stock Units will pass to the designated Beneficiary and such person will be deemed Employee for purposes of any applicable provisions of this Agreement. If no such designation is made or if the designated Beneficiary does not survive Employee’s death,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the Restricted Stock Units shall pass by will or, if none, then by the laws of descent and distribution.</w:t>
      </w:r>
    </w:p>
    <w:p>
      <w:pPr>
        <w:spacing w:after="0" w:line="117" w:lineRule="exact"/>
        <w:rPr>
          <w:sz w:val="20"/>
          <w:szCs w:val="20"/>
          <w:color w:val="auto"/>
        </w:rPr>
      </w:pPr>
    </w:p>
    <w:p>
      <w:pPr>
        <w:ind w:left="620" w:hanging="270"/>
        <w:spacing w:after="0"/>
        <w:tabs>
          <w:tab w:leader="none" w:pos="62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40" w:firstLine="215"/>
        <w:spacing w:after="0" w:line="264" w:lineRule="auto"/>
        <w:tabs>
          <w:tab w:leader="none" w:pos="83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360" w:firstLine="215"/>
        <w:spacing w:after="0" w:line="259" w:lineRule="auto"/>
        <w:tabs>
          <w:tab w:leader="none" w:pos="8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that assumes all Awards granted under the Plan as contemplated by Section 2(c)(iii) to assume expressly and agree to perform this Agreement in the same manner and to the same extent that the Company would be required to perform it if no such succession had taken place, subject to the vesting rights under Section 2(c)(iii).</w:t>
      </w:r>
    </w:p>
    <w:p>
      <w:pPr>
        <w:spacing w:after="0" w:line="78" w:lineRule="exact"/>
        <w:rPr>
          <w:rFonts w:ascii="Arial" w:cs="Arial" w:eastAsia="Arial" w:hAnsi="Arial"/>
          <w:sz w:val="18"/>
          <w:szCs w:val="18"/>
          <w:color w:val="auto"/>
        </w:rPr>
      </w:pPr>
    </w:p>
    <w:p>
      <w:pPr>
        <w:ind w:left="620" w:hanging="270"/>
        <w:spacing w:after="0"/>
        <w:tabs>
          <w:tab w:leader="none" w:pos="62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360" w:right="620" w:firstLine="215"/>
        <w:spacing w:after="0" w:line="277" w:lineRule="auto"/>
        <w:tabs>
          <w:tab w:leader="none" w:pos="830" w:val="left"/>
        </w:tabs>
        <w:numPr>
          <w:ilvl w:val="2"/>
          <w:numId w:val="87"/>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Restricted Stock Units (or other form of stock incentive awards) other than in the sole discretion of the Committee;</w:t>
      </w:r>
    </w:p>
    <w:p>
      <w:pPr>
        <w:spacing w:after="0" w:line="62" w:lineRule="exact"/>
        <w:rPr>
          <w:rFonts w:ascii="Arial" w:cs="Arial" w:eastAsia="Arial" w:hAnsi="Arial"/>
          <w:sz w:val="18"/>
          <w:szCs w:val="18"/>
          <w:color w:val="auto"/>
        </w:rPr>
      </w:pPr>
    </w:p>
    <w:p>
      <w:pPr>
        <w:ind w:left="360" w:right="280" w:firstLine="215"/>
        <w:spacing w:after="0" w:line="277" w:lineRule="auto"/>
        <w:tabs>
          <w:tab w:leader="none" w:pos="8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Restricted Stock Units and applicable Common Stock following the vesting of such Restricted Stock Units); or</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2"/>
          <w:numId w:val="87"/>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right="160" w:firstLine="233"/>
        <w:spacing w:after="0" w:line="277" w:lineRule="auto"/>
        <w:tabs>
          <w:tab w:leader="none" w:pos="4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right="40" w:firstLine="233"/>
        <w:spacing w:after="0" w:line="277" w:lineRule="auto"/>
        <w:tabs>
          <w:tab w:leader="none" w:pos="4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right="40" w:firstLine="233"/>
        <w:spacing w:after="0" w:line="264" w:lineRule="auto"/>
        <w:tabs>
          <w:tab w:leader="none" w:pos="4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4" w:name="page135"/>
    <w:bookmarkEnd w:id="134"/>
    <w:p>
      <w:pPr>
        <w:ind w:left="-40" w:right="20" w:firstLine="233"/>
        <w:spacing w:after="0" w:line="264" w:lineRule="auto"/>
        <w:tabs>
          <w:tab w:leader="none" w:pos="45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16.</w:t>
      </w:r>
    </w:p>
    <w:p>
      <w:pPr>
        <w:spacing w:after="0" w:line="73" w:lineRule="exact"/>
        <w:rPr>
          <w:rFonts w:ascii="Arial" w:cs="Arial" w:eastAsia="Arial" w:hAnsi="Arial"/>
          <w:sz w:val="18"/>
          <w:szCs w:val="18"/>
          <w:color w:val="auto"/>
        </w:rPr>
      </w:pPr>
    </w:p>
    <w:p>
      <w:pPr>
        <w:ind w:left="780" w:hanging="241"/>
        <w:spacing w:after="0"/>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left="320" w:right="60" w:firstLine="215"/>
        <w:spacing w:after="0" w:line="271" w:lineRule="auto"/>
        <w:tabs>
          <w:tab w:leader="none" w:pos="8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contendre </w:t>
      </w:r>
      <w:r>
        <w:rPr>
          <w:rFonts w:ascii="Arial" w:cs="Arial" w:eastAsia="Arial" w:hAnsi="Arial"/>
          <w:sz w:val="17"/>
          <w:szCs w:val="17"/>
          <w:color w:val="auto"/>
        </w:rPr>
        <w:t>to, any felony; (iv) Employee willfully or intentionally caused material injury to the Company, its property, or its assets; (v)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70" w:lineRule="exact"/>
        <w:rPr>
          <w:rFonts w:ascii="Arial" w:cs="Arial" w:eastAsia="Arial" w:hAnsi="Arial"/>
          <w:sz w:val="17"/>
          <w:szCs w:val="17"/>
          <w:color w:val="auto"/>
        </w:rPr>
      </w:pPr>
    </w:p>
    <w:p>
      <w:pPr>
        <w:ind w:left="780" w:hanging="245"/>
        <w:spacing w:after="0"/>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540" w:right="160" w:firstLine="224"/>
        <w:spacing w:after="0" w:line="277" w:lineRule="auto"/>
        <w:tabs>
          <w:tab w:leader="none" w:pos="9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62" w:lineRule="exact"/>
        <w:rPr>
          <w:rFonts w:ascii="Arial" w:cs="Arial" w:eastAsia="Arial" w:hAnsi="Arial"/>
          <w:sz w:val="18"/>
          <w:szCs w:val="18"/>
          <w:color w:val="auto"/>
        </w:rPr>
      </w:pPr>
    </w:p>
    <w:p>
      <w:pPr>
        <w:ind w:left="540" w:firstLine="224"/>
        <w:spacing w:after="0" w:line="255" w:lineRule="auto"/>
        <w:tabs>
          <w:tab w:leader="none" w:pos="103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85" w:lineRule="exact"/>
        <w:rPr>
          <w:rFonts w:ascii="Arial" w:cs="Arial" w:eastAsia="Arial" w:hAnsi="Arial"/>
          <w:sz w:val="18"/>
          <w:szCs w:val="18"/>
          <w:color w:val="auto"/>
        </w:rPr>
      </w:pPr>
    </w:p>
    <w:p>
      <w:pPr>
        <w:ind w:left="540" w:right="200" w:firstLine="224"/>
        <w:spacing w:after="0" w:line="277" w:lineRule="auto"/>
        <w:tabs>
          <w:tab w:leader="none" w:pos="10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there is a consummated merger or consolidation of the Company with any other corporation, other than (1) a merger or consolidation which would result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35" w:name="page136"/>
    <w:bookmarkEnd w:id="135"/>
    <w:p>
      <w:pPr>
        <w:ind w:left="580" w:right="40"/>
        <w:spacing w:after="0" w:line="276" w:lineRule="auto"/>
        <w:rPr>
          <w:sz w:val="20"/>
          <w:szCs w:val="20"/>
          <w:color w:val="auto"/>
        </w:rPr>
      </w:pPr>
      <w:r>
        <w:rPr>
          <w:rFonts w:ascii="Arial" w:cs="Arial" w:eastAsia="Arial" w:hAnsi="Arial"/>
          <w:sz w:val="17"/>
          <w:szCs w:val="17"/>
          <w:color w:val="auto"/>
        </w:rPr>
        <w:t>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64" w:lineRule="exact"/>
        <w:rPr>
          <w:sz w:val="20"/>
          <w:szCs w:val="20"/>
          <w:color w:val="auto"/>
        </w:rPr>
      </w:pPr>
    </w:p>
    <w:p>
      <w:pPr>
        <w:ind w:left="580" w:firstLine="224"/>
        <w:spacing w:after="0" w:line="257" w:lineRule="auto"/>
        <w:tabs>
          <w:tab w:leader="none" w:pos="11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1440" w:hanging="297"/>
        <w:spacing w:after="0"/>
        <w:tabs>
          <w:tab w:leader="none" w:pos="1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117" w:lineRule="exact"/>
        <w:rPr>
          <w:rFonts w:ascii="Arial" w:cs="Arial" w:eastAsia="Arial" w:hAnsi="Arial"/>
          <w:sz w:val="18"/>
          <w:szCs w:val="18"/>
          <w:color w:val="auto"/>
        </w:rPr>
      </w:pPr>
    </w:p>
    <w:p>
      <w:pPr>
        <w:ind w:left="1420" w:hanging="277"/>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920" w:right="120" w:firstLine="451"/>
        <w:spacing w:after="0" w:line="257" w:lineRule="auto"/>
        <w:tabs>
          <w:tab w:leader="none" w:pos="16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This definition of Change in Control will be modified if and to the extent necessary to ensure compliance with the requirements of Section 409A of the Code, and Employee and the Company agree to execute such further instruments and take such further action as reasonably may be necessary to comply with Section 409A of the Code.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6" w:name="page137"/>
    <w:bookmarkEnd w:id="136"/>
    <w:p>
      <w:pPr>
        <w:ind w:left="480" w:hanging="265"/>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“Committee” means the Compensation Committee of the Board or such other committee of the Board as the Board may designate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02" w:lineRule="exact"/>
        <w:rPr>
          <w:rFonts w:ascii="Arial" w:cs="Arial" w:eastAsia="Arial" w:hAnsi="Arial"/>
          <w:sz w:val="16"/>
          <w:szCs w:val="16"/>
          <w:color w:val="auto"/>
        </w:rPr>
      </w:pPr>
    </w:p>
    <w:p>
      <w:pPr>
        <w:ind w:firstLine="215"/>
        <w:spacing w:after="0" w:line="259" w:lineRule="auto"/>
        <w:tabs>
          <w:tab w:leader="none" w:pos="4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78" w:lineRule="exact"/>
        <w:rPr>
          <w:rFonts w:ascii="Arial" w:cs="Arial" w:eastAsia="Arial" w:hAnsi="Arial"/>
          <w:sz w:val="18"/>
          <w:szCs w:val="18"/>
          <w:color w:val="auto"/>
        </w:rPr>
      </w:pPr>
    </w:p>
    <w:p>
      <w:pPr>
        <w:ind w:firstLine="215"/>
        <w:spacing w:after="0" w:line="264" w:lineRule="auto"/>
        <w:tabs>
          <w:tab w:leader="none" w:pos="4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73" w:lineRule="exact"/>
        <w:rPr>
          <w:rFonts w:ascii="Arial" w:cs="Arial" w:eastAsia="Arial" w:hAnsi="Arial"/>
          <w:sz w:val="18"/>
          <w:szCs w:val="18"/>
          <w:color w:val="auto"/>
        </w:rPr>
      </w:pPr>
    </w:p>
    <w:p>
      <w:pPr>
        <w:ind w:firstLine="215"/>
        <w:spacing w:after="0" w:line="255" w:lineRule="auto"/>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85" w:lineRule="exact"/>
        <w:rPr>
          <w:rFonts w:ascii="Arial" w:cs="Arial" w:eastAsia="Arial" w:hAnsi="Arial"/>
          <w:sz w:val="18"/>
          <w:szCs w:val="18"/>
          <w:color w:val="auto"/>
        </w:rPr>
      </w:pPr>
    </w:p>
    <w:p>
      <w:pPr>
        <w:ind w:right="80" w:firstLine="215"/>
        <w:spacing w:after="0" w:line="259" w:lineRule="auto"/>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right="220" w:firstLine="215"/>
        <w:spacing w:after="0" w:line="277" w:lineRule="auto"/>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six months immediately prior to the date on which a Change in Control first occurs and ending the second anniversary of the date on which a Change in Control occurs.</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137" w:name="page138"/>
    <w:bookmarkEnd w:id="137"/>
    <w:p>
      <w:pPr>
        <w:ind w:left="500" w:hanging="267"/>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80" w:firstLine="215"/>
        <w:spacing w:after="0" w:line="312" w:lineRule="auto"/>
        <w:tabs>
          <w:tab w:leader="none" w:pos="83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38" w:lineRule="exact"/>
        <w:rPr>
          <w:rFonts w:ascii="Arial" w:cs="Arial" w:eastAsia="Arial" w:hAnsi="Arial"/>
          <w:sz w:val="16"/>
          <w:szCs w:val="16"/>
          <w:color w:val="auto"/>
        </w:rPr>
      </w:pPr>
    </w:p>
    <w:p>
      <w:pPr>
        <w:ind w:left="360" w:right="200" w:firstLine="215"/>
        <w:spacing w:after="0" w:line="277" w:lineRule="auto"/>
        <w:tabs>
          <w:tab w:leader="none" w:pos="8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62" w:lineRule="exact"/>
        <w:rPr>
          <w:rFonts w:ascii="Arial" w:cs="Arial" w:eastAsia="Arial" w:hAnsi="Arial"/>
          <w:sz w:val="18"/>
          <w:szCs w:val="18"/>
          <w:color w:val="auto"/>
        </w:rPr>
      </w:pPr>
    </w:p>
    <w:p>
      <w:pPr>
        <w:ind w:left="360" w:right="120" w:firstLine="215"/>
        <w:spacing w:after="0" w:line="308" w:lineRule="auto"/>
        <w:tabs>
          <w:tab w:leader="none" w:pos="83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38" w:lineRule="exact"/>
        <w:rPr>
          <w:rFonts w:ascii="Arial" w:cs="Arial" w:eastAsia="Arial" w:hAnsi="Arial"/>
          <w:sz w:val="17"/>
          <w:szCs w:val="17"/>
          <w:color w:val="auto"/>
        </w:rPr>
      </w:pPr>
    </w:p>
    <w:p>
      <w:pPr>
        <w:ind w:left="500" w:hanging="267"/>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Jimmy LaValley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4441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LaValley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Vice-President, People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152400</wp:posOffset>
            </wp:positionV>
            <wp:extent cx="2941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35" w:right="2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121"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This Performance Share Unit Award Agreement (“Agreement”) is entered into effective as of January 27, 2006 the “Grant Date”), by and between Waste Management, Inc., a Delaware corporation (together with its Subsidiaries and Affiliates, the “Company”), and &lt;&lt; Full_NameFirst&gt;&gt; (the “Employee”), pursuant to the Waste Management, Inc. 2004 Stock Incentive Plan (the “Plan”). Employee and the Company agree to execute such further instruments and to take such further action as may reasonably be necessary to carry out the intent of this Agreement.</w:t>
      </w:r>
    </w:p>
    <w:p>
      <w:pPr>
        <w:spacing w:after="0" w:line="63" w:lineRule="exact"/>
        <w:rPr>
          <w:sz w:val="20"/>
          <w:szCs w:val="20"/>
          <w:color w:val="auto"/>
        </w:rPr>
      </w:pPr>
    </w:p>
    <w:p>
      <w:pPr>
        <w:ind w:right="80" w:firstLine="233"/>
        <w:spacing w:after="0" w:line="286" w:lineRule="auto"/>
        <w:tabs>
          <w:tab w:leader="none" w:pos="40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xml:space="preserve"> In accordance with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57" w:lineRule="exact"/>
        <w:rPr>
          <w:rFonts w:ascii="Arial" w:cs="Arial" w:eastAsia="Arial" w:hAnsi="Arial"/>
          <w:sz w:val="17"/>
          <w:szCs w:val="17"/>
          <w:color w:val="auto"/>
        </w:rPr>
      </w:pPr>
    </w:p>
    <w:p>
      <w:pPr>
        <w:ind w:left="420" w:hanging="187"/>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200" w:firstLine="215"/>
        <w:spacing w:after="0" w:line="286" w:lineRule="auto"/>
        <w:tabs>
          <w:tab w:leader="none" w:pos="83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“Performance Period” for this Award shall be the 36-month period commencing on January 1, 2006 and ending on December 31, 2008. The Award shall be subject to performance vesting requirements based upon the achievement of the Performance Target specified below, subject to certification of the degree of achievement of such Performance Target by the Committee pursuant to Section 7 of the Plan.</w:t>
      </w:r>
    </w:p>
    <w:p>
      <w:pPr>
        <w:spacing w:after="0" w:line="57" w:lineRule="exact"/>
        <w:rPr>
          <w:rFonts w:ascii="Arial" w:cs="Arial" w:eastAsia="Arial" w:hAnsi="Arial"/>
          <w:sz w:val="17"/>
          <w:szCs w:val="17"/>
          <w:color w:val="auto"/>
        </w:rPr>
      </w:pPr>
    </w:p>
    <w:p>
      <w:pPr>
        <w:ind w:left="360" w:right="80" w:firstLine="215"/>
        <w:spacing w:after="0" w:line="279" w:lineRule="auto"/>
        <w:tabs>
          <w:tab w:leader="none" w:pos="8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measurement tool for determining level of achievement shall be the average Return on Invested Capital (“ROIC”) for the 36-month period beginning January 1, 2006 and ending December 31, 2008. ROIC is defined to mean (i) the Company’s average “as reported” Net Operating Profit After Taxes (“NOPAT”) for the Performance Period, divided by (ii) the Company’s average Invested Capital for the Performance Period. For purposes of this Agreement, the average ROIC for the Performance Period will be calculated using the following equation: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(2006 NOPAT + 2007 NOPAT + 2008 NOPAT)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Invested Capital + 2007 Invested Capital + 2008 Invested Capital)</w:t>
      </w:r>
    </w:p>
    <w:p>
      <w:pPr>
        <w:spacing w:after="0" w:line="103" w:lineRule="exact"/>
        <w:rPr>
          <w:sz w:val="20"/>
          <w:szCs w:val="20"/>
          <w:color w:val="auto"/>
        </w:rPr>
      </w:pPr>
    </w:p>
    <w:p>
      <w:pPr>
        <w:ind w:left="420" w:hanging="187"/>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360" w:firstLine="215"/>
        <w:spacing w:after="0" w:line="264" w:lineRule="auto"/>
        <w:tabs>
          <w:tab w:leader="none" w:pos="8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“Target Award” for Employee under this Agreement is &lt;&lt;M_Units&gt;&gt; Performance Share Units. The actual number of Performance Share Units earned by Employee will be determined as described below, based upon the actual achievement of ROIC for the Performance Period. The “Threshold ROIC” is the minimum ROIC that must be achieved to qualify for any Award; “Target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9" w:name="page140"/>
    <w:bookmarkEnd w:id="139"/>
    <w:p>
      <w:pPr>
        <w:ind w:left="360" w:right="120"/>
        <w:spacing w:after="0" w:line="259" w:lineRule="auto"/>
        <w:rPr>
          <w:sz w:val="20"/>
          <w:szCs w:val="20"/>
          <w:color w:val="auto"/>
        </w:rPr>
      </w:pPr>
      <w:r>
        <w:rPr>
          <w:rFonts w:ascii="Arial" w:cs="Arial" w:eastAsia="Arial" w:hAnsi="Arial"/>
          <w:sz w:val="18"/>
          <w:szCs w:val="18"/>
          <w:color w:val="auto"/>
        </w:rPr>
        <w:t>ROIC” is the expected achievement in ROIC; and “Maximum ROIC” is the maximum ROIC that could be achieved that would result in an increase in the number of Performance Share Units earned under this Award. These targets will be announced to Employee by March 15, 2006, following calculation of year-end financial reporting for 2005. Subject to adjustment pursuant to Subsection 3(b), 3(c) and 3(d), each such percentage correlates to a number of Performance Share Units that may be earned under this Award,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jc w:val="center"/>
              <w:spacing w:after="0"/>
              <w:rPr>
                <w:sz w:val="20"/>
                <w:szCs w:val="20"/>
                <w:color w:val="auto"/>
              </w:rPr>
            </w:pPr>
            <w:r>
              <w:rPr>
                <w:rFonts w:ascii="Arial" w:cs="Arial" w:eastAsia="Arial" w:hAnsi="Arial"/>
                <w:sz w:val="14"/>
                <w:szCs w:val="14"/>
                <w:color w:val="auto"/>
                <w:w w:val="95"/>
              </w:rPr>
              <w:t>Average ROIC Achieved During</w:t>
            </w:r>
          </w:p>
        </w:tc>
        <w:tc>
          <w:tcPr>
            <w:tcW w:w="22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color w:val="auto"/>
                <w:w w:val="92"/>
              </w:rPr>
              <w:t>Resulting Performance Share Units</w:t>
            </w:r>
          </w:p>
        </w:tc>
      </w:tr>
      <w:tr>
        <w:trPr>
          <w:trHeight w:val="167"/>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Performance Period</w:t>
            </w:r>
          </w:p>
        </w:tc>
        <w:tc>
          <w:tcPr>
            <w:tcW w:w="220" w:type="dxa"/>
            <w:vAlign w:val="bottom"/>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Earned</w:t>
            </w:r>
          </w:p>
        </w:tc>
      </w:tr>
      <w:tr>
        <w:trPr>
          <w:trHeight w:val="210"/>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Threshold ROIC</w:t>
            </w:r>
          </w:p>
        </w:tc>
        <w:tc>
          <w:tcPr>
            <w:tcW w:w="220" w:type="dxa"/>
            <w:vAlign w:val="bottom"/>
            <w:shd w:val="clear" w:color="auto" w:fill="CCEEFF"/>
          </w:tcPr>
          <w:p>
            <w:pPr>
              <w:spacing w:after="0"/>
              <w:rPr>
                <w:sz w:val="18"/>
                <w:szCs w:val="18"/>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of Target Award</w:t>
            </w: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color w:val="auto"/>
                <w:w w:val="90"/>
              </w:rPr>
              <w:t>Target ROIC</w:t>
            </w:r>
          </w:p>
        </w:tc>
        <w:tc>
          <w:tcPr>
            <w:tcW w:w="2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100% of Target Award</w:t>
            </w: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Maximum ROIC</w:t>
            </w:r>
          </w:p>
        </w:tc>
        <w:tc>
          <w:tcPr>
            <w:tcW w:w="220" w:type="dxa"/>
            <w:vAlign w:val="bottom"/>
            <w:shd w:val="clear" w:color="auto" w:fill="CCEEFF"/>
          </w:tcPr>
          <w:p>
            <w:pPr>
              <w:spacing w:after="0"/>
              <w:rPr>
                <w:sz w:val="18"/>
                <w:szCs w:val="18"/>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of Target Award</w:t>
            </w:r>
          </w:p>
        </w:tc>
      </w:tr>
    </w:tbl>
    <w:p>
      <w:pPr>
        <w:spacing w:after="0" w:line="94" w:lineRule="exact"/>
        <w:rPr>
          <w:sz w:val="20"/>
          <w:szCs w:val="20"/>
          <w:color w:val="auto"/>
        </w:rPr>
      </w:pPr>
    </w:p>
    <w:p>
      <w:pPr>
        <w:ind w:left="360" w:right="220" w:firstLine="215"/>
        <w:spacing w:after="0" w:line="277" w:lineRule="auto"/>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ROIC, no Performance Shares Units shall be earned under this Award.</w:t>
      </w:r>
    </w:p>
    <w:p>
      <w:pPr>
        <w:spacing w:after="0" w:line="62" w:lineRule="exact"/>
        <w:rPr>
          <w:rFonts w:ascii="Arial" w:cs="Arial" w:eastAsia="Arial" w:hAnsi="Arial"/>
          <w:sz w:val="18"/>
          <w:szCs w:val="18"/>
          <w:color w:val="auto"/>
        </w:rPr>
      </w:pPr>
    </w:p>
    <w:p>
      <w:pPr>
        <w:ind w:left="360" w:right="100" w:firstLine="215"/>
        <w:spacing w:after="0" w:line="264" w:lineRule="auto"/>
        <w:tabs>
          <w:tab w:leader="none" w:pos="8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Company’s actual ROIC for the Performance Period is between Threshold ROIC and Target ROIC, the number of Performance Share Units earned shall equal to the sum of (i) the Performance Shares Units for achievement of Threshold ROIC plus (ii) the number of Performance Shares determined under the following formula:</w:t>
      </w:r>
    </w:p>
    <w:p>
      <w:pPr>
        <w:spacing w:after="0" w:line="177" w:lineRule="exact"/>
        <w:rPr>
          <w:sz w:val="20"/>
          <w:szCs w:val="20"/>
          <w:color w:val="auto"/>
        </w:rPr>
      </w:pPr>
    </w:p>
    <w:p>
      <w:pPr>
        <w:jc w:val="right"/>
        <w:ind w:right="4640"/>
        <w:spacing w:after="0"/>
        <w:tabs>
          <w:tab w:leader="none" w:pos="5740" w:val="left"/>
          <w:tab w:leader="none" w:pos="5400" w:val="left"/>
        </w:tabs>
        <w:rPr>
          <w:sz w:val="20"/>
          <w:szCs w:val="20"/>
          <w:color w:val="auto"/>
        </w:rPr>
      </w:pPr>
      <w:r>
        <w:rPr>
          <w:rFonts w:ascii="Arial" w:cs="Arial" w:eastAsia="Arial" w:hAnsi="Arial"/>
          <w:sz w:val="18"/>
          <w:szCs w:val="18"/>
          <w:b w:val="1"/>
          <w:bCs w:val="1"/>
          <w:color w:val="auto"/>
        </w:rPr>
        <w:t>(TAS – TS)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b w:val="1"/>
          <w:bCs w:val="1"/>
          <w:color w:val="auto"/>
        </w:rPr>
        <w:t>(AP – 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17145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 w:lineRule="exact"/>
        <w:rPr>
          <w:sz w:val="20"/>
          <w:szCs w:val="20"/>
          <w:color w:val="auto"/>
        </w:rPr>
      </w:pPr>
    </w:p>
    <w:p>
      <w:pPr>
        <w:jc w:val="right"/>
        <w:ind w:right="4680"/>
        <w:spacing w:after="0"/>
        <w:rPr>
          <w:sz w:val="20"/>
          <w:szCs w:val="20"/>
          <w:color w:val="auto"/>
        </w:rPr>
      </w:pPr>
      <w:r>
        <w:rPr>
          <w:rFonts w:ascii="Arial" w:cs="Arial" w:eastAsia="Arial" w:hAnsi="Arial"/>
          <w:sz w:val="18"/>
          <w:szCs w:val="18"/>
          <w:b w:val="1"/>
          <w:bCs w:val="1"/>
          <w:color w:val="auto"/>
        </w:rPr>
        <w:t>TAP -TP</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TAS = Performance Share Units earned for achievement of the Target ROIC.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TS = Performance Share Units earned for achievement of the Threshold ROIC.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 = The percent payment earned based on actual ROIC performance.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TP = The percent payment earned based on Threshold ROIC performance.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TAP = The percent payment earned based on Target ROIC performance.</w:t>
      </w:r>
    </w:p>
    <w:p>
      <w:pPr>
        <w:spacing w:after="0" w:line="103" w:lineRule="exact"/>
        <w:rPr>
          <w:sz w:val="20"/>
          <w:szCs w:val="20"/>
          <w:color w:val="auto"/>
        </w:rPr>
      </w:pPr>
    </w:p>
    <w:p>
      <w:pPr>
        <w:jc w:val="both"/>
        <w:ind w:left="360" w:right="20" w:firstLine="215"/>
        <w:spacing w:after="0" w:line="264" w:lineRule="auto"/>
        <w:tabs>
          <w:tab w:leader="none" w:pos="8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Company’s actual ROIC for the Performance Period is between Target ROIC and Maximum ROIC, the number of Performance Share Units earned shall equal to the sum of (i) the Performance Share Units earned for achievement of Target ROIC plus (ii) the number of Performance Share Units determined under the following formula:</w:t>
      </w:r>
    </w:p>
    <w:p>
      <w:pPr>
        <w:spacing w:after="0" w:line="177" w:lineRule="exact"/>
        <w:rPr>
          <w:sz w:val="20"/>
          <w:szCs w:val="20"/>
          <w:color w:val="auto"/>
        </w:rPr>
      </w:pPr>
    </w:p>
    <w:p>
      <w:pPr>
        <w:ind w:left="4580"/>
        <w:spacing w:after="0"/>
        <w:tabs>
          <w:tab w:leader="none" w:pos="5640" w:val="left"/>
          <w:tab w:leader="none" w:pos="5920" w:val="left"/>
        </w:tabs>
        <w:rPr>
          <w:sz w:val="20"/>
          <w:szCs w:val="20"/>
          <w:color w:val="auto"/>
        </w:rPr>
      </w:pPr>
      <w:r>
        <w:rPr>
          <w:rFonts w:ascii="Arial" w:cs="Arial" w:eastAsia="Arial" w:hAnsi="Arial"/>
          <w:sz w:val="18"/>
          <w:szCs w:val="18"/>
          <w:b w:val="1"/>
          <w:bCs w:val="1"/>
          <w:color w:val="auto"/>
        </w:rPr>
        <w:t>(MS – TAS)</w:t>
        <w:tab/>
        <w:t>x</w:t>
      </w:r>
      <w:r>
        <w:rPr>
          <w:sz w:val="20"/>
          <w:szCs w:val="20"/>
          <w:color w:val="auto"/>
        </w:rPr>
        <w:tab/>
      </w:r>
      <w:r>
        <w:rPr>
          <w:rFonts w:ascii="Arial" w:cs="Arial" w:eastAsia="Arial" w:hAnsi="Arial"/>
          <w:sz w:val="17"/>
          <w:szCs w:val="17"/>
          <w:b w:val="1"/>
          <w:bCs w:val="1"/>
          <w:color w:val="auto"/>
        </w:rPr>
        <w:t>(AP – TAP)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17145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MP-TAP</w:t>
      </w:r>
    </w:p>
    <w:p>
      <w:pPr>
        <w:spacing w:after="0" w:line="121" w:lineRule="exact"/>
        <w:rPr>
          <w:sz w:val="20"/>
          <w:szCs w:val="20"/>
          <w:color w:val="auto"/>
        </w:rPr>
      </w:pPr>
    </w:p>
    <w:p>
      <w:pPr>
        <w:ind w:left="360" w:right="5300"/>
        <w:spacing w:after="0" w:line="312" w:lineRule="auto"/>
        <w:rPr>
          <w:sz w:val="20"/>
          <w:szCs w:val="20"/>
          <w:color w:val="auto"/>
        </w:rPr>
      </w:pPr>
      <w:r>
        <w:rPr>
          <w:rFonts w:ascii="Arial" w:cs="Arial" w:eastAsia="Arial" w:hAnsi="Arial"/>
          <w:sz w:val="16"/>
          <w:szCs w:val="16"/>
          <w:color w:val="auto"/>
        </w:rPr>
        <w:t>MS = Performance Share Units earned for achievement of the Maximum ROIC. TAS = Performance Share Units earned for achievement of the Target ROIC. AP = The percent payment earned based on actual ROIC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0" w:name="page141"/>
    <w:bookmarkEnd w:id="140"/>
    <w:p>
      <w:pPr>
        <w:ind w:left="240"/>
        <w:spacing w:after="0"/>
        <w:rPr>
          <w:sz w:val="20"/>
          <w:szCs w:val="20"/>
          <w:color w:val="auto"/>
        </w:rPr>
      </w:pPr>
      <w:r>
        <w:rPr>
          <w:rFonts w:ascii="Arial" w:cs="Arial" w:eastAsia="Arial" w:hAnsi="Arial"/>
          <w:sz w:val="18"/>
          <w:szCs w:val="18"/>
          <w:color w:val="auto"/>
        </w:rPr>
        <w:t>TAP = The percent payment earned based on Target ROIC performance.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MP = The percent payment earned based on Maximum ROIC performance.</w:t>
      </w:r>
    </w:p>
    <w:p>
      <w:pPr>
        <w:spacing w:after="0" w:line="103" w:lineRule="exact"/>
        <w:rPr>
          <w:sz w:val="20"/>
          <w:szCs w:val="20"/>
          <w:color w:val="auto"/>
        </w:rPr>
      </w:pPr>
    </w:p>
    <w:p>
      <w:pPr>
        <w:jc w:val="both"/>
        <w:ind w:left="-120" w:right="60" w:firstLine="233"/>
        <w:spacing w:after="0" w:line="302" w:lineRule="auto"/>
        <w:tabs>
          <w:tab w:leader="none" w:pos="28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Unless timely deferred by Employee in accordance with Section 9,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w:t>
      </w:r>
    </w:p>
    <w:p>
      <w:pPr>
        <w:spacing w:after="0" w:line="46" w:lineRule="exact"/>
        <w:rPr>
          <w:rFonts w:ascii="Arial" w:cs="Arial" w:eastAsia="Arial" w:hAnsi="Arial"/>
          <w:sz w:val="16"/>
          <w:szCs w:val="16"/>
          <w:color w:val="auto"/>
        </w:rPr>
      </w:pPr>
    </w:p>
    <w:p>
      <w:pPr>
        <w:ind w:left="-120" w:firstLine="233"/>
        <w:spacing w:after="0" w:line="257" w:lineRule="auto"/>
        <w:tabs>
          <w:tab w:leader="none" w:pos="2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 Upon Termination of Employment from the Company by reason of Employee’s death or disability (as determined by the Committee), Employee (or in the case of Employee’s death, Employee’s beneficiary) shall be entitled to receive the Performance Share Units Employee would have been entitled to under Section 3 if he had remained employed until the last day of the Performance Period. Unless directed otherwise pursuant to Employee’s deferral election, the delivery of shares of Common Stock in satisfaction of such Performance Share Units shall be made as soon as administratively feasible after the end of the Performance Period.</w:t>
      </w:r>
    </w:p>
    <w:p>
      <w:pPr>
        <w:spacing w:after="0" w:line="80" w:lineRule="exact"/>
        <w:rPr>
          <w:rFonts w:ascii="Arial" w:cs="Arial" w:eastAsia="Arial" w:hAnsi="Arial"/>
          <w:sz w:val="18"/>
          <w:szCs w:val="18"/>
          <w:color w:val="auto"/>
        </w:rPr>
      </w:pPr>
    </w:p>
    <w:p>
      <w:pPr>
        <w:ind w:left="-120" w:right="140" w:firstLine="233"/>
        <w:spacing w:after="0" w:line="255" w:lineRule="auto"/>
        <w:tabs>
          <w:tab w:leader="none" w:pos="2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by the Company or Retirement by Employee</w:t>
      </w:r>
      <w:r>
        <w:rPr>
          <w:rFonts w:ascii="Arial" w:cs="Arial" w:eastAsia="Arial" w:hAnsi="Arial"/>
          <w:sz w:val="18"/>
          <w:szCs w:val="18"/>
          <w:color w:val="auto"/>
        </w:rPr>
        <w:t>. Upon either an involuntary Termination of Employment from the Company without Cause by the Company or a qualifying Retirement by Employee, Employee shall be entitled to receive the Performance Share Units Employee would have been entitled to under Section 3 if he had remained employed until the last day of the Performance Period, prorated for the number of days he was employed during the Performance Period. Unless directed otherwise pursuant to Employee’s deferral election, the delivery of shares of Common Stock in satisfaction of such Performance Share Units shall be made as soon as administratively feasible after the end of the Performance Period.</w:t>
      </w:r>
    </w:p>
    <w:p>
      <w:pPr>
        <w:spacing w:after="0" w:line="85" w:lineRule="exact"/>
        <w:rPr>
          <w:rFonts w:ascii="Arial" w:cs="Arial" w:eastAsia="Arial" w:hAnsi="Arial"/>
          <w:sz w:val="18"/>
          <w:szCs w:val="18"/>
          <w:color w:val="auto"/>
        </w:rPr>
      </w:pPr>
    </w:p>
    <w:p>
      <w:pPr>
        <w:ind w:left="-120" w:right="160" w:firstLine="233"/>
        <w:spacing w:after="0" w:line="264" w:lineRule="auto"/>
        <w:tabs>
          <w:tab w:leader="none" w:pos="2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73" w:lineRule="exact"/>
        <w:rPr>
          <w:rFonts w:ascii="Arial" w:cs="Arial" w:eastAsia="Arial" w:hAnsi="Arial"/>
          <w:sz w:val="18"/>
          <w:szCs w:val="18"/>
          <w:color w:val="auto"/>
        </w:rPr>
      </w:pPr>
    </w:p>
    <w:p>
      <w:pPr>
        <w:ind w:left="-120" w:firstLine="233"/>
        <w:spacing w:after="0" w:line="277" w:lineRule="auto"/>
        <w:tabs>
          <w:tab w:leader="none" w:pos="2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sectPr>
      </w:pPr>
    </w:p>
    <w:bookmarkStart w:id="141" w:name="page142"/>
    <w:bookmarkEnd w:id="141"/>
    <w:p>
      <w:pPr>
        <w:ind w:firstLine="215"/>
        <w:spacing w:after="0" w:line="255" w:lineRule="auto"/>
        <w:tabs>
          <w:tab w:leader="none" w:pos="4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Performance Share Units that he would have otherwise received based upon achievement of ROIC after reducing the Performance Period so that it ends on the last day of the quarter preceding the Change in Control (the “Early Measurement Date”) and making adjustments to Target ROIC so as to be equal to the ROIC budgeted for that period and appropriate adjustments to Threshold ROIC and Maximum ROIC so that they bear the same ratio to the Threshold ROIC and Maximum ROIC amounts above as the revised Target ROIC amount bear to the Target ROIC amount above, converted into a cash payment equivalent to the number of Performance Share Units earned under this Section 8 multiplied by the closing price of the Common Stock on the Early Measurement Date; and</w:t>
      </w:r>
    </w:p>
    <w:p>
      <w:pPr>
        <w:spacing w:after="0" w:line="85" w:lineRule="exact"/>
        <w:rPr>
          <w:rFonts w:ascii="Arial" w:cs="Arial" w:eastAsia="Arial" w:hAnsi="Arial"/>
          <w:sz w:val="18"/>
          <w:szCs w:val="18"/>
          <w:color w:val="auto"/>
        </w:rPr>
      </w:pPr>
    </w:p>
    <w:p>
      <w:pPr>
        <w:ind w:left="480" w:hanging="265"/>
        <w:spacing w:after="0"/>
        <w:tabs>
          <w:tab w:leader="none" w:pos="4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earn Performance Stock Units for the entire length of the original Performance Period:</w:t>
      </w:r>
    </w:p>
    <w:p>
      <w:pPr>
        <w:spacing w:after="0" w:line="128" w:lineRule="exact"/>
        <w:rPr>
          <w:rFonts w:ascii="Arial" w:cs="Arial" w:eastAsia="Arial" w:hAnsi="Arial"/>
          <w:sz w:val="17"/>
          <w:szCs w:val="17"/>
          <w:color w:val="auto"/>
        </w:rPr>
      </w:pPr>
    </w:p>
    <w:p>
      <w:pPr>
        <w:ind w:left="340" w:right="180" w:firstLine="218"/>
        <w:spacing w:after="0" w:line="264" w:lineRule="auto"/>
        <w:tabs>
          <w:tab w:leader="none" w:pos="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product of the following equation:</w:t>
      </w:r>
    </w:p>
    <w:p>
      <w:pPr>
        <w:spacing w:after="0" w:line="177" w:lineRule="exact"/>
        <w:rPr>
          <w:sz w:val="20"/>
          <w:szCs w:val="20"/>
          <w:color w:val="auto"/>
        </w:rPr>
      </w:pPr>
    </w:p>
    <w:p>
      <w:pPr>
        <w:ind w:left="4440"/>
        <w:spacing w:after="0"/>
        <w:tabs>
          <w:tab w:leader="none" w:pos="5180" w:val="left"/>
          <w:tab w:leader="none" w:pos="5860" w:val="left"/>
        </w:tabs>
        <w:rPr>
          <w:sz w:val="20"/>
          <w:szCs w:val="20"/>
          <w:color w:val="auto"/>
        </w:rPr>
      </w:pPr>
      <w:r>
        <w:rPr>
          <w:rFonts w:ascii="Arial" w:cs="Arial" w:eastAsia="Arial" w:hAnsi="Arial"/>
          <w:sz w:val="18"/>
          <w:szCs w:val="18"/>
          <w:b w:val="1"/>
          <w:bCs w:val="1"/>
          <w:color w:val="auto"/>
        </w:rPr>
        <w:t>TAP x</w:t>
      </w:r>
      <w:r>
        <w:rPr>
          <w:sz w:val="20"/>
          <w:szCs w:val="20"/>
          <w:color w:val="auto"/>
        </w:rPr>
        <w:tab/>
      </w:r>
      <w:r>
        <w:rPr>
          <w:rFonts w:ascii="Arial" w:cs="Arial" w:eastAsia="Arial" w:hAnsi="Arial"/>
          <w:sz w:val="18"/>
          <w:szCs w:val="18"/>
          <w:b w:val="1"/>
          <w:bCs w:val="1"/>
          <w:color w:val="auto"/>
        </w:rPr>
        <w:t>EMD</w:t>
      </w:r>
      <w:r>
        <w:rPr>
          <w:sz w:val="20"/>
          <w:szCs w:val="20"/>
          <w:color w:val="auto"/>
        </w:rPr>
        <w:tab/>
      </w:r>
      <w:r>
        <w:rPr>
          <w:rFonts w:ascii="Arial" w:cs="Arial" w:eastAsia="Arial" w:hAnsi="Arial"/>
          <w:sz w:val="17"/>
          <w:szCs w:val="17"/>
          <w:b w:val="1"/>
          <w:bCs w:val="1"/>
          <w:color w:val="auto"/>
        </w:rPr>
        <w:t>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17145</wp:posOffset>
            </wp:positionV>
            <wp:extent cx="5403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1096-EMD</w:t>
      </w:r>
    </w:p>
    <w:p>
      <w:pPr>
        <w:spacing w:after="0" w:line="121" w:lineRule="exact"/>
        <w:rPr>
          <w:sz w:val="20"/>
          <w:szCs w:val="20"/>
          <w:color w:val="auto"/>
        </w:rPr>
      </w:pPr>
    </w:p>
    <w:p>
      <w:pPr>
        <w:ind w:left="340" w:right="780"/>
        <w:spacing w:after="0" w:line="258"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ROIC specified in Section 3(a) EMD = the number of days occurring from the Grant Date to the Early Measurement Date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03"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Any restricted stock units in the successor entity awarded under this Section 8(b)(i) will vest completely on or before December 31, 2008,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restricted stock units in the successor entity awarded pursuant to this Section 8(b)(i).</w:t>
      </w:r>
    </w:p>
    <w:p>
      <w:pPr>
        <w:spacing w:after="0" w:line="79" w:lineRule="exact"/>
        <w:rPr>
          <w:sz w:val="20"/>
          <w:szCs w:val="20"/>
          <w:color w:val="auto"/>
        </w:rPr>
      </w:pPr>
    </w:p>
    <w:p>
      <w:pPr>
        <w:ind w:left="340" w:right="460" w:firstLine="218"/>
        <w:spacing w:after="0" w:line="277" w:lineRule="auto"/>
        <w:tabs>
          <w:tab w:leader="none" w:pos="8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product of the following equation:</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142" w:name="page143"/>
    <w:bookmarkEnd w:id="142"/>
    <w:p>
      <w:pPr>
        <w:ind w:left="4740"/>
        <w:spacing w:after="0"/>
        <w:tabs>
          <w:tab w:leader="none" w:pos="5480" w:val="left"/>
          <w:tab w:leader="none" w:pos="6160" w:val="left"/>
        </w:tabs>
        <w:rPr>
          <w:sz w:val="20"/>
          <w:szCs w:val="20"/>
          <w:color w:val="auto"/>
        </w:rPr>
      </w:pPr>
      <w:r>
        <w:rPr>
          <w:rFonts w:ascii="Arial" w:cs="Arial" w:eastAsia="Arial" w:hAnsi="Arial"/>
          <w:sz w:val="18"/>
          <w:szCs w:val="18"/>
          <w:b w:val="1"/>
          <w:bCs w:val="1"/>
          <w:color w:val="auto"/>
        </w:rPr>
        <w:t>TAP x</w:t>
      </w:r>
      <w:r>
        <w:rPr>
          <w:sz w:val="20"/>
          <w:szCs w:val="20"/>
          <w:color w:val="auto"/>
        </w:rPr>
        <w:tab/>
      </w:r>
      <w:r>
        <w:rPr>
          <w:rFonts w:ascii="Arial" w:cs="Arial" w:eastAsia="Arial" w:hAnsi="Arial"/>
          <w:sz w:val="18"/>
          <w:szCs w:val="18"/>
          <w:b w:val="1"/>
          <w:bCs w:val="1"/>
          <w:color w:val="auto"/>
        </w:rPr>
        <w:t>EMD</w:t>
      </w:r>
      <w:r>
        <w:rPr>
          <w:sz w:val="20"/>
          <w:szCs w:val="20"/>
          <w:color w:val="auto"/>
        </w:rPr>
        <w:tab/>
      </w:r>
      <w:r>
        <w:rPr>
          <w:rFonts w:ascii="Arial" w:cs="Arial" w:eastAsia="Arial" w:hAnsi="Arial"/>
          <w:sz w:val="17"/>
          <w:szCs w:val="17"/>
          <w:b w:val="1"/>
          <w:bCs w:val="1"/>
          <w:color w:val="auto"/>
        </w:rPr>
        <w:t>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17145</wp:posOffset>
            </wp:positionV>
            <wp:extent cx="5403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1096-EMD</w:t>
      </w:r>
    </w:p>
    <w:p>
      <w:pPr>
        <w:spacing w:after="0" w:line="121" w:lineRule="exact"/>
        <w:rPr>
          <w:sz w:val="20"/>
          <w:szCs w:val="20"/>
          <w:color w:val="auto"/>
        </w:rPr>
      </w:pPr>
    </w:p>
    <w:p>
      <w:pPr>
        <w:ind w:left="640" w:right="740"/>
        <w:spacing w:after="0" w:line="258"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ROIC specified in Section 3(a) EMD = the number of days occurring from the Grant Date to the Early Measurement Date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03"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Any cash payment calculated under this Section 8(b)(ii) will be paid to Employee on December 31, 2008,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8(b)(ii).</w:t>
      </w:r>
    </w:p>
    <w:p>
      <w:pPr>
        <w:spacing w:after="0" w:line="79" w:lineRule="exact"/>
        <w:rPr>
          <w:sz w:val="20"/>
          <w:szCs w:val="20"/>
          <w:color w:val="auto"/>
        </w:rPr>
      </w:pPr>
    </w:p>
    <w:p>
      <w:pPr>
        <w:ind w:left="-60" w:right="80" w:firstLine="233"/>
        <w:spacing w:after="0" w:line="259" w:lineRule="auto"/>
        <w:tabs>
          <w:tab w:leader="none" w:pos="34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78" w:lineRule="exact"/>
        <w:rPr>
          <w:rFonts w:ascii="Arial" w:cs="Arial" w:eastAsia="Arial" w:hAnsi="Arial"/>
          <w:sz w:val="18"/>
          <w:szCs w:val="18"/>
          <w:color w:val="auto"/>
        </w:rPr>
      </w:pPr>
    </w:p>
    <w:p>
      <w:pPr>
        <w:ind w:left="440" w:hanging="267"/>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right="60" w:firstLine="215"/>
        <w:spacing w:after="0" w:line="255" w:lineRule="auto"/>
        <w:tabs>
          <w:tab w:leader="none" w:pos="77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85" w:lineRule="exact"/>
        <w:rPr>
          <w:rFonts w:ascii="Arial" w:cs="Arial" w:eastAsia="Arial" w:hAnsi="Arial"/>
          <w:sz w:val="18"/>
          <w:szCs w:val="18"/>
          <w:color w:val="auto"/>
        </w:rPr>
      </w:pPr>
    </w:p>
    <w:p>
      <w:pPr>
        <w:jc w:val="both"/>
        <w:ind w:left="300" w:right="440" w:firstLine="215"/>
        <w:spacing w:after="0" w:line="264" w:lineRule="auto"/>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of 1986, as amended, (the “Internal Revenue Code”) and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148" w:right="299" w:bottom="1440" w:gutter="0" w:footer="0" w:header="0"/>
        </w:sectPr>
      </w:pPr>
    </w:p>
    <w:bookmarkStart w:id="143" w:name="page144"/>
    <w:bookmarkEnd w:id="143"/>
    <w:p>
      <w:pPr>
        <w:ind w:left="300" w:right="260"/>
        <w:spacing w:after="0" w:line="259" w:lineRule="auto"/>
        <w:rPr>
          <w:sz w:val="20"/>
          <w:szCs w:val="20"/>
          <w:color w:val="auto"/>
        </w:rPr>
      </w:pPr>
      <w:r>
        <w:rPr>
          <w:rFonts w:ascii="Arial" w:cs="Arial" w:eastAsia="Arial" w:hAnsi="Arial"/>
          <w:sz w:val="18"/>
          <w:szCs w:val="18"/>
          <w:color w:val="auto"/>
        </w:rPr>
        <w:t>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87" w:lineRule="exact"/>
        <w:rPr>
          <w:sz w:val="20"/>
          <w:szCs w:val="20"/>
          <w:color w:val="auto"/>
        </w:rPr>
      </w:pPr>
    </w:p>
    <w:p>
      <w:pPr>
        <w:ind w:left="560" w:hanging="270"/>
        <w:spacing w:after="0"/>
        <w:tabs>
          <w:tab w:leader="none" w:pos="5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300" w:right="440" w:firstLine="215"/>
        <w:spacing w:after="0" w:line="312" w:lineRule="auto"/>
        <w:tabs>
          <w:tab w:leader="none" w:pos="77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38" w:lineRule="exact"/>
        <w:rPr>
          <w:rFonts w:ascii="Arial" w:cs="Arial" w:eastAsia="Arial" w:hAnsi="Arial"/>
          <w:sz w:val="16"/>
          <w:szCs w:val="16"/>
          <w:color w:val="auto"/>
        </w:rPr>
      </w:pPr>
    </w:p>
    <w:p>
      <w:pPr>
        <w:ind w:left="300" w:firstLine="215"/>
        <w:spacing w:after="0" w:line="272" w:lineRule="auto"/>
        <w:tabs>
          <w:tab w:leader="none" w:pos="7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12,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12,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left="-60" w:right="60" w:firstLine="233"/>
        <w:spacing w:after="0" w:line="291" w:lineRule="auto"/>
        <w:tabs>
          <w:tab w:leader="none" w:pos="43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144" w:name="page145"/>
    <w:bookmarkEnd w:id="144"/>
    <w:p>
      <w:pPr>
        <w:ind w:left="-20" w:right="80" w:firstLine="233"/>
        <w:spacing w:after="0" w:line="276" w:lineRule="auto"/>
        <w:tabs>
          <w:tab w:leader="none" w:pos="47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that the receipt of this Award, vesting, or the delivery of the Common Stock with respect to any Performance Share Units earned results in income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compensation income.</w:t>
      </w:r>
    </w:p>
    <w:p>
      <w:pPr>
        <w:spacing w:after="0" w:line="64" w:lineRule="exact"/>
        <w:rPr>
          <w:rFonts w:ascii="Arial" w:cs="Arial" w:eastAsia="Arial" w:hAnsi="Arial"/>
          <w:sz w:val="17"/>
          <w:szCs w:val="17"/>
          <w:color w:val="auto"/>
        </w:rPr>
      </w:pPr>
    </w:p>
    <w:p>
      <w:pPr>
        <w:ind w:left="-20" w:right="80" w:firstLine="233"/>
        <w:spacing w:after="0" w:line="264" w:lineRule="auto"/>
        <w:tabs>
          <w:tab w:leader="none" w:pos="47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left="-20" w:firstLine="233"/>
        <w:spacing w:after="0" w:line="257" w:lineRule="auto"/>
        <w:tabs>
          <w:tab w:leader="none" w:pos="47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ind w:left="-20" w:right="120" w:firstLine="233"/>
        <w:spacing w:after="0" w:line="257" w:lineRule="auto"/>
        <w:tabs>
          <w:tab w:leader="none" w:pos="47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he or she is recorded as the holder of such shares of Common Stock on the records of the Company. However, for Performance Share Units that are vested and deferred pursuant to Section 9, the Company will pay Dividend Equivalents during the deferral period in the form, as elected by Employee at the time of the deferral, of either (a) immediate cash payments, or (ii) additional Performance Share Units credited to Employee’s deferral account.</w:t>
      </w:r>
    </w:p>
    <w:p>
      <w:pPr>
        <w:spacing w:after="0" w:line="80" w:lineRule="exact"/>
        <w:rPr>
          <w:rFonts w:ascii="Arial" w:cs="Arial" w:eastAsia="Arial" w:hAnsi="Arial"/>
          <w:sz w:val="18"/>
          <w:szCs w:val="18"/>
          <w:color w:val="auto"/>
        </w:rPr>
      </w:pPr>
    </w:p>
    <w:p>
      <w:pPr>
        <w:ind w:left="480" w:hanging="267"/>
        <w:spacing w:after="0"/>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right="120" w:firstLine="215"/>
        <w:spacing w:after="0" w:line="264" w:lineRule="auto"/>
        <w:tabs>
          <w:tab w:leader="none" w:pos="8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340" w:right="80" w:firstLine="215"/>
        <w:spacing w:after="0" w:line="277" w:lineRule="auto"/>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45" w:name="page146"/>
    <w:bookmarkEnd w:id="145"/>
    <w:p>
      <w:pPr>
        <w:ind w:left="280" w:right="240"/>
        <w:spacing w:after="0" w:line="277" w:lineRule="auto"/>
        <w:rPr>
          <w:sz w:val="20"/>
          <w:szCs w:val="20"/>
          <w:color w:val="auto"/>
        </w:rPr>
      </w:pPr>
      <w:r>
        <w:rPr>
          <w:rFonts w:ascii="Arial" w:cs="Arial" w:eastAsia="Arial" w:hAnsi="Arial"/>
          <w:sz w:val="18"/>
          <w:szCs w:val="18"/>
          <w:color w:val="auto"/>
        </w:rPr>
        <w:t>perform this Agreement in the same manner and to the same extent that the Company would be required to perform it if no such succession had taken place.</w:t>
      </w:r>
    </w:p>
    <w:p>
      <w:pPr>
        <w:spacing w:after="0" w:line="62" w:lineRule="exact"/>
        <w:rPr>
          <w:sz w:val="20"/>
          <w:szCs w:val="20"/>
          <w:color w:val="auto"/>
        </w:rPr>
      </w:pPr>
    </w:p>
    <w:p>
      <w:pPr>
        <w:ind w:left="540" w:hanging="270"/>
        <w:spacing w:after="0"/>
        <w:tabs>
          <w:tab w:leader="none" w:pos="54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280" w:right="460" w:firstLine="215"/>
        <w:spacing w:after="0" w:line="277" w:lineRule="auto"/>
        <w:tabs>
          <w:tab w:leader="none" w:pos="75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62" w:lineRule="exact"/>
        <w:rPr>
          <w:rFonts w:ascii="Arial" w:cs="Arial" w:eastAsia="Arial" w:hAnsi="Arial"/>
          <w:sz w:val="18"/>
          <w:szCs w:val="18"/>
          <w:color w:val="auto"/>
        </w:rPr>
      </w:pPr>
    </w:p>
    <w:p>
      <w:pPr>
        <w:ind w:left="280" w:right="700" w:firstLine="215"/>
        <w:spacing w:after="0" w:line="277" w:lineRule="auto"/>
        <w:tabs>
          <w:tab w:leader="none" w:pos="7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62" w:lineRule="exact"/>
        <w:rPr>
          <w:rFonts w:ascii="Arial" w:cs="Arial" w:eastAsia="Arial" w:hAnsi="Arial"/>
          <w:sz w:val="18"/>
          <w:szCs w:val="18"/>
          <w:color w:val="auto"/>
        </w:rPr>
      </w:pPr>
    </w:p>
    <w:p>
      <w:pPr>
        <w:ind w:left="740" w:hanging="245"/>
        <w:spacing w:after="0"/>
        <w:tabs>
          <w:tab w:leader="none" w:pos="7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left="-80" w:right="180" w:firstLine="233"/>
        <w:spacing w:after="0" w:line="277"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left="-80" w:right="60" w:firstLine="233"/>
        <w:spacing w:after="0" w:line="277"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left="-80" w:right="60" w:firstLine="233"/>
        <w:spacing w:after="0" w:line="264"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80" w:firstLine="233"/>
        <w:spacing w:after="0" w:line="264"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22.</w:t>
      </w:r>
    </w:p>
    <w:p>
      <w:pPr>
        <w:spacing w:after="0" w:line="73" w:lineRule="exact"/>
        <w:rPr>
          <w:rFonts w:ascii="Arial" w:cs="Arial" w:eastAsia="Arial" w:hAnsi="Arial"/>
          <w:sz w:val="18"/>
          <w:szCs w:val="18"/>
          <w:color w:val="auto"/>
        </w:rPr>
      </w:pPr>
    </w:p>
    <w:p>
      <w:pPr>
        <w:ind w:left="740" w:hanging="245"/>
        <w:spacing w:after="0"/>
        <w:tabs>
          <w:tab w:leader="none" w:pos="7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left="280" w:right="40" w:firstLine="215"/>
        <w:spacing w:after="0" w:line="257" w:lineRule="auto"/>
        <w:tabs>
          <w:tab w:leader="none" w:pos="76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contendre </w:t>
      </w:r>
      <w:r>
        <w:rPr>
          <w:rFonts w:ascii="Arial" w:cs="Arial" w:eastAsia="Arial" w:hAnsi="Arial"/>
          <w:sz w:val="18"/>
          <w:szCs w:val="18"/>
          <w:color w:val="auto"/>
        </w:rPr>
        <w:t>to, any felony; (iv) Employee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146" w:name="page147"/>
    <w:bookmarkEnd w:id="146"/>
    <w:p>
      <w:pPr>
        <w:ind w:right="120"/>
        <w:spacing w:after="0" w:line="259" w:lineRule="auto"/>
        <w:rPr>
          <w:sz w:val="20"/>
          <w:szCs w:val="20"/>
          <w:color w:val="auto"/>
        </w:rPr>
      </w:pPr>
      <w:r>
        <w:rPr>
          <w:rFonts w:ascii="Arial" w:cs="Arial" w:eastAsia="Arial" w:hAnsi="Arial"/>
          <w:sz w:val="18"/>
          <w:szCs w:val="18"/>
          <w:color w:val="auto"/>
        </w:rPr>
        <w:t>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79" w:lineRule="exact"/>
        <w:rPr>
          <w:sz w:val="20"/>
          <w:szCs w:val="20"/>
          <w:color w:val="auto"/>
        </w:rPr>
      </w:pPr>
    </w:p>
    <w:p>
      <w:pPr>
        <w:ind w:left="460" w:hanging="245"/>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340" w:right="80" w:firstLine="218"/>
        <w:spacing w:after="0" w:line="277" w:lineRule="auto"/>
        <w:tabs>
          <w:tab w:leader="none" w:pos="7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62" w:lineRule="exact"/>
        <w:rPr>
          <w:rFonts w:ascii="Arial" w:cs="Arial" w:eastAsia="Arial" w:hAnsi="Arial"/>
          <w:sz w:val="18"/>
          <w:szCs w:val="18"/>
          <w:color w:val="auto"/>
        </w:rPr>
      </w:pPr>
    </w:p>
    <w:p>
      <w:pPr>
        <w:ind w:left="340" w:firstLine="218"/>
        <w:spacing w:after="0" w:line="255" w:lineRule="auto"/>
        <w:tabs>
          <w:tab w:leader="none" w:pos="83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85" w:lineRule="exact"/>
        <w:rPr>
          <w:rFonts w:ascii="Arial" w:cs="Arial" w:eastAsia="Arial" w:hAnsi="Arial"/>
          <w:sz w:val="18"/>
          <w:szCs w:val="18"/>
          <w:color w:val="auto"/>
        </w:rPr>
      </w:pPr>
    </w:p>
    <w:p>
      <w:pPr>
        <w:ind w:left="340" w:right="80" w:firstLine="218"/>
        <w:spacing w:after="0" w:line="273" w:lineRule="auto"/>
        <w:tabs>
          <w:tab w:leader="none" w:pos="8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70" w:lineRule="exact"/>
        <w:rPr>
          <w:rFonts w:ascii="Arial" w:cs="Arial" w:eastAsia="Arial" w:hAnsi="Arial"/>
          <w:sz w:val="17"/>
          <w:szCs w:val="17"/>
          <w:color w:val="auto"/>
        </w:rPr>
      </w:pPr>
    </w:p>
    <w:p>
      <w:pPr>
        <w:ind w:left="340" w:right="120" w:firstLine="218"/>
        <w:spacing w:after="0" w:line="264" w:lineRule="auto"/>
        <w:tabs>
          <w:tab w:leader="none" w:pos="8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47" w:name="page148"/>
    <w:bookmarkEnd w:id="147"/>
    <w:p>
      <w:pPr>
        <w:ind w:left="340" w:right="80"/>
        <w:spacing w:after="0" w:line="342" w:lineRule="auto"/>
        <w:rPr>
          <w:sz w:val="20"/>
          <w:szCs w:val="20"/>
          <w:color w:val="auto"/>
        </w:rPr>
      </w:pPr>
      <w:r>
        <w:rPr>
          <w:rFonts w:ascii="Arial" w:cs="Arial" w:eastAsia="Arial" w:hAnsi="Arial"/>
          <w:sz w:val="16"/>
          <w:szCs w:val="16"/>
          <w:color w:val="auto"/>
        </w:rPr>
        <w:t>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1200" w:hanging="300"/>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117" w:lineRule="exact"/>
        <w:rPr>
          <w:rFonts w:ascii="Arial" w:cs="Arial" w:eastAsia="Arial" w:hAnsi="Arial"/>
          <w:sz w:val="18"/>
          <w:szCs w:val="18"/>
          <w:color w:val="auto"/>
        </w:rPr>
      </w:pPr>
    </w:p>
    <w:p>
      <w:pPr>
        <w:ind w:left="1180" w:hanging="280"/>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680" w:right="20" w:firstLine="220"/>
        <w:spacing w:after="0" w:line="257" w:lineRule="auto"/>
        <w:tabs>
          <w:tab w:leader="none" w:pos="11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This definition of Change in Control will be modified if and to the extent necessary to ensure compliance with the requirements of Section 409A of the Internal Revenue Code, and Employee and the Company agree to execute such further instruments and take such further action as reasonably may be necessary to comply with Section 409A of the Internal Revenue Code.</w:t>
      </w:r>
    </w:p>
    <w:p>
      <w:pPr>
        <w:spacing w:after="0" w:line="73" w:lineRule="exact"/>
        <w:rPr>
          <w:sz w:val="20"/>
          <w:szCs w:val="20"/>
          <w:color w:val="auto"/>
        </w:rPr>
      </w:pPr>
    </w:p>
    <w:p>
      <w:pPr>
        <w:ind w:left="480" w:hanging="265"/>
        <w:spacing w:after="0"/>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“Committee” means the Compensation Committee of the Board or such other committee of the Board as the Board may designate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02" w:lineRule="exact"/>
        <w:rPr>
          <w:rFonts w:ascii="Arial" w:cs="Arial" w:eastAsia="Arial" w:hAnsi="Arial"/>
          <w:sz w:val="16"/>
          <w:szCs w:val="16"/>
          <w:color w:val="auto"/>
        </w:rPr>
      </w:pPr>
    </w:p>
    <w:p>
      <w:pPr>
        <w:ind w:firstLine="215"/>
        <w:spacing w:after="0" w:line="264" w:lineRule="auto"/>
        <w:tabs>
          <w:tab w:leader="none" w:pos="4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in Item 6 of the Form 10-K filed with the Securities and Exchange Commission by the Waste Management, Inc. on February 20, 2004. And, for purposes of this Award, shall be calculated in accordance with the accounting pronouncements, polices and classifications used therein.</w:t>
      </w:r>
    </w:p>
    <w:p>
      <w:pPr>
        <w:spacing w:after="0" w:line="73" w:lineRule="exact"/>
        <w:rPr>
          <w:rFonts w:ascii="Arial" w:cs="Arial" w:eastAsia="Arial" w:hAnsi="Arial"/>
          <w:sz w:val="18"/>
          <w:szCs w:val="18"/>
          <w:color w:val="auto"/>
        </w:rPr>
      </w:pPr>
    </w:p>
    <w:p>
      <w:pPr>
        <w:ind w:right="340" w:firstLine="215"/>
        <w:spacing w:after="0" w:line="264" w:lineRule="auto"/>
        <w:tabs>
          <w:tab w:leader="none" w:pos="4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(i) in connection with any Award under the Plan while such Award is outstanding or</w:t>
      </w:r>
    </w:p>
    <w:p>
      <w:pPr>
        <w:spacing w:after="0" w:line="1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48" w:name="page149"/>
    <w:bookmarkEnd w:id="148"/>
    <w:p>
      <w:pPr>
        <w:spacing w:after="0" w:line="277" w:lineRule="auto"/>
        <w:rPr>
          <w:sz w:val="20"/>
          <w:szCs w:val="20"/>
          <w:color w:val="auto"/>
        </w:rPr>
      </w:pPr>
      <w:r>
        <w:rPr>
          <w:rFonts w:ascii="Arial" w:cs="Arial" w:eastAsia="Arial" w:hAnsi="Arial"/>
          <w:sz w:val="18"/>
          <w:szCs w:val="18"/>
          <w:color w:val="auto"/>
        </w:rPr>
        <w:t>otherwise subject to a Restriction Period and on a like number of shares of Common Stock under such Award or (ii) singly. Dividend Equivalents will be paid at such time as dividends are paid on the Company’s outstanding shares of Common Stock.</w:t>
      </w:r>
    </w:p>
    <w:p>
      <w:pPr>
        <w:spacing w:after="0" w:line="62" w:lineRule="exact"/>
        <w:rPr>
          <w:sz w:val="20"/>
          <w:szCs w:val="20"/>
          <w:color w:val="auto"/>
        </w:rPr>
      </w:pPr>
    </w:p>
    <w:p>
      <w:pPr>
        <w:ind w:right="100" w:firstLine="215"/>
        <w:spacing w:after="0" w:line="277"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62" w:lineRule="exact"/>
        <w:rPr>
          <w:rFonts w:ascii="Arial" w:cs="Arial" w:eastAsia="Arial" w:hAnsi="Arial"/>
          <w:sz w:val="18"/>
          <w:szCs w:val="18"/>
          <w:color w:val="auto"/>
        </w:rPr>
      </w:pPr>
    </w:p>
    <w:p>
      <w:pPr>
        <w:ind w:right="20" w:firstLine="215"/>
        <w:spacing w:after="0" w:line="264"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Waste Management, Inc. as of December 31 for each applicable year.</w:t>
      </w:r>
    </w:p>
    <w:p>
      <w:pPr>
        <w:spacing w:after="0" w:line="73" w:lineRule="exact"/>
        <w:rPr>
          <w:rFonts w:ascii="Arial" w:cs="Arial" w:eastAsia="Arial" w:hAnsi="Arial"/>
          <w:sz w:val="18"/>
          <w:szCs w:val="18"/>
          <w:color w:val="auto"/>
        </w:rPr>
      </w:pPr>
    </w:p>
    <w:p>
      <w:pPr>
        <w:jc w:val="both"/>
        <w:ind w:right="80" w:firstLine="215"/>
        <w:spacing w:after="0" w:line="259"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maturities of long term debt, plus long term debt, plus shareholders equity, less cash and less Goodwill. For purposes of calculation of this Award, the value of Invested Capital shall be the balance of such as reported by Waste Management, Inc. as of December 31 for each applicable year.</w:t>
      </w:r>
    </w:p>
    <w:p>
      <w:pPr>
        <w:spacing w:after="0" w:line="78" w:lineRule="exact"/>
        <w:rPr>
          <w:rFonts w:ascii="Arial" w:cs="Arial" w:eastAsia="Arial" w:hAnsi="Arial"/>
          <w:sz w:val="18"/>
          <w:szCs w:val="18"/>
          <w:color w:val="auto"/>
        </w:rPr>
      </w:pPr>
    </w:p>
    <w:p>
      <w:pPr>
        <w:ind w:left="440" w:hanging="225"/>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17" w:lineRule="exact"/>
        <w:rPr>
          <w:rFonts w:ascii="Arial" w:cs="Arial" w:eastAsia="Arial" w:hAnsi="Arial"/>
          <w:sz w:val="18"/>
          <w:szCs w:val="18"/>
          <w:color w:val="auto"/>
        </w:rPr>
      </w:pPr>
    </w:p>
    <w:p>
      <w:pPr>
        <w:ind w:right="300" w:firstLine="215"/>
        <w:spacing w:after="0" w:line="312" w:lineRule="auto"/>
        <w:tabs>
          <w:tab w:leader="none" w:pos="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“Operating Costs and Expenses” has the meaning assigned in Item 6 of the Form 10-K filed with the Securities and Exchange Commission by Waste Management, Inc. on February 20, 2004, exclusive of Depreciation and Amortization. And, for purposes of this Award, Operating Costs and Expenses shall be calculated in accordance with the accounting pronouncements, policies and classifications used in that Form 10-K.</w:t>
      </w:r>
    </w:p>
    <w:p>
      <w:pPr>
        <w:spacing w:after="0" w:line="38" w:lineRule="exact"/>
        <w:rPr>
          <w:rFonts w:ascii="Arial" w:cs="Arial" w:eastAsia="Arial" w:hAnsi="Arial"/>
          <w:sz w:val="16"/>
          <w:szCs w:val="16"/>
          <w:color w:val="auto"/>
        </w:rPr>
      </w:pPr>
    </w:p>
    <w:p>
      <w:pPr>
        <w:jc w:val="both"/>
        <w:ind w:right="360" w:firstLine="215"/>
        <w:spacing w:after="0" w:line="264"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“Operating Revenue” has the meaning assigned in Item 6 of the Form 10-K filed with the Securities and Exchange Commission by the Waste Management, Inc. on February 20, 2004. And, for purposes of this Award, Operating Revenue shall be calculated in accordance with the accounting pronouncements, polices and classifications used in that Form 10-K.</w:t>
      </w:r>
    </w:p>
    <w:p>
      <w:pPr>
        <w:spacing w:after="0" w:line="73" w:lineRule="exact"/>
        <w:rPr>
          <w:rFonts w:ascii="Arial" w:cs="Arial" w:eastAsia="Arial" w:hAnsi="Arial"/>
          <w:sz w:val="18"/>
          <w:szCs w:val="18"/>
          <w:color w:val="auto"/>
        </w:rPr>
      </w:pPr>
    </w:p>
    <w:p>
      <w:pPr>
        <w:jc w:val="both"/>
        <w:ind w:right="180" w:firstLine="215"/>
        <w:spacing w:after="0" w:line="264" w:lineRule="auto"/>
        <w:tabs>
          <w:tab w:leader="none" w:pos="53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5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936" w:right="299" w:bottom="1440" w:gutter="0" w:footer="0" w:header="0"/>
        </w:sectPr>
      </w:pPr>
    </w:p>
    <w:bookmarkStart w:id="149" w:name="page150"/>
    <w:bookmarkEnd w:id="149"/>
    <w:p>
      <w:pPr>
        <w:ind w:left="127" w:right="200" w:firstLine="215"/>
        <w:spacing w:after="0" w:line="312" w:lineRule="auto"/>
        <w:tabs>
          <w:tab w:leader="none" w:pos="60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“Selling, General and Administrative Costs and Expenses” has the meaning assigned in Item 6 of the Form 10-K filed with the Securities and Exchange Commission by Waste Management, Inc. on February 20, 2004. And, for purposes of this Award, Selling, General and Administrative Costs and Expenses shall be calculated in accordance with the accounting pronouncements, polices and classifications used in that Form 10-K.</w:t>
      </w:r>
    </w:p>
    <w:p>
      <w:pPr>
        <w:spacing w:after="0" w:line="38" w:lineRule="exact"/>
        <w:rPr>
          <w:rFonts w:ascii="Arial" w:cs="Arial" w:eastAsia="Arial" w:hAnsi="Arial"/>
          <w:sz w:val="16"/>
          <w:szCs w:val="16"/>
          <w:color w:val="auto"/>
        </w:rPr>
      </w:pPr>
    </w:p>
    <w:p>
      <w:pPr>
        <w:ind w:left="127" w:firstLine="215"/>
        <w:spacing w:after="0" w:line="255" w:lineRule="auto"/>
        <w:tabs>
          <w:tab w:leader="none" w:pos="6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85" w:lineRule="exact"/>
        <w:rPr>
          <w:rFonts w:ascii="Arial" w:cs="Arial" w:eastAsia="Arial" w:hAnsi="Arial"/>
          <w:sz w:val="18"/>
          <w:szCs w:val="18"/>
          <w:color w:val="auto"/>
        </w:rPr>
      </w:pPr>
    </w:p>
    <w:p>
      <w:pPr>
        <w:ind w:left="607" w:hanging="265"/>
        <w:spacing w:after="0"/>
        <w:tabs>
          <w:tab w:leader="none" w:pos="6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“Tax Rate” is equal to 38.8%, and shall be assumed to remain constant for the Performance Period.</w:t>
      </w:r>
    </w:p>
    <w:p>
      <w:pPr>
        <w:spacing w:after="0" w:line="117" w:lineRule="exact"/>
        <w:rPr>
          <w:rFonts w:ascii="Arial" w:cs="Arial" w:eastAsia="Arial" w:hAnsi="Arial"/>
          <w:sz w:val="18"/>
          <w:szCs w:val="18"/>
          <w:color w:val="auto"/>
        </w:rPr>
      </w:pPr>
    </w:p>
    <w:p>
      <w:pPr>
        <w:ind w:left="127" w:right="80" w:firstLine="215"/>
        <w:spacing w:after="0" w:line="259" w:lineRule="auto"/>
        <w:tabs>
          <w:tab w:leader="none" w:pos="6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left="127" w:right="60" w:firstLine="215"/>
        <w:spacing w:after="0" w:line="277" w:lineRule="auto"/>
        <w:tabs>
          <w:tab w:leader="none" w:pos="57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62" w:lineRule="exact"/>
        <w:rPr>
          <w:rFonts w:ascii="Arial" w:cs="Arial" w:eastAsia="Arial" w:hAnsi="Arial"/>
          <w:sz w:val="18"/>
          <w:szCs w:val="18"/>
          <w:color w:val="auto"/>
        </w:rPr>
      </w:pPr>
    </w:p>
    <w:p>
      <w:pPr>
        <w:ind w:left="267" w:hanging="267"/>
        <w:spacing w:after="0"/>
        <w:tabs>
          <w:tab w:leader="none" w:pos="2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7" w:right="200" w:firstLine="215"/>
        <w:spacing w:after="0" w:line="312" w:lineRule="auto"/>
        <w:tabs>
          <w:tab w:leader="none" w:pos="59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38" w:lineRule="exact"/>
        <w:rPr>
          <w:rFonts w:ascii="Arial" w:cs="Arial" w:eastAsia="Arial" w:hAnsi="Arial"/>
          <w:sz w:val="16"/>
          <w:szCs w:val="16"/>
          <w:color w:val="auto"/>
        </w:rPr>
      </w:pPr>
    </w:p>
    <w:p>
      <w:pPr>
        <w:ind w:left="607" w:hanging="265"/>
        <w:spacing w:after="0"/>
        <w:tabs>
          <w:tab w:leader="none" w:pos="607"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Employee hereby acknowledges that he is to consult with and rely upon only Employee’s own tax, legal, and financial advisors regarding the</w:t>
      </w:r>
    </w:p>
    <w:p>
      <w:pPr>
        <w:spacing w:after="0" w:line="210"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150" w:name="page151"/>
    <w:bookmarkEnd w:id="150"/>
    <w:p>
      <w:pPr>
        <w:ind w:left="360"/>
        <w:spacing w:after="0"/>
        <w:rPr>
          <w:sz w:val="20"/>
          <w:szCs w:val="20"/>
          <w:color w:val="auto"/>
        </w:rPr>
      </w:pPr>
      <w:r>
        <w:rPr>
          <w:rFonts w:ascii="Arial" w:cs="Arial" w:eastAsia="Arial" w:hAnsi="Arial"/>
          <w:sz w:val="18"/>
          <w:szCs w:val="18"/>
          <w:color w:val="auto"/>
        </w:rPr>
        <w:t>consequences and risks of this Agreement and the award of Performance Share Units.</w:t>
      </w:r>
    </w:p>
    <w:p>
      <w:pPr>
        <w:spacing w:after="0" w:line="117" w:lineRule="exact"/>
        <w:rPr>
          <w:sz w:val="20"/>
          <w:szCs w:val="20"/>
          <w:color w:val="auto"/>
        </w:rPr>
      </w:pPr>
    </w:p>
    <w:p>
      <w:pPr>
        <w:ind w:left="360" w:right="120" w:firstLine="215"/>
        <w:spacing w:after="0" w:line="308" w:lineRule="auto"/>
        <w:tabs>
          <w:tab w:leader="none" w:pos="83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38" w:lineRule="exact"/>
        <w:rPr>
          <w:rFonts w:ascii="Arial" w:cs="Arial" w:eastAsia="Arial" w:hAnsi="Arial"/>
          <w:sz w:val="17"/>
          <w:szCs w:val="17"/>
          <w:color w:val="auto"/>
        </w:rPr>
      </w:pPr>
    </w:p>
    <w:p>
      <w:pPr>
        <w:ind w:left="540" w:hanging="262"/>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ind w:left="5100"/>
        <w:spacing w:after="0"/>
        <w:tabs>
          <w:tab w:leader="none" w:pos="5560" w:val="left"/>
        </w:tabs>
        <w:rPr>
          <w:sz w:val="20"/>
          <w:szCs w:val="20"/>
          <w:color w:val="auto"/>
        </w:rPr>
      </w:pPr>
      <w:r>
        <w:rPr>
          <w:rFonts w:ascii="Arial" w:cs="Arial" w:eastAsia="Arial" w:hAnsi="Arial"/>
          <w:sz w:val="18"/>
          <w:szCs w:val="18"/>
          <w:color w:val="auto"/>
        </w:rPr>
        <w:t>By:</w:t>
        <w:tab/>
        <w:t>/s/ Jimmy LaValley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984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Jimmy LaValley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Senior Vice-President, People</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152400</wp:posOffset>
            </wp:positionV>
            <wp:extent cx="32848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935" w:right="2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3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p>
    <w:p>
      <w:pPr>
        <w:spacing w:after="0" w:line="3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 and -</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G</w:t>
      </w:r>
      <w:r>
        <w:rPr>
          <w:rFonts w:ascii="Arial" w:cs="Arial" w:eastAsia="Arial" w:hAnsi="Arial"/>
          <w:sz w:val="12"/>
          <w:szCs w:val="12"/>
          <w:b w:val="1"/>
          <w:bCs w:val="1"/>
          <w:color w:val="auto"/>
        </w:rPr>
        <w:t>UARANTORS</w:t>
      </w:r>
    </w:p>
    <w:p>
      <w:pPr>
        <w:spacing w:after="0" w:line="3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 and -</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BNP PARIBAS SECURITIES CORP.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SCOTIA CAPITAL</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L</w:t>
      </w:r>
      <w:r>
        <w:rPr>
          <w:rFonts w:ascii="Arial" w:cs="Arial" w:eastAsia="Arial" w:hAnsi="Arial"/>
          <w:sz w:val="12"/>
          <w:szCs w:val="12"/>
          <w:b w:val="1"/>
          <w:bCs w:val="1"/>
          <w:color w:val="auto"/>
        </w:rPr>
        <w:t xml:space="preserve">EAD </w:t>
      </w:r>
      <w:r>
        <w:rPr>
          <w:rFonts w:ascii="Arial" w:cs="Arial" w:eastAsia="Arial" w:hAnsi="Arial"/>
          <w:sz w:val="18"/>
          <w:szCs w:val="18"/>
          <w:b w:val="1"/>
          <w:bCs w:val="1"/>
          <w:color w:val="auto"/>
        </w:rPr>
        <w:t>A</w:t>
      </w:r>
      <w:r>
        <w:rPr>
          <w:rFonts w:ascii="Arial" w:cs="Arial" w:eastAsia="Arial" w:hAnsi="Arial"/>
          <w:sz w:val="12"/>
          <w:szCs w:val="12"/>
          <w:b w:val="1"/>
          <w:bCs w:val="1"/>
          <w:color w:val="auto"/>
        </w:rPr>
        <w:t xml:space="preserve">RRANGERS AND </w:t>
      </w:r>
      <w:r>
        <w:rPr>
          <w:rFonts w:ascii="Arial" w:cs="Arial" w:eastAsia="Arial" w:hAnsi="Arial"/>
          <w:sz w:val="18"/>
          <w:szCs w:val="18"/>
          <w:b w:val="1"/>
          <w:bCs w:val="1"/>
          <w:color w:val="auto"/>
        </w:rPr>
        <w:t>B</w:t>
      </w:r>
      <w:r>
        <w:rPr>
          <w:rFonts w:ascii="Arial" w:cs="Arial" w:eastAsia="Arial" w:hAnsi="Arial"/>
          <w:sz w:val="12"/>
          <w:szCs w:val="12"/>
          <w:b w:val="1"/>
          <w:bCs w:val="1"/>
          <w:color w:val="auto"/>
        </w:rPr>
        <w:t xml:space="preserve">OOK </w:t>
      </w:r>
      <w:r>
        <w:rPr>
          <w:rFonts w:ascii="Arial" w:cs="Arial" w:eastAsia="Arial" w:hAnsi="Arial"/>
          <w:sz w:val="18"/>
          <w:szCs w:val="18"/>
          <w:b w:val="1"/>
          <w:bCs w:val="1"/>
          <w:color w:val="auto"/>
        </w:rPr>
        <w:t>R</w:t>
      </w:r>
      <w:r>
        <w:rPr>
          <w:rFonts w:ascii="Arial" w:cs="Arial" w:eastAsia="Arial" w:hAnsi="Arial"/>
          <w:sz w:val="12"/>
          <w:szCs w:val="12"/>
          <w:b w:val="1"/>
          <w:bCs w:val="1"/>
          <w:color w:val="auto"/>
        </w:rPr>
        <w:t>UNNERS</w:t>
      </w:r>
    </w:p>
    <w:p>
      <w:pPr>
        <w:spacing w:after="0" w:line="3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 and -</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A</w:t>
      </w:r>
      <w:r>
        <w:rPr>
          <w:rFonts w:ascii="Arial" w:cs="Arial" w:eastAsia="Arial" w:hAnsi="Arial"/>
          <w:sz w:val="12"/>
          <w:szCs w:val="12"/>
          <w:b w:val="1"/>
          <w:bCs w:val="1"/>
          <w:color w:val="auto"/>
        </w:rPr>
        <w:t xml:space="preserve">DMINISTRATIVE </w:t>
      </w:r>
      <w:r>
        <w:rPr>
          <w:rFonts w:ascii="Arial" w:cs="Arial" w:eastAsia="Arial" w:hAnsi="Arial"/>
          <w:sz w:val="18"/>
          <w:szCs w:val="18"/>
          <w:b w:val="1"/>
          <w:bCs w:val="1"/>
          <w:color w:val="auto"/>
        </w:rPr>
        <w:t>A</w:t>
      </w:r>
      <w:r>
        <w:rPr>
          <w:rFonts w:ascii="Arial" w:cs="Arial" w:eastAsia="Arial" w:hAnsi="Arial"/>
          <w:sz w:val="12"/>
          <w:szCs w:val="12"/>
          <w:b w:val="1"/>
          <w:bCs w:val="1"/>
          <w:color w:val="auto"/>
        </w:rPr>
        <w:t>GENT</w:t>
      </w:r>
    </w:p>
    <w:p>
      <w:pPr>
        <w:spacing w:after="0" w:line="3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 and -</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LENDERS FROM TIME TO TIME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220345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CDN. $410,000,000 CREDIT FACILITY</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AGREEMENT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30 NOVEMBER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220345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434340</wp:posOffset>
            </wp:positionV>
            <wp:extent cx="608965" cy="15347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896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BORDEN LADNER GERVAIS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152" w:name="page153"/>
    <w:bookmarkEnd w:id="152"/>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w w:val="86"/>
              </w:rPr>
              <w:t>Section</w:t>
            </w:r>
          </w:p>
        </w:tc>
        <w:tc>
          <w:tcPr>
            <w:tcW w:w="7840" w:type="dxa"/>
            <w:vAlign w:val="bottom"/>
          </w:tcPr>
          <w:p>
            <w:pPr>
              <w:ind w:left="240"/>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16"/>
        </w:trPr>
        <w:tc>
          <w:tcPr>
            <w:tcW w:w="760" w:type="dxa"/>
            <w:vAlign w:val="bottom"/>
          </w:tcPr>
          <w:p>
            <w:pPr>
              <w:spacing w:after="0"/>
              <w:rPr>
                <w:sz w:val="18"/>
                <w:szCs w:val="18"/>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ARTICLE 1</w:t>
            </w:r>
          </w:p>
        </w:tc>
        <w:tc>
          <w:tcPr>
            <w:tcW w:w="25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DEFINED TERMS</w:t>
            </w:r>
          </w:p>
        </w:tc>
        <w:tc>
          <w:tcPr>
            <w:tcW w:w="2500" w:type="dxa"/>
            <w:vAlign w:val="bottom"/>
          </w:tcPr>
          <w:p>
            <w:pPr>
              <w:spacing w:after="0"/>
              <w:rPr>
                <w:sz w:val="20"/>
                <w:szCs w:val="20"/>
                <w:color w:val="auto"/>
              </w:rPr>
            </w:pPr>
          </w:p>
        </w:tc>
      </w:tr>
      <w:tr>
        <w:trPr>
          <w:trHeight w:val="418"/>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784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7840" w:type="dxa"/>
            <w:vAlign w:val="bottom"/>
          </w:tcPr>
          <w:p>
            <w:pPr>
              <w:ind w:left="240"/>
              <w:spacing w:after="0"/>
              <w:rPr>
                <w:sz w:val="20"/>
                <w:szCs w:val="20"/>
                <w:color w:val="auto"/>
              </w:rPr>
            </w:pPr>
            <w:r>
              <w:rPr>
                <w:rFonts w:ascii="Arial" w:cs="Arial" w:eastAsia="Arial" w:hAnsi="Arial"/>
                <w:sz w:val="18"/>
                <w:szCs w:val="18"/>
                <w:color w:val="auto"/>
              </w:rPr>
              <w:t>Construction</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7840" w:type="dxa"/>
            <w:vAlign w:val="bottom"/>
          </w:tcPr>
          <w:p>
            <w:pPr>
              <w:ind w:left="240"/>
              <w:spacing w:after="0"/>
              <w:rPr>
                <w:sz w:val="20"/>
                <w:szCs w:val="20"/>
                <w:color w:val="auto"/>
              </w:rPr>
            </w:pPr>
            <w:r>
              <w:rPr>
                <w:rFonts w:ascii="Arial" w:cs="Arial" w:eastAsia="Arial" w:hAnsi="Arial"/>
                <w:sz w:val="18"/>
                <w:szCs w:val="18"/>
                <w:color w:val="auto"/>
              </w:rPr>
              <w:t>References to U.S. Credit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7840" w:type="dxa"/>
            <w:vAlign w:val="bottom"/>
          </w:tcPr>
          <w:p>
            <w:pPr>
              <w:ind w:left="240"/>
              <w:spacing w:after="0"/>
              <w:rPr>
                <w:sz w:val="20"/>
                <w:szCs w:val="20"/>
                <w:color w:val="auto"/>
              </w:rPr>
            </w:pPr>
            <w:r>
              <w:rPr>
                <w:rFonts w:ascii="Arial" w:cs="Arial" w:eastAsia="Arial" w:hAnsi="Arial"/>
                <w:sz w:val="18"/>
                <w:szCs w:val="18"/>
                <w:color w:val="auto"/>
              </w:rPr>
              <w:t>Certain Rules of Interpretation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4"/>
        </w:trPr>
        <w:tc>
          <w:tcPr>
            <w:tcW w:w="760" w:type="dxa"/>
            <w:vAlign w:val="bottom"/>
          </w:tcPr>
          <w:p>
            <w:pPr>
              <w:spacing w:after="0"/>
              <w:rPr>
                <w:sz w:val="24"/>
                <w:szCs w:val="24"/>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ARTICLE 2</w:t>
            </w:r>
          </w:p>
        </w:tc>
        <w:tc>
          <w:tcPr>
            <w:tcW w:w="25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7840" w:type="dxa"/>
            <w:vAlign w:val="bottom"/>
          </w:tcPr>
          <w:p>
            <w:pPr>
              <w:jc w:val="center"/>
              <w:ind w:left="890"/>
              <w:spacing w:after="0"/>
              <w:rPr>
                <w:sz w:val="20"/>
                <w:szCs w:val="20"/>
                <w:color w:val="auto"/>
              </w:rPr>
            </w:pPr>
            <w:r>
              <w:rPr>
                <w:rFonts w:ascii="Arial" w:cs="Arial" w:eastAsia="Arial" w:hAnsi="Arial"/>
                <w:sz w:val="18"/>
                <w:szCs w:val="18"/>
                <w:b w:val="1"/>
                <w:bCs w:val="1"/>
                <w:color w:val="auto"/>
              </w:rPr>
              <w:t>CREDIT</w:t>
            </w:r>
          </w:p>
        </w:tc>
        <w:tc>
          <w:tcPr>
            <w:tcW w:w="2500" w:type="dxa"/>
            <w:vAlign w:val="bottom"/>
          </w:tcPr>
          <w:p>
            <w:pPr>
              <w:spacing w:after="0"/>
              <w:rPr>
                <w:sz w:val="20"/>
                <w:szCs w:val="20"/>
                <w:color w:val="auto"/>
              </w:rPr>
            </w:pPr>
          </w:p>
        </w:tc>
      </w:tr>
      <w:tr>
        <w:trPr>
          <w:trHeight w:val="418"/>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7840" w:type="dxa"/>
            <w:vAlign w:val="bottom"/>
          </w:tcPr>
          <w:p>
            <w:pPr>
              <w:ind w:left="240"/>
              <w:spacing w:after="0"/>
              <w:rPr>
                <w:sz w:val="20"/>
                <w:szCs w:val="20"/>
                <w:color w:val="auto"/>
              </w:rPr>
            </w:pPr>
            <w:r>
              <w:rPr>
                <w:rFonts w:ascii="Arial" w:cs="Arial" w:eastAsia="Arial" w:hAnsi="Arial"/>
                <w:sz w:val="18"/>
                <w:szCs w:val="18"/>
                <w:color w:val="auto"/>
              </w:rPr>
              <w:t>Amount and Availment Options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7840" w:type="dxa"/>
            <w:vAlign w:val="bottom"/>
          </w:tcPr>
          <w:p>
            <w:pPr>
              <w:ind w:left="240"/>
              <w:spacing w:after="0"/>
              <w:rPr>
                <w:sz w:val="20"/>
                <w:szCs w:val="20"/>
                <w:color w:val="auto"/>
              </w:rPr>
            </w:pPr>
            <w:r>
              <w:rPr>
                <w:rFonts w:ascii="Arial" w:cs="Arial" w:eastAsia="Arial" w:hAnsi="Arial"/>
                <w:sz w:val="18"/>
                <w:szCs w:val="18"/>
                <w:color w:val="auto"/>
              </w:rPr>
              <w:t>Non-Revolving Credit and Availability Period</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7840" w:type="dxa"/>
            <w:vAlign w:val="bottom"/>
          </w:tcPr>
          <w:p>
            <w:pPr>
              <w:ind w:left="240"/>
              <w:spacing w:after="0"/>
              <w:rPr>
                <w:sz w:val="20"/>
                <w:szCs w:val="20"/>
                <w:color w:val="auto"/>
              </w:rPr>
            </w:pPr>
            <w:r>
              <w:rPr>
                <w:rFonts w:ascii="Arial" w:cs="Arial" w:eastAsia="Arial" w:hAnsi="Arial"/>
                <w:sz w:val="18"/>
                <w:szCs w:val="18"/>
                <w:color w:val="auto"/>
              </w:rPr>
              <w:t>Use of the Credit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7840" w:type="dxa"/>
            <w:vAlign w:val="bottom"/>
          </w:tcPr>
          <w:p>
            <w:pPr>
              <w:ind w:left="240"/>
              <w:spacing w:after="0"/>
              <w:rPr>
                <w:sz w:val="20"/>
                <w:szCs w:val="20"/>
                <w:color w:val="auto"/>
              </w:rPr>
            </w:pPr>
            <w:r>
              <w:rPr>
                <w:rFonts w:ascii="Arial" w:cs="Arial" w:eastAsia="Arial" w:hAnsi="Arial"/>
                <w:sz w:val="18"/>
                <w:szCs w:val="18"/>
                <w:color w:val="auto"/>
              </w:rPr>
              <w:t>Term and Repayment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2.5</w:t>
            </w:r>
          </w:p>
        </w:tc>
        <w:tc>
          <w:tcPr>
            <w:tcW w:w="7840" w:type="dxa"/>
            <w:vAlign w:val="bottom"/>
          </w:tcPr>
          <w:p>
            <w:pPr>
              <w:ind w:left="240"/>
              <w:spacing w:after="0"/>
              <w:rPr>
                <w:sz w:val="20"/>
                <w:szCs w:val="20"/>
                <w:color w:val="auto"/>
              </w:rPr>
            </w:pPr>
            <w:r>
              <w:rPr>
                <w:rFonts w:ascii="Arial" w:cs="Arial" w:eastAsia="Arial" w:hAnsi="Arial"/>
                <w:sz w:val="18"/>
                <w:szCs w:val="18"/>
                <w:color w:val="auto"/>
              </w:rPr>
              <w:t>Voluntary 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2.6</w:t>
            </w:r>
          </w:p>
        </w:tc>
        <w:tc>
          <w:tcPr>
            <w:tcW w:w="7840" w:type="dxa"/>
            <w:vAlign w:val="bottom"/>
          </w:tcPr>
          <w:p>
            <w:pPr>
              <w:ind w:left="240"/>
              <w:spacing w:after="0"/>
              <w:rPr>
                <w:sz w:val="20"/>
                <w:szCs w:val="20"/>
                <w:color w:val="auto"/>
              </w:rPr>
            </w:pPr>
            <w:r>
              <w:rPr>
                <w:rFonts w:ascii="Arial" w:cs="Arial" w:eastAsia="Arial" w:hAnsi="Arial"/>
                <w:sz w:val="18"/>
                <w:szCs w:val="18"/>
                <w:color w:val="auto"/>
              </w:rPr>
              <w:t>Interest Rates, Fees and Commissions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7840" w:type="dxa"/>
            <w:vAlign w:val="bottom"/>
          </w:tcPr>
          <w:p>
            <w:pPr>
              <w:ind w:left="240"/>
              <w:spacing w:after="0"/>
              <w:rPr>
                <w:sz w:val="20"/>
                <w:szCs w:val="20"/>
                <w:color w:val="auto"/>
              </w:rPr>
            </w:pPr>
            <w:r>
              <w:rPr>
                <w:rFonts w:ascii="Arial" w:cs="Arial" w:eastAsia="Arial" w:hAnsi="Arial"/>
                <w:sz w:val="18"/>
                <w:szCs w:val="18"/>
                <w:color w:val="auto"/>
              </w:rPr>
              <w:t>Standby Fee</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7840" w:type="dxa"/>
            <w:vAlign w:val="bottom"/>
          </w:tcPr>
          <w:p>
            <w:pPr>
              <w:ind w:left="240"/>
              <w:spacing w:after="0"/>
              <w:rPr>
                <w:sz w:val="20"/>
                <w:szCs w:val="20"/>
                <w:color w:val="auto"/>
              </w:rPr>
            </w:pPr>
            <w:r>
              <w:rPr>
                <w:rFonts w:ascii="Arial" w:cs="Arial" w:eastAsia="Arial" w:hAnsi="Arial"/>
                <w:sz w:val="18"/>
                <w:szCs w:val="18"/>
                <w:color w:val="auto"/>
              </w:rPr>
              <w:t>Agency and Assignment Fees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760" w:type="dxa"/>
            <w:vAlign w:val="bottom"/>
          </w:tcPr>
          <w:p>
            <w:pPr>
              <w:spacing w:after="0"/>
              <w:rPr>
                <w:sz w:val="24"/>
                <w:szCs w:val="24"/>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ARTICLE 3</w:t>
            </w:r>
          </w:p>
        </w:tc>
        <w:tc>
          <w:tcPr>
            <w:tcW w:w="25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SECURITY</w:t>
            </w:r>
          </w:p>
        </w:tc>
        <w:tc>
          <w:tcPr>
            <w:tcW w:w="2500" w:type="dxa"/>
            <w:vAlign w:val="bottom"/>
          </w:tcPr>
          <w:p>
            <w:pPr>
              <w:spacing w:after="0"/>
              <w:rPr>
                <w:sz w:val="20"/>
                <w:szCs w:val="20"/>
                <w:color w:val="auto"/>
              </w:rPr>
            </w:pPr>
          </w:p>
        </w:tc>
      </w:tr>
      <w:tr>
        <w:trPr>
          <w:trHeight w:val="432"/>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7840" w:type="dxa"/>
            <w:vAlign w:val="bottom"/>
          </w:tcPr>
          <w:p>
            <w:pPr>
              <w:ind w:left="240"/>
              <w:spacing w:after="0"/>
              <w:rPr>
                <w:sz w:val="20"/>
                <w:szCs w:val="20"/>
                <w:color w:val="auto"/>
              </w:rPr>
            </w:pPr>
            <w:r>
              <w:rPr>
                <w:rFonts w:ascii="Arial" w:cs="Arial" w:eastAsia="Arial" w:hAnsi="Arial"/>
                <w:sz w:val="18"/>
                <w:szCs w:val="18"/>
                <w:color w:val="auto"/>
              </w:rPr>
              <w:t>Security</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4"/>
        </w:trPr>
        <w:tc>
          <w:tcPr>
            <w:tcW w:w="760" w:type="dxa"/>
            <w:vAlign w:val="bottom"/>
          </w:tcPr>
          <w:p>
            <w:pPr>
              <w:spacing w:after="0"/>
              <w:rPr>
                <w:sz w:val="24"/>
                <w:szCs w:val="24"/>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ARTICLE 4</w:t>
            </w:r>
          </w:p>
        </w:tc>
        <w:tc>
          <w:tcPr>
            <w:tcW w:w="25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DISBURSEMENT CONDITIONS</w:t>
            </w:r>
          </w:p>
        </w:tc>
        <w:tc>
          <w:tcPr>
            <w:tcW w:w="2500" w:type="dxa"/>
            <w:vAlign w:val="bottom"/>
          </w:tcPr>
          <w:p>
            <w:pPr>
              <w:spacing w:after="0"/>
              <w:rPr>
                <w:sz w:val="20"/>
                <w:szCs w:val="20"/>
                <w:color w:val="auto"/>
              </w:rPr>
            </w:pPr>
          </w:p>
        </w:tc>
      </w:tr>
      <w:tr>
        <w:trPr>
          <w:trHeight w:val="418"/>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7840" w:type="dxa"/>
            <w:vAlign w:val="bottom"/>
          </w:tcPr>
          <w:p>
            <w:pPr>
              <w:ind w:left="240"/>
              <w:spacing w:after="0"/>
              <w:rPr>
                <w:sz w:val="20"/>
                <w:szCs w:val="20"/>
                <w:color w:val="auto"/>
              </w:rPr>
            </w:pPr>
            <w:r>
              <w:rPr>
                <w:rFonts w:ascii="Arial" w:cs="Arial" w:eastAsia="Arial" w:hAnsi="Arial"/>
                <w:sz w:val="18"/>
                <w:szCs w:val="18"/>
                <w:color w:val="auto"/>
              </w:rPr>
              <w:t>Conditions Precedent to Initial Advance</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(1) Other Debt and Encumbrances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(2) Documentation and Ancillary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(3) Opinions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(4) Other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7840" w:type="dxa"/>
            <w:vAlign w:val="bottom"/>
          </w:tcPr>
          <w:p>
            <w:pPr>
              <w:ind w:left="240"/>
              <w:spacing w:after="0"/>
              <w:rPr>
                <w:sz w:val="20"/>
                <w:szCs w:val="20"/>
                <w:color w:val="auto"/>
              </w:rPr>
            </w:pPr>
            <w:r>
              <w:rPr>
                <w:rFonts w:ascii="Arial" w:cs="Arial" w:eastAsia="Arial" w:hAnsi="Arial"/>
                <w:sz w:val="18"/>
                <w:szCs w:val="18"/>
                <w:color w:val="auto"/>
              </w:rPr>
              <w:t>Conditions Precedent to all Advances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4"/>
        </w:trPr>
        <w:tc>
          <w:tcPr>
            <w:tcW w:w="760" w:type="dxa"/>
            <w:vAlign w:val="bottom"/>
          </w:tcPr>
          <w:p>
            <w:pPr>
              <w:spacing w:after="0"/>
              <w:rPr>
                <w:sz w:val="24"/>
                <w:szCs w:val="24"/>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rPr>
              <w:t>ARTICLE 5</w:t>
            </w:r>
          </w:p>
        </w:tc>
        <w:tc>
          <w:tcPr>
            <w:tcW w:w="25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7840" w:type="dxa"/>
            <w:vAlign w:val="bottom"/>
          </w:tcPr>
          <w:p>
            <w:pPr>
              <w:jc w:val="center"/>
              <w:ind w:left="870"/>
              <w:spacing w:after="0"/>
              <w:rPr>
                <w:sz w:val="20"/>
                <w:szCs w:val="20"/>
                <w:color w:val="auto"/>
              </w:rPr>
            </w:pPr>
            <w:r>
              <w:rPr>
                <w:rFonts w:ascii="Arial" w:cs="Arial" w:eastAsia="Arial" w:hAnsi="Arial"/>
                <w:sz w:val="18"/>
                <w:szCs w:val="18"/>
                <w:b w:val="1"/>
                <w:bCs w:val="1"/>
                <w:color w:val="auto"/>
                <w:w w:val="95"/>
              </w:rPr>
              <w:t>ADVANCES</w:t>
            </w:r>
          </w:p>
        </w:tc>
        <w:tc>
          <w:tcPr>
            <w:tcW w:w="2500" w:type="dxa"/>
            <w:vAlign w:val="bottom"/>
          </w:tcPr>
          <w:p>
            <w:pPr>
              <w:spacing w:after="0"/>
              <w:rPr>
                <w:sz w:val="20"/>
                <w:szCs w:val="20"/>
                <w:color w:val="auto"/>
              </w:rPr>
            </w:pPr>
          </w:p>
        </w:tc>
      </w:tr>
      <w:tr>
        <w:trPr>
          <w:trHeight w:val="418"/>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7840" w:type="dxa"/>
            <w:vAlign w:val="bottom"/>
          </w:tcPr>
          <w:p>
            <w:pPr>
              <w:ind w:left="240"/>
              <w:spacing w:after="0"/>
              <w:rPr>
                <w:sz w:val="20"/>
                <w:szCs w:val="20"/>
                <w:color w:val="auto"/>
              </w:rPr>
            </w:pPr>
            <w:r>
              <w:rPr>
                <w:rFonts w:ascii="Arial" w:cs="Arial" w:eastAsia="Arial" w:hAnsi="Arial"/>
                <w:sz w:val="18"/>
                <w:szCs w:val="18"/>
                <w:color w:val="auto"/>
              </w:rPr>
              <w:t>Evidence of 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7840" w:type="dxa"/>
            <w:vAlign w:val="bottom"/>
          </w:tcPr>
          <w:p>
            <w:pPr>
              <w:ind w:left="240"/>
              <w:spacing w:after="0"/>
              <w:rPr>
                <w:sz w:val="20"/>
                <w:szCs w:val="20"/>
                <w:color w:val="auto"/>
              </w:rPr>
            </w:pPr>
            <w:r>
              <w:rPr>
                <w:rFonts w:ascii="Arial" w:cs="Arial" w:eastAsia="Arial" w:hAnsi="Arial"/>
                <w:sz w:val="18"/>
                <w:szCs w:val="18"/>
                <w:color w:val="auto"/>
              </w:rPr>
              <w:t>Conversions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7840" w:type="dxa"/>
            <w:vAlign w:val="bottom"/>
          </w:tcPr>
          <w:p>
            <w:pPr>
              <w:ind w:left="240"/>
              <w:spacing w:after="0"/>
              <w:rPr>
                <w:sz w:val="20"/>
                <w:szCs w:val="20"/>
                <w:color w:val="auto"/>
              </w:rPr>
            </w:pPr>
            <w:r>
              <w:rPr>
                <w:rFonts w:ascii="Arial" w:cs="Arial" w:eastAsia="Arial" w:hAnsi="Arial"/>
                <w:sz w:val="18"/>
                <w:szCs w:val="18"/>
                <w:color w:val="auto"/>
              </w:rPr>
              <w:t>Notice of Advances and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7840" w:type="dxa"/>
            <w:vAlign w:val="bottom"/>
          </w:tcPr>
          <w:p>
            <w:pPr>
              <w:ind w:left="240"/>
              <w:spacing w:after="0"/>
              <w:rPr>
                <w:sz w:val="20"/>
                <w:szCs w:val="20"/>
                <w:color w:val="auto"/>
              </w:rPr>
            </w:pPr>
            <w:r>
              <w:rPr>
                <w:rFonts w:ascii="Arial" w:cs="Arial" w:eastAsia="Arial" w:hAnsi="Arial"/>
                <w:sz w:val="18"/>
                <w:szCs w:val="18"/>
                <w:color w:val="auto"/>
              </w:rPr>
              <w:t>Prepayments and Reductions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5.5</w:t>
            </w:r>
          </w:p>
        </w:tc>
        <w:tc>
          <w:tcPr>
            <w:tcW w:w="7840" w:type="dxa"/>
            <w:vAlign w:val="bottom"/>
          </w:tcPr>
          <w:p>
            <w:pPr>
              <w:ind w:left="240"/>
              <w:spacing w:after="0"/>
              <w:rPr>
                <w:sz w:val="20"/>
                <w:szCs w:val="20"/>
                <w:color w:val="auto"/>
              </w:rPr>
            </w:pPr>
            <w:r>
              <w:rPr>
                <w:rFonts w:ascii="Arial" w:cs="Arial" w:eastAsia="Arial" w:hAnsi="Arial"/>
                <w:sz w:val="18"/>
                <w:szCs w:val="18"/>
                <w:color w:val="auto"/>
              </w:rPr>
              <w:t>Prime Rate Advances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6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7840" w:type="dxa"/>
            <w:vAlign w:val="bottom"/>
          </w:tcPr>
          <w:p>
            <w:pPr>
              <w:ind w:left="240"/>
              <w:spacing w:after="0"/>
              <w:rPr>
                <w:sz w:val="20"/>
                <w:szCs w:val="20"/>
                <w:color w:val="auto"/>
              </w:rPr>
            </w:pPr>
            <w:r>
              <w:rPr>
                <w:rFonts w:ascii="Arial" w:cs="Arial" w:eastAsia="Arial" w:hAnsi="Arial"/>
                <w:sz w:val="18"/>
                <w:szCs w:val="18"/>
                <w:color w:val="auto"/>
              </w:rPr>
              <w:t>Co-ordination of Prime Rate Advances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300" w:top="958" w:right="499" w:bottom="1440" w:gutter="0" w:footer="0" w:header="0"/>
        </w:sectPr>
      </w:pPr>
    </w:p>
    <w:bookmarkStart w:id="153" w:name="page154"/>
    <w:bookmarkEnd w:id="153"/>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w w:val="82"/>
              </w:rPr>
              <w:t>Section</w:t>
            </w:r>
          </w:p>
        </w:tc>
        <w:tc>
          <w:tcPr>
            <w:tcW w:w="79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Description</w:t>
            </w:r>
          </w:p>
        </w:tc>
        <w:tc>
          <w:tcPr>
            <w:tcW w:w="230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5.7</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Execution of Banker’s Acceptances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5.8</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Sale of Banker’s Acceptances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5.9</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Size and Maturity of Banker’s Acceptances and Rollovers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5.10</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Co-ordination of BA Advances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5.11</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Payment of Banker’s Acceptances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5.12</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Deemed Advance — Banker’s Acceptances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5.13</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5.14</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Degree of Care</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5.15</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Obligations Absolute</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5.16</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Shortfall on Drawdowns, Rollovers and Conversions</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5.17</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Payment by the Borrower</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5.18</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Prohibited Rates of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4"/>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60" w:type="dxa"/>
            <w:vAlign w:val="bottom"/>
          </w:tcPr>
          <w:p>
            <w:pPr>
              <w:jc w:val="center"/>
              <w:ind w:left="110"/>
              <w:spacing w:after="0"/>
              <w:rPr>
                <w:sz w:val="20"/>
                <w:szCs w:val="20"/>
                <w:color w:val="auto"/>
              </w:rPr>
            </w:pPr>
            <w:r>
              <w:rPr>
                <w:rFonts w:ascii="Arial" w:cs="Arial" w:eastAsia="Arial" w:hAnsi="Arial"/>
                <w:sz w:val="18"/>
                <w:szCs w:val="18"/>
                <w:b w:val="1"/>
                <w:bCs w:val="1"/>
                <w:color w:val="auto"/>
              </w:rPr>
              <w:t>ARTICLE 6</w:t>
            </w:r>
          </w:p>
        </w:tc>
        <w:tc>
          <w:tcPr>
            <w:tcW w:w="230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6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REPRESENTATIONS AND WARRANTIES</w:t>
            </w:r>
          </w:p>
        </w:tc>
        <w:tc>
          <w:tcPr>
            <w:tcW w:w="2300" w:type="dxa"/>
            <w:vAlign w:val="bottom"/>
          </w:tcPr>
          <w:p>
            <w:pPr>
              <w:spacing w:after="0"/>
              <w:rPr>
                <w:sz w:val="20"/>
                <w:szCs w:val="20"/>
                <w:color w:val="auto"/>
              </w:rPr>
            </w:pPr>
          </w:p>
        </w:tc>
      </w:tr>
      <w:tr>
        <w:trPr>
          <w:trHeight w:val="418"/>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6.1</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(1)</w:t>
            </w:r>
          </w:p>
        </w:tc>
        <w:tc>
          <w:tcPr>
            <w:tcW w:w="7460" w:type="dxa"/>
            <w:vAlign w:val="bottom"/>
          </w:tcPr>
          <w:p>
            <w:pPr>
              <w:ind w:left="40"/>
              <w:spacing w:after="0"/>
              <w:rPr>
                <w:sz w:val="20"/>
                <w:szCs w:val="20"/>
                <w:color w:val="auto"/>
              </w:rPr>
            </w:pPr>
            <w:r>
              <w:rPr>
                <w:rFonts w:ascii="Arial" w:cs="Arial" w:eastAsia="Arial" w:hAnsi="Arial"/>
                <w:sz w:val="18"/>
                <w:szCs w:val="18"/>
                <w:color w:val="auto"/>
              </w:rPr>
              <w:t>Corporate Authority</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(2)</w:t>
            </w:r>
          </w:p>
        </w:tc>
        <w:tc>
          <w:tcPr>
            <w:tcW w:w="7460" w:type="dxa"/>
            <w:vAlign w:val="bottom"/>
          </w:tcPr>
          <w:p>
            <w:pPr>
              <w:ind w:left="40"/>
              <w:spacing w:after="0"/>
              <w:rPr>
                <w:sz w:val="20"/>
                <w:szCs w:val="20"/>
                <w:color w:val="auto"/>
              </w:rPr>
            </w:pPr>
            <w:r>
              <w:rPr>
                <w:rFonts w:ascii="Arial" w:cs="Arial" w:eastAsia="Arial" w:hAnsi="Arial"/>
                <w:sz w:val="18"/>
                <w:szCs w:val="18"/>
                <w:color w:val="auto"/>
              </w:rPr>
              <w:t>Governmental and Other Approvals</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(3)</w:t>
            </w:r>
          </w:p>
        </w:tc>
        <w:tc>
          <w:tcPr>
            <w:tcW w:w="7460" w:type="dxa"/>
            <w:vAlign w:val="bottom"/>
          </w:tcPr>
          <w:p>
            <w:pPr>
              <w:ind w:left="20"/>
              <w:spacing w:after="0"/>
              <w:rPr>
                <w:sz w:val="20"/>
                <w:szCs w:val="20"/>
                <w:color w:val="auto"/>
              </w:rPr>
            </w:pPr>
            <w:r>
              <w:rPr>
                <w:rFonts w:ascii="Arial" w:cs="Arial" w:eastAsia="Arial" w:hAnsi="Arial"/>
                <w:sz w:val="18"/>
                <w:szCs w:val="18"/>
                <w:color w:val="auto"/>
              </w:rPr>
              <w:t>Title to Properties; Leases</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(4)</w:t>
            </w:r>
          </w:p>
        </w:tc>
        <w:tc>
          <w:tcPr>
            <w:tcW w:w="7460" w:type="dxa"/>
            <w:vAlign w:val="bottom"/>
          </w:tcPr>
          <w:p>
            <w:pPr>
              <w:ind w:left="40"/>
              <w:spacing w:after="0"/>
              <w:rPr>
                <w:sz w:val="20"/>
                <w:szCs w:val="20"/>
                <w:color w:val="auto"/>
              </w:rPr>
            </w:pPr>
            <w:r>
              <w:rPr>
                <w:rFonts w:ascii="Arial" w:cs="Arial" w:eastAsia="Arial" w:hAnsi="Arial"/>
                <w:sz w:val="18"/>
                <w:szCs w:val="18"/>
                <w:color w:val="auto"/>
              </w:rPr>
              <w:t>Financial Statements; Solvency</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(5)</w:t>
            </w:r>
          </w:p>
        </w:tc>
        <w:tc>
          <w:tcPr>
            <w:tcW w:w="7460" w:type="dxa"/>
            <w:vAlign w:val="bottom"/>
          </w:tcPr>
          <w:p>
            <w:pPr>
              <w:ind w:left="40"/>
              <w:spacing w:after="0"/>
              <w:rPr>
                <w:sz w:val="20"/>
                <w:szCs w:val="20"/>
                <w:color w:val="auto"/>
              </w:rPr>
            </w:pPr>
            <w:r>
              <w:rPr>
                <w:rFonts w:ascii="Arial" w:cs="Arial" w:eastAsia="Arial" w:hAnsi="Arial"/>
                <w:sz w:val="18"/>
                <w:szCs w:val="18"/>
                <w:color w:val="auto"/>
              </w:rPr>
              <w:t>No Material Changes, Etc.</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(6)</w:t>
            </w:r>
          </w:p>
        </w:tc>
        <w:tc>
          <w:tcPr>
            <w:tcW w:w="7460" w:type="dxa"/>
            <w:vAlign w:val="bottom"/>
          </w:tcPr>
          <w:p>
            <w:pPr>
              <w:ind w:left="40"/>
              <w:spacing w:after="0"/>
              <w:rPr>
                <w:sz w:val="20"/>
                <w:szCs w:val="20"/>
                <w:color w:val="auto"/>
              </w:rPr>
            </w:pPr>
            <w:r>
              <w:rPr>
                <w:rFonts w:ascii="Arial" w:cs="Arial" w:eastAsia="Arial" w:hAnsi="Arial"/>
                <w:sz w:val="18"/>
                <w:szCs w:val="18"/>
                <w:color w:val="auto"/>
              </w:rPr>
              <w:t>Franchises, Patents, Copyrights, Etc.</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(7)</w:t>
            </w:r>
          </w:p>
        </w:tc>
        <w:tc>
          <w:tcPr>
            <w:tcW w:w="74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(8)</w:t>
            </w:r>
          </w:p>
        </w:tc>
        <w:tc>
          <w:tcPr>
            <w:tcW w:w="7460" w:type="dxa"/>
            <w:vAlign w:val="bottom"/>
          </w:tcPr>
          <w:p>
            <w:pPr>
              <w:ind w:left="40"/>
              <w:spacing w:after="0"/>
              <w:rPr>
                <w:sz w:val="20"/>
                <w:szCs w:val="20"/>
                <w:color w:val="auto"/>
              </w:rPr>
            </w:pPr>
            <w:r>
              <w:rPr>
                <w:rFonts w:ascii="Arial" w:cs="Arial" w:eastAsia="Arial" w:hAnsi="Arial"/>
                <w:sz w:val="18"/>
                <w:szCs w:val="18"/>
                <w:color w:val="auto"/>
              </w:rPr>
              <w:t>No Materially Adverse Contracts, Etc.</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(9)</w:t>
            </w:r>
          </w:p>
        </w:tc>
        <w:tc>
          <w:tcPr>
            <w:tcW w:w="7460" w:type="dxa"/>
            <w:vAlign w:val="bottom"/>
          </w:tcPr>
          <w:p>
            <w:pPr>
              <w:ind w:left="40"/>
              <w:spacing w:after="0"/>
              <w:rPr>
                <w:sz w:val="20"/>
                <w:szCs w:val="20"/>
                <w:color w:val="auto"/>
              </w:rPr>
            </w:pPr>
            <w:r>
              <w:rPr>
                <w:rFonts w:ascii="Arial" w:cs="Arial" w:eastAsia="Arial" w:hAnsi="Arial"/>
                <w:sz w:val="18"/>
                <w:szCs w:val="18"/>
                <w:color w:val="auto"/>
              </w:rPr>
              <w:t>Compliance With Other Instruments, Laws, Etc.</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(10) Tax Status</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(11) No Event of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(12) Holding Company and Investment Company Acts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(13) Absence of Financing Statements, Etc.</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(14) Environmental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(15) Disclosure</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00" w:type="dxa"/>
            <w:vAlign w:val="bottom"/>
          </w:tcPr>
          <w:p>
            <w:pPr>
              <w:spacing w:after="0"/>
              <w:rPr>
                <w:sz w:val="18"/>
                <w:szCs w:val="18"/>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(16) Permits and Governmental Authority</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6.2</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Survival of 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4"/>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60" w:type="dxa"/>
            <w:vAlign w:val="bottom"/>
          </w:tcPr>
          <w:p>
            <w:pPr>
              <w:jc w:val="center"/>
              <w:ind w:left="110"/>
              <w:spacing w:after="0"/>
              <w:rPr>
                <w:sz w:val="20"/>
                <w:szCs w:val="20"/>
                <w:color w:val="auto"/>
              </w:rPr>
            </w:pPr>
            <w:r>
              <w:rPr>
                <w:rFonts w:ascii="Arial" w:cs="Arial" w:eastAsia="Arial" w:hAnsi="Arial"/>
                <w:sz w:val="18"/>
                <w:szCs w:val="18"/>
                <w:b w:val="1"/>
                <w:bCs w:val="1"/>
                <w:color w:val="auto"/>
              </w:rPr>
              <w:t>ARTICLE 7</w:t>
            </w:r>
          </w:p>
        </w:tc>
        <w:tc>
          <w:tcPr>
            <w:tcW w:w="230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60" w:type="dxa"/>
            <w:vAlign w:val="bottom"/>
          </w:tcPr>
          <w:p>
            <w:pPr>
              <w:jc w:val="center"/>
              <w:ind w:left="110"/>
              <w:spacing w:after="0"/>
              <w:rPr>
                <w:sz w:val="20"/>
                <w:szCs w:val="20"/>
                <w:color w:val="auto"/>
              </w:rPr>
            </w:pPr>
            <w:r>
              <w:rPr>
                <w:rFonts w:ascii="Arial" w:cs="Arial" w:eastAsia="Arial" w:hAnsi="Arial"/>
                <w:sz w:val="18"/>
                <w:szCs w:val="18"/>
                <w:b w:val="1"/>
                <w:bCs w:val="1"/>
                <w:color w:val="auto"/>
              </w:rPr>
              <w:t>COVENANTS</w:t>
            </w:r>
          </w:p>
        </w:tc>
        <w:tc>
          <w:tcPr>
            <w:tcW w:w="2300" w:type="dxa"/>
            <w:vAlign w:val="bottom"/>
          </w:tcPr>
          <w:p>
            <w:pPr>
              <w:spacing w:after="0"/>
              <w:rPr>
                <w:sz w:val="20"/>
                <w:szCs w:val="20"/>
                <w:color w:val="auto"/>
              </w:rPr>
            </w:pPr>
          </w:p>
        </w:tc>
      </w:tr>
      <w:tr>
        <w:trPr>
          <w:trHeight w:val="418"/>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7.1</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Financial Covenants of Waste Management, Inc.</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7.2</w:t>
            </w:r>
          </w:p>
        </w:tc>
        <w:tc>
          <w:tcPr>
            <w:tcW w:w="7920" w:type="dxa"/>
            <w:vAlign w:val="bottom"/>
            <w:gridSpan w:val="2"/>
          </w:tcPr>
          <w:p>
            <w:pPr>
              <w:ind w:left="240"/>
              <w:spacing w:after="0"/>
              <w:rPr>
                <w:sz w:val="20"/>
                <w:szCs w:val="20"/>
                <w:color w:val="auto"/>
              </w:rPr>
            </w:pPr>
            <w:r>
              <w:rPr>
                <w:rFonts w:ascii="Arial" w:cs="Arial" w:eastAsia="Arial" w:hAnsi="Arial"/>
                <w:sz w:val="18"/>
                <w:szCs w:val="18"/>
                <w:color w:val="auto"/>
              </w:rPr>
              <w:t>Positive Covenants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(1)</w:t>
            </w:r>
          </w:p>
        </w:tc>
        <w:tc>
          <w:tcPr>
            <w:tcW w:w="7460" w:type="dxa"/>
            <w:vAlign w:val="bottom"/>
          </w:tcPr>
          <w:p>
            <w:pPr>
              <w:ind w:left="40"/>
              <w:spacing w:after="0"/>
              <w:rPr>
                <w:sz w:val="20"/>
                <w:szCs w:val="20"/>
                <w:color w:val="auto"/>
              </w:rPr>
            </w:pPr>
            <w:r>
              <w:rPr>
                <w:rFonts w:ascii="Arial" w:cs="Arial" w:eastAsia="Arial" w:hAnsi="Arial"/>
                <w:sz w:val="18"/>
                <w:szCs w:val="18"/>
                <w:color w:val="auto"/>
              </w:rPr>
              <w:t>Punctual Payment</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(2)</w:t>
            </w:r>
          </w:p>
        </w:tc>
        <w:tc>
          <w:tcPr>
            <w:tcW w:w="7460" w:type="dxa"/>
            <w:vAlign w:val="bottom"/>
          </w:tcPr>
          <w:p>
            <w:pPr>
              <w:ind w:left="40"/>
              <w:spacing w:after="0"/>
              <w:rPr>
                <w:sz w:val="20"/>
                <w:szCs w:val="20"/>
                <w:color w:val="auto"/>
              </w:rPr>
            </w:pPr>
            <w:r>
              <w:rPr>
                <w:rFonts w:ascii="Arial" w:cs="Arial" w:eastAsia="Arial" w:hAnsi="Arial"/>
                <w:sz w:val="18"/>
                <w:szCs w:val="18"/>
                <w:color w:val="auto"/>
              </w:rPr>
              <w:t>Chief Place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(3)</w:t>
            </w:r>
          </w:p>
        </w:tc>
        <w:tc>
          <w:tcPr>
            <w:tcW w:w="7460" w:type="dxa"/>
            <w:vAlign w:val="bottom"/>
          </w:tcPr>
          <w:p>
            <w:pPr>
              <w:ind w:left="40"/>
              <w:spacing w:after="0"/>
              <w:rPr>
                <w:sz w:val="20"/>
                <w:szCs w:val="20"/>
                <w:color w:val="auto"/>
              </w:rPr>
            </w:pPr>
            <w:r>
              <w:rPr>
                <w:rFonts w:ascii="Arial" w:cs="Arial" w:eastAsia="Arial" w:hAnsi="Arial"/>
                <w:sz w:val="18"/>
                <w:szCs w:val="18"/>
                <w:color w:val="auto"/>
              </w:rPr>
              <w:t>Records and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(4)</w:t>
            </w:r>
          </w:p>
        </w:tc>
        <w:tc>
          <w:tcPr>
            <w:tcW w:w="7460" w:type="dxa"/>
            <w:vAlign w:val="bottom"/>
          </w:tcPr>
          <w:p>
            <w:pPr>
              <w:ind w:left="40"/>
              <w:spacing w:after="0"/>
              <w:rPr>
                <w:sz w:val="20"/>
                <w:szCs w:val="20"/>
                <w:color w:val="auto"/>
              </w:rPr>
            </w:pPr>
            <w:r>
              <w:rPr>
                <w:rFonts w:ascii="Arial" w:cs="Arial" w:eastAsia="Arial" w:hAnsi="Arial"/>
                <w:sz w:val="18"/>
                <w:szCs w:val="18"/>
                <w:color w:val="auto"/>
              </w:rPr>
              <w:t>Existence and Conduct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(5)</w:t>
            </w:r>
          </w:p>
        </w:tc>
        <w:tc>
          <w:tcPr>
            <w:tcW w:w="7460" w:type="dxa"/>
            <w:vAlign w:val="bottom"/>
          </w:tcPr>
          <w:p>
            <w:pPr>
              <w:ind w:left="40"/>
              <w:spacing w:after="0"/>
              <w:rPr>
                <w:sz w:val="20"/>
                <w:szCs w:val="20"/>
                <w:color w:val="auto"/>
              </w:rPr>
            </w:pPr>
            <w:r>
              <w:rPr>
                <w:rFonts w:ascii="Arial" w:cs="Arial" w:eastAsia="Arial" w:hAnsi="Arial"/>
                <w:sz w:val="18"/>
                <w:szCs w:val="18"/>
                <w:color w:val="auto"/>
              </w:rPr>
              <w:t>Maintenance of Properties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(6)</w:t>
            </w:r>
          </w:p>
        </w:tc>
        <w:tc>
          <w:tcPr>
            <w:tcW w:w="74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0" w:type="dxa"/>
            <w:vAlign w:val="bottom"/>
          </w:tcPr>
          <w:p>
            <w:pPr>
              <w:spacing w:after="0"/>
              <w:rPr>
                <w:sz w:val="20"/>
                <w:szCs w:val="20"/>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(7)</w:t>
            </w:r>
          </w:p>
        </w:tc>
        <w:tc>
          <w:tcPr>
            <w:tcW w:w="7460" w:type="dxa"/>
            <w:vAlign w:val="bottom"/>
          </w:tcPr>
          <w:p>
            <w:pPr>
              <w:ind w:left="2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360" w:top="1440" w:right="519" w:bottom="1440" w:gutter="0" w:footer="0" w:header="0"/>
        </w:sectPr>
      </w:pPr>
    </w:p>
    <w:bookmarkStart w:id="154" w:name="page155"/>
    <w:bookmarkEnd w:id="154"/>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w w:val="82"/>
              </w:rPr>
              <w:t>Section</w:t>
            </w:r>
          </w:p>
        </w:tc>
        <w:tc>
          <w:tcPr>
            <w:tcW w:w="8920" w:type="dxa"/>
            <w:vAlign w:val="bottom"/>
          </w:tcPr>
          <w:p>
            <w:pPr>
              <w:ind w:left="24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(8) Inspection of Properties, Books and Contracts</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(9) Compliance with Laws, Contracts, Licenses and Permits; Maintenance of Material Licenses and Permits</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(10) Environmental Indemnification</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(11) Further Assurances</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(12) Notice of Potential Claims or Litigation</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(13) Notice of Certain Events Concerning Environmental Claims</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(14) Notice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(15) Use of Proceeds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(16) Certain Transactions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7.3</w:t>
            </w:r>
          </w:p>
        </w:tc>
        <w:tc>
          <w:tcPr>
            <w:tcW w:w="8920" w:type="dxa"/>
            <w:vAlign w:val="bottom"/>
          </w:tcPr>
          <w:p>
            <w:pPr>
              <w:ind w:left="240"/>
              <w:spacing w:after="0"/>
              <w:rPr>
                <w:sz w:val="20"/>
                <w:szCs w:val="20"/>
                <w:color w:val="auto"/>
              </w:rPr>
            </w:pPr>
            <w:r>
              <w:rPr>
                <w:rFonts w:ascii="Arial" w:cs="Arial" w:eastAsia="Arial" w:hAnsi="Arial"/>
                <w:sz w:val="18"/>
                <w:szCs w:val="18"/>
                <w:color w:val="auto"/>
              </w:rPr>
              <w:t>Reporting Requirements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 Periodic Financial Reports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7.4</w:t>
            </w:r>
          </w:p>
        </w:tc>
        <w:tc>
          <w:tcPr>
            <w:tcW w:w="8920" w:type="dxa"/>
            <w:vAlign w:val="bottom"/>
          </w:tcPr>
          <w:p>
            <w:pPr>
              <w:ind w:left="240"/>
              <w:spacing w:after="0"/>
              <w:rPr>
                <w:sz w:val="20"/>
                <w:szCs w:val="20"/>
                <w:color w:val="auto"/>
              </w:rPr>
            </w:pPr>
            <w:r>
              <w:rPr>
                <w:rFonts w:ascii="Arial" w:cs="Arial" w:eastAsia="Arial" w:hAnsi="Arial"/>
                <w:sz w:val="18"/>
                <w:szCs w:val="18"/>
                <w:color w:val="auto"/>
              </w:rPr>
              <w:t>Negative Covenants</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(1) Restrictions on Indebtedness</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(2) Restrictions on Encumbrances</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(3) Restrictions on Investments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(4) Mergers, Consolidations, Sales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0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Arial" w:cs="Arial" w:eastAsia="Arial" w:hAnsi="Arial"/>
                <w:sz w:val="18"/>
                <w:szCs w:val="18"/>
                <w:color w:val="auto"/>
              </w:rPr>
              <w:t>(5) Restricted Distributions and Redemptions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4"/>
        </w:trPr>
        <w:tc>
          <w:tcPr>
            <w:tcW w:w="800" w:type="dxa"/>
            <w:vAlign w:val="bottom"/>
          </w:tcPr>
          <w:p>
            <w:pPr>
              <w:spacing w:after="0"/>
              <w:rPr>
                <w:sz w:val="24"/>
                <w:szCs w:val="24"/>
                <w:color w:val="auto"/>
              </w:rPr>
            </w:pPr>
          </w:p>
        </w:tc>
        <w:tc>
          <w:tcPr>
            <w:tcW w:w="8920" w:type="dxa"/>
            <w:vAlign w:val="bottom"/>
          </w:tcPr>
          <w:p>
            <w:pPr>
              <w:jc w:val="center"/>
              <w:ind w:right="290"/>
              <w:spacing w:after="0"/>
              <w:rPr>
                <w:sz w:val="20"/>
                <w:szCs w:val="20"/>
                <w:color w:val="auto"/>
              </w:rPr>
            </w:pPr>
            <w:r>
              <w:rPr>
                <w:rFonts w:ascii="Arial" w:cs="Arial" w:eastAsia="Arial" w:hAnsi="Arial"/>
                <w:sz w:val="18"/>
                <w:szCs w:val="18"/>
                <w:b w:val="1"/>
                <w:bCs w:val="1"/>
                <w:color w:val="auto"/>
              </w:rPr>
              <w:t>ARTICLE 8</w:t>
            </w:r>
          </w:p>
        </w:tc>
        <w:tc>
          <w:tcPr>
            <w:tcW w:w="130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8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7"/>
              </w:rPr>
              <w:t>DEFAULT</w:t>
            </w:r>
          </w:p>
        </w:tc>
        <w:tc>
          <w:tcPr>
            <w:tcW w:w="1300" w:type="dxa"/>
            <w:vAlign w:val="bottom"/>
          </w:tcPr>
          <w:p>
            <w:pPr>
              <w:spacing w:after="0"/>
              <w:rPr>
                <w:sz w:val="20"/>
                <w:szCs w:val="20"/>
                <w:color w:val="auto"/>
              </w:rPr>
            </w:pPr>
          </w:p>
        </w:tc>
      </w:tr>
      <w:tr>
        <w:trPr>
          <w:trHeight w:val="418"/>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8.1</w:t>
            </w:r>
          </w:p>
        </w:tc>
        <w:tc>
          <w:tcPr>
            <w:tcW w:w="892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8.2</w:t>
            </w:r>
          </w:p>
        </w:tc>
        <w:tc>
          <w:tcPr>
            <w:tcW w:w="8920" w:type="dxa"/>
            <w:vAlign w:val="bottom"/>
          </w:tcPr>
          <w:p>
            <w:pPr>
              <w:ind w:left="240"/>
              <w:spacing w:after="0"/>
              <w:rPr>
                <w:sz w:val="20"/>
                <w:szCs w:val="20"/>
                <w:color w:val="auto"/>
              </w:rPr>
            </w:pPr>
            <w:r>
              <w:rPr>
                <w:rFonts w:ascii="Arial" w:cs="Arial" w:eastAsia="Arial" w:hAnsi="Arial"/>
                <w:sz w:val="18"/>
                <w:szCs w:val="18"/>
                <w:color w:val="auto"/>
              </w:rPr>
              <w:t>Acceleration and Termination of Rights, Pre-Acceleration Rights</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8.3</w:t>
            </w:r>
          </w:p>
        </w:tc>
        <w:tc>
          <w:tcPr>
            <w:tcW w:w="8920" w:type="dxa"/>
            <w:vAlign w:val="bottom"/>
          </w:tcPr>
          <w:p>
            <w:pPr>
              <w:ind w:left="240"/>
              <w:spacing w:after="0"/>
              <w:rPr>
                <w:sz w:val="20"/>
                <w:szCs w:val="20"/>
                <w:color w:val="auto"/>
              </w:rPr>
            </w:pPr>
            <w:r>
              <w:rPr>
                <w:rFonts w:ascii="Arial" w:cs="Arial" w:eastAsia="Arial" w:hAnsi="Arial"/>
                <w:sz w:val="18"/>
                <w:szCs w:val="18"/>
                <w:color w:val="auto"/>
              </w:rPr>
              <w:t>Payment of Banker’s Acceptances</w:t>
            </w: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8.4</w:t>
            </w:r>
          </w:p>
        </w:tc>
        <w:tc>
          <w:tcPr>
            <w:tcW w:w="8920" w:type="dxa"/>
            <w:vAlign w:val="bottom"/>
          </w:tcPr>
          <w:p>
            <w:pPr>
              <w:ind w:left="240"/>
              <w:spacing w:after="0"/>
              <w:rPr>
                <w:sz w:val="20"/>
                <w:szCs w:val="20"/>
                <w:color w:val="auto"/>
              </w:rPr>
            </w:pPr>
            <w:r>
              <w:rPr>
                <w:rFonts w:ascii="Arial" w:cs="Arial" w:eastAsia="Arial" w:hAnsi="Arial"/>
                <w:sz w:val="18"/>
                <w:szCs w:val="18"/>
                <w:color w:val="auto"/>
              </w:rPr>
              <w:t>Remedies</w:t>
            </w: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8.5</w:t>
            </w:r>
          </w:p>
        </w:tc>
        <w:tc>
          <w:tcPr>
            <w:tcW w:w="8920" w:type="dxa"/>
            <w:vAlign w:val="bottom"/>
          </w:tcPr>
          <w:p>
            <w:pPr>
              <w:ind w:left="240"/>
              <w:spacing w:after="0"/>
              <w:rPr>
                <w:sz w:val="20"/>
                <w:szCs w:val="20"/>
                <w:color w:val="auto"/>
              </w:rPr>
            </w:pPr>
            <w:r>
              <w:rPr>
                <w:rFonts w:ascii="Arial" w:cs="Arial" w:eastAsia="Arial" w:hAnsi="Arial"/>
                <w:sz w:val="18"/>
                <w:szCs w:val="18"/>
                <w:color w:val="auto"/>
              </w:rPr>
              <w:t>Saving</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8.6</w:t>
            </w:r>
          </w:p>
        </w:tc>
        <w:tc>
          <w:tcPr>
            <w:tcW w:w="8920" w:type="dxa"/>
            <w:vAlign w:val="bottom"/>
          </w:tcPr>
          <w:p>
            <w:pPr>
              <w:ind w:left="240"/>
              <w:spacing w:after="0"/>
              <w:rPr>
                <w:sz w:val="20"/>
                <w:szCs w:val="20"/>
                <w:color w:val="auto"/>
              </w:rPr>
            </w:pPr>
            <w:r>
              <w:rPr>
                <w:rFonts w:ascii="Arial" w:cs="Arial" w:eastAsia="Arial" w:hAnsi="Arial"/>
                <w:sz w:val="18"/>
                <w:szCs w:val="18"/>
                <w:color w:val="auto"/>
              </w:rPr>
              <w:t>Perform Obligations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8.7</w:t>
            </w:r>
          </w:p>
        </w:tc>
        <w:tc>
          <w:tcPr>
            <w:tcW w:w="8920" w:type="dxa"/>
            <w:vAlign w:val="bottom"/>
          </w:tcPr>
          <w:p>
            <w:pPr>
              <w:ind w:left="240"/>
              <w:spacing w:after="0"/>
              <w:rPr>
                <w:sz w:val="20"/>
                <w:szCs w:val="20"/>
                <w:color w:val="auto"/>
              </w:rPr>
            </w:pPr>
            <w:r>
              <w:rPr>
                <w:rFonts w:ascii="Arial" w:cs="Arial" w:eastAsia="Arial" w:hAnsi="Arial"/>
                <w:sz w:val="18"/>
                <w:szCs w:val="18"/>
                <w:color w:val="auto"/>
              </w:rPr>
              <w:t>Third Parties</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8.8</w:t>
            </w:r>
          </w:p>
        </w:tc>
        <w:tc>
          <w:tcPr>
            <w:tcW w:w="8920" w:type="dxa"/>
            <w:vAlign w:val="bottom"/>
          </w:tcPr>
          <w:p>
            <w:pPr>
              <w:ind w:left="240"/>
              <w:spacing w:after="0"/>
              <w:rPr>
                <w:sz w:val="20"/>
                <w:szCs w:val="20"/>
                <w:color w:val="auto"/>
              </w:rPr>
            </w:pPr>
            <w:r>
              <w:rPr>
                <w:rFonts w:ascii="Arial" w:cs="Arial" w:eastAsia="Arial" w:hAnsi="Arial"/>
                <w:sz w:val="18"/>
                <w:szCs w:val="18"/>
                <w:color w:val="auto"/>
              </w:rPr>
              <w:t>Remedies Cumulative</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4"/>
        </w:trPr>
        <w:tc>
          <w:tcPr>
            <w:tcW w:w="800" w:type="dxa"/>
            <w:vAlign w:val="bottom"/>
          </w:tcPr>
          <w:p>
            <w:pPr>
              <w:spacing w:after="0"/>
              <w:rPr>
                <w:sz w:val="24"/>
                <w:szCs w:val="24"/>
                <w:color w:val="auto"/>
              </w:rPr>
            </w:pPr>
          </w:p>
        </w:tc>
        <w:tc>
          <w:tcPr>
            <w:tcW w:w="8920" w:type="dxa"/>
            <w:vAlign w:val="bottom"/>
          </w:tcPr>
          <w:p>
            <w:pPr>
              <w:jc w:val="center"/>
              <w:ind w:right="290"/>
              <w:spacing w:after="0"/>
              <w:rPr>
                <w:sz w:val="20"/>
                <w:szCs w:val="20"/>
                <w:color w:val="auto"/>
              </w:rPr>
            </w:pPr>
            <w:r>
              <w:rPr>
                <w:rFonts w:ascii="Arial" w:cs="Arial" w:eastAsia="Arial" w:hAnsi="Arial"/>
                <w:sz w:val="18"/>
                <w:szCs w:val="18"/>
                <w:b w:val="1"/>
                <w:bCs w:val="1"/>
                <w:color w:val="auto"/>
              </w:rPr>
              <w:t>ARTICLE 9</w:t>
            </w:r>
          </w:p>
        </w:tc>
        <w:tc>
          <w:tcPr>
            <w:tcW w:w="130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8920" w:type="dxa"/>
            <w:vAlign w:val="bottom"/>
          </w:tcPr>
          <w:p>
            <w:pPr>
              <w:jc w:val="center"/>
              <w:ind w:right="290"/>
              <w:spacing w:after="0"/>
              <w:rPr>
                <w:sz w:val="20"/>
                <w:szCs w:val="20"/>
                <w:color w:val="auto"/>
              </w:rPr>
            </w:pPr>
            <w:r>
              <w:rPr>
                <w:rFonts w:ascii="Arial" w:cs="Arial" w:eastAsia="Arial" w:hAnsi="Arial"/>
                <w:sz w:val="18"/>
                <w:szCs w:val="18"/>
                <w:b w:val="1"/>
                <w:bCs w:val="1"/>
                <w:color w:val="auto"/>
              </w:rPr>
              <w:t>THE AGENT AND THE LENDERS</w:t>
            </w:r>
          </w:p>
        </w:tc>
        <w:tc>
          <w:tcPr>
            <w:tcW w:w="1300" w:type="dxa"/>
            <w:vAlign w:val="bottom"/>
          </w:tcPr>
          <w:p>
            <w:pPr>
              <w:spacing w:after="0"/>
              <w:rPr>
                <w:sz w:val="20"/>
                <w:szCs w:val="20"/>
                <w:color w:val="auto"/>
              </w:rPr>
            </w:pPr>
          </w:p>
        </w:tc>
      </w:tr>
      <w:tr>
        <w:trPr>
          <w:trHeight w:val="418"/>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9.1</w:t>
            </w:r>
          </w:p>
        </w:tc>
        <w:tc>
          <w:tcPr>
            <w:tcW w:w="8920" w:type="dxa"/>
            <w:vAlign w:val="bottom"/>
          </w:tcPr>
          <w:p>
            <w:pPr>
              <w:ind w:left="240"/>
              <w:spacing w:after="0"/>
              <w:rPr>
                <w:sz w:val="20"/>
                <w:szCs w:val="20"/>
                <w:color w:val="auto"/>
              </w:rPr>
            </w:pPr>
            <w:r>
              <w:rPr>
                <w:rFonts w:ascii="Arial" w:cs="Arial" w:eastAsia="Arial" w:hAnsi="Arial"/>
                <w:sz w:val="18"/>
                <w:szCs w:val="18"/>
                <w:color w:val="auto"/>
              </w:rPr>
              <w:t>Authorization of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9.2</w:t>
            </w:r>
          </w:p>
        </w:tc>
        <w:tc>
          <w:tcPr>
            <w:tcW w:w="8920" w:type="dxa"/>
            <w:vAlign w:val="bottom"/>
          </w:tcPr>
          <w:p>
            <w:pPr>
              <w:ind w:left="240"/>
              <w:spacing w:after="0"/>
              <w:rPr>
                <w:sz w:val="20"/>
                <w:szCs w:val="20"/>
                <w:color w:val="auto"/>
              </w:rPr>
            </w:pPr>
            <w:r>
              <w:rPr>
                <w:rFonts w:ascii="Arial" w:cs="Arial" w:eastAsia="Arial" w:hAnsi="Arial"/>
                <w:sz w:val="18"/>
                <w:szCs w:val="18"/>
                <w:color w:val="auto"/>
              </w:rPr>
              <w:t>Disclaimer of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9.3</w:t>
            </w:r>
          </w:p>
        </w:tc>
        <w:tc>
          <w:tcPr>
            <w:tcW w:w="8920" w:type="dxa"/>
            <w:vAlign w:val="bottom"/>
          </w:tcPr>
          <w:p>
            <w:pPr>
              <w:ind w:left="240"/>
              <w:spacing w:after="0"/>
              <w:rPr>
                <w:sz w:val="20"/>
                <w:szCs w:val="20"/>
                <w:color w:val="auto"/>
              </w:rPr>
            </w:pPr>
            <w:r>
              <w:rPr>
                <w:rFonts w:ascii="Arial" w:cs="Arial" w:eastAsia="Arial" w:hAnsi="Arial"/>
                <w:sz w:val="18"/>
                <w:szCs w:val="18"/>
                <w:color w:val="auto"/>
              </w:rPr>
              <w:t>Failure of Lender to Fund</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9.4</w:t>
            </w:r>
          </w:p>
        </w:tc>
        <w:tc>
          <w:tcPr>
            <w:tcW w:w="8920" w:type="dxa"/>
            <w:vAlign w:val="bottom"/>
          </w:tcPr>
          <w:p>
            <w:pPr>
              <w:ind w:left="240"/>
              <w:spacing w:after="0"/>
              <w:rPr>
                <w:sz w:val="20"/>
                <w:szCs w:val="20"/>
                <w:color w:val="auto"/>
              </w:rPr>
            </w:pPr>
            <w:r>
              <w:rPr>
                <w:rFonts w:ascii="Arial" w:cs="Arial" w:eastAsia="Arial" w:hAnsi="Arial"/>
                <w:sz w:val="18"/>
                <w:szCs w:val="18"/>
                <w:color w:val="auto"/>
              </w:rPr>
              <w:t>Payments by the Borrower</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9.5</w:t>
            </w:r>
          </w:p>
        </w:tc>
        <w:tc>
          <w:tcPr>
            <w:tcW w:w="8920" w:type="dxa"/>
            <w:vAlign w:val="bottom"/>
          </w:tcPr>
          <w:p>
            <w:pPr>
              <w:ind w:left="240"/>
              <w:spacing w:after="0"/>
              <w:rPr>
                <w:sz w:val="20"/>
                <w:szCs w:val="20"/>
                <w:color w:val="auto"/>
              </w:rPr>
            </w:pPr>
            <w:r>
              <w:rPr>
                <w:rFonts w:ascii="Arial" w:cs="Arial" w:eastAsia="Arial" w:hAnsi="Arial"/>
                <w:sz w:val="18"/>
                <w:szCs w:val="18"/>
                <w:color w:val="auto"/>
              </w:rPr>
              <w:t>Payments by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9.6</w:t>
            </w:r>
          </w:p>
        </w:tc>
        <w:tc>
          <w:tcPr>
            <w:tcW w:w="8920" w:type="dxa"/>
            <w:vAlign w:val="bottom"/>
          </w:tcPr>
          <w:p>
            <w:pPr>
              <w:ind w:left="240"/>
              <w:spacing w:after="0"/>
              <w:rPr>
                <w:sz w:val="20"/>
                <w:szCs w:val="20"/>
                <w:color w:val="auto"/>
              </w:rPr>
            </w:pPr>
            <w:r>
              <w:rPr>
                <w:rFonts w:ascii="Arial" w:cs="Arial" w:eastAsia="Arial" w:hAnsi="Arial"/>
                <w:sz w:val="18"/>
                <w:szCs w:val="18"/>
                <w:color w:val="auto"/>
              </w:rPr>
              <w:t>Direct Payments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9.7</w:t>
            </w:r>
          </w:p>
        </w:tc>
        <w:tc>
          <w:tcPr>
            <w:tcW w:w="8920" w:type="dxa"/>
            <w:vAlign w:val="bottom"/>
          </w:tcPr>
          <w:p>
            <w:pPr>
              <w:ind w:left="240"/>
              <w:spacing w:after="0"/>
              <w:rPr>
                <w:sz w:val="20"/>
                <w:szCs w:val="20"/>
                <w:color w:val="auto"/>
              </w:rPr>
            </w:pPr>
            <w:r>
              <w:rPr>
                <w:rFonts w:ascii="Arial" w:cs="Arial" w:eastAsia="Arial" w:hAnsi="Arial"/>
                <w:sz w:val="18"/>
                <w:szCs w:val="18"/>
                <w:color w:val="auto"/>
              </w:rPr>
              <w:t>Administration of the Credit</w:t>
            </w: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9.8</w:t>
            </w:r>
          </w:p>
        </w:tc>
        <w:tc>
          <w:tcPr>
            <w:tcW w:w="8920" w:type="dxa"/>
            <w:vAlign w:val="bottom"/>
          </w:tcPr>
          <w:p>
            <w:pPr>
              <w:ind w:left="240"/>
              <w:spacing w:after="0"/>
              <w:rPr>
                <w:sz w:val="20"/>
                <w:szCs w:val="20"/>
                <w:color w:val="auto"/>
              </w:rPr>
            </w:pPr>
            <w:r>
              <w:rPr>
                <w:rFonts w:ascii="Arial" w:cs="Arial" w:eastAsia="Arial" w:hAnsi="Arial"/>
                <w:sz w:val="18"/>
                <w:szCs w:val="18"/>
                <w:color w:val="auto"/>
              </w:rPr>
              <w:t>Rights of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9.9</w:t>
            </w:r>
          </w:p>
        </w:tc>
        <w:tc>
          <w:tcPr>
            <w:tcW w:w="8920" w:type="dxa"/>
            <w:vAlign w:val="bottom"/>
          </w:tcPr>
          <w:p>
            <w:pPr>
              <w:ind w:left="240"/>
              <w:spacing w:after="0"/>
              <w:rPr>
                <w:sz w:val="20"/>
                <w:szCs w:val="20"/>
                <w:color w:val="auto"/>
              </w:rPr>
            </w:pPr>
            <w:r>
              <w:rPr>
                <w:rFonts w:ascii="Arial" w:cs="Arial" w:eastAsia="Arial" w:hAnsi="Arial"/>
                <w:sz w:val="18"/>
                <w:szCs w:val="18"/>
                <w:color w:val="auto"/>
              </w:rPr>
              <w:t>Acknowledgements, Representations and Covenants of Lenders</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9.10</w:t>
            </w:r>
          </w:p>
        </w:tc>
        <w:tc>
          <w:tcPr>
            <w:tcW w:w="8920" w:type="dxa"/>
            <w:vAlign w:val="bottom"/>
          </w:tcPr>
          <w:p>
            <w:pPr>
              <w:ind w:left="240"/>
              <w:spacing w:after="0"/>
              <w:rPr>
                <w:sz w:val="20"/>
                <w:szCs w:val="20"/>
                <w:color w:val="auto"/>
              </w:rPr>
            </w:pPr>
            <w:r>
              <w:rPr>
                <w:rFonts w:ascii="Arial" w:cs="Arial" w:eastAsia="Arial" w:hAnsi="Arial"/>
                <w:sz w:val="18"/>
                <w:szCs w:val="18"/>
                <w:color w:val="auto"/>
              </w:rPr>
              <w:t>Collective Action of the Lenders</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9.11</w:t>
            </w:r>
          </w:p>
        </w:tc>
        <w:tc>
          <w:tcPr>
            <w:tcW w:w="8920" w:type="dxa"/>
            <w:vAlign w:val="bottom"/>
          </w:tcPr>
          <w:p>
            <w:pPr>
              <w:ind w:left="240"/>
              <w:spacing w:after="0"/>
              <w:rPr>
                <w:sz w:val="20"/>
                <w:szCs w:val="20"/>
                <w:color w:val="auto"/>
              </w:rPr>
            </w:pPr>
            <w:r>
              <w:rPr>
                <w:rFonts w:ascii="Arial" w:cs="Arial" w:eastAsia="Arial" w:hAnsi="Arial"/>
                <w:sz w:val="18"/>
                <w:szCs w:val="18"/>
                <w:color w:val="auto"/>
              </w:rPr>
              <w:t>Successor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0" w:type="dxa"/>
            <w:vAlign w:val="bottom"/>
          </w:tcPr>
          <w:p>
            <w:pPr>
              <w:jc w:val="right"/>
              <w:ind w:right="151"/>
              <w:spacing w:after="0"/>
              <w:rPr>
                <w:sz w:val="20"/>
                <w:szCs w:val="20"/>
                <w:color w:val="auto"/>
              </w:rPr>
            </w:pPr>
            <w:r>
              <w:rPr>
                <w:rFonts w:ascii="Arial" w:cs="Arial" w:eastAsia="Arial" w:hAnsi="Arial"/>
                <w:sz w:val="18"/>
                <w:szCs w:val="18"/>
                <w:color w:val="auto"/>
              </w:rPr>
              <w:t>9.12</w:t>
            </w:r>
          </w:p>
        </w:tc>
        <w:tc>
          <w:tcPr>
            <w:tcW w:w="8920" w:type="dxa"/>
            <w:vAlign w:val="bottom"/>
          </w:tcPr>
          <w:p>
            <w:pPr>
              <w:ind w:left="240"/>
              <w:spacing w:after="0"/>
              <w:rPr>
                <w:sz w:val="20"/>
                <w:szCs w:val="20"/>
                <w:color w:val="auto"/>
              </w:rPr>
            </w:pPr>
            <w:r>
              <w:rPr>
                <w:rFonts w:ascii="Arial" w:cs="Arial" w:eastAsia="Arial" w:hAnsi="Arial"/>
                <w:sz w:val="18"/>
                <w:szCs w:val="18"/>
                <w:color w:val="auto"/>
              </w:rPr>
              <w:t>Provisions Operative Between Lenders and Agent Only</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360" w:top="1440" w:right="519" w:bottom="1440" w:gutter="0" w:footer="0" w:header="0"/>
        </w:sectPr>
      </w:pPr>
    </w:p>
    <w:bookmarkStart w:id="155" w:name="page156"/>
    <w:bookmarkEnd w:id="155"/>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82"/>
              </w:rPr>
              <w:t>Section</w:t>
            </w: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6"/>
                <w:szCs w:val="16"/>
                <w:color w:val="auto"/>
              </w:rPr>
            </w:pPr>
          </w:p>
        </w:tc>
        <w:tc>
          <w:tcPr>
            <w:tcW w:w="6500" w:type="dxa"/>
            <w:vAlign w:val="bottom"/>
            <w:vMerge w:val="restart"/>
          </w:tcPr>
          <w:p>
            <w:pPr>
              <w:jc w:val="center"/>
              <w:ind w:right="1250"/>
              <w:spacing w:after="0"/>
              <w:rPr>
                <w:sz w:val="20"/>
                <w:szCs w:val="20"/>
                <w:color w:val="auto"/>
              </w:rPr>
            </w:pPr>
            <w:r>
              <w:rPr>
                <w:rFonts w:ascii="Arial" w:cs="Arial" w:eastAsia="Arial" w:hAnsi="Arial"/>
                <w:sz w:val="18"/>
                <w:szCs w:val="18"/>
                <w:b w:val="1"/>
                <w:bCs w:val="1"/>
                <w:color w:val="auto"/>
              </w:rPr>
              <w:t>ARTICLE 10</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50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5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7"/>
              </w:rPr>
              <w:t>ADDITIONAL LENDERS, SUCCESSORS AND ASSIGNS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Successors and Assigns</w:t>
            </w:r>
          </w:p>
        </w:tc>
        <w:tc>
          <w:tcPr>
            <w:tcW w:w="20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400" w:type="dxa"/>
            <w:vAlign w:val="bottom"/>
          </w:tcPr>
          <w:p>
            <w:pPr>
              <w:ind w:left="460"/>
              <w:spacing w:after="0"/>
              <w:rPr>
                <w:sz w:val="20"/>
                <w:szCs w:val="20"/>
                <w:color w:val="auto"/>
              </w:rPr>
            </w:pPr>
            <w:r>
              <w:rPr>
                <w:rFonts w:ascii="Arial" w:cs="Arial" w:eastAsia="Arial" w:hAnsi="Arial"/>
                <w:sz w:val="18"/>
                <w:szCs w:val="18"/>
                <w:color w:val="auto"/>
                <w:w w:val="89"/>
              </w:rPr>
              <w:t>Assignments</w:t>
            </w:r>
          </w:p>
        </w:tc>
        <w:tc>
          <w:tcPr>
            <w:tcW w:w="5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Participations</w:t>
            </w:r>
          </w:p>
        </w:tc>
        <w:tc>
          <w:tcPr>
            <w:tcW w:w="65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8"/>
              </w:rPr>
              <w:t>ARTICLE 11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500" w:type="dxa"/>
            <w:vAlign w:val="bottom"/>
          </w:tcPr>
          <w:p>
            <w:pPr>
              <w:jc w:val="center"/>
              <w:ind w:right="1230"/>
              <w:spacing w:after="0"/>
              <w:rPr>
                <w:sz w:val="20"/>
                <w:szCs w:val="20"/>
                <w:color w:val="auto"/>
              </w:rPr>
            </w:pPr>
            <w:r>
              <w:rPr>
                <w:rFonts w:ascii="Arial" w:cs="Arial" w:eastAsia="Arial" w:hAnsi="Arial"/>
                <w:sz w:val="18"/>
                <w:szCs w:val="18"/>
                <w:b w:val="1"/>
                <w:bCs w:val="1"/>
                <w:color w:val="auto"/>
              </w:rPr>
              <w:t>MISCELLANEOUS PROVISIONS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Defined Terms</w:t>
            </w:r>
          </w:p>
        </w:tc>
        <w:tc>
          <w:tcPr>
            <w:tcW w:w="65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400" w:type="dxa"/>
            <w:vAlign w:val="bottom"/>
          </w:tcPr>
          <w:p>
            <w:pPr>
              <w:ind w:left="460"/>
              <w:spacing w:after="0"/>
              <w:rPr>
                <w:sz w:val="20"/>
                <w:szCs w:val="20"/>
                <w:color w:val="auto"/>
              </w:rPr>
            </w:pPr>
            <w:r>
              <w:rPr>
                <w:rFonts w:ascii="Arial" w:cs="Arial" w:eastAsia="Arial" w:hAnsi="Arial"/>
                <w:sz w:val="18"/>
                <w:szCs w:val="18"/>
                <w:color w:val="auto"/>
                <w:w w:val="98"/>
              </w:rPr>
              <w:t>Severability</w:t>
            </w:r>
          </w:p>
        </w:tc>
        <w:tc>
          <w:tcPr>
            <w:tcW w:w="5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Amendment, Supplement or Waiver</w:t>
            </w:r>
          </w:p>
        </w:tc>
        <w:tc>
          <w:tcPr>
            <w:tcW w:w="20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Governing Law</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This Agreement to Govern</w:t>
            </w:r>
          </w:p>
        </w:tc>
        <w:tc>
          <w:tcPr>
            <w:tcW w:w="20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400" w:type="dxa"/>
            <w:vAlign w:val="bottom"/>
          </w:tcPr>
          <w:p>
            <w:pPr>
              <w:ind w:left="460"/>
              <w:spacing w:after="0"/>
              <w:rPr>
                <w:sz w:val="20"/>
                <w:szCs w:val="20"/>
                <w:color w:val="auto"/>
              </w:rPr>
            </w:pPr>
            <w:r>
              <w:rPr>
                <w:rFonts w:ascii="Arial" w:cs="Arial" w:eastAsia="Arial" w:hAnsi="Arial"/>
                <w:sz w:val="18"/>
                <w:szCs w:val="18"/>
                <w:color w:val="auto"/>
              </w:rPr>
              <w:t>Currency</w:t>
            </w:r>
          </w:p>
        </w:tc>
        <w:tc>
          <w:tcPr>
            <w:tcW w:w="5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97"/>
              </w:rPr>
              <w:t>Liability of Lenders</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Expenses and Indemnity</w:t>
            </w: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Manner of Payment and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11.10</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Change in Law</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11.11</w:t>
            </w:r>
          </w:p>
        </w:tc>
        <w:tc>
          <w:tcPr>
            <w:tcW w:w="1400" w:type="dxa"/>
            <w:vAlign w:val="bottom"/>
          </w:tcPr>
          <w:p>
            <w:pPr>
              <w:ind w:left="460"/>
              <w:spacing w:after="0"/>
              <w:rPr>
                <w:sz w:val="20"/>
                <w:szCs w:val="20"/>
                <w:color w:val="auto"/>
              </w:rPr>
            </w:pPr>
            <w:r>
              <w:rPr>
                <w:rFonts w:ascii="Arial" w:cs="Arial" w:eastAsia="Arial" w:hAnsi="Arial"/>
                <w:sz w:val="18"/>
                <w:szCs w:val="18"/>
                <w:color w:val="auto"/>
              </w:rPr>
              <w:t>Illegality</w:t>
            </w:r>
          </w:p>
        </w:tc>
        <w:tc>
          <w:tcPr>
            <w:tcW w:w="5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11.12</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Interest on Miscellaneous Amounts</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11.13</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98"/>
              </w:rPr>
              <w:t>Address for Notice</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11.14</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88"/>
              </w:rPr>
              <w:t>Time of the Essence</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11.15</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92"/>
              </w:rPr>
              <w:t>Further Assurances</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11.16</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94"/>
              </w:rPr>
              <w:t>Term of Agreement</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Payments on Business Day</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11.18</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Counterparts and Facsimile</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11.19</w:t>
            </w:r>
          </w:p>
        </w:tc>
        <w:tc>
          <w:tcPr>
            <w:tcW w:w="8440" w:type="dxa"/>
            <w:vAlign w:val="bottom"/>
            <w:gridSpan w:val="3"/>
          </w:tcPr>
          <w:p>
            <w:pPr>
              <w:ind w:left="460"/>
              <w:spacing w:after="0"/>
              <w:rPr>
                <w:sz w:val="20"/>
                <w:szCs w:val="20"/>
                <w:color w:val="auto"/>
              </w:rPr>
            </w:pPr>
            <w:r>
              <w:rPr>
                <w:rFonts w:ascii="Arial" w:cs="Arial" w:eastAsia="Arial" w:hAnsi="Arial"/>
                <w:sz w:val="18"/>
                <w:szCs w:val="18"/>
                <w:color w:val="auto"/>
              </w:rPr>
              <w:t>Waiver of Jury Trial and Consequential Damages</w:t>
            </w: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11.20</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Whole Agreement</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11.21</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rPr>
              <w:t>English Language</w:t>
            </w:r>
          </w:p>
        </w:tc>
        <w:tc>
          <w:tcPr>
            <w:tcW w:w="65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80" w:type="dxa"/>
            <w:vAlign w:val="bottom"/>
          </w:tcPr>
          <w:p>
            <w:pPr>
              <w:jc w:val="right"/>
              <w:spacing w:after="0"/>
              <w:rPr>
                <w:sz w:val="20"/>
                <w:szCs w:val="20"/>
                <w:color w:val="auto"/>
              </w:rPr>
            </w:pPr>
            <w:r>
              <w:rPr>
                <w:rFonts w:ascii="Arial" w:cs="Arial" w:eastAsia="Arial" w:hAnsi="Arial"/>
                <w:sz w:val="18"/>
                <w:szCs w:val="18"/>
                <w:color w:val="auto"/>
              </w:rPr>
              <w:t>11.22</w:t>
            </w:r>
          </w:p>
        </w:tc>
        <w:tc>
          <w:tcPr>
            <w:tcW w:w="1940" w:type="dxa"/>
            <w:vAlign w:val="bottom"/>
            <w:gridSpan w:val="2"/>
          </w:tcPr>
          <w:p>
            <w:pPr>
              <w:ind w:left="460"/>
              <w:spacing w:after="0"/>
              <w:rPr>
                <w:sz w:val="20"/>
                <w:szCs w:val="20"/>
                <w:color w:val="auto"/>
              </w:rPr>
            </w:pPr>
            <w:r>
              <w:rPr>
                <w:rFonts w:ascii="Arial" w:cs="Arial" w:eastAsia="Arial" w:hAnsi="Arial"/>
                <w:sz w:val="18"/>
                <w:szCs w:val="18"/>
                <w:color w:val="auto"/>
                <w:w w:val="96"/>
              </w:rPr>
              <w:t>Date of Agreement</w:t>
            </w:r>
          </w:p>
        </w:tc>
        <w:tc>
          <w:tcPr>
            <w:tcW w:w="65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SCHEDULE A</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500" w:type="dxa"/>
            <w:vAlign w:val="bottom"/>
          </w:tcPr>
          <w:p>
            <w:pPr>
              <w:ind w:left="40"/>
              <w:spacing w:after="0"/>
              <w:rPr>
                <w:sz w:val="20"/>
                <w:szCs w:val="20"/>
                <w:color w:val="auto"/>
              </w:rPr>
            </w:pPr>
            <w:r>
              <w:rPr>
                <w:rFonts w:ascii="Arial" w:cs="Arial" w:eastAsia="Arial" w:hAnsi="Arial"/>
                <w:sz w:val="18"/>
                <w:szCs w:val="18"/>
                <w:color w:val="auto"/>
              </w:rPr>
              <w:t>FORM OF NOTICE OF ADVANCE OR PAYMENT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SCHEDULE B</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500" w:type="dxa"/>
            <w:vAlign w:val="bottom"/>
          </w:tcPr>
          <w:p>
            <w:pPr>
              <w:ind w:left="40"/>
              <w:spacing w:after="0"/>
              <w:rPr>
                <w:sz w:val="20"/>
                <w:szCs w:val="20"/>
                <w:color w:val="auto"/>
              </w:rPr>
            </w:pPr>
            <w:r>
              <w:rPr>
                <w:rFonts w:ascii="Arial" w:cs="Arial" w:eastAsia="Arial" w:hAnsi="Arial"/>
                <w:sz w:val="18"/>
                <w:szCs w:val="18"/>
                <w:color w:val="auto"/>
              </w:rPr>
              <w:t>FORM OF COMPLIANCE CERTIFICATE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SCHEDULE C</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500" w:type="dxa"/>
            <w:vAlign w:val="bottom"/>
          </w:tcPr>
          <w:p>
            <w:pPr>
              <w:ind w:left="40"/>
              <w:spacing w:after="0"/>
              <w:rPr>
                <w:sz w:val="20"/>
                <w:szCs w:val="20"/>
                <w:color w:val="auto"/>
              </w:rPr>
            </w:pPr>
            <w:r>
              <w:rPr>
                <w:rFonts w:ascii="Arial" w:cs="Arial" w:eastAsia="Arial" w:hAnsi="Arial"/>
                <w:sz w:val="18"/>
                <w:szCs w:val="18"/>
                <w:color w:val="auto"/>
              </w:rPr>
              <w:t>FORM OF ASSIGNMENT AGREEMENT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SCHEDULE D</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500" w:type="dxa"/>
            <w:vAlign w:val="bottom"/>
          </w:tcPr>
          <w:p>
            <w:pPr>
              <w:ind w:left="40"/>
              <w:spacing w:after="0"/>
              <w:rPr>
                <w:sz w:val="20"/>
                <w:szCs w:val="20"/>
                <w:color w:val="auto"/>
              </w:rPr>
            </w:pPr>
            <w:r>
              <w:rPr>
                <w:rFonts w:ascii="Arial" w:cs="Arial" w:eastAsia="Arial" w:hAnsi="Arial"/>
                <w:sz w:val="18"/>
                <w:szCs w:val="18"/>
                <w:color w:val="auto"/>
              </w:rPr>
              <w:t>FORM OF GUARANTEE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18"/>
                <w:szCs w:val="18"/>
                <w:color w:val="auto"/>
              </w:rPr>
              <w:t>SCHEDULE E</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500" w:type="dxa"/>
            <w:vAlign w:val="bottom"/>
          </w:tcPr>
          <w:p>
            <w:pPr>
              <w:ind w:left="40"/>
              <w:spacing w:after="0"/>
              <w:rPr>
                <w:sz w:val="20"/>
                <w:szCs w:val="20"/>
                <w:color w:val="auto"/>
              </w:rPr>
            </w:pPr>
            <w:r>
              <w:rPr>
                <w:rFonts w:ascii="Arial" w:cs="Arial" w:eastAsia="Arial" w:hAnsi="Arial"/>
                <w:sz w:val="18"/>
                <w:szCs w:val="18"/>
                <w:color w:val="auto"/>
              </w:rPr>
              <w:t>APPLICABLE PERCENTAGES OF LENDERS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360" w:top="1440" w:right="499" w:bottom="1440" w:gutter="0" w:footer="0" w:header="0"/>
        </w:sectPr>
      </w:pPr>
    </w:p>
    <w:bookmarkStart w:id="156" w:name="page157"/>
    <w:bookmarkEnd w:id="156"/>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THIS CREDIT AGREEMENT </w:t>
      </w:r>
      <w:r>
        <w:rPr>
          <w:rFonts w:ascii="Arial" w:cs="Arial" w:eastAsia="Arial" w:hAnsi="Arial"/>
          <w:sz w:val="18"/>
          <w:szCs w:val="18"/>
          <w:color w:val="auto"/>
        </w:rPr>
        <w:t>is dated as of 30 November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 T W E E N</w:t>
      </w:r>
      <w:r>
        <w:rPr>
          <w:rFonts w:ascii="Arial" w:cs="Arial" w:eastAsia="Arial" w:hAnsi="Arial"/>
          <w:sz w:val="18"/>
          <w:szCs w:val="18"/>
          <w:color w:val="auto"/>
        </w:rPr>
        <w:t>:</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Nova Scotia unlimited liability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Borrower</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Guarantors</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LENDERS LISTED ON SCHEDULE 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THIS AGREEMENT FROM TIME TO TIME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Lenders</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its capacity as 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BNP Paribas Securities Corp., BNP Paribas (Canada), The Bank of Nova Scotia and the Borrower have entered into a Commitment Letter and Term Sheet dated and accepted on 25 October 2005 under which BNP Paribas Securities Corp. and Scotia Capital have agreed to arrange a credit facility in favour of the Borrower, under which BNP Paribas (Canada) and The Bank of Nova Scotia have agreed to be lenders.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 The parties are entering into this Agreement to provide for the terms of such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and intending to be legally bound by this Agreement, the parties agree as follows: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DEFINED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Terms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this Agreement, unless something in the subject matter or context is inconsistent therewith:</w:t>
      </w:r>
    </w:p>
    <w:p>
      <w:pPr>
        <w:spacing w:after="0" w:line="113" w:lineRule="exact"/>
        <w:rPr>
          <w:sz w:val="20"/>
          <w:szCs w:val="20"/>
          <w:color w:val="auto"/>
        </w:rPr>
      </w:pPr>
    </w:p>
    <w:p>
      <w:pPr>
        <w:ind w:left="480" w:right="360" w:hanging="472"/>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availment of the Credit by the Borrower by way of a Prime Rate Advance, BA Equivalent Loan or acceptance of a Banker’s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color w:val="auto"/>
        </w:rPr>
        <w:t>- 2 -</w:t>
      </w:r>
    </w:p>
    <w:p>
      <w:pPr>
        <w:spacing w:after="0" w:line="306" w:lineRule="exact"/>
        <w:rPr>
          <w:sz w:val="20"/>
          <w:szCs w:val="20"/>
          <w:color w:val="auto"/>
        </w:rPr>
      </w:pPr>
    </w:p>
    <w:p>
      <w:pPr>
        <w:ind w:left="460" w:right="120"/>
        <w:spacing w:after="0" w:line="308" w:lineRule="auto"/>
        <w:rPr>
          <w:sz w:val="20"/>
          <w:szCs w:val="20"/>
          <w:color w:val="auto"/>
        </w:rPr>
      </w:pPr>
      <w:r>
        <w:rPr>
          <w:rFonts w:ascii="Arial" w:cs="Arial" w:eastAsia="Arial" w:hAnsi="Arial"/>
          <w:sz w:val="17"/>
          <w:szCs w:val="17"/>
          <w:color w:val="auto"/>
        </w:rPr>
        <w:t>deemed Advances and conversions, renewals and rollovers of existing Advances, and any reference relating to the amount of Advances shall mean the sum of all outstanding Prime Rate Advances plus the face amount of all outstanding Banker’s Acceptances and BA Equivalent Loans.</w:t>
      </w:r>
    </w:p>
    <w:p>
      <w:pPr>
        <w:spacing w:after="0" w:line="34" w:lineRule="exact"/>
        <w:rPr>
          <w:sz w:val="20"/>
          <w:szCs w:val="20"/>
          <w:color w:val="auto"/>
        </w:rPr>
      </w:pPr>
    </w:p>
    <w:p>
      <w:pPr>
        <w:ind w:left="480" w:right="440" w:hanging="472"/>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under common Control with the Person specified.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the letter agreement dated as of 30 November 2005 between the Agent and the Borrower.</w:t>
      </w:r>
    </w:p>
    <w:p>
      <w:pPr>
        <w:spacing w:after="0" w:line="117" w:lineRule="exact"/>
        <w:rPr>
          <w:sz w:val="20"/>
          <w:szCs w:val="20"/>
          <w:color w:val="auto"/>
        </w:rPr>
      </w:pPr>
    </w:p>
    <w:p>
      <w:pPr>
        <w:ind w:left="480" w:right="340" w:hanging="472"/>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or “</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Scotia Capital in its capacity as administrative agent for the Lenders, and any successor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in accordance with this Agreement.</w:t>
      </w:r>
    </w:p>
    <w:p>
      <w:pPr>
        <w:spacing w:after="0" w:line="54" w:lineRule="exact"/>
        <w:rPr>
          <w:sz w:val="20"/>
          <w:szCs w:val="20"/>
          <w:color w:val="auto"/>
        </w:rPr>
      </w:pPr>
    </w:p>
    <w:p>
      <w:pPr>
        <w:jc w:val="both"/>
        <w:ind w:left="480" w:right="80" w:hanging="472"/>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or similar expressions mean this Agreement, the Recitals hereto and any Schedules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supplemented, restated and replaced from time to time in accordance with the provisions hereof, and not any particular Article, Section or other portion hereof.</w:t>
      </w:r>
    </w:p>
    <w:p>
      <w:pPr>
        <w:spacing w:after="0" w:line="68" w:lineRule="exact"/>
        <w:rPr>
          <w:sz w:val="20"/>
          <w:szCs w:val="20"/>
          <w:color w:val="auto"/>
        </w:rPr>
      </w:pPr>
    </w:p>
    <w:p>
      <w:pPr>
        <w:ind w:left="480" w:right="80" w:hanging="472"/>
        <w:spacing w:after="0" w:line="258"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means with respect to any Lender, the percentage of the total Commitments represented by such Lender’s Commitment.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Commitments have terminated or expired, the Applicable Percentages shall be the percentage of the total outstanding Advances represented by such Lender’s outstanding Advances. The Applicable Percentage of each Lender as of the date of this Agreement is the percentage calculated based on the amounts set out in Schedule E to this Agreement, which shall be amended and distributed to all parties by the Agent from time to time as Applicable Percentages change in accordance with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means each of BNP Paribas Securities Corp. and The Bank of Nova Scotia.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Article</w:t>
      </w:r>
      <w:r>
        <w:rPr>
          <w:rFonts w:ascii="Arial" w:cs="Arial" w:eastAsia="Arial" w:hAnsi="Arial"/>
          <w:sz w:val="18"/>
          <w:szCs w:val="18"/>
          <w:color w:val="auto"/>
        </w:rPr>
        <w:t>” means the designated article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 xml:space="preserve">Assignment Agreement </w:t>
      </w:r>
      <w:r>
        <w:rPr>
          <w:rFonts w:ascii="Arial" w:cs="Arial" w:eastAsia="Arial" w:hAnsi="Arial"/>
          <w:sz w:val="17"/>
          <w:szCs w:val="17"/>
          <w:color w:val="auto"/>
        </w:rPr>
        <w:t>” means an assignment agreement substantially in the form of Schedule C or any other form approved by the Agent.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has the meaning defined in Section 2.2.</w:t>
      </w:r>
    </w:p>
    <w:p>
      <w:pPr>
        <w:spacing w:after="0" w:line="117" w:lineRule="exact"/>
        <w:rPr>
          <w:sz w:val="20"/>
          <w:szCs w:val="20"/>
          <w:color w:val="auto"/>
        </w:rPr>
      </w:pPr>
    </w:p>
    <w:p>
      <w:pPr>
        <w:ind w:left="560" w:hanging="553"/>
        <w:spacing w:after="0" w:line="258"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color w:val="auto"/>
        </w:rPr>
        <w:t>BA Discount Proceeds</w:t>
      </w:r>
      <w:r>
        <w:rPr>
          <w:rFonts w:ascii="Arial" w:cs="Arial" w:eastAsia="Arial" w:hAnsi="Arial"/>
          <w:sz w:val="18"/>
          <w:szCs w:val="18"/>
          <w:color w:val="auto"/>
        </w:rPr>
        <w:t>” means, in respect of any Banker’s Acceptance, an amount calculated on the applicable Drawdown Date which is (rounded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nearest full cent, with one-half of one cent being rounded up) equal to the face amount of such Banker’s Acceptance multiplied by the price, where the price is calculated by dividing one by the sum of one plus the product of (a) the BA Discount Rate applicable thereto expressed as a decimal fraction multiplied by (b) a fraction, the numerator of which is the term of such Banker’s Acceptance and the denominator of which is 365, rounded to the nearest multiple of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18"/>
          <w:szCs w:val="18"/>
          <w:color w:val="auto"/>
        </w:rPr>
        <w:t>- 3 -</w:t>
      </w:r>
    </w:p>
    <w:p>
      <w:pPr>
        <w:spacing w:after="0" w:line="302" w:lineRule="exact"/>
        <w:rPr>
          <w:sz w:val="20"/>
          <w:szCs w:val="20"/>
          <w:color w:val="auto"/>
        </w:rPr>
      </w:pPr>
    </w:p>
    <w:p>
      <w:pPr>
        <w:ind w:left="580" w:right="180" w:hanging="566"/>
        <w:spacing w:after="0" w:line="285" w:lineRule="auto"/>
        <w:rPr>
          <w:sz w:val="20"/>
          <w:szCs w:val="20"/>
          <w:color w:val="auto"/>
        </w:rPr>
      </w:pPr>
      <w:r>
        <w:rPr>
          <w:rFonts w:ascii="Arial" w:cs="Arial" w:eastAsia="Arial" w:hAnsi="Arial"/>
          <w:sz w:val="16"/>
          <w:szCs w:val="16"/>
          <w:b w:val="1"/>
          <w:bCs w:val="1"/>
          <w:color w:val="auto"/>
        </w:rPr>
        <w:t xml:space="preserve">1.1.12 </w:t>
      </w:r>
      <w:r>
        <w:rPr>
          <w:rFonts w:ascii="Arial" w:cs="Arial" w:eastAsia="Arial" w:hAnsi="Arial"/>
          <w:sz w:val="16"/>
          <w:szCs w:val="16"/>
          <w:color w:val="auto"/>
        </w:rPr>
        <w:t>“</w:t>
      </w:r>
      <w:r>
        <w:rPr>
          <w:rFonts w:ascii="Arial" w:cs="Arial" w:eastAsia="Arial" w:hAnsi="Arial"/>
          <w:sz w:val="16"/>
          <w:szCs w:val="16"/>
          <w:b w:val="1"/>
          <w:bCs w:val="1"/>
          <w:color w:val="auto"/>
        </w:rPr>
        <w:t>BA Discount Rate</w:t>
      </w:r>
      <w:r>
        <w:rPr>
          <w:rFonts w:ascii="Arial" w:cs="Arial" w:eastAsia="Arial" w:hAnsi="Arial"/>
          <w:sz w:val="16"/>
          <w:szCs w:val="16"/>
          <w:color w:val="auto"/>
        </w:rPr>
        <w:t>” means, (a) with respect to any Banker’s Acceptance accepted by a Lender named on Schedule I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Bank Act</w:t>
      </w:r>
      <w:r>
        <w:rPr>
          <w:rFonts w:ascii="Arial" w:cs="Arial" w:eastAsia="Arial" w:hAnsi="Arial"/>
          <w:sz w:val="16"/>
          <w:szCs w:val="16"/>
          <w:b w:val="1"/>
          <w:bCs w:val="1"/>
          <w:color w:val="auto"/>
        </w:rPr>
        <w:t xml:space="preserve"> </w:t>
      </w:r>
      <w:r>
        <w:rPr>
          <w:rFonts w:ascii="Arial" w:cs="Arial" w:eastAsia="Arial" w:hAnsi="Arial"/>
          <w:sz w:val="16"/>
          <w:szCs w:val="16"/>
          <w:color w:val="auto"/>
        </w:rPr>
        <w:t>(Canada), the</w:t>
      </w:r>
      <w:r>
        <w:rPr>
          <w:rFonts w:ascii="Arial" w:cs="Arial" w:eastAsia="Arial" w:hAnsi="Arial"/>
          <w:sz w:val="16"/>
          <w:szCs w:val="16"/>
          <w:b w:val="1"/>
          <w:bCs w:val="1"/>
          <w:color w:val="auto"/>
        </w:rPr>
        <w:t xml:space="preserve"> </w:t>
      </w:r>
      <w:r>
        <w:rPr>
          <w:rFonts w:ascii="Arial" w:cs="Arial" w:eastAsia="Arial" w:hAnsi="Arial"/>
          <w:sz w:val="16"/>
          <w:szCs w:val="16"/>
          <w:color w:val="auto"/>
        </w:rPr>
        <w:t>rate determined by the Agent as being the arithmetic average (rounded upward to the nearest multiple of 0.01%) of the discount rates, calculated on the basis of a year of 365 days and determined in accordance with normal market practice at or about 10:00 a.m. (Toronto time) on the applicable Drawdown Date, for banker’s acceptances of the Schedule I Reference Lenders having a comparable face amount and identical maturity date to the face amount and maturity date of such Banker’s Acceptance, and (b) with respect to any Banker’s Acceptance accepted by any other Lender, the lesser of (i) the rate determined in Section 1.1.12(a) above plus 0.07% per annum, and (ii) the discount rate, calculated on the basis of a year of</w:t>
      </w:r>
    </w:p>
    <w:p>
      <w:pPr>
        <w:spacing w:after="0" w:line="4"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365 days and determined in accordance with normal market practice at or about 10:00 a.m. (Toronto time) on the applicable Drawdown Date, for banker’s acceptances of such other lender having a comparable face amount and identical maturity date to the face amount and maturity date of such Banker’s Acceptance.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BA Equivalent Loan</w:t>
      </w:r>
      <w:r>
        <w:rPr>
          <w:rFonts w:ascii="Arial" w:cs="Arial" w:eastAsia="Arial" w:hAnsi="Arial"/>
          <w:sz w:val="18"/>
          <w:szCs w:val="18"/>
          <w:color w:val="auto"/>
        </w:rPr>
        <w:t>” has the meaning defined in Section 5.10(5).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means 31 December 2004.</w:t>
      </w:r>
    </w:p>
    <w:p>
      <w:pPr>
        <w:spacing w:after="0" w:line="117" w:lineRule="exact"/>
        <w:rPr>
          <w:sz w:val="20"/>
          <w:szCs w:val="20"/>
          <w:color w:val="auto"/>
        </w:rPr>
      </w:pPr>
    </w:p>
    <w:p>
      <w:pPr>
        <w:ind w:left="580" w:right="100" w:hanging="566"/>
        <w:spacing w:after="0" w:line="258" w:lineRule="auto"/>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color w:val="auto"/>
        </w:rPr>
        <w:t>Banker’s Acceptance</w:t>
      </w:r>
      <w:r>
        <w:rPr>
          <w:rFonts w:ascii="Arial" w:cs="Arial" w:eastAsia="Arial" w:hAnsi="Arial"/>
          <w:sz w:val="18"/>
          <w:szCs w:val="18"/>
          <w:color w:val="auto"/>
        </w:rPr>
        <w:t>” means a depository bill as defined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Depository Bills and Notes Act</w:t>
      </w:r>
      <w:r>
        <w:rPr>
          <w:rFonts w:ascii="Arial" w:cs="Arial" w:eastAsia="Arial" w:hAnsi="Arial"/>
          <w:sz w:val="18"/>
          <w:szCs w:val="18"/>
          <w:b w:val="1"/>
          <w:bCs w:val="1"/>
          <w:color w:val="auto"/>
        </w:rPr>
        <w:t xml:space="preserve"> </w:t>
      </w:r>
      <w:r>
        <w:rPr>
          <w:rFonts w:ascii="Arial" w:cs="Arial" w:eastAsia="Arial" w:hAnsi="Arial"/>
          <w:sz w:val="18"/>
          <w:szCs w:val="18"/>
          <w:color w:val="auto"/>
        </w:rPr>
        <w:t>(Canada) in Canadian Dollars that is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an order signed by the Borrower and accepted by a Lender pursuant to this Agreement or, for Lenders not participating in clearing services contemplated in that Act, a draft or bill of exchange in Canadian Dollars that is drawn by the Borrower and accepted by a Lender pursuant to this Agreement. Orders or drafts that become depository bills, drafts and bills of exchange are sometimes collectively referred to in this Agreement as “</w:t>
      </w:r>
      <w:r>
        <w:rPr>
          <w:rFonts w:ascii="Arial" w:cs="Arial" w:eastAsia="Arial" w:hAnsi="Arial"/>
          <w:sz w:val="18"/>
          <w:szCs w:val="18"/>
          <w:b w:val="1"/>
          <w:bCs w:val="1"/>
          <w:color w:val="auto"/>
        </w:rPr>
        <w:t>orders</w:t>
      </w:r>
      <w:r>
        <w:rPr>
          <w:rFonts w:ascii="Arial" w:cs="Arial" w:eastAsia="Arial" w:hAnsi="Arial"/>
          <w:sz w:val="18"/>
          <w:szCs w:val="18"/>
          <w:color w:val="auto"/>
        </w:rPr>
        <w:t>”.</w:t>
      </w:r>
    </w:p>
    <w:p>
      <w:pPr>
        <w:spacing w:after="0" w:line="76" w:lineRule="exact"/>
        <w:rPr>
          <w:sz w:val="20"/>
          <w:szCs w:val="20"/>
          <w:color w:val="auto"/>
        </w:rPr>
      </w:pPr>
    </w:p>
    <w:p>
      <w:pPr>
        <w:ind w:left="580" w:hanging="566"/>
        <w:spacing w:after="0" w:line="258" w:lineRule="auto"/>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Banker’s Acceptance Fee</w:t>
      </w:r>
      <w:r>
        <w:rPr>
          <w:rFonts w:ascii="Arial" w:cs="Arial" w:eastAsia="Arial" w:hAnsi="Arial"/>
          <w:sz w:val="18"/>
          <w:szCs w:val="18"/>
          <w:color w:val="auto"/>
        </w:rPr>
        <w:t>” means, with respect to any Banker’s Acceptance, the amount calculated by multiplying the face amount of the Banker’s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by the applicable rate for the Banker’s Acceptance Fee specified in Section 2.6, and then multiplying the result by a fraction, the numerator of which is the duration of its term on the basis of the applicable actual number of days to elapse from and including the date of acceptance of the Banker’s Acceptance by the Lender up to but excluding the maturity date of the Banker’s Acceptance and the denominator of which is the number of days in the calendar year in question.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1.1.17  </w:t>
      </w: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means Waste Management of Canada Corporation, a Nova Scotia unlimited liability company, its successors and permitted assigns.</w:t>
      </w:r>
    </w:p>
    <w:p>
      <w:pPr>
        <w:spacing w:after="0" w:line="140" w:lineRule="exact"/>
        <w:rPr>
          <w:sz w:val="20"/>
          <w:szCs w:val="20"/>
          <w:color w:val="auto"/>
        </w:rPr>
      </w:pPr>
    </w:p>
    <w:p>
      <w:pPr>
        <w:ind w:left="580" w:right="140" w:hanging="566"/>
        <w:spacing w:after="0" w:line="347" w:lineRule="auto"/>
        <w:rPr>
          <w:sz w:val="20"/>
          <w:szCs w:val="20"/>
          <w:color w:val="auto"/>
        </w:rPr>
      </w:pPr>
      <w:r>
        <w:rPr>
          <w:rFonts w:ascii="Arial" w:cs="Arial" w:eastAsia="Arial" w:hAnsi="Arial"/>
          <w:sz w:val="16"/>
          <w:szCs w:val="16"/>
          <w:b w:val="1"/>
          <w:bCs w:val="1"/>
          <w:color w:val="auto"/>
        </w:rPr>
        <w:t xml:space="preserve">1.1.18 </w:t>
      </w:r>
      <w:r>
        <w:rPr>
          <w:rFonts w:ascii="Arial" w:cs="Arial" w:eastAsia="Arial" w:hAnsi="Arial"/>
          <w:sz w:val="16"/>
          <w:szCs w:val="16"/>
          <w:color w:val="auto"/>
        </w:rPr>
        <w:t>“</w:t>
      </w:r>
      <w:r>
        <w:rPr>
          <w:rFonts w:ascii="Arial" w:cs="Arial" w:eastAsia="Arial" w:hAnsi="Arial"/>
          <w:sz w:val="16"/>
          <w:szCs w:val="16"/>
          <w:b w:val="1"/>
          <w:bCs w:val="1"/>
          <w:color w:val="auto"/>
        </w:rPr>
        <w:t>Branch of Account</w:t>
      </w:r>
      <w:r>
        <w:rPr>
          <w:rFonts w:ascii="Arial" w:cs="Arial" w:eastAsia="Arial" w:hAnsi="Arial"/>
          <w:sz w:val="16"/>
          <w:szCs w:val="16"/>
          <w:color w:val="auto"/>
        </w:rPr>
        <w:t>” means WBO–Loan Administration &amp; Agency Operations of the Agent located at 720 King Street West, 4th Floor, Wholesale</w:t>
      </w:r>
      <w:r>
        <w:rPr>
          <w:rFonts w:ascii="Arial" w:cs="Arial" w:eastAsia="Arial" w:hAnsi="Arial"/>
          <w:sz w:val="16"/>
          <w:szCs w:val="16"/>
          <w:b w:val="1"/>
          <w:bCs w:val="1"/>
          <w:color w:val="auto"/>
        </w:rPr>
        <w:t xml:space="preserve"> </w:t>
      </w:r>
      <w:r>
        <w:rPr>
          <w:rFonts w:ascii="Arial" w:cs="Arial" w:eastAsia="Arial" w:hAnsi="Arial"/>
          <w:sz w:val="16"/>
          <w:szCs w:val="16"/>
          <w:color w:val="auto"/>
        </w:rPr>
        <w:t>Banking Operations, Toronto, Ontario, M5V 2T3, or such other branch or branches as may be designated by the Agent from time to time.</w:t>
      </w:r>
    </w:p>
    <w:p>
      <w:pPr>
        <w:spacing w:after="0" w:line="8" w:lineRule="exact"/>
        <w:rPr>
          <w:sz w:val="20"/>
          <w:szCs w:val="20"/>
          <w:color w:val="auto"/>
        </w:rPr>
      </w:pPr>
    </w:p>
    <w:p>
      <w:pPr>
        <w:ind w:left="580" w:right="680" w:hanging="566"/>
        <w:spacing w:after="0" w:line="282" w:lineRule="auto"/>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of the year, other than Saturday or Sunday, on which the Arrangers are open for normal banking business at,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their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color w:val="auto"/>
        </w:rPr>
        <w:t>- 4 -</w:t>
      </w:r>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offices in Toronto, Ontario and Montreal, Quebec and the Agent is open for normal banking business at the Branch of Account.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w:t>
      </w:r>
      <w:r>
        <w:rPr>
          <w:rFonts w:ascii="Arial" w:cs="Arial" w:eastAsia="Arial" w:hAnsi="Arial"/>
          <w:sz w:val="18"/>
          <w:szCs w:val="18"/>
          <w:b w:val="1"/>
          <w:bCs w:val="1"/>
          <w:color w:val="auto"/>
        </w:rPr>
        <w:t>Cdn. Dollars</w:t>
      </w:r>
      <w:r>
        <w:rPr>
          <w:rFonts w:ascii="Arial" w:cs="Arial" w:eastAsia="Arial" w:hAnsi="Arial"/>
          <w:sz w:val="18"/>
          <w:szCs w:val="18"/>
          <w:color w:val="auto"/>
        </w:rPr>
        <w:t>”, “</w:t>
      </w:r>
      <w:r>
        <w:rPr>
          <w:rFonts w:ascii="Arial" w:cs="Arial" w:eastAsia="Arial" w:hAnsi="Arial"/>
          <w:sz w:val="18"/>
          <w:szCs w:val="18"/>
          <w:b w:val="1"/>
          <w:bCs w:val="1"/>
          <w:color w:val="auto"/>
        </w:rPr>
        <w:t>Cdn. $</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the lawful money of Canada.</w:t>
      </w:r>
    </w:p>
    <w:p>
      <w:pPr>
        <w:spacing w:after="0" w:line="117" w:lineRule="exact"/>
        <w:rPr>
          <w:sz w:val="20"/>
          <w:szCs w:val="20"/>
          <w:color w:val="auto"/>
        </w:rPr>
      </w:pPr>
    </w:p>
    <w:p>
      <w:pPr>
        <w:ind w:left="580" w:hanging="566"/>
        <w:spacing w:after="0" w:line="272" w:lineRule="auto"/>
        <w:rPr>
          <w:sz w:val="20"/>
          <w:szCs w:val="20"/>
          <w:color w:val="auto"/>
        </w:rPr>
      </w:pPr>
      <w:r>
        <w:rPr>
          <w:rFonts w:ascii="Arial" w:cs="Arial" w:eastAsia="Arial" w:hAnsi="Arial"/>
          <w:sz w:val="17"/>
          <w:szCs w:val="17"/>
          <w:b w:val="1"/>
          <w:bCs w:val="1"/>
          <w:color w:val="auto"/>
        </w:rPr>
        <w:t xml:space="preserve">1.1.21 </w:t>
      </w:r>
      <w:r>
        <w:rPr>
          <w:rFonts w:ascii="Arial" w:cs="Arial" w:eastAsia="Arial" w:hAnsi="Arial"/>
          <w:sz w:val="17"/>
          <w:szCs w:val="17"/>
          <w:color w:val="auto"/>
        </w:rPr>
        <w:t>“</w:t>
      </w:r>
      <w:r>
        <w:rPr>
          <w:rFonts w:ascii="Arial" w:cs="Arial" w:eastAsia="Arial" w:hAnsi="Arial"/>
          <w:sz w:val="17"/>
          <w:szCs w:val="17"/>
          <w:b w:val="1"/>
          <w:bCs w:val="1"/>
          <w:color w:val="auto"/>
        </w:rPr>
        <w:t>CDOR Rate</w:t>
      </w:r>
      <w:r>
        <w:rPr>
          <w:rFonts w:ascii="Arial" w:cs="Arial" w:eastAsia="Arial" w:hAnsi="Arial"/>
          <w:sz w:val="17"/>
          <w:szCs w:val="17"/>
          <w:color w:val="auto"/>
        </w:rPr>
        <w:t>” means, on any date, with respect to any Banker’s Acceptance, the simple average of the rates shown on the display referred to as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CDOR Page</w:t>
      </w:r>
      <w:r>
        <w:rPr>
          <w:rFonts w:ascii="Arial" w:cs="Arial" w:eastAsia="Arial" w:hAnsi="Arial"/>
          <w:sz w:val="17"/>
          <w:szCs w:val="17"/>
          <w:color w:val="auto"/>
        </w:rPr>
        <w:t>” (or any display substituted therefor) on Reuters Domestic Money Service (or any successor source from time to time) with respect to the banks and other financial institutions named in such display at or about 10:00 a.m. (Toronto time) on such date for banker’s acceptances having an identical maturity date to the maturity date of such Banker’s Acceptance, as determined by the Agent, or if such day is not a Business Day, then on the immediately preceding Business Day; provided, however, that if such rates are not available, then the CDOR Rate for any day shall be calculated as the average of the bid rates (rounded upwards to the nearest 1/16th of 1%) quoted by each of the Schedule I Reference Lenders for its own banker’s acceptances for the applicable period as of 10:00 a.m. (Toronto time) on such day, as determined by the Agent, or if such day is not a Business Day, then on the immediately preceding Business Day.</w:t>
      </w:r>
    </w:p>
    <w:p>
      <w:pPr>
        <w:spacing w:after="0" w:line="64" w:lineRule="exact"/>
        <w:rPr>
          <w:sz w:val="20"/>
          <w:szCs w:val="20"/>
          <w:color w:val="auto"/>
        </w:rPr>
      </w:pPr>
    </w:p>
    <w:p>
      <w:pPr>
        <w:ind w:left="580" w:right="100" w:hanging="566"/>
        <w:spacing w:after="0" w:line="266"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(b) any change in any Applicable Law or in the administration, interpretation or application thereof by any Governmental Authority, or (c) the making or issuance of any Applicable Law by any Governmental Authority.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1.1.23  </w:t>
      </w: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means 30 November 2005 or such other day as may be agreed to by the parties which is not later than 15 December 2005.</w:t>
      </w:r>
    </w:p>
    <w:p>
      <w:pPr>
        <w:spacing w:after="0" w:line="129" w:lineRule="exact"/>
        <w:rPr>
          <w:sz w:val="20"/>
          <w:szCs w:val="20"/>
          <w:color w:val="auto"/>
        </w:rPr>
      </w:pPr>
    </w:p>
    <w:p>
      <w:pPr>
        <w:ind w:left="580" w:right="700" w:hanging="566"/>
        <w:spacing w:after="0" w:line="282" w:lineRule="auto"/>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cash, a bank draft or a letter of credit issued by a Canadian chartered bank, all in a form satisfactory to the Agent, acting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w:t>
      </w:r>
    </w:p>
    <w:p>
      <w:pPr>
        <w:spacing w:after="0" w:line="54" w:lineRule="exact"/>
        <w:rPr>
          <w:sz w:val="20"/>
          <w:szCs w:val="20"/>
          <w:color w:val="auto"/>
        </w:rPr>
      </w:pPr>
    </w:p>
    <w:p>
      <w:pPr>
        <w:ind w:left="580" w:right="440" w:hanging="566"/>
        <w:spacing w:after="0" w:line="266" w:lineRule="auto"/>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respect of each Lender from time to time, the covenant to make Advances to the Borrower in the Lender’s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of the maximum amount of the Credit and, where the context requires, the maximum amount of Advances which the Lender has covenanted to make.</w:t>
      </w:r>
    </w:p>
    <w:p>
      <w:pPr>
        <w:spacing w:after="0" w:line="68" w:lineRule="exact"/>
        <w:rPr>
          <w:sz w:val="20"/>
          <w:szCs w:val="20"/>
          <w:color w:val="auto"/>
        </w:rPr>
      </w:pPr>
    </w:p>
    <w:p>
      <w:pPr>
        <w:ind w:left="580" w:right="80" w:hanging="566"/>
        <w:spacing w:after="0" w:line="282" w:lineRule="auto"/>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of Schedule B, signed by a senior officer of each of the Borrower and Waste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w:t>
      </w:r>
    </w:p>
    <w:p>
      <w:pPr>
        <w:spacing w:after="0" w:line="54" w:lineRule="exact"/>
        <w:rPr>
          <w:sz w:val="20"/>
          <w:szCs w:val="20"/>
          <w:color w:val="auto"/>
        </w:rPr>
      </w:pPr>
    </w:p>
    <w:p>
      <w:pPr>
        <w:ind w:left="580" w:right="840" w:hanging="566"/>
        <w:spacing w:after="0" w:line="282" w:lineRule="auto"/>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Consolidated Total Interest Expense</w:t>
      </w:r>
      <w:r>
        <w:rPr>
          <w:rFonts w:ascii="Arial" w:cs="Arial" w:eastAsia="Arial" w:hAnsi="Arial"/>
          <w:sz w:val="18"/>
          <w:szCs w:val="18"/>
          <w:color w:val="auto"/>
        </w:rPr>
        <w:t>” has the meaning defined in the U.S. Credit Agreement, as such definition exists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left="580" w:right="60" w:hanging="566"/>
        <w:spacing w:after="0" w:line="266" w:lineRule="auto"/>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w:t>
      </w:r>
      <w:r>
        <w:rPr>
          <w:rFonts w:ascii="Arial" w:cs="Arial" w:eastAsia="Arial" w:hAnsi="Arial"/>
          <w:sz w:val="18"/>
          <w:szCs w:val="18"/>
          <w:b w:val="1"/>
          <w:bCs w:val="1"/>
          <w:color w:val="auto"/>
        </w:rPr>
        <w:t>Constating Documents</w:t>
      </w:r>
      <w:r>
        <w:rPr>
          <w:rFonts w:ascii="Arial" w:cs="Arial" w:eastAsia="Arial" w:hAnsi="Arial"/>
          <w:sz w:val="18"/>
          <w:szCs w:val="18"/>
          <w:color w:val="auto"/>
        </w:rPr>
        <w:t>” means, with respect to any Person, its articles or certificate of incorporation, amendment, amalgamation, continuance or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memorandum of association, by-laws, declaration of trust, trust indenture, partnership agreement, limited liability company agreement or other similar document,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0" w:name="page161"/>
    <w:bookmarkEnd w:id="160"/>
    <w:p>
      <w:pPr>
        <w:jc w:val="center"/>
        <w:ind w:right="-119"/>
        <w:spacing w:after="0"/>
        <w:rPr>
          <w:sz w:val="20"/>
          <w:szCs w:val="20"/>
          <w:color w:val="auto"/>
        </w:rPr>
      </w:pPr>
      <w:r>
        <w:rPr>
          <w:rFonts w:ascii="Arial" w:cs="Arial" w:eastAsia="Arial" w:hAnsi="Arial"/>
          <w:sz w:val="18"/>
          <w:szCs w:val="18"/>
          <w:color w:val="auto"/>
        </w:rPr>
        <w:t>- 5 -</w:t>
      </w:r>
    </w:p>
    <w:p>
      <w:pPr>
        <w:spacing w:after="0" w:line="306"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 xml:space="preserve">applicable, and all unanimous shareholder agreements, other shareholder agreements, voting trust agreements and similar arrangements applicable to the Person’s capital stock, all as amended, supplemented, restated or replaced from time to time. </w:t>
      </w:r>
      <w:r>
        <w:rPr>
          <w:rFonts w:ascii="Arial" w:cs="Arial" w:eastAsia="Arial" w:hAnsi="Arial"/>
          <w:sz w:val="18"/>
          <w:szCs w:val="18"/>
          <w:b w:val="1"/>
          <w:bCs w:val="1"/>
          <w:color w:val="auto"/>
        </w:rPr>
        <w:t>1.1.29</w:t>
      </w:r>
      <w:r>
        <w:rPr>
          <w:rFonts w:ascii="Arial" w:cs="Arial" w:eastAsia="Arial" w:hAnsi="Arial"/>
          <w:sz w:val="18"/>
          <w:szCs w:val="18"/>
          <w:color w:val="auto"/>
        </w:rPr>
        <w:t xml:space="preserve"> “</w:t>
      </w:r>
      <w:r>
        <w:rPr>
          <w:rFonts w:ascii="Arial" w:cs="Arial" w:eastAsia="Arial" w:hAnsi="Arial"/>
          <w:sz w:val="18"/>
          <w:szCs w:val="18"/>
          <w:b w:val="1"/>
          <w:bCs w:val="1"/>
          <w:color w:val="auto"/>
        </w:rPr>
        <w:t>Contributing Lender</w:t>
      </w:r>
      <w:r>
        <w:rPr>
          <w:rFonts w:ascii="Arial" w:cs="Arial" w:eastAsia="Arial" w:hAnsi="Arial"/>
          <w:sz w:val="18"/>
          <w:szCs w:val="18"/>
          <w:color w:val="auto"/>
        </w:rPr>
        <w:t>” shall have the meaning defined in Section 9.3(2).</w:t>
      </w:r>
    </w:p>
    <w:p>
      <w:pPr>
        <w:spacing w:after="0" w:line="69" w:lineRule="exact"/>
        <w:rPr>
          <w:sz w:val="20"/>
          <w:szCs w:val="20"/>
          <w:color w:val="auto"/>
        </w:rPr>
      </w:pPr>
    </w:p>
    <w:p>
      <w:pPr>
        <w:jc w:val="right"/>
        <w:ind w:right="420"/>
        <w:spacing w:after="0" w:line="347" w:lineRule="auto"/>
        <w:rPr>
          <w:sz w:val="20"/>
          <w:szCs w:val="20"/>
          <w:color w:val="auto"/>
        </w:rPr>
      </w:pPr>
      <w:r>
        <w:rPr>
          <w:rFonts w:ascii="Arial" w:cs="Arial" w:eastAsia="Arial" w:hAnsi="Arial"/>
          <w:sz w:val="16"/>
          <w:szCs w:val="16"/>
          <w:b w:val="1"/>
          <w:bCs w:val="1"/>
          <w:color w:val="auto"/>
        </w:rPr>
        <w:t xml:space="preserve">1.1.30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corresponding meanings.</w:t>
      </w:r>
    </w:p>
    <w:p>
      <w:pPr>
        <w:spacing w:after="0" w:line="8" w:lineRule="exact"/>
        <w:rPr>
          <w:sz w:val="20"/>
          <w:szCs w:val="20"/>
          <w:color w:val="auto"/>
        </w:rPr>
      </w:pPr>
    </w:p>
    <w:p>
      <w:pPr>
        <w:ind w:left="580" w:right="380" w:hanging="566"/>
        <w:spacing w:after="0" w:line="282" w:lineRule="auto"/>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means the credit facility of up to Cdn. $410,000,000 established by the Lenders in favour of the Borrower pursuant to Article 2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left="580" w:right="120" w:hanging="566"/>
        <w:spacing w:after="0" w:line="289" w:lineRule="auto"/>
        <w:rPr>
          <w:sz w:val="20"/>
          <w:szCs w:val="20"/>
          <w:color w:val="auto"/>
        </w:rPr>
      </w:pPr>
      <w:r>
        <w:rPr>
          <w:rFonts w:ascii="Arial" w:cs="Arial" w:eastAsia="Arial" w:hAnsi="Arial"/>
          <w:sz w:val="16"/>
          <w:szCs w:val="16"/>
          <w:b w:val="1"/>
          <w:bCs w:val="1"/>
          <w:color w:val="auto"/>
        </w:rPr>
        <w:t xml:space="preserve">1.1.32 </w:t>
      </w: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means collectively, without duplication, whether classified as Debt, an Investment or otherwise on the obligor’s balance sheet, (a) all</w:t>
      </w:r>
      <w:r>
        <w:rPr>
          <w:rFonts w:ascii="Arial" w:cs="Arial" w:eastAsia="Arial" w:hAnsi="Arial"/>
          <w:sz w:val="16"/>
          <w:szCs w:val="16"/>
          <w:b w:val="1"/>
          <w:bCs w:val="1"/>
          <w:color w:val="auto"/>
        </w:rPr>
        <w:t xml:space="preserve"> </w:t>
      </w:r>
      <w:r>
        <w:rPr>
          <w:rFonts w:ascii="Arial" w:cs="Arial" w:eastAsia="Arial" w:hAnsi="Arial"/>
          <w:sz w:val="16"/>
          <w:szCs w:val="16"/>
          <w:color w:val="auto"/>
        </w:rPr>
        <w:t>indebtedness for borrowed money (including the face amount of all bankers’ acceptances), (b) all obligations for the deferred purchase price of property or services (other than trade payables incurred in the ordinary course of business which either (i) are not overdue by more than 90 days, or</w:t>
      </w:r>
    </w:p>
    <w:p>
      <w:pPr>
        <w:spacing w:after="0" w:line="2" w:lineRule="exact"/>
        <w:rPr>
          <w:sz w:val="20"/>
          <w:szCs w:val="20"/>
          <w:color w:val="auto"/>
        </w:rPr>
      </w:pPr>
    </w:p>
    <w:p>
      <w:pPr>
        <w:ind w:left="580" w:hanging="5"/>
        <w:spacing w:after="0" w:line="286" w:lineRule="auto"/>
        <w:tabs>
          <w:tab w:leader="none" w:pos="84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 leases, (f) all obligations, liabilities or indebtedness arising from the making of a drawing under surety, performance bonds, or any other bonding arrangement, (g) Guarantees of any Debt others referred to in clauses (a) through (f) above, and (h) all Debt of others referred to in clauses (a) through (f) above secured or supported by (or for which the holder of such Debt has an existing right, contingent or otherwise, to be secured or supported by) any Encumbrance on the property of any Obligor, even though the owner of the property has not assumed or become liable, contractually or otherwise, for the payment of such Debt; provided that if a Permitted Receivables Transaction is outstanding and is accounted for as a sale of accounts receivable under generally accepted accounting principles, Debt shall also include the additional Debt, determined on a consolidated basis, which would have been outstanding had such Permitted Receivables Transaction been accounted for as a borrowing.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has the meaning defined in Section 9.3(2).</w:t>
      </w:r>
    </w:p>
    <w:p>
      <w:pPr>
        <w:spacing w:after="0" w:line="117" w:lineRule="exact"/>
        <w:rPr>
          <w:sz w:val="20"/>
          <w:szCs w:val="20"/>
          <w:color w:val="auto"/>
        </w:rPr>
      </w:pPr>
    </w:p>
    <w:p>
      <w:pPr>
        <w:ind w:left="580" w:right="460" w:hanging="566"/>
        <w:spacing w:after="0" w:line="266" w:lineRule="auto"/>
        <w:rPr>
          <w:sz w:val="20"/>
          <w:szCs w:val="20"/>
          <w:color w:val="auto"/>
        </w:rPr>
      </w:pPr>
      <w:r>
        <w:rPr>
          <w:rFonts w:ascii="Arial" w:cs="Arial" w:eastAsia="Arial" w:hAnsi="Arial"/>
          <w:sz w:val="18"/>
          <w:szCs w:val="18"/>
          <w:b w:val="1"/>
          <w:bCs w:val="1"/>
          <w:color w:val="auto"/>
        </w:rPr>
        <w:t xml:space="preserve">1.1.34 </w:t>
      </w:r>
      <w:r>
        <w:rPr>
          <w:rFonts w:ascii="Arial" w:cs="Arial" w:eastAsia="Arial" w:hAnsi="Arial"/>
          <w:sz w:val="18"/>
          <w:szCs w:val="18"/>
          <w:color w:val="auto"/>
        </w:rPr>
        <w:t>“</w:t>
      </w:r>
      <w:r>
        <w:rPr>
          <w:rFonts w:ascii="Arial" w:cs="Arial" w:eastAsia="Arial" w:hAnsi="Arial"/>
          <w:sz w:val="18"/>
          <w:szCs w:val="18"/>
          <w:b w:val="1"/>
          <w:bCs w:val="1"/>
          <w:color w:val="auto"/>
        </w:rPr>
        <w:t>Designated Account</w:t>
      </w:r>
      <w:r>
        <w:rPr>
          <w:rFonts w:ascii="Arial" w:cs="Arial" w:eastAsia="Arial" w:hAnsi="Arial"/>
          <w:sz w:val="18"/>
          <w:szCs w:val="18"/>
          <w:color w:val="auto"/>
        </w:rPr>
        <w:t>” means, in respect of any Advance, the account or accounts maintained by the Borrower at the Agent’s West Metro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Banking Centre, 2 Robert Speck Parkway, Mississauga, Ontario L4Z 1H8 that the Borrower designates in its notice requesting an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- 6 -</w:t>
      </w:r>
    </w:p>
    <w:p>
      <w:pPr>
        <w:spacing w:after="0" w:line="302" w:lineRule="exact"/>
        <w:rPr>
          <w:sz w:val="20"/>
          <w:szCs w:val="20"/>
          <w:color w:val="auto"/>
        </w:rPr>
      </w:pPr>
    </w:p>
    <w:p>
      <w:pPr>
        <w:ind w:left="580" w:right="560" w:hanging="566"/>
        <w:spacing w:after="0" w:line="282" w:lineRule="auto"/>
        <w:rPr>
          <w:sz w:val="20"/>
          <w:szCs w:val="20"/>
          <w:color w:val="auto"/>
        </w:rPr>
      </w:pPr>
      <w:r>
        <w:rPr>
          <w:rFonts w:ascii="Arial" w:cs="Arial" w:eastAsia="Arial" w:hAnsi="Arial"/>
          <w:sz w:val="18"/>
          <w:szCs w:val="18"/>
          <w:b w:val="1"/>
          <w:bCs w:val="1"/>
          <w:color w:val="auto"/>
        </w:rPr>
        <w:t xml:space="preserve">1.1.35 </w:t>
      </w:r>
      <w:r>
        <w:rPr>
          <w:rFonts w:ascii="Arial" w:cs="Arial" w:eastAsia="Arial" w:hAnsi="Arial"/>
          <w:sz w:val="18"/>
          <w:szCs w:val="18"/>
          <w:color w:val="auto"/>
        </w:rPr>
        <w:t>“</w:t>
      </w:r>
      <w:r>
        <w:rPr>
          <w:rFonts w:ascii="Arial" w:cs="Arial" w:eastAsia="Arial" w:hAnsi="Arial"/>
          <w:sz w:val="18"/>
          <w:szCs w:val="18"/>
          <w:b w:val="1"/>
          <w:bCs w:val="1"/>
          <w:color w:val="auto"/>
        </w:rPr>
        <w:t>Disclosure Documents</w:t>
      </w:r>
      <w:r>
        <w:rPr>
          <w:rFonts w:ascii="Arial" w:cs="Arial" w:eastAsia="Arial" w:hAnsi="Arial"/>
          <w:sz w:val="18"/>
          <w:szCs w:val="18"/>
          <w:color w:val="auto"/>
        </w:rPr>
        <w:t>” means the Borrower’s financial statements referred to in Section 6.1(4)(a), and filings made by any Obligor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that were publicly available prior to the date of this Agreement.</w:t>
      </w:r>
    </w:p>
    <w:p>
      <w:pPr>
        <w:spacing w:after="0" w:line="54" w:lineRule="exact"/>
        <w:rPr>
          <w:sz w:val="20"/>
          <w:szCs w:val="20"/>
          <w:color w:val="auto"/>
        </w:rPr>
      </w:pPr>
    </w:p>
    <w:p>
      <w:pPr>
        <w:ind w:left="580" w:right="20" w:hanging="566"/>
        <w:spacing w:after="0" w:line="274" w:lineRule="auto"/>
        <w:rPr>
          <w:sz w:val="20"/>
          <w:szCs w:val="20"/>
          <w:color w:val="auto"/>
        </w:rPr>
      </w:pPr>
      <w:r>
        <w:rPr>
          <w:rFonts w:ascii="Arial" w:cs="Arial" w:eastAsia="Arial" w:hAnsi="Arial"/>
          <w:sz w:val="17"/>
          <w:szCs w:val="17"/>
          <w:b w:val="1"/>
          <w:bCs w:val="1"/>
          <w:color w:val="auto"/>
        </w:rPr>
        <w:t xml:space="preserve">1.1.36 </w:t>
      </w: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the declaration or payment of any dividend or other return on equity on or in respect of any shares of any class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which shall be a Business Day, of any Advance.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1.1.38  </w:t>
      </w:r>
      <w:r>
        <w:rPr>
          <w:rFonts w:ascii="Arial" w:cs="Arial" w:eastAsia="Arial" w:hAnsi="Arial"/>
          <w:sz w:val="18"/>
          <w:szCs w:val="18"/>
          <w:color w:val="auto"/>
        </w:rPr>
        <w:t>“</w:t>
      </w:r>
      <w:r>
        <w:rPr>
          <w:rFonts w:ascii="Arial" w:cs="Arial" w:eastAsia="Arial" w:hAnsi="Arial"/>
          <w:sz w:val="18"/>
          <w:szCs w:val="18"/>
          <w:b w:val="1"/>
          <w:bCs w:val="1"/>
          <w:color w:val="auto"/>
        </w:rPr>
        <w:t>EBIT</w:t>
      </w:r>
      <w:r>
        <w:rPr>
          <w:rFonts w:ascii="Arial" w:cs="Arial" w:eastAsia="Arial" w:hAnsi="Arial"/>
          <w:sz w:val="18"/>
          <w:szCs w:val="18"/>
          <w:color w:val="auto"/>
        </w:rPr>
        <w:t>” has the meaning defined in the U.S. Credit Agreement, as such definition exists at the date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has the meaning defined in the U.S. Credit Agreement, as such definition exists at the date of this Agreement.</w:t>
      </w:r>
    </w:p>
    <w:p>
      <w:pPr>
        <w:spacing w:after="0" w:line="117" w:lineRule="exact"/>
        <w:rPr>
          <w:sz w:val="20"/>
          <w:szCs w:val="20"/>
          <w:color w:val="auto"/>
        </w:rPr>
      </w:pPr>
    </w:p>
    <w:p>
      <w:pPr>
        <w:ind w:left="580" w:right="80" w:hanging="566"/>
        <w:spacing w:after="0" w:line="258" w:lineRule="auto"/>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with respect to any asset, (a) any mortgage, deed of trust, lien (statutory or otherwise), pledge, hypothecation, encumbrance,</w:t>
      </w:r>
      <w:r>
        <w:rPr>
          <w:rFonts w:ascii="Arial" w:cs="Arial" w:eastAsia="Arial" w:hAnsi="Arial"/>
          <w:sz w:val="18"/>
          <w:szCs w:val="18"/>
          <w:b w:val="1"/>
          <w:bCs w:val="1"/>
          <w:color w:val="auto"/>
        </w:rPr>
        <w:t xml:space="preserve"> </w:t>
      </w:r>
      <w:r>
        <w:rPr>
          <w:rFonts w:ascii="Arial" w:cs="Arial" w:eastAsia="Arial" w:hAnsi="Arial"/>
          <w:sz w:val="18"/>
          <w:szCs w:val="18"/>
          <w:color w:val="auto"/>
        </w:rPr>
        <w:t>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defined in Section 6.1(14)(a).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Section 8.1.</w:t>
      </w:r>
    </w:p>
    <w:p>
      <w:pPr>
        <w:spacing w:after="0" w:line="117" w:lineRule="exact"/>
        <w:rPr>
          <w:sz w:val="20"/>
          <w:szCs w:val="20"/>
          <w:color w:val="auto"/>
        </w:rPr>
      </w:pPr>
    </w:p>
    <w:p>
      <w:pPr>
        <w:ind w:left="580" w:hanging="566"/>
        <w:spacing w:after="0" w:line="256" w:lineRule="auto"/>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 means on any day, for the purpose of calculations under this Agreement, the amount of Canadian Dollars into which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may be converted, or vice versa, using the Bank of Canada noon spot rate for converting the one currency into the other on that day or if that day is not a Business Day, the preceding Business Day, or if such rate is not so published by the Bank of Canada for any such day, then at the mid rate (i.e. the average of the Agent’s spot buying and selling rates) quoted by the Agent at the Branch of Account at approximately noon (Toronto time) on that day in accordance with its normal practice for the applicable currency conversion in the wholesale market, or if that day is not a Business Day, the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color w:val="auto"/>
        </w:rPr>
        <w:t>- 7 -</w:t>
      </w:r>
    </w:p>
    <w:p>
      <w:pPr>
        <w:spacing w:after="0" w:line="302" w:lineRule="exact"/>
        <w:rPr>
          <w:sz w:val="20"/>
          <w:szCs w:val="20"/>
          <w:color w:val="auto"/>
        </w:rPr>
      </w:pPr>
    </w:p>
    <w:p>
      <w:pPr>
        <w:ind w:left="580" w:hanging="566"/>
        <w:spacing w:after="0" w:line="256" w:lineRule="auto"/>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any income or capital Tax now or hereafter imposed, levied, collected, withheld or assessed on a Lender by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in Canada or any other jurisdiction in which that Lender is subject to Tax as a result of the Lender: (a) having a permanent establishment in such jurisdiction, (b) being organized under the laws of such jurisdiction, (c) being resident or deemed to be resident in such jurisdiction, or (d) not dealing at arm’s length with an Obligor or any other Lender; but does not include any sales, goods or services Tax payable under the laws of any such jurisdiction with respect to any goods or services made available by a Lender to the Borrower under this Agreement or any withholding tax.</w:t>
      </w:r>
    </w:p>
    <w:p>
      <w:pPr>
        <w:spacing w:after="0" w:line="80" w:lineRule="exact"/>
        <w:rPr>
          <w:sz w:val="20"/>
          <w:szCs w:val="20"/>
          <w:color w:val="auto"/>
        </w:rPr>
      </w:pPr>
    </w:p>
    <w:p>
      <w:pPr>
        <w:ind w:left="580" w:right="20" w:hanging="566"/>
        <w:spacing w:after="0" w:line="347" w:lineRule="auto"/>
        <w:rPr>
          <w:sz w:val="20"/>
          <w:szCs w:val="20"/>
          <w:color w:val="auto"/>
        </w:rPr>
      </w:pPr>
      <w:r>
        <w:rPr>
          <w:rFonts w:ascii="Arial" w:cs="Arial" w:eastAsia="Arial" w:hAnsi="Arial"/>
          <w:sz w:val="16"/>
          <w:szCs w:val="16"/>
          <w:b w:val="1"/>
          <w:bCs w:val="1"/>
          <w:color w:val="auto"/>
        </w:rPr>
        <w:t xml:space="preserve">1.1.45 </w:t>
      </w:r>
      <w:r>
        <w:rPr>
          <w:rFonts w:ascii="Arial" w:cs="Arial" w:eastAsia="Arial" w:hAnsi="Arial"/>
          <w:sz w:val="16"/>
          <w:szCs w:val="16"/>
          <w:color w:val="auto"/>
        </w:rPr>
        <w:t>“</w:t>
      </w:r>
      <w:r>
        <w:rPr>
          <w:rFonts w:ascii="Arial" w:cs="Arial" w:eastAsia="Arial" w:hAnsi="Arial"/>
          <w:sz w:val="16"/>
          <w:szCs w:val="16"/>
          <w:b w:val="1"/>
          <w:bCs w:val="1"/>
          <w:color w:val="auto"/>
        </w:rPr>
        <w:t>Fee Letter</w:t>
      </w:r>
      <w:r>
        <w:rPr>
          <w:rFonts w:ascii="Arial" w:cs="Arial" w:eastAsia="Arial" w:hAnsi="Arial"/>
          <w:sz w:val="16"/>
          <w:szCs w:val="16"/>
          <w:color w:val="auto"/>
        </w:rPr>
        <w:t>” means the confidential fee letter agreement dated 25 October 2005 from the Arrangers to the Borrower and the Guarantors providing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certain fees in relation to the Credit, accepted and agreed to by the Borrower and the Guarantors on 25 October 2005.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when used in this Agreement, whether directly or indirectly through reference to a capitalized term used therein, means</w:t>
      </w:r>
    </w:p>
    <w:p>
      <w:pPr>
        <w:spacing w:after="0" w:line="27" w:lineRule="exact"/>
        <w:rPr>
          <w:sz w:val="20"/>
          <w:szCs w:val="20"/>
          <w:color w:val="auto"/>
        </w:rPr>
      </w:pPr>
    </w:p>
    <w:p>
      <w:pPr>
        <w:ind w:left="580" w:right="40" w:hanging="5"/>
        <w:spacing w:after="0" w:line="288" w:lineRule="auto"/>
        <w:tabs>
          <w:tab w:leader="none" w:pos="82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principles that are consistent with the principles promulgated or adopted by the Financial Accounting Standards Board (U.S.) and its predecessors, in effect for the fiscal year ended on the Balance Sheet Date, and (b) to the extent consistent with such principles, the accounting practice of Waste Management, Inc. reflected in its financial statements for the year ended on 31 December 2003; provided, that in each of clause (a) and (b), such meaning shall include the application of Financial Accounting Standards Board Interpretation No. 46, C</w:t>
      </w:r>
      <w:r>
        <w:rPr>
          <w:rFonts w:ascii="Arial" w:cs="Arial" w:eastAsia="Arial" w:hAnsi="Arial"/>
          <w:sz w:val="16"/>
          <w:szCs w:val="16"/>
          <w:i w:val="1"/>
          <w:iCs w:val="1"/>
          <w:color w:val="auto"/>
        </w:rPr>
        <w:t>onsolidation of Variable Interest Entities</w:t>
      </w:r>
      <w:r>
        <w:rPr>
          <w:rFonts w:ascii="Arial" w:cs="Arial" w:eastAsia="Arial" w:hAnsi="Arial"/>
          <w:sz w:val="16"/>
          <w:szCs w:val="16"/>
          <w:color w:val="auto"/>
        </w:rPr>
        <w:t xml:space="preserve"> (revised December 2003) (“</w:t>
      </w:r>
      <w:r>
        <w:rPr>
          <w:rFonts w:ascii="Arial" w:cs="Arial" w:eastAsia="Arial" w:hAnsi="Arial"/>
          <w:sz w:val="16"/>
          <w:szCs w:val="16"/>
          <w:b w:val="1"/>
          <w:bCs w:val="1"/>
          <w:color w:val="auto"/>
        </w:rPr>
        <w:t>FIN 46-R</w:t>
      </w:r>
      <w:r>
        <w:rPr>
          <w:rFonts w:ascii="Arial" w:cs="Arial" w:eastAsia="Arial" w:hAnsi="Arial"/>
          <w:sz w:val="16"/>
          <w:szCs w:val="16"/>
          <w:color w:val="auto"/>
        </w:rPr>
        <w:t>”), provided, further, that in each case referred to in this definition of “GAAP”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57" w:lineRule="exact"/>
        <w:rPr>
          <w:sz w:val="20"/>
          <w:szCs w:val="20"/>
          <w:color w:val="auto"/>
        </w:rPr>
      </w:pPr>
    </w:p>
    <w:p>
      <w:pPr>
        <w:jc w:val="both"/>
        <w:ind w:left="580" w:right="20" w:hanging="566"/>
        <w:spacing w:after="0" w:line="289" w:lineRule="auto"/>
        <w:rPr>
          <w:sz w:val="20"/>
          <w:szCs w:val="20"/>
          <w:color w:val="auto"/>
        </w:rPr>
      </w:pPr>
      <w:r>
        <w:rPr>
          <w:rFonts w:ascii="Arial" w:cs="Arial" w:eastAsia="Arial" w:hAnsi="Arial"/>
          <w:sz w:val="17"/>
          <w:szCs w:val="17"/>
          <w:b w:val="1"/>
          <w:bCs w:val="1"/>
          <w:color w:val="auto"/>
        </w:rPr>
        <w:t xml:space="preserve">1.1.47 </w:t>
      </w: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Canada or any other nation, or of any political subdivision thereof, whether provincial, state or</w:t>
      </w:r>
      <w:r>
        <w:rPr>
          <w:rFonts w:ascii="Arial" w:cs="Arial" w:eastAsia="Arial" w:hAnsi="Arial"/>
          <w:sz w:val="17"/>
          <w:szCs w:val="17"/>
          <w:b w:val="1"/>
          <w:bCs w:val="1"/>
          <w:color w:val="auto"/>
        </w:rPr>
        <w:t xml:space="preserve"> </w:t>
      </w:r>
      <w:r>
        <w:rPr>
          <w:rFonts w:ascii="Arial" w:cs="Arial" w:eastAsia="Arial" w:hAnsi="Arial"/>
          <w:sz w:val="17"/>
          <w:szCs w:val="17"/>
          <w:color w:val="auto"/>
        </w:rPr>
        <w:t>local, and any agency, authority, instrumentality, regulatory body, court, central bank or other entity exercising executive, legislative, judicial, taxing, regulatory or administrative powers or functions of or pertaining to government, including any supra-national bodies.</w:t>
      </w:r>
    </w:p>
    <w:p>
      <w:pPr>
        <w:spacing w:after="0" w:line="50" w:lineRule="exact"/>
        <w:rPr>
          <w:sz w:val="20"/>
          <w:szCs w:val="20"/>
          <w:color w:val="auto"/>
        </w:rPr>
      </w:pPr>
    </w:p>
    <w:p>
      <w:pPr>
        <w:ind w:left="580" w:right="100" w:hanging="566"/>
        <w:spacing w:after="0" w:line="274" w:lineRule="auto"/>
        <w:rPr>
          <w:sz w:val="20"/>
          <w:szCs w:val="20"/>
          <w:color w:val="auto"/>
        </w:rPr>
      </w:pPr>
      <w:r>
        <w:rPr>
          <w:rFonts w:ascii="Arial" w:cs="Arial" w:eastAsia="Arial" w:hAnsi="Arial"/>
          <w:sz w:val="17"/>
          <w:szCs w:val="17"/>
          <w:b w:val="1"/>
          <w:bCs w:val="1"/>
          <w:color w:val="auto"/>
        </w:rPr>
        <w:t xml:space="preserve">1.1.48 </w:t>
      </w: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any obligation, contingent or otherwise, of a Person guaranteeing or having the economic effect of guaranteeing any Debt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obligation of any other Person (the “primary obligor”) in any manner, whether directly or indirectly, and including any obligation of the guarantor, direct or indirect, (a) to purchase or pay (or advance or supply funds for the purchase or payment of) such Debt or other obligation or to purchase (or 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color w:val="auto"/>
        </w:rPr>
        <w:t>- 8 -</w:t>
      </w:r>
    </w:p>
    <w:p>
      <w:pPr>
        <w:spacing w:after="0" w:line="306" w:lineRule="exact"/>
        <w:rPr>
          <w:sz w:val="20"/>
          <w:szCs w:val="20"/>
          <w:color w:val="auto"/>
        </w:rPr>
      </w:pPr>
    </w:p>
    <w:p>
      <w:pPr>
        <w:ind w:left="920" w:right="360"/>
        <w:spacing w:after="0" w:line="342" w:lineRule="auto"/>
        <w:rPr>
          <w:sz w:val="20"/>
          <w:szCs w:val="20"/>
          <w:color w:val="auto"/>
        </w:rPr>
      </w:pPr>
      <w:r>
        <w:rPr>
          <w:rFonts w:ascii="Arial" w:cs="Arial" w:eastAsia="Arial" w:hAnsi="Arial"/>
          <w:sz w:val="16"/>
          <w:szCs w:val="16"/>
          <w:color w:val="auto"/>
        </w:rPr>
        <w:t>such Debt or other obligation, or (d) as an account party in respect of any letter of credit or letter of guarantee issued to support such Debt or obligation; provided that the term Guarantee shall not include endorsements for collection or deposit in the ordinary course of business.</w:t>
      </w:r>
    </w:p>
    <w:p>
      <w:pPr>
        <w:spacing w:after="0" w:line="12" w:lineRule="exact"/>
        <w:rPr>
          <w:sz w:val="20"/>
          <w:szCs w:val="20"/>
          <w:color w:val="auto"/>
        </w:rPr>
      </w:pPr>
    </w:p>
    <w:p>
      <w:pPr>
        <w:ind w:left="580" w:right="60" w:hanging="566"/>
        <w:spacing w:after="0" w:line="282" w:lineRule="auto"/>
        <w:rPr>
          <w:sz w:val="20"/>
          <w:szCs w:val="20"/>
          <w:color w:val="auto"/>
        </w:rPr>
      </w:pPr>
      <w:r>
        <w:rPr>
          <w:rFonts w:ascii="Arial" w:cs="Arial" w:eastAsia="Arial" w:hAnsi="Arial"/>
          <w:sz w:val="18"/>
          <w:szCs w:val="18"/>
          <w:b w:val="1"/>
          <w:bCs w:val="1"/>
          <w:color w:val="auto"/>
        </w:rPr>
        <w:t xml:space="preserve">1.1.49 </w:t>
      </w: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each of Waste Management, Inc., a Delaware corporation, and Waste Management Holdings, Inc., a Delaware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 Person which delivers a guarantee hereunder, and becomes a party hereto, from time to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1.1.50  </w:t>
      </w: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has the meaning defined in Section 6.1(14)(b).</w:t>
      </w:r>
    </w:p>
    <w:p>
      <w:pPr>
        <w:spacing w:after="0" w:line="117" w:lineRule="exact"/>
        <w:rPr>
          <w:sz w:val="20"/>
          <w:szCs w:val="20"/>
          <w:color w:val="auto"/>
        </w:rPr>
      </w:pPr>
    </w:p>
    <w:p>
      <w:pPr>
        <w:ind w:left="580" w:right="160" w:hanging="566"/>
        <w:spacing w:after="0" w:line="266" w:lineRule="auto"/>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w:t>
      </w:r>
      <w:r>
        <w:rPr>
          <w:rFonts w:ascii="Arial" w:cs="Arial" w:eastAsia="Arial" w:hAnsi="Arial"/>
          <w:sz w:val="18"/>
          <w:szCs w:val="18"/>
          <w:b w:val="1"/>
          <w:bCs w:val="1"/>
          <w:color w:val="auto"/>
        </w:rPr>
        <w:t>Interbank Reference Rate</w:t>
      </w:r>
      <w:r>
        <w:rPr>
          <w:rFonts w:ascii="Arial" w:cs="Arial" w:eastAsia="Arial" w:hAnsi="Arial"/>
          <w:sz w:val="18"/>
          <w:szCs w:val="18"/>
          <w:color w:val="auto"/>
        </w:rPr>
        <w:t>” means, in respect of any currency, the interest rate expressed as a percentage per annum which is customarily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when calculating interest due by it or owing to it arising from correction of errors in transactions in that currency between it and other chartered banks.</w:t>
      </w:r>
    </w:p>
    <w:p>
      <w:pPr>
        <w:spacing w:after="0" w:line="68" w:lineRule="exact"/>
        <w:rPr>
          <w:sz w:val="20"/>
          <w:szCs w:val="20"/>
          <w:color w:val="auto"/>
        </w:rPr>
      </w:pPr>
    </w:p>
    <w:p>
      <w:pPr>
        <w:ind w:left="580" w:hanging="566"/>
        <w:spacing w:after="0" w:line="282"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at any time, the ratio calculated by dividing (a) EBIT for the four most recently completed fiscal quarters of Waste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 by (b) Consolidated Total Interest Expense for such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the 21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calendar month.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w:t>
      </w:r>
      <w:r>
        <w:rPr>
          <w:rFonts w:ascii="Arial" w:cs="Arial" w:eastAsia="Arial" w:hAnsi="Arial"/>
          <w:sz w:val="18"/>
          <w:szCs w:val="18"/>
          <w:b w:val="1"/>
          <w:bCs w:val="1"/>
          <w:color w:val="auto"/>
        </w:rPr>
        <w:t>Interim Balance Sheet Date</w:t>
      </w:r>
      <w:r>
        <w:rPr>
          <w:rFonts w:ascii="Arial" w:cs="Arial" w:eastAsia="Arial" w:hAnsi="Arial"/>
          <w:sz w:val="18"/>
          <w:szCs w:val="18"/>
          <w:color w:val="auto"/>
        </w:rPr>
        <w:t>” means 30 September 2005.</w:t>
      </w:r>
    </w:p>
    <w:p>
      <w:pPr>
        <w:spacing w:after="0" w:line="117" w:lineRule="exact"/>
        <w:rPr>
          <w:sz w:val="20"/>
          <w:szCs w:val="20"/>
          <w:color w:val="auto"/>
        </w:rPr>
      </w:pPr>
    </w:p>
    <w:p>
      <w:pPr>
        <w:ind w:left="580" w:right="40" w:hanging="566"/>
        <w:spacing w:after="0" w:line="284" w:lineRule="auto"/>
        <w:rPr>
          <w:sz w:val="20"/>
          <w:szCs w:val="20"/>
          <w:color w:val="auto"/>
        </w:rPr>
      </w:pPr>
      <w:r>
        <w:rPr>
          <w:rFonts w:ascii="Arial" w:cs="Arial" w:eastAsia="Arial" w:hAnsi="Arial"/>
          <w:sz w:val="16"/>
          <w:szCs w:val="16"/>
          <w:b w:val="1"/>
          <w:bCs w:val="1"/>
          <w:color w:val="auto"/>
        </w:rPr>
        <w:t xml:space="preserve">1.1.55 </w:t>
      </w: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all expenditures made by a Person and all liabilities incurred (contingently or otherwise) by a Person for the acquisition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than the stock of Subsidiaries), or Debt of, or for loans, advances, capital contributions or transfers of property to, or in respect of any Guarantees or other commitments as described under Debt, or obligations of, any other Person, including without limitation, the funding of any captive insurance company (other than loans, advances, capital contributions or transfers of property to any Subsidiaries or variable interest entities consolidated in accordance with FIN 46-R, or Guaranties with respect to Debt of any Subsidiary or variable interest entities consolidated in accordance with FIN 46-R). In determining the aggregate amount of Investments outstanding at any particular time: (a) the amount of any Investment represented by a Guarantee shall be taken at not less than the principal amount of the obligations guaranteed and still outstanding, (b) there shall be included as an Investment all interest accrued with respect to Debt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w:t>
      </w:r>
    </w:p>
    <w:p>
      <w:pPr>
        <w:ind w:left="580"/>
        <w:spacing w:after="0"/>
        <w:rPr>
          <w:sz w:val="20"/>
          <w:szCs w:val="20"/>
          <w:color w:val="auto"/>
        </w:rPr>
      </w:pPr>
      <w:r>
        <w:rPr>
          <w:rFonts w:ascii="Arial" w:cs="Arial" w:eastAsia="Arial" w:hAnsi="Arial"/>
          <w:sz w:val="16"/>
          <w:szCs w:val="16"/>
          <w:color w:val="auto"/>
        </w:rPr>
        <w:t>(b) may be deducted when paid; and (e) there shall not be deducted from the aggregate amount of Investments any decrease in the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4" w:name="page165"/>
    <w:bookmarkEnd w:id="164"/>
    <w:p>
      <w:pPr>
        <w:jc w:val="center"/>
        <w:ind w:right="-39"/>
        <w:spacing w:after="0"/>
        <w:rPr>
          <w:sz w:val="20"/>
          <w:szCs w:val="20"/>
          <w:color w:val="auto"/>
        </w:rPr>
      </w:pPr>
      <w:r>
        <w:rPr>
          <w:rFonts w:ascii="Arial" w:cs="Arial" w:eastAsia="Arial" w:hAnsi="Arial"/>
          <w:sz w:val="18"/>
          <w:szCs w:val="18"/>
          <w:color w:val="auto"/>
        </w:rPr>
        <w:t>- 9 -</w:t>
      </w:r>
    </w:p>
    <w:p>
      <w:pPr>
        <w:spacing w:after="0" w:line="302" w:lineRule="exact"/>
        <w:rPr>
          <w:sz w:val="20"/>
          <w:szCs w:val="20"/>
          <w:color w:val="auto"/>
        </w:rPr>
      </w:pPr>
    </w:p>
    <w:p>
      <w:pPr>
        <w:ind w:left="580" w:right="120" w:hanging="566"/>
        <w:spacing w:after="0" w:line="282" w:lineRule="auto"/>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each of the Persons listed on Schedule E and other lenders that agree from time to time to become Lenders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w:t>
      </w:r>
      <w:r>
        <w:rPr>
          <w:rFonts w:ascii="Arial" w:cs="Arial" w:eastAsia="Arial" w:hAnsi="Arial"/>
          <w:sz w:val="18"/>
          <w:szCs w:val="18"/>
          <w:b w:val="1"/>
          <w:bCs w:val="1"/>
          <w:color w:val="auto"/>
        </w:rPr>
        <w:t>Lender</w:t>
      </w:r>
      <w:r>
        <w:rPr>
          <w:rFonts w:ascii="Arial" w:cs="Arial" w:eastAsia="Arial" w:hAnsi="Arial"/>
          <w:sz w:val="18"/>
          <w:szCs w:val="18"/>
          <w:color w:val="auto"/>
        </w:rPr>
        <w:t>” means any one of the Lenders.</w:t>
      </w:r>
    </w:p>
    <w:p>
      <w:pPr>
        <w:spacing w:after="0" w:line="54" w:lineRule="exact"/>
        <w:rPr>
          <w:sz w:val="20"/>
          <w:szCs w:val="20"/>
          <w:color w:val="auto"/>
        </w:rPr>
      </w:pPr>
    </w:p>
    <w:p>
      <w:pPr>
        <w:ind w:left="580" w:right="100" w:hanging="566"/>
        <w:spacing w:after="0" w:line="282" w:lineRule="auto"/>
        <w:rPr>
          <w:sz w:val="20"/>
          <w:szCs w:val="20"/>
          <w:color w:val="auto"/>
        </w:rPr>
      </w:pPr>
      <w:r>
        <w:rPr>
          <w:rFonts w:ascii="Arial" w:cs="Arial" w:eastAsia="Arial" w:hAnsi="Arial"/>
          <w:sz w:val="18"/>
          <w:szCs w:val="18"/>
          <w:b w:val="1"/>
          <w:bCs w:val="1"/>
          <w:color w:val="auto"/>
        </w:rPr>
        <w:t xml:space="preserve">1.1.57 </w:t>
      </w: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all Security, the Fee Letter, the Agency Fee Letter, and all other documents from time to time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w:t>
      </w:r>
    </w:p>
    <w:p>
      <w:pPr>
        <w:spacing w:after="0" w:line="54" w:lineRule="exact"/>
        <w:rPr>
          <w:sz w:val="20"/>
          <w:szCs w:val="20"/>
          <w:color w:val="auto"/>
        </w:rPr>
      </w:pPr>
    </w:p>
    <w:p>
      <w:pPr>
        <w:jc w:val="both"/>
        <w:ind w:left="580" w:hanging="566"/>
        <w:spacing w:after="0" w:line="266" w:lineRule="auto"/>
        <w:rPr>
          <w:sz w:val="20"/>
          <w:szCs w:val="20"/>
          <w:color w:val="auto"/>
        </w:rPr>
      </w:pPr>
      <w:r>
        <w:rPr>
          <w:rFonts w:ascii="Arial" w:cs="Arial" w:eastAsia="Arial" w:hAnsi="Arial"/>
          <w:sz w:val="18"/>
          <w:szCs w:val="18"/>
          <w:b w:val="1"/>
          <w:bCs w:val="1"/>
          <w:color w:val="auto"/>
        </w:rPr>
        <w:t xml:space="preserve">1.1.58 </w:t>
      </w: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 (a) the business, assets, operations or financial condition of the Obligors taken as a</w:t>
      </w:r>
      <w:r>
        <w:rPr>
          <w:rFonts w:ascii="Arial" w:cs="Arial" w:eastAsia="Arial" w:hAnsi="Arial"/>
          <w:sz w:val="18"/>
          <w:szCs w:val="18"/>
          <w:b w:val="1"/>
          <w:bCs w:val="1"/>
          <w:color w:val="auto"/>
        </w:rPr>
        <w:t xml:space="preserve"> </w:t>
      </w:r>
      <w:r>
        <w:rPr>
          <w:rFonts w:ascii="Arial" w:cs="Arial" w:eastAsia="Arial" w:hAnsi="Arial"/>
          <w:sz w:val="18"/>
          <w:szCs w:val="18"/>
          <w:color w:val="auto"/>
        </w:rPr>
        <w:t>whole, (b) the ability of either Guarantor to perform its obligations under any Loan Document to which it is a party, or (c) the rights of, or remedies or benefits available to, the Agent or any of the Lenders under any Loan Document.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1.1.59  </w:t>
      </w: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30 November 2008.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 Services, Inc. and its successors.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w:t>
      </w:r>
      <w:r>
        <w:rPr>
          <w:rFonts w:ascii="Arial" w:cs="Arial" w:eastAsia="Arial" w:hAnsi="Arial"/>
          <w:sz w:val="18"/>
          <w:szCs w:val="18"/>
          <w:b w:val="1"/>
          <w:bCs w:val="1"/>
          <w:color w:val="auto"/>
        </w:rPr>
        <w:t>Non BA Lender</w:t>
      </w:r>
      <w:r>
        <w:rPr>
          <w:rFonts w:ascii="Arial" w:cs="Arial" w:eastAsia="Arial" w:hAnsi="Arial"/>
          <w:sz w:val="18"/>
          <w:szCs w:val="18"/>
          <w:color w:val="auto"/>
        </w:rPr>
        <w:t>” has the meaning defined in Section 5.10(5).</w:t>
      </w:r>
    </w:p>
    <w:p>
      <w:pPr>
        <w:spacing w:after="0" w:line="117" w:lineRule="exact"/>
        <w:rPr>
          <w:sz w:val="20"/>
          <w:szCs w:val="20"/>
          <w:color w:val="auto"/>
        </w:rPr>
      </w:pPr>
    </w:p>
    <w:p>
      <w:pPr>
        <w:ind w:left="580" w:right="40" w:hanging="566"/>
        <w:spacing w:after="0" w:line="292" w:lineRule="auto"/>
        <w:rPr>
          <w:sz w:val="20"/>
          <w:szCs w:val="20"/>
          <w:color w:val="auto"/>
        </w:rPr>
      </w:pPr>
      <w:r>
        <w:rPr>
          <w:rFonts w:ascii="Arial" w:cs="Arial" w:eastAsia="Arial" w:hAnsi="Arial"/>
          <w:sz w:val="16"/>
          <w:szCs w:val="16"/>
          <w:b w:val="1"/>
          <w:bCs w:val="1"/>
          <w:color w:val="auto"/>
        </w:rPr>
        <w:t xml:space="preserve">1.1.62 </w:t>
      </w: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obligations of the Borrower to the Agent and Lenders under or in connection with this Agreement, including but not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to all debts and liabilities, present or future, direct or indirect, absolute or contingent, matured or not, at any time owing by the Borrower to the Agent and Lenders in any currency or remaining unpaid by the Borrower to the Agent and Lenders in any currency under or in connection with this Agreement, whether arising from dealings between the Agent and Lenders and the Borrower or from any other dealings or proceedings by which the Agent and Lenders may be or become in any manner whatever creditors of the Borrower under or in connection with this Agreement, and wherever incurred, and whether incurred by the Borrower alone or with another or others and whether as principal or surety, and all interest, fees, legal and other costs, charges and expenses. In this definition, “the Agent and Lenders” shall be interpreted as “the Agent and Lenders, or any of them”.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Borrower and each of the Guarantors, and “</w:t>
      </w:r>
      <w:r>
        <w:rPr>
          <w:rFonts w:ascii="Arial" w:cs="Arial" w:eastAsia="Arial" w:hAnsi="Arial"/>
          <w:sz w:val="18"/>
          <w:szCs w:val="18"/>
          <w:b w:val="1"/>
          <w:bCs w:val="1"/>
          <w:color w:val="auto"/>
        </w:rPr>
        <w:t>Obligor</w:t>
      </w:r>
      <w:r>
        <w:rPr>
          <w:rFonts w:ascii="Arial" w:cs="Arial" w:eastAsia="Arial" w:hAnsi="Arial"/>
          <w:sz w:val="18"/>
          <w:szCs w:val="18"/>
          <w:color w:val="auto"/>
        </w:rPr>
        <w:t>” means any of them.</w:t>
      </w:r>
    </w:p>
    <w:p>
      <w:pPr>
        <w:spacing w:after="0" w:line="117" w:lineRule="exact"/>
        <w:rPr>
          <w:sz w:val="20"/>
          <w:szCs w:val="20"/>
          <w:color w:val="auto"/>
        </w:rPr>
      </w:pPr>
    </w:p>
    <w:p>
      <w:pPr>
        <w:ind w:left="580" w:right="260" w:hanging="566"/>
        <w:spacing w:after="0" w:line="282" w:lineRule="auto"/>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w:t>
      </w:r>
      <w:r>
        <w:rPr>
          <w:rFonts w:ascii="Arial" w:cs="Arial" w:eastAsia="Arial" w:hAnsi="Arial"/>
          <w:sz w:val="18"/>
          <w:szCs w:val="18"/>
          <w:b w:val="1"/>
          <w:bCs w:val="1"/>
          <w:color w:val="auto"/>
        </w:rPr>
        <w:t>Pending Event of Default</w:t>
      </w:r>
      <w:r>
        <w:rPr>
          <w:rFonts w:ascii="Arial" w:cs="Arial" w:eastAsia="Arial" w:hAnsi="Arial"/>
          <w:sz w:val="18"/>
          <w:szCs w:val="18"/>
          <w:color w:val="auto"/>
        </w:rPr>
        <w:t>” means an event which would constitute an Event of Default hereunder, except for satisfaction of any requirement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of notice, lapse of time, or both, or other condition subsequent.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1.1.65  </w:t>
      </w: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with respect to any Person, the following:</w:t>
      </w:r>
    </w:p>
    <w:p>
      <w:pPr>
        <w:spacing w:after="0" w:line="121" w:lineRule="exact"/>
        <w:rPr>
          <w:sz w:val="20"/>
          <w:szCs w:val="20"/>
          <w:color w:val="auto"/>
        </w:rPr>
      </w:pPr>
    </w:p>
    <w:p>
      <w:pPr>
        <w:ind w:left="1020" w:right="260" w:hanging="445"/>
        <w:spacing w:after="0" w:line="259" w:lineRule="auto"/>
        <w:tabs>
          <w:tab w:leader="none" w:pos="1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which are not yet due, or for which instalments have been paid based on reasonable estimates pending final assessments, or the validity of which is being contested in good faith by appropriate proceedings and for which the Person has recorded the liability in accordance with GAAP and which do not have, and will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5" w:name="page166"/>
    <w:bookmarkEnd w:id="165"/>
    <w:p>
      <w:pPr>
        <w:ind w:left="4945"/>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445" w:right="60" w:hanging="445"/>
        <w:spacing w:after="0" w:line="255" w:lineRule="auto"/>
        <w:tabs>
          <w:tab w:leader="none" w:pos="4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inchoate or statutory liens of contractors, subcontractors, mechanics, workers, suppliers, material men, carriers and others in respect of construction, maintenance, repair or operation of assets of the Person, in respect of which adequate holdbacks are being maintained as required by applicable laws and (i) which have not at such time been filed or exercised and of which none of the Lenders have been given notice, or (ii) which relate to obligations not due or payable or if due, the validity of which is being contested in good faith by appropriate proceedings and for which such Person has recorded the liability in accordance with GAAP and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94" w:lineRule="exact"/>
        <w:rPr>
          <w:rFonts w:ascii="Arial" w:cs="Arial" w:eastAsia="Arial" w:hAnsi="Arial"/>
          <w:sz w:val="18"/>
          <w:szCs w:val="18"/>
          <w:color w:val="auto"/>
        </w:rPr>
      </w:pPr>
    </w:p>
    <w:p>
      <w:pPr>
        <w:ind w:left="445" w:hanging="445"/>
        <w:spacing w:after="0" w:line="302" w:lineRule="auto"/>
        <w:tabs>
          <w:tab w:leader="none" w:pos="4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easements, rights-of-way, licences, servitudes, restrictions, restrictive covenants, and similar rights in real property comprised in the assets of the Person or interests therein (including in respect of sewers, drains, gas and water mains or electric light and power or telephone and telegraph conduits, poles, wires and cables)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59" w:lineRule="exact"/>
        <w:rPr>
          <w:rFonts w:ascii="Arial" w:cs="Arial" w:eastAsia="Arial" w:hAnsi="Arial"/>
          <w:sz w:val="16"/>
          <w:szCs w:val="16"/>
          <w:color w:val="auto"/>
        </w:rPr>
      </w:pPr>
    </w:p>
    <w:p>
      <w:pPr>
        <w:ind w:left="445" w:hanging="445"/>
        <w:spacing w:after="0" w:line="264" w:lineRule="auto"/>
        <w:tabs>
          <w:tab w:leader="none" w:pos="4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title defects or irregularities which are of a minor nature and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86" w:lineRule="exact"/>
        <w:rPr>
          <w:rFonts w:ascii="Arial" w:cs="Arial" w:eastAsia="Arial" w:hAnsi="Arial"/>
          <w:sz w:val="18"/>
          <w:szCs w:val="18"/>
          <w:color w:val="auto"/>
        </w:rPr>
      </w:pPr>
    </w:p>
    <w:p>
      <w:pPr>
        <w:ind w:left="445" w:hanging="445"/>
        <w:spacing w:after="0" w:line="264" w:lineRule="auto"/>
        <w:tabs>
          <w:tab w:leader="none" w:pos="4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Encumbrance resulting from the deposit of cash or securities in connection with contracts, tenders or expropriation proceedings, or to secure workers’ compensation, employment insurance, surety or appeal bonds, costs of litigation when required by applicable laws and other similar obligations, in each case in the ordinary course of business;</w:t>
      </w:r>
    </w:p>
    <w:p>
      <w:pPr>
        <w:spacing w:after="0" w:line="86" w:lineRule="exact"/>
        <w:rPr>
          <w:rFonts w:ascii="Arial" w:cs="Arial" w:eastAsia="Arial" w:hAnsi="Arial"/>
          <w:sz w:val="18"/>
          <w:szCs w:val="18"/>
          <w:color w:val="auto"/>
        </w:rPr>
      </w:pPr>
    </w:p>
    <w:p>
      <w:pPr>
        <w:ind w:left="445" w:right="40" w:hanging="445"/>
        <w:spacing w:after="0" w:line="312" w:lineRule="auto"/>
        <w:tabs>
          <w:tab w:leader="none" w:pos="4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Encumbrance created by a judgment of a court of competent jurisdiction; provided, however, that the Encumbrance is in existence for less than 20 days after its creation or the execution or other enforcement of the Encumbrance is effectively stayed or the claims so secured are being actively contested in good faith and by proper legal proceedings and do not result in the occurrence of an Event of Default;</w:t>
      </w:r>
    </w:p>
    <w:p>
      <w:pPr>
        <w:spacing w:after="0" w:line="52" w:lineRule="exact"/>
        <w:rPr>
          <w:rFonts w:ascii="Arial" w:cs="Arial" w:eastAsia="Arial" w:hAnsi="Arial"/>
          <w:sz w:val="16"/>
          <w:szCs w:val="16"/>
          <w:color w:val="auto"/>
        </w:rPr>
      </w:pPr>
    </w:p>
    <w:p>
      <w:pPr>
        <w:ind w:left="445" w:right="40" w:hanging="445"/>
        <w:spacing w:after="0" w:line="286" w:lineRule="auto"/>
        <w:tabs>
          <w:tab w:leader="none" w:pos="4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reservations, limitations, provisos and conditions, if any, expressed in any original grant from the Crown of any real property or any interest therein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112395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5"/>
          </w:cols>
          <w:pgMar w:left="815" w:top="936" w:right="25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color w:val="auto"/>
        </w:rPr>
        <w:t>- 11 -</w:t>
      </w:r>
    </w:p>
    <w:p>
      <w:pPr>
        <w:spacing w:after="0" w:line="198" w:lineRule="exact"/>
        <w:rPr>
          <w:sz w:val="20"/>
          <w:szCs w:val="20"/>
          <w:color w:val="auto"/>
        </w:rPr>
      </w:pPr>
    </w:p>
    <w:p>
      <w:pPr>
        <w:ind w:left="1020" w:hanging="445"/>
        <w:spacing w:after="0" w:line="259" w:lineRule="auto"/>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Encumbrances given to a public utility or any municipality or governmental or other public authority when required by such utility or other authority in connection with the operation of the business or the ownership of the assets of the Person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92" w:lineRule="exact"/>
        <w:rPr>
          <w:rFonts w:ascii="Arial" w:cs="Arial" w:eastAsia="Arial" w:hAnsi="Arial"/>
          <w:sz w:val="18"/>
          <w:szCs w:val="18"/>
          <w:color w:val="auto"/>
        </w:rPr>
      </w:pPr>
    </w:p>
    <w:p>
      <w:pPr>
        <w:ind w:left="1020" w:right="40" w:hanging="445"/>
        <w:spacing w:after="0" w:line="259" w:lineRule="auto"/>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assets of the Person, provided same are complied with and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92" w:lineRule="exact"/>
        <w:rPr>
          <w:rFonts w:ascii="Arial" w:cs="Arial" w:eastAsia="Arial" w:hAnsi="Arial"/>
          <w:sz w:val="18"/>
          <w:szCs w:val="18"/>
          <w:color w:val="auto"/>
        </w:rPr>
      </w:pPr>
    </w:p>
    <w:p>
      <w:pPr>
        <w:ind w:left="1020" w:right="60" w:hanging="445"/>
        <w:spacing w:after="0" w:line="264" w:lineRule="auto"/>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right reserved to or vested in any Governmental Authority by any statutory provision or by the terms of any lease, licence, franchise, grant or permit of the Person, to terminate any such lease, licence, franchise, grant or permit, or to require annual or other payments as a condition to the continuance thereof;</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Encumbrances in favour of the Agent created by the Security, if any, including Encumbrances over Collateral;</w:t>
      </w:r>
    </w:p>
    <w:p>
      <w:pPr>
        <w:spacing w:after="0" w:line="130" w:lineRule="exact"/>
        <w:rPr>
          <w:rFonts w:ascii="Arial" w:cs="Arial" w:eastAsia="Arial" w:hAnsi="Arial"/>
          <w:sz w:val="18"/>
          <w:szCs w:val="18"/>
          <w:color w:val="auto"/>
        </w:rPr>
      </w:pPr>
    </w:p>
    <w:p>
      <w:pPr>
        <w:ind w:left="1020" w:right="40" w:hanging="445"/>
        <w:spacing w:after="0" w:line="312" w:lineRule="auto"/>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landlords’ rights of distraint and similar rights of a landlord (including in Quebec a landlord’s hypothec) on tangible personal or moveable property of the Person located solely on the premises leased by the landlord to the Person and securing only the obligations of the Person under the applicable lease of the premises, so long as the exercise of such rights do not result in the occurrence of an Event of Default; and</w:t>
      </w:r>
    </w:p>
    <w:p>
      <w:pPr>
        <w:spacing w:after="0" w:line="52" w:lineRule="exact"/>
        <w:rPr>
          <w:rFonts w:ascii="Arial" w:cs="Arial" w:eastAsia="Arial" w:hAnsi="Arial"/>
          <w:sz w:val="16"/>
          <w:szCs w:val="16"/>
          <w:color w:val="auto"/>
        </w:rPr>
      </w:pPr>
    </w:p>
    <w:p>
      <w:pPr>
        <w:ind w:left="1020" w:hanging="445"/>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Permitted Liens, as such term is defined in the U.S. Credit Agreement as at the date of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1.1.66  </w:t>
      </w:r>
      <w:r>
        <w:rPr>
          <w:rFonts w:ascii="Arial" w:cs="Arial" w:eastAsia="Arial" w:hAnsi="Arial"/>
          <w:sz w:val="16"/>
          <w:szCs w:val="16"/>
          <w:color w:val="auto"/>
        </w:rPr>
        <w:t>“</w:t>
      </w:r>
      <w:r>
        <w:rPr>
          <w:rFonts w:ascii="Arial" w:cs="Arial" w:eastAsia="Arial" w:hAnsi="Arial"/>
          <w:sz w:val="16"/>
          <w:szCs w:val="16"/>
          <w:b w:val="1"/>
          <w:bCs w:val="1"/>
          <w:color w:val="auto"/>
        </w:rPr>
        <w:t>Permitted Receivables Transaction</w:t>
      </w:r>
      <w:r>
        <w:rPr>
          <w:rFonts w:ascii="Arial" w:cs="Arial" w:eastAsia="Arial" w:hAnsi="Arial"/>
          <w:sz w:val="16"/>
          <w:szCs w:val="16"/>
          <w:color w:val="auto"/>
        </w:rPr>
        <w:t>” has the meaning defined in the U.S. Credit Agreement, as such definition exists at the date of this Agreement.</w:t>
      </w:r>
    </w:p>
    <w:p>
      <w:pPr>
        <w:spacing w:after="0" w:line="140" w:lineRule="exact"/>
        <w:rPr>
          <w:sz w:val="20"/>
          <w:szCs w:val="20"/>
          <w:color w:val="auto"/>
        </w:rPr>
      </w:pPr>
    </w:p>
    <w:p>
      <w:pPr>
        <w:ind w:left="580" w:right="360" w:hanging="566"/>
        <w:spacing w:after="0" w:line="282" w:lineRule="auto"/>
        <w:rPr>
          <w:sz w:val="20"/>
          <w:szCs w:val="20"/>
          <w:color w:val="auto"/>
        </w:rPr>
      </w:pPr>
      <w:r>
        <w:rPr>
          <w:rFonts w:ascii="Arial" w:cs="Arial" w:eastAsia="Arial" w:hAnsi="Arial"/>
          <w:sz w:val="18"/>
          <w:szCs w:val="18"/>
          <w:b w:val="1"/>
          <w:bCs w:val="1"/>
          <w:color w:val="auto"/>
        </w:rPr>
        <w:t xml:space="preserve">1.1.67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other entity.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1.1.68  </w:t>
      </w: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on any day, the greater of:</w:t>
      </w:r>
    </w:p>
    <w:p>
      <w:pPr>
        <w:spacing w:after="0" w:line="121" w:lineRule="exact"/>
        <w:rPr>
          <w:sz w:val="20"/>
          <w:szCs w:val="20"/>
          <w:color w:val="auto"/>
        </w:rPr>
      </w:pPr>
    </w:p>
    <w:p>
      <w:pPr>
        <w:jc w:val="both"/>
        <w:ind w:left="1020" w:right="500" w:hanging="445"/>
        <w:spacing w:after="0" w:line="264" w:lineRule="auto"/>
        <w:tabs>
          <w:tab w:leader="none" w:pos="10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of the annual rates of interest expressed as a percentage per annum on the basis of a 365 or 366 day year, as the case may be, announced by each Schedule I Reference Lender on that day as its reference rate for commercial loans made by it in Canada in Canadian Dollars;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7" w:name="page168"/>
    <w:bookmarkEnd w:id="167"/>
    <w:p>
      <w:pPr>
        <w:jc w:val="center"/>
        <w:ind w:right="-119"/>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1020" w:hanging="445"/>
        <w:spacing w:after="0"/>
        <w:tabs>
          <w:tab w:leader="none" w:pos="10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CDOR Rate for one month Canadian Dollar banker’s acceptances on that day plus 0.50% per annum.</w:t>
      </w:r>
    </w:p>
    <w:p>
      <w:pPr>
        <w:spacing w:after="0" w:line="113" w:lineRule="exact"/>
        <w:rPr>
          <w:sz w:val="20"/>
          <w:szCs w:val="20"/>
          <w:color w:val="auto"/>
        </w:rPr>
      </w:pPr>
    </w:p>
    <w:p>
      <w:pPr>
        <w:ind w:left="580" w:right="440" w:hanging="566"/>
        <w:spacing w:after="0" w:line="282" w:lineRule="auto"/>
        <w:rPr>
          <w:sz w:val="20"/>
          <w:szCs w:val="20"/>
          <w:color w:val="auto"/>
        </w:rPr>
      </w:pPr>
      <w:r>
        <w:rPr>
          <w:rFonts w:ascii="Arial" w:cs="Arial" w:eastAsia="Arial" w:hAnsi="Arial"/>
          <w:sz w:val="18"/>
          <w:szCs w:val="18"/>
          <w:b w:val="1"/>
          <w:bCs w:val="1"/>
          <w:color w:val="auto"/>
        </w:rPr>
        <w:t xml:space="preserve">1.1.69 </w:t>
      </w:r>
      <w:r>
        <w:rPr>
          <w:rFonts w:ascii="Arial" w:cs="Arial" w:eastAsia="Arial" w:hAnsi="Arial"/>
          <w:sz w:val="18"/>
          <w:szCs w:val="18"/>
          <w:color w:val="auto"/>
        </w:rPr>
        <w:t>“</w:t>
      </w:r>
      <w:r>
        <w:rPr>
          <w:rFonts w:ascii="Arial" w:cs="Arial" w:eastAsia="Arial" w:hAnsi="Arial"/>
          <w:sz w:val="18"/>
          <w:szCs w:val="18"/>
          <w:b w:val="1"/>
          <w:bCs w:val="1"/>
          <w:color w:val="auto"/>
        </w:rPr>
        <w:t>Prime Rate Advance</w:t>
      </w:r>
      <w:r>
        <w:rPr>
          <w:rFonts w:ascii="Arial" w:cs="Arial" w:eastAsia="Arial" w:hAnsi="Arial"/>
          <w:sz w:val="18"/>
          <w:szCs w:val="18"/>
          <w:color w:val="auto"/>
        </w:rPr>
        <w:t>” means an Advance in Canadian Dollars bearing interest based on the Prime Rate and includes any deemed Prime Rate</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provided for in this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1.1.70  </w:t>
      </w: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has the meaning defined in the U.S. Credit Agreement, as such definition exists at the date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1.1.71  </w:t>
      </w: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defined in Section 10.2(3).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1.1.72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has the meaning defined in the U.S. Credit Agreement, as such definition exists at the date of this Agreement.</w:t>
      </w:r>
    </w:p>
    <w:p>
      <w:pPr>
        <w:spacing w:after="0" w:line="117" w:lineRule="exact"/>
        <w:rPr>
          <w:sz w:val="20"/>
          <w:szCs w:val="20"/>
          <w:color w:val="auto"/>
        </w:rPr>
      </w:pPr>
    </w:p>
    <w:p>
      <w:pPr>
        <w:ind w:left="580" w:hanging="566"/>
        <w:spacing w:after="0" w:line="261" w:lineRule="auto"/>
        <w:rPr>
          <w:sz w:val="20"/>
          <w:szCs w:val="20"/>
          <w:color w:val="auto"/>
        </w:rPr>
      </w:pPr>
      <w:r>
        <w:rPr>
          <w:rFonts w:ascii="Arial" w:cs="Arial" w:eastAsia="Arial" w:hAnsi="Arial"/>
          <w:sz w:val="18"/>
          <w:szCs w:val="18"/>
          <w:b w:val="1"/>
          <w:bCs w:val="1"/>
          <w:color w:val="auto"/>
        </w:rPr>
        <w:t xml:space="preserve">1.1.73 </w:t>
      </w: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as of any date of determination, the ratings as determined by S&amp;P and Moody’s of Waste Management, Inc.’s non-credit</w:t>
      </w:r>
      <w:r>
        <w:rPr>
          <w:rFonts w:ascii="Arial" w:cs="Arial" w:eastAsia="Arial" w:hAnsi="Arial"/>
          <w:sz w:val="18"/>
          <w:szCs w:val="18"/>
          <w:b w:val="1"/>
          <w:bCs w:val="1"/>
          <w:color w:val="auto"/>
        </w:rPr>
        <w:t xml:space="preserve"> </w:t>
      </w:r>
      <w:r>
        <w:rPr>
          <w:rFonts w:ascii="Arial" w:cs="Arial" w:eastAsia="Arial" w:hAnsi="Arial"/>
          <w:sz w:val="18"/>
          <w:szCs w:val="18"/>
          <w:color w:val="auto"/>
        </w:rPr>
        <w:t>enhanced, senior unsecured long-term debt and in circumstances when the ratings are not the same level (in the grid set forth in Section 2.6(1) ), then the higher of the two ratings shall apply, provided however that if the higher rating is more than one level higher than the lower rating, the Relevant Rating shall be set at one level below the higher rating.</w:t>
      </w:r>
    </w:p>
    <w:p>
      <w:pPr>
        <w:spacing w:after="0" w:line="72" w:lineRule="exact"/>
        <w:rPr>
          <w:sz w:val="20"/>
          <w:szCs w:val="20"/>
          <w:color w:val="auto"/>
        </w:rPr>
      </w:pPr>
    </w:p>
    <w:p>
      <w:pPr>
        <w:ind w:left="580" w:right="220" w:hanging="566"/>
        <w:spacing w:after="0" w:line="266" w:lineRule="auto"/>
        <w:rPr>
          <w:sz w:val="20"/>
          <w:szCs w:val="20"/>
          <w:color w:val="auto"/>
        </w:rPr>
      </w:pPr>
      <w:r>
        <w:rPr>
          <w:rFonts w:ascii="Arial" w:cs="Arial" w:eastAsia="Arial" w:hAnsi="Arial"/>
          <w:sz w:val="18"/>
          <w:szCs w:val="18"/>
          <w:b w:val="1"/>
          <w:bCs w:val="1"/>
          <w:color w:val="auto"/>
        </w:rPr>
        <w:t xml:space="preserve">1.1.74 </w:t>
      </w: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 Lender or Lenders holding, in the aggregate, a minimum of 50.1% of the amount of the Commitments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Advances if the Commitments have terminated including after the occurrence of any Default), excluding in all cases Commitments or Advances held by any Obligor or any Affiliate or Related Party of any Obligor.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1.1.75  </w:t>
      </w: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Group, a division of McGraw-Hill, Inc., or any of its successors.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1.1.76  </w:t>
      </w:r>
      <w:r>
        <w:rPr>
          <w:rFonts w:ascii="Arial" w:cs="Arial" w:eastAsia="Arial" w:hAnsi="Arial"/>
          <w:sz w:val="18"/>
          <w:szCs w:val="18"/>
          <w:color w:val="auto"/>
        </w:rPr>
        <w:t>“</w:t>
      </w:r>
      <w:r>
        <w:rPr>
          <w:rFonts w:ascii="Arial" w:cs="Arial" w:eastAsia="Arial" w:hAnsi="Arial"/>
          <w:sz w:val="18"/>
          <w:szCs w:val="18"/>
          <w:b w:val="1"/>
          <w:bCs w:val="1"/>
          <w:color w:val="auto"/>
        </w:rPr>
        <w:t>Schedule</w:t>
      </w:r>
      <w:r>
        <w:rPr>
          <w:rFonts w:ascii="Arial" w:cs="Arial" w:eastAsia="Arial" w:hAnsi="Arial"/>
          <w:sz w:val="18"/>
          <w:szCs w:val="18"/>
          <w:color w:val="auto"/>
        </w:rPr>
        <w:t>” means the designated Schedule of this Agreement.</w:t>
      </w:r>
    </w:p>
    <w:p>
      <w:pPr>
        <w:spacing w:after="0" w:line="117" w:lineRule="exact"/>
        <w:rPr>
          <w:sz w:val="20"/>
          <w:szCs w:val="20"/>
          <w:color w:val="auto"/>
        </w:rPr>
      </w:pPr>
    </w:p>
    <w:p>
      <w:pPr>
        <w:ind w:left="580" w:right="180" w:hanging="566"/>
        <w:spacing w:after="0" w:line="282" w:lineRule="auto"/>
        <w:rPr>
          <w:sz w:val="20"/>
          <w:szCs w:val="20"/>
          <w:color w:val="auto"/>
        </w:rPr>
      </w:pPr>
      <w:r>
        <w:rPr>
          <w:rFonts w:ascii="Arial" w:cs="Arial" w:eastAsia="Arial" w:hAnsi="Arial"/>
          <w:sz w:val="18"/>
          <w:szCs w:val="18"/>
          <w:b w:val="1"/>
          <w:bCs w:val="1"/>
          <w:color w:val="auto"/>
        </w:rPr>
        <w:t xml:space="preserve">1.1.77 </w:t>
      </w:r>
      <w:r>
        <w:rPr>
          <w:rFonts w:ascii="Arial" w:cs="Arial" w:eastAsia="Arial" w:hAnsi="Arial"/>
          <w:sz w:val="18"/>
          <w:szCs w:val="18"/>
          <w:color w:val="auto"/>
        </w:rPr>
        <w:t>“</w:t>
      </w:r>
      <w:r>
        <w:rPr>
          <w:rFonts w:ascii="Arial" w:cs="Arial" w:eastAsia="Arial" w:hAnsi="Arial"/>
          <w:sz w:val="18"/>
          <w:szCs w:val="18"/>
          <w:b w:val="1"/>
          <w:bCs w:val="1"/>
          <w:color w:val="auto"/>
        </w:rPr>
        <w:t>Schedule I Reference Lenders</w:t>
      </w:r>
      <w:r>
        <w:rPr>
          <w:rFonts w:ascii="Arial" w:cs="Arial" w:eastAsia="Arial" w:hAnsi="Arial"/>
          <w:sz w:val="18"/>
          <w:szCs w:val="18"/>
          <w:color w:val="auto"/>
        </w:rPr>
        <w:t>” means the Agent and such other institutions as may be agreed upon by the Borrower and the Agent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“Schedule I Reference Lender” means any one of them.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1.1.78  </w:t>
      </w:r>
      <w:r>
        <w:rPr>
          <w:rFonts w:ascii="Arial" w:cs="Arial" w:eastAsia="Arial" w:hAnsi="Arial"/>
          <w:sz w:val="18"/>
          <w:szCs w:val="18"/>
          <w:color w:val="auto"/>
        </w:rPr>
        <w:t>“</w:t>
      </w:r>
      <w:r>
        <w:rPr>
          <w:rFonts w:ascii="Arial" w:cs="Arial" w:eastAsia="Arial" w:hAnsi="Arial"/>
          <w:sz w:val="18"/>
          <w:szCs w:val="18"/>
          <w:b w:val="1"/>
          <w:bCs w:val="1"/>
          <w:color w:val="auto"/>
        </w:rPr>
        <w:t>Scotia Capital</w:t>
      </w:r>
      <w:r>
        <w:rPr>
          <w:rFonts w:ascii="Arial" w:cs="Arial" w:eastAsia="Arial" w:hAnsi="Arial"/>
          <w:sz w:val="18"/>
          <w:szCs w:val="18"/>
          <w:color w:val="auto"/>
        </w:rPr>
        <w:t>” means The Bank of Nova Scotia, a bank to which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Bank Act</w:t>
      </w:r>
      <w:r>
        <w:rPr>
          <w:rFonts w:ascii="Arial" w:cs="Arial" w:eastAsia="Arial" w:hAnsi="Arial"/>
          <w:sz w:val="18"/>
          <w:szCs w:val="18"/>
          <w:b w:val="1"/>
          <w:bCs w:val="1"/>
          <w:color w:val="auto"/>
        </w:rPr>
        <w:t xml:space="preserve"> </w:t>
      </w:r>
      <w:r>
        <w:rPr>
          <w:rFonts w:ascii="Arial" w:cs="Arial" w:eastAsia="Arial" w:hAnsi="Arial"/>
          <w:sz w:val="18"/>
          <w:szCs w:val="18"/>
          <w:color w:val="auto"/>
        </w:rPr>
        <w:t>(Canada) applies.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1.1.79  </w:t>
      </w:r>
      <w:r>
        <w:rPr>
          <w:rFonts w:ascii="Arial" w:cs="Arial" w:eastAsia="Arial" w:hAnsi="Arial"/>
          <w:sz w:val="18"/>
          <w:szCs w:val="18"/>
          <w:color w:val="auto"/>
        </w:rPr>
        <w:t>“</w:t>
      </w:r>
      <w:r>
        <w:rPr>
          <w:rFonts w:ascii="Arial" w:cs="Arial" w:eastAsia="Arial" w:hAnsi="Arial"/>
          <w:sz w:val="18"/>
          <w:szCs w:val="18"/>
          <w:b w:val="1"/>
          <w:bCs w:val="1"/>
          <w:color w:val="auto"/>
        </w:rPr>
        <w:t>Section</w:t>
      </w:r>
      <w:r>
        <w:rPr>
          <w:rFonts w:ascii="Arial" w:cs="Arial" w:eastAsia="Arial" w:hAnsi="Arial"/>
          <w:sz w:val="18"/>
          <w:szCs w:val="18"/>
          <w:color w:val="auto"/>
        </w:rPr>
        <w:t>” means the designated section of this Agreement.</w:t>
      </w:r>
    </w:p>
    <w:p>
      <w:pPr>
        <w:spacing w:after="0" w:line="117" w:lineRule="exact"/>
        <w:rPr>
          <w:sz w:val="20"/>
          <w:szCs w:val="20"/>
          <w:color w:val="auto"/>
        </w:rPr>
      </w:pPr>
    </w:p>
    <w:p>
      <w:pPr>
        <w:ind w:left="580" w:right="180" w:hanging="566"/>
        <w:spacing w:after="0" w:line="313" w:lineRule="auto"/>
        <w:rPr>
          <w:sz w:val="20"/>
          <w:szCs w:val="20"/>
          <w:color w:val="auto"/>
        </w:rPr>
      </w:pPr>
      <w:r>
        <w:rPr>
          <w:rFonts w:ascii="Arial" w:cs="Arial" w:eastAsia="Arial" w:hAnsi="Arial"/>
          <w:sz w:val="17"/>
          <w:szCs w:val="17"/>
          <w:b w:val="1"/>
          <w:bCs w:val="1"/>
          <w:color w:val="auto"/>
        </w:rPr>
        <w:t xml:space="preserve">1.1.80 </w:t>
      </w: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means the guarantees held from time to time by or on behalf of the Agent and the Lenders supporting or intended to support,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repayment of any of the Obligations, including, without limitation, the guarantees described in Section 3.1 from time to time.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1.1.81  </w:t>
      </w:r>
      <w:r>
        <w:rPr>
          <w:rFonts w:ascii="Arial" w:cs="Arial" w:eastAsia="Arial" w:hAnsi="Arial"/>
          <w:sz w:val="18"/>
          <w:szCs w:val="18"/>
          <w:color w:val="auto"/>
        </w:rPr>
        <w:t>“</w:t>
      </w:r>
      <w:r>
        <w:rPr>
          <w:rFonts w:ascii="Arial" w:cs="Arial" w:eastAsia="Arial" w:hAnsi="Arial"/>
          <w:sz w:val="18"/>
          <w:szCs w:val="18"/>
          <w:b w:val="1"/>
          <w:bCs w:val="1"/>
          <w:color w:val="auto"/>
        </w:rPr>
        <w:t>Standby Fee</w:t>
      </w:r>
      <w:r>
        <w:rPr>
          <w:rFonts w:ascii="Arial" w:cs="Arial" w:eastAsia="Arial" w:hAnsi="Arial"/>
          <w:sz w:val="18"/>
          <w:szCs w:val="18"/>
          <w:color w:val="auto"/>
        </w:rPr>
        <w:t>” has the meaning defined in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color w:val="auto"/>
        </w:rPr>
        <w:t>- 13 -</w:t>
      </w:r>
    </w:p>
    <w:p>
      <w:pPr>
        <w:spacing w:after="0" w:line="302" w:lineRule="exact"/>
        <w:rPr>
          <w:sz w:val="20"/>
          <w:szCs w:val="20"/>
          <w:color w:val="auto"/>
        </w:rPr>
      </w:pPr>
    </w:p>
    <w:p>
      <w:pPr>
        <w:ind w:left="580" w:right="60" w:hanging="566"/>
        <w:spacing w:after="0" w:line="266" w:lineRule="auto"/>
        <w:rPr>
          <w:sz w:val="20"/>
          <w:szCs w:val="20"/>
          <w:color w:val="auto"/>
        </w:rPr>
      </w:pPr>
      <w:r>
        <w:rPr>
          <w:rFonts w:ascii="Arial" w:cs="Arial" w:eastAsia="Arial" w:hAnsi="Arial"/>
          <w:sz w:val="18"/>
          <w:szCs w:val="18"/>
          <w:b w:val="1"/>
          <w:bCs w:val="1"/>
          <w:color w:val="auto"/>
        </w:rPr>
        <w:t xml:space="preserve">1.1.82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of which the designated parent shall at any time own directly or indirectly through one or more subsidiaries at least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outstanding capital stock or other interests entitled to vote generally and whose financial results are required to be consolidated with the financial results of the designated parent in accordance with GAAP.</w:t>
      </w:r>
    </w:p>
    <w:p>
      <w:pPr>
        <w:spacing w:after="0" w:line="68" w:lineRule="exact"/>
        <w:rPr>
          <w:sz w:val="20"/>
          <w:szCs w:val="20"/>
          <w:color w:val="auto"/>
        </w:rPr>
      </w:pPr>
    </w:p>
    <w:p>
      <w:pPr>
        <w:ind w:left="580" w:right="280" w:hanging="566"/>
        <w:spacing w:after="0" w:line="266" w:lineRule="auto"/>
        <w:rPr>
          <w:sz w:val="20"/>
          <w:szCs w:val="20"/>
          <w:color w:val="auto"/>
        </w:rPr>
      </w:pPr>
      <w:r>
        <w:rPr>
          <w:rFonts w:ascii="Arial" w:cs="Arial" w:eastAsia="Arial" w:hAnsi="Arial"/>
          <w:sz w:val="18"/>
          <w:szCs w:val="18"/>
          <w:b w:val="1"/>
          <w:bCs w:val="1"/>
          <w:color w:val="auto"/>
        </w:rPr>
        <w:t xml:space="preserve">1.1.83 </w:t>
      </w: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all obligations in respect of interest rate, currency or commodity exchange, forward, swap, or futures contracts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or arrangements entered into to protect or hedge any of the Obligors against interest rate, exchange rate or commodity price risks or exposure, or to lower or diversify their funding costs.</w:t>
      </w:r>
    </w:p>
    <w:p>
      <w:pPr>
        <w:spacing w:after="0" w:line="68" w:lineRule="exact"/>
        <w:rPr>
          <w:sz w:val="20"/>
          <w:szCs w:val="20"/>
          <w:color w:val="auto"/>
        </w:rPr>
      </w:pPr>
    </w:p>
    <w:p>
      <w:pPr>
        <w:ind w:left="580" w:right="240" w:hanging="566"/>
        <w:spacing w:after="0" w:line="266" w:lineRule="auto"/>
        <w:rPr>
          <w:sz w:val="20"/>
          <w:szCs w:val="20"/>
          <w:color w:val="auto"/>
        </w:rPr>
      </w:pPr>
      <w:r>
        <w:rPr>
          <w:rFonts w:ascii="Arial" w:cs="Arial" w:eastAsia="Arial" w:hAnsi="Arial"/>
          <w:sz w:val="18"/>
          <w:szCs w:val="18"/>
          <w:b w:val="1"/>
          <w:bCs w:val="1"/>
          <w:color w:val="auto"/>
        </w:rPr>
        <w:t xml:space="preserve">1.1.84 </w:t>
      </w: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taxes, levies, imposts, stamp taxes, duties, deductions, withholdings and similar governmental impositions payable, levied,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collected, withheld or assessed as of the date of this Agreement or at any time in the future and all interest, charges and penalties in respect thereof, and “</w:t>
      </w:r>
      <w:r>
        <w:rPr>
          <w:rFonts w:ascii="Arial" w:cs="Arial" w:eastAsia="Arial" w:hAnsi="Arial"/>
          <w:sz w:val="18"/>
          <w:szCs w:val="18"/>
          <w:b w:val="1"/>
          <w:bCs w:val="1"/>
          <w:color w:val="auto"/>
        </w:rPr>
        <w:t>Tax</w:t>
      </w:r>
      <w:r>
        <w:rPr>
          <w:rFonts w:ascii="Arial" w:cs="Arial" w:eastAsia="Arial" w:hAnsi="Arial"/>
          <w:sz w:val="18"/>
          <w:szCs w:val="18"/>
          <w:color w:val="auto"/>
        </w:rPr>
        <w:t>” shall have a corresponding meaning.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1.1.85  </w:t>
      </w: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has the meaning defined in the U.S. Credit Agreement, as such definition exists at the date of this Agreement.</w:t>
      </w:r>
    </w:p>
    <w:p>
      <w:pPr>
        <w:spacing w:after="0" w:line="117" w:lineRule="exact"/>
        <w:rPr>
          <w:sz w:val="20"/>
          <w:szCs w:val="20"/>
          <w:color w:val="auto"/>
        </w:rPr>
      </w:pPr>
    </w:p>
    <w:p>
      <w:pPr>
        <w:ind w:left="580" w:right="60" w:hanging="566"/>
        <w:spacing w:after="0" w:line="282" w:lineRule="auto"/>
        <w:rPr>
          <w:sz w:val="20"/>
          <w:szCs w:val="20"/>
          <w:color w:val="auto"/>
        </w:rPr>
      </w:pPr>
      <w:r>
        <w:rPr>
          <w:rFonts w:ascii="Arial" w:cs="Arial" w:eastAsia="Arial" w:hAnsi="Arial"/>
          <w:sz w:val="18"/>
          <w:szCs w:val="18"/>
          <w:b w:val="1"/>
          <w:bCs w:val="1"/>
          <w:color w:val="auto"/>
        </w:rPr>
        <w:t xml:space="preserve">1.1.86 </w:t>
      </w:r>
      <w:r>
        <w:rPr>
          <w:rFonts w:ascii="Arial" w:cs="Arial" w:eastAsia="Arial" w:hAnsi="Arial"/>
          <w:sz w:val="18"/>
          <w:szCs w:val="18"/>
          <w:color w:val="auto"/>
        </w:rPr>
        <w:t>“</w:t>
      </w:r>
      <w:r>
        <w:rPr>
          <w:rFonts w:ascii="Arial" w:cs="Arial" w:eastAsia="Arial" w:hAnsi="Arial"/>
          <w:sz w:val="18"/>
          <w:szCs w:val="18"/>
          <w:b w:val="1"/>
          <w:bCs w:val="1"/>
          <w:color w:val="auto"/>
        </w:rPr>
        <w:t>Total Leverage Ratio</w:t>
      </w:r>
      <w:r>
        <w:rPr>
          <w:rFonts w:ascii="Arial" w:cs="Arial" w:eastAsia="Arial" w:hAnsi="Arial"/>
          <w:sz w:val="18"/>
          <w:szCs w:val="18"/>
          <w:color w:val="auto"/>
        </w:rPr>
        <w:t>” means, at any time, the ratio calculated by dividing (a) Total Debt at that time by (b) EBITDA for Waste Management, Inc.’s</w:t>
      </w:r>
      <w:r>
        <w:rPr>
          <w:rFonts w:ascii="Arial" w:cs="Arial" w:eastAsia="Arial" w:hAnsi="Arial"/>
          <w:sz w:val="18"/>
          <w:szCs w:val="18"/>
          <w:b w:val="1"/>
          <w:bCs w:val="1"/>
          <w:color w:val="auto"/>
        </w:rPr>
        <w:t xml:space="preserve"> </w:t>
      </w:r>
      <w:r>
        <w:rPr>
          <w:rFonts w:ascii="Arial" w:cs="Arial" w:eastAsia="Arial" w:hAnsi="Arial"/>
          <w:sz w:val="18"/>
          <w:szCs w:val="18"/>
          <w:color w:val="auto"/>
        </w:rPr>
        <w:t>four most recently completed fiscal quarters.</w:t>
      </w:r>
    </w:p>
    <w:p>
      <w:pPr>
        <w:spacing w:after="0" w:line="54" w:lineRule="exact"/>
        <w:rPr>
          <w:sz w:val="20"/>
          <w:szCs w:val="20"/>
          <w:color w:val="auto"/>
        </w:rPr>
      </w:pPr>
    </w:p>
    <w:p>
      <w:pPr>
        <w:ind w:left="580" w:right="140" w:hanging="566"/>
        <w:spacing w:after="0" w:line="289" w:lineRule="auto"/>
        <w:rPr>
          <w:sz w:val="20"/>
          <w:szCs w:val="20"/>
          <w:color w:val="auto"/>
        </w:rPr>
      </w:pPr>
      <w:r>
        <w:rPr>
          <w:rFonts w:ascii="Arial" w:cs="Arial" w:eastAsia="Arial" w:hAnsi="Arial"/>
          <w:sz w:val="17"/>
          <w:szCs w:val="17"/>
          <w:b w:val="1"/>
          <w:bCs w:val="1"/>
          <w:color w:val="auto"/>
        </w:rPr>
        <w:t xml:space="preserve">1.1.87 </w:t>
      </w:r>
      <w:r>
        <w:rPr>
          <w:rFonts w:ascii="Arial" w:cs="Arial" w:eastAsia="Arial" w:hAnsi="Arial"/>
          <w:sz w:val="17"/>
          <w:szCs w:val="17"/>
          <w:color w:val="auto"/>
        </w:rPr>
        <w:t>“</w:t>
      </w:r>
      <w:r>
        <w:rPr>
          <w:rFonts w:ascii="Arial" w:cs="Arial" w:eastAsia="Arial" w:hAnsi="Arial"/>
          <w:sz w:val="17"/>
          <w:szCs w:val="17"/>
          <w:b w:val="1"/>
          <w:bCs w:val="1"/>
          <w:color w:val="auto"/>
        </w:rPr>
        <w:t>U.S. Credit Agreement</w:t>
      </w:r>
      <w:r>
        <w:rPr>
          <w:rFonts w:ascii="Arial" w:cs="Arial" w:eastAsia="Arial" w:hAnsi="Arial"/>
          <w:sz w:val="17"/>
          <w:szCs w:val="17"/>
          <w:color w:val="auto"/>
        </w:rPr>
        <w:t>” means the U.S. $2,400,000,000 revolving credit agreement dated as of October 15, 2004 by and among Waste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Inc., as borrower, Waste Management Holdings, Inc., as guarantor, various banks party thereto from time to time, as lenders, Citibank, N.A., as administrative agent and others, as amended by Amendment No. 1 dated October 15, 2004 between such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1.1.88  </w:t>
      </w: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and “</w:t>
      </w:r>
      <w:r>
        <w:rPr>
          <w:rFonts w:ascii="Arial" w:cs="Arial" w:eastAsia="Arial" w:hAnsi="Arial"/>
          <w:sz w:val="18"/>
          <w:szCs w:val="18"/>
          <w:b w:val="1"/>
          <w:bCs w:val="1"/>
          <w:color w:val="auto"/>
        </w:rPr>
        <w:t>U.S. $</w:t>
      </w:r>
      <w:r>
        <w:rPr>
          <w:rFonts w:ascii="Arial" w:cs="Arial" w:eastAsia="Arial" w:hAnsi="Arial"/>
          <w:sz w:val="18"/>
          <w:szCs w:val="18"/>
          <w:color w:val="auto"/>
        </w:rPr>
        <w:t>” means lawful monies of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Construction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This Agreement has been negotiated by each party with the benefit of legal representation and any rule of construction to the effect that any ambiguities are to be resolved against the drafting party shall not apply to the construction or interpretation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References to U.S. Credit Agreement</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provisions of the U.S. Credit Agreement that are incorporated by reference or referred to in this Agreement shall continue to apply mutatis mutandis to the Credit notwithstanding the termination of the U.S. Credit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color w:val="auto"/>
        </w:rPr>
        <w:t>- 14 -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Certain Rules of Interpretation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Agreement:</w:t>
      </w:r>
    </w:p>
    <w:p>
      <w:pPr>
        <w:spacing w:after="0" w:line="117" w:lineRule="exact"/>
        <w:rPr>
          <w:sz w:val="20"/>
          <w:szCs w:val="20"/>
          <w:color w:val="auto"/>
        </w:rPr>
      </w:pPr>
    </w:p>
    <w:p>
      <w:pPr>
        <w:ind w:left="800" w:right="60" w:hanging="454"/>
        <w:spacing w:after="0" w:line="277" w:lineRule="auto"/>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division into sections and other subdivisions thereof and the insertion of headings are for convenience of reference only and shall not affect the construction or interpretation of this Agreement; and</w:t>
      </w:r>
    </w:p>
    <w:p>
      <w:pPr>
        <w:spacing w:after="0" w:line="75" w:lineRule="exact"/>
        <w:rPr>
          <w:rFonts w:ascii="Arial" w:cs="Arial" w:eastAsia="Arial" w:hAnsi="Arial"/>
          <w:sz w:val="18"/>
          <w:szCs w:val="18"/>
          <w:color w:val="auto"/>
        </w:rPr>
      </w:pPr>
    </w:p>
    <w:p>
      <w:pPr>
        <w:ind w:left="800" w:hanging="454"/>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specified otherwise or the context otherwise requires:</w:t>
      </w:r>
    </w:p>
    <w:p>
      <w:pPr>
        <w:spacing w:after="0" w:line="117" w:lineRule="exact"/>
        <w:rPr>
          <w:rFonts w:ascii="Arial" w:cs="Arial" w:eastAsia="Arial" w:hAnsi="Arial"/>
          <w:sz w:val="18"/>
          <w:szCs w:val="18"/>
          <w:color w:val="auto"/>
        </w:rPr>
      </w:pPr>
    </w:p>
    <w:p>
      <w:pPr>
        <w:ind w:left="1280" w:hanging="475"/>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references to any Section or Schedule are references to the Section of, or Schedule to, this Agreement;</w:t>
      </w:r>
    </w:p>
    <w:p>
      <w:pPr>
        <w:spacing w:after="0" w:line="130" w:lineRule="exact"/>
        <w:rPr>
          <w:rFonts w:ascii="Arial" w:cs="Arial" w:eastAsia="Arial" w:hAnsi="Arial"/>
          <w:sz w:val="18"/>
          <w:szCs w:val="18"/>
          <w:color w:val="auto"/>
        </w:rPr>
      </w:pPr>
    </w:p>
    <w:p>
      <w:pPr>
        <w:ind w:left="1280" w:right="540" w:hanging="475"/>
        <w:spacing w:after="0" w:line="277" w:lineRule="auto"/>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“including” or “includes” means “including (or includes) but not limited to” and shall not be construed to limit any general statement preceding it to the specific or similar items or matters immediately following it;</w:t>
      </w:r>
    </w:p>
    <w:p>
      <w:pPr>
        <w:spacing w:after="0" w:line="75" w:lineRule="exact"/>
        <w:rPr>
          <w:rFonts w:ascii="Arial" w:cs="Arial" w:eastAsia="Arial" w:hAnsi="Arial"/>
          <w:sz w:val="18"/>
          <w:szCs w:val="18"/>
          <w:color w:val="auto"/>
        </w:rPr>
      </w:pPr>
    </w:p>
    <w:p>
      <w:pPr>
        <w:ind w:left="1280" w:hanging="475"/>
        <w:spacing w:after="0" w:line="259" w:lineRule="auto"/>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references to contracts, agreements or instruments, unless otherwise specified, are deemed to include all present and future amendments, supplements, restatements or replacements to or of such contracts, agreements or instruments, provided that such amendments, supplements, restatements or replacements to or of such contracts, agreements or instruments have been, if applicable, approved or consented to and otherwise made in accordance with the provisions of this Agreement;</w:t>
      </w:r>
    </w:p>
    <w:p>
      <w:pPr>
        <w:spacing w:after="0" w:line="92" w:lineRule="exact"/>
        <w:rPr>
          <w:rFonts w:ascii="Arial" w:cs="Arial" w:eastAsia="Arial" w:hAnsi="Arial"/>
          <w:sz w:val="18"/>
          <w:szCs w:val="18"/>
          <w:color w:val="auto"/>
        </w:rPr>
      </w:pPr>
    </w:p>
    <w:p>
      <w:pPr>
        <w:ind w:left="1280" w:right="40" w:hanging="475"/>
        <w:spacing w:after="0" w:line="342"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references to any legislation, statutory instrument or regulation or a section or other provision thereof, unless otherwise specified, is a reference to the legislation, statutory instrument, regulation, section or other provision as amended, restated or re-enacted from time to time;</w:t>
      </w:r>
    </w:p>
    <w:p>
      <w:pPr>
        <w:spacing w:after="0" w:line="29" w:lineRule="exact"/>
        <w:rPr>
          <w:rFonts w:ascii="Arial" w:cs="Arial" w:eastAsia="Arial" w:hAnsi="Arial"/>
          <w:sz w:val="16"/>
          <w:szCs w:val="16"/>
          <w:color w:val="auto"/>
        </w:rPr>
      </w:pPr>
    </w:p>
    <w:p>
      <w:pPr>
        <w:ind w:left="1280" w:right="300" w:hanging="475"/>
        <w:spacing w:after="0" w:line="277" w:lineRule="auto"/>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references to any thing includes the whole or any part of that thing and a reference to a group of things or Persons includes each thing or Person in that group;</w:t>
      </w:r>
    </w:p>
    <w:p>
      <w:pPr>
        <w:spacing w:after="0" w:line="75" w:lineRule="exact"/>
        <w:rPr>
          <w:rFonts w:ascii="Arial" w:cs="Arial" w:eastAsia="Arial" w:hAnsi="Arial"/>
          <w:sz w:val="18"/>
          <w:szCs w:val="18"/>
          <w:color w:val="auto"/>
        </w:rPr>
      </w:pPr>
    </w:p>
    <w:p>
      <w:pPr>
        <w:ind w:left="1280" w:hanging="475"/>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references to a Person includes that Person’s successors and assigns;</w:t>
      </w:r>
    </w:p>
    <w:p>
      <w:pPr>
        <w:spacing w:after="0" w:line="130" w:lineRule="exact"/>
        <w:rPr>
          <w:rFonts w:ascii="Arial" w:cs="Arial" w:eastAsia="Arial" w:hAnsi="Arial"/>
          <w:sz w:val="18"/>
          <w:szCs w:val="18"/>
          <w:color w:val="auto"/>
        </w:rPr>
      </w:pPr>
    </w:p>
    <w:p>
      <w:pPr>
        <w:ind w:left="1280" w:hanging="475"/>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references to specific times are references to Toronto time; and</w:t>
      </w:r>
    </w:p>
    <w:p>
      <w:pPr>
        <w:spacing w:after="0" w:line="130" w:lineRule="exact"/>
        <w:rPr>
          <w:rFonts w:ascii="Arial" w:cs="Arial" w:eastAsia="Arial" w:hAnsi="Arial"/>
          <w:sz w:val="18"/>
          <w:szCs w:val="18"/>
          <w:color w:val="auto"/>
        </w:rPr>
      </w:pPr>
    </w:p>
    <w:p>
      <w:pPr>
        <w:ind w:left="1280" w:hanging="475"/>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words in the singular include the plural and vice-versa and words in one gender include all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Amount and Availment Options</w:t>
      </w:r>
    </w:p>
    <w:p>
      <w:pPr>
        <w:spacing w:after="0" w:line="121" w:lineRule="exact"/>
        <w:rPr>
          <w:sz w:val="20"/>
          <w:szCs w:val="20"/>
          <w:color w:val="auto"/>
        </w:rPr>
      </w:pPr>
    </w:p>
    <w:p>
      <w:pPr>
        <w:ind w:left="340" w:right="160" w:hanging="332"/>
        <w:spacing w:after="0" w:line="26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and subject to the terms and conditions of this Agreement, the Lenders severally agree to provide to the Borrower a non-revolving term credit facility (the “</w:t>
      </w:r>
      <w:r>
        <w:rPr>
          <w:rFonts w:ascii="Arial" w:cs="Arial" w:eastAsia="Arial" w:hAnsi="Arial"/>
          <w:sz w:val="18"/>
          <w:szCs w:val="18"/>
          <w:b w:val="1"/>
          <w:bCs w:val="1"/>
          <w:color w:val="auto"/>
        </w:rPr>
        <w:t>Credit</w:t>
      </w:r>
      <w:r>
        <w:rPr>
          <w:rFonts w:ascii="Arial" w:cs="Arial" w:eastAsia="Arial" w:hAnsi="Arial"/>
          <w:sz w:val="18"/>
          <w:szCs w:val="18"/>
          <w:color w:val="auto"/>
        </w:rPr>
        <w:t>”) for the use of the Borrower in the amount of up to Cdn. $410,000,000 (provided that each Lender’s obligation hereunder shall be limited to its respective Applicable Percentage of the Credit).</w:t>
      </w:r>
    </w:p>
    <w:p>
      <w:pPr>
        <w:spacing w:after="0" w:line="73"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the option of the Borrower, the Credit may be utilized by the Borrower by requesting that Prime Rate Advances be made by the Lenders or by presenting orders to a Lender for acceptance as Banker’s Acceptances.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Non-Revolving Credit and Availability Period</w:t>
      </w:r>
    </w:p>
    <w:p>
      <w:pPr>
        <w:spacing w:after="0" w:line="121"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The Credit is a non-revolving credit. The principal amount of any Advance under the Credit which is repaid from time to time may not be reborrowed. The Credit shall be available in no more than five Advances, in minimum amounts of Cdn. $25,000,000 during the period from the Closing Date to and including 31 December 2005 (the “</w:t>
      </w:r>
      <w:r>
        <w:rPr>
          <w:rFonts w:ascii="Arial" w:cs="Arial" w:eastAsia="Arial" w:hAnsi="Arial"/>
          <w:sz w:val="17"/>
          <w:szCs w:val="17"/>
          <w:b w:val="1"/>
          <w:bCs w:val="1"/>
          <w:color w:val="auto"/>
        </w:rPr>
        <w:t>Availability Period</w:t>
      </w:r>
      <w:r>
        <w:rPr>
          <w:rFonts w:ascii="Arial" w:cs="Arial" w:eastAsia="Arial" w:hAnsi="Arial"/>
          <w:sz w:val="17"/>
          <w:szCs w:val="17"/>
          <w:color w:val="auto"/>
        </w:rPr>
        <w:t>”). Any unused portion of the Credit after the Availability Period will be immediately cancelled.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the Credit</w:t>
      </w:r>
    </w:p>
    <w:p>
      <w:pPr>
        <w:spacing w:after="0" w:line="121" w:lineRule="exact"/>
        <w:rPr>
          <w:sz w:val="20"/>
          <w:szCs w:val="20"/>
          <w:color w:val="auto"/>
        </w:rPr>
      </w:pPr>
    </w:p>
    <w:p>
      <w:pPr>
        <w:ind w:right="900" w:firstLine="222"/>
        <w:spacing w:after="0" w:line="277" w:lineRule="auto"/>
        <w:rPr>
          <w:sz w:val="20"/>
          <w:szCs w:val="20"/>
          <w:color w:val="auto"/>
        </w:rPr>
      </w:pPr>
      <w:r>
        <w:rPr>
          <w:rFonts w:ascii="Arial" w:cs="Arial" w:eastAsia="Arial" w:hAnsi="Arial"/>
          <w:sz w:val="18"/>
          <w:szCs w:val="18"/>
          <w:color w:val="auto"/>
        </w:rPr>
        <w:t xml:space="preserve">The Credit shall be used for general corporate purposes including to finance, in part, the payment of a dividend to be paid, ultimately, to Waste Management, Inc. under the </w:t>
      </w:r>
      <w:r>
        <w:rPr>
          <w:rFonts w:ascii="Arial" w:cs="Arial" w:eastAsia="Arial" w:hAnsi="Arial"/>
          <w:sz w:val="18"/>
          <w:szCs w:val="18"/>
          <w:i w:val="1"/>
          <w:iCs w:val="1"/>
          <w:color w:val="auto"/>
        </w:rPr>
        <w:t>American Jobs Creation Act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Term and Repayment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Obligations under the Credit shall be repaid in full, and the Credit shall be cancelled, on the Maturity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Voluntary Prepayments</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Borrower may prepay Prime Rate Advances under the Credit upon prior written notice given in accordance with Section 5.3 without premium or penalty in minimum amounts of Cdn. $5,000,000 and integral multiples of Cdn. $1,000,000 except that no Banker’s Acceptance or BA Equivalent Loan may be paid prior to its maturity date. The Borrower may cash collateralize outstanding Banker’s Acceptances and BA Equivalent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Interest Rates, Fees and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Interest rates, Banker’s Acceptance Fees and Standby Fees will vary and be calculated based on the Relevant Rating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color w:val="auto"/>
        </w:rPr>
        <w:t>- 16 -</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Applicable Margin</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Banker’s Acceptance</w:t>
            </w: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for Prime Rate</w:t>
            </w: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Standby Fee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Relevant Rating</w:t>
            </w:r>
          </w:p>
        </w:tc>
        <w:tc>
          <w:tcPr>
            <w:tcW w:w="480" w:type="dxa"/>
            <w:vAlign w:val="bottom"/>
          </w:tcPr>
          <w:p>
            <w:pPr>
              <w:spacing w:after="0"/>
              <w:rPr>
                <w:sz w:val="12"/>
                <w:szCs w:val="12"/>
                <w:color w:val="auto"/>
              </w:rPr>
            </w:pP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Advances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 per annum)</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 per annum)</w:t>
            </w:r>
          </w:p>
        </w:tc>
        <w:tc>
          <w:tcPr>
            <w:tcW w:w="5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 per annum)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Greater than or equal to A-/A3</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0.275%</w:t>
            </w:r>
          </w:p>
        </w:tc>
        <w:tc>
          <w:tcPr>
            <w:tcW w:w="5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BBB+/Baa1</w:t>
            </w:r>
          </w:p>
        </w:tc>
        <w:tc>
          <w:tcPr>
            <w:tcW w:w="1640" w:type="dxa"/>
            <w:vAlign w:val="bottom"/>
            <w:gridSpan w:val="2"/>
          </w:tcPr>
          <w:p>
            <w:pPr>
              <w:jc w:val="right"/>
              <w:ind w:right="244"/>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0.425%</w:t>
            </w:r>
          </w:p>
        </w:tc>
        <w:tc>
          <w:tcPr>
            <w:tcW w:w="19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164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0.525%</w:t>
            </w:r>
          </w:p>
        </w:tc>
        <w:tc>
          <w:tcPr>
            <w:tcW w:w="190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BBB-/Baa3</w:t>
            </w:r>
          </w:p>
        </w:tc>
        <w:tc>
          <w:tcPr>
            <w:tcW w:w="1640" w:type="dxa"/>
            <w:vAlign w:val="bottom"/>
            <w:gridSpan w:val="2"/>
          </w:tcPr>
          <w:p>
            <w:pPr>
              <w:jc w:val="right"/>
              <w:ind w:right="244"/>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0.650%</w:t>
            </w:r>
          </w:p>
        </w:tc>
        <w:tc>
          <w:tcPr>
            <w:tcW w:w="19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Lower than or equal to BB+/Ba1</w:t>
            </w:r>
          </w:p>
        </w:tc>
        <w:tc>
          <w:tcPr>
            <w:tcW w:w="164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0.850%</w:t>
            </w:r>
          </w:p>
        </w:tc>
        <w:tc>
          <w:tcPr>
            <w:tcW w:w="190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0.200%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right="100" w:hanging="332"/>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increase or decrease in interest rates, Banker’s Acceptance Fees and Standby Fees resulting from a change in the Relevant Rating shall be effective on the day that the Relevant Rating changes. Waste Management, Inc. shall immediately notify the Agent of any change in the Relevant Rating, or in the rating of S&amp;P or of Moody’s comprising the Relevant Rating.</w:t>
      </w:r>
    </w:p>
    <w:p>
      <w:pPr>
        <w:spacing w:after="0" w:line="73" w:lineRule="exact"/>
        <w:rPr>
          <w:rFonts w:ascii="Arial" w:cs="Arial" w:eastAsia="Arial" w:hAnsi="Arial"/>
          <w:sz w:val="18"/>
          <w:szCs w:val="18"/>
          <w:color w:val="auto"/>
        </w:rPr>
      </w:pPr>
    </w:p>
    <w:p>
      <w:pPr>
        <w:jc w:val="both"/>
        <w:ind w:left="340" w:right="120" w:hanging="332"/>
        <w:spacing w:after="0" w:line="25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interest rates, Banker’s Acceptance Fees and Standby Fees set forth in Section 2.6(1) are rates per annum. Interest on Prime Rate Advances shall be the Prime Rate plus the relevant rate shown in the column of the table in Section 2.6(1) headed “Applicable Margin for Prime Rate Advances”. The rate for Banker’s Acceptance Fees shall be the relevant rate shown in the column of the table in Section 2.6(1) headed “Banker’s Acceptance Fees”. Interest on Prime Rate Advances, Banker’s Acceptances Fees and Standby Fees received by the Agent shall be promptly distributed by the Agent to the Lenders in accordance with their respective Applicable Percentages.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Standby Fee</w:t>
      </w:r>
    </w:p>
    <w:p>
      <w:pPr>
        <w:spacing w:after="0" w:line="117" w:lineRule="exact"/>
        <w:rPr>
          <w:sz w:val="20"/>
          <w:szCs w:val="20"/>
          <w:color w:val="auto"/>
        </w:rPr>
      </w:pPr>
    </w:p>
    <w:p>
      <w:pPr>
        <w:ind w:right="460" w:firstLine="222"/>
        <w:spacing w:after="0" w:line="261" w:lineRule="auto"/>
        <w:rPr>
          <w:sz w:val="20"/>
          <w:szCs w:val="20"/>
          <w:color w:val="auto"/>
        </w:rPr>
      </w:pPr>
      <w:r>
        <w:rPr>
          <w:rFonts w:ascii="Arial" w:cs="Arial" w:eastAsia="Arial" w:hAnsi="Arial"/>
          <w:sz w:val="18"/>
          <w:szCs w:val="18"/>
          <w:color w:val="auto"/>
        </w:rPr>
        <w:t>The Borrower shall pay a standby fee (“</w:t>
      </w:r>
      <w:r>
        <w:rPr>
          <w:rFonts w:ascii="Arial" w:cs="Arial" w:eastAsia="Arial" w:hAnsi="Arial"/>
          <w:sz w:val="18"/>
          <w:szCs w:val="18"/>
          <w:b w:val="1"/>
          <w:bCs w:val="1"/>
          <w:color w:val="auto"/>
        </w:rPr>
        <w:t>Standby Fee</w:t>
      </w:r>
      <w:r>
        <w:rPr>
          <w:rFonts w:ascii="Arial" w:cs="Arial" w:eastAsia="Arial" w:hAnsi="Arial"/>
          <w:sz w:val="18"/>
          <w:szCs w:val="18"/>
          <w:color w:val="auto"/>
        </w:rPr>
        <w:t>”) on the daily unadvanced portion of the Credit at a rate per annum which shall vary and be calculated based on the Relevant Rating as set out in the column of the table in Section 2.6(1) headed “Standby Fee” during the Availability Period. The Standby Fee shall be calculated daily beginning on the Closing Date and shall be payable in arrears on the third Business Day following the end of the Availability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Agency and Assignment Fees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Borrower shall pay to the Agent, </w:t>
      </w:r>
      <w:r>
        <w:rPr>
          <w:rFonts w:ascii="Arial" w:cs="Arial" w:eastAsia="Arial" w:hAnsi="Arial"/>
          <w:sz w:val="18"/>
          <w:szCs w:val="18"/>
          <w:i w:val="1"/>
          <w:iCs w:val="1"/>
          <w:color w:val="auto"/>
        </w:rPr>
        <w:t>inter alia</w:t>
      </w:r>
      <w:r>
        <w:rPr>
          <w:rFonts w:ascii="Arial" w:cs="Arial" w:eastAsia="Arial" w:hAnsi="Arial"/>
          <w:sz w:val="18"/>
          <w:szCs w:val="18"/>
          <w:color w:val="auto"/>
        </w:rPr>
        <w:t>, the annual agency fee provided for in the Agency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color w:val="auto"/>
        </w:rPr>
        <w:t>- 17 -</w:t>
      </w: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Security</w:t>
      </w:r>
    </w:p>
    <w:p>
      <w:pPr>
        <w:spacing w:after="0" w:line="121" w:lineRule="exact"/>
        <w:rPr>
          <w:sz w:val="20"/>
          <w:szCs w:val="20"/>
          <w:color w:val="auto"/>
        </w:rPr>
      </w:pPr>
    </w:p>
    <w:p>
      <w:pPr>
        <w:ind w:right="840" w:firstLine="222"/>
        <w:spacing w:after="0" w:line="277" w:lineRule="auto"/>
        <w:rPr>
          <w:sz w:val="20"/>
          <w:szCs w:val="20"/>
          <w:color w:val="auto"/>
        </w:rPr>
      </w:pPr>
      <w:r>
        <w:rPr>
          <w:rFonts w:ascii="Arial" w:cs="Arial" w:eastAsia="Arial" w:hAnsi="Arial"/>
          <w:sz w:val="18"/>
          <w:szCs w:val="18"/>
          <w:color w:val="auto"/>
        </w:rPr>
        <w:t>The security shall comprise the unlimited and unconditional guarantees by each of the Guarantors in favour of the Agent and the Lenders of the Obligations, in the form annexed as Schedule 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Conditions Precedent to Initial Advance</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following conditions precedent must be satisfied at or before the time of the initial Advance under this Agreement, unless waived by the Lenders. Where delivery of documents is referred to, the documents shall be delivered to the Agent for and on behalf of the Lenders and shall be in full force and effect and in form and substance satisfactory to the Lenders.</w:t>
      </w:r>
    </w:p>
    <w:p>
      <w:pPr>
        <w:spacing w:after="0" w:line="69"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Other Debt and Encumbrances </w:t>
      </w:r>
      <w:r>
        <w:rPr>
          <w:rFonts w:ascii="Arial" w:cs="Arial" w:eastAsia="Arial" w:hAnsi="Arial"/>
          <w:sz w:val="18"/>
          <w:szCs w:val="18"/>
          <w:color w:val="auto"/>
        </w:rPr>
        <w:t>– The Lenders shall have received:</w:t>
      </w:r>
    </w:p>
    <w:p>
      <w:pPr>
        <w:spacing w:after="0" w:line="121" w:lineRule="exact"/>
        <w:rPr>
          <w:rFonts w:ascii="Arial" w:cs="Arial" w:eastAsia="Arial" w:hAnsi="Arial"/>
          <w:sz w:val="18"/>
          <w:szCs w:val="18"/>
          <w:color w:val="auto"/>
        </w:rPr>
      </w:pPr>
    </w:p>
    <w:p>
      <w:pPr>
        <w:ind w:left="660" w:hanging="436"/>
        <w:spacing w:after="0"/>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true copy of the U.S. Credit Agreement together with all amendments thereto up to the date of this Agreement;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audited consolidated financial statements of Waste Management, Inc. for the two most recent fiscal years ended prior to the Closing Date; and</w:t>
      </w:r>
    </w:p>
    <w:p>
      <w:pPr>
        <w:spacing w:after="0" w:line="153" w:lineRule="exact"/>
        <w:rPr>
          <w:rFonts w:ascii="Arial" w:cs="Arial" w:eastAsia="Arial" w:hAnsi="Arial"/>
          <w:sz w:val="16"/>
          <w:szCs w:val="16"/>
          <w:color w:val="auto"/>
        </w:rPr>
      </w:pPr>
    </w:p>
    <w:p>
      <w:pPr>
        <w:ind w:left="660" w:right="480" w:hanging="436"/>
        <w:spacing w:after="0" w:line="277"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Waste Management, Inc. for each quarterly period ended subsequent to the date of the latest financial statements delivered pursuant to Section 4.1(1)(b).</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Documentation and Ancillary Information </w:t>
      </w:r>
      <w:r>
        <w:rPr>
          <w:rFonts w:ascii="Arial" w:cs="Arial" w:eastAsia="Arial" w:hAnsi="Arial"/>
          <w:sz w:val="18"/>
          <w:szCs w:val="18"/>
          <w:color w:val="auto"/>
        </w:rPr>
        <w:t>– The Agent:</w:t>
      </w:r>
    </w:p>
    <w:p>
      <w:pPr>
        <w:spacing w:after="0" w:line="121" w:lineRule="exact"/>
        <w:rPr>
          <w:rFonts w:ascii="Arial" w:cs="Arial" w:eastAsia="Arial" w:hAnsi="Arial"/>
          <w:sz w:val="18"/>
          <w:szCs w:val="18"/>
          <w:color w:val="auto"/>
        </w:rPr>
      </w:pPr>
    </w:p>
    <w:p>
      <w:pPr>
        <w:ind w:left="660" w:right="120" w:hanging="436"/>
        <w:spacing w:after="0" w:line="264"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shall have received duly executed copies of this Agreement, the Security and the other Loan Documents, accompanied by all consents, acknowledgments and ancillary agreements as may be reasonably required by the Agent, all in form and substance satisfactory to the Agent and the Lenders; and</w:t>
      </w:r>
    </w:p>
    <w:p>
      <w:pPr>
        <w:spacing w:after="0" w:line="86" w:lineRule="exact"/>
        <w:rPr>
          <w:rFonts w:ascii="Arial" w:cs="Arial" w:eastAsia="Arial" w:hAnsi="Arial"/>
          <w:sz w:val="18"/>
          <w:szCs w:val="18"/>
          <w:color w:val="auto"/>
        </w:rPr>
      </w:pPr>
    </w:p>
    <w:p>
      <w:pPr>
        <w:ind w:left="660" w:right="60" w:hanging="436"/>
        <w:spacing w:after="0" w:line="259"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shall have received a certificate from each of the Obligors with copies of its Constating Documents, a list of its officers, directors, trustees and/or partners, as the case may be, who are executing Loan Documents on its behalf with specimens of the signatures of those who are executing Loan Documents on its behalf, and copies of the corporate proceedings taken to authorize it to execute, deliver and perform its obligations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color w:val="auto"/>
        </w:rPr>
        <w:t>- 18 -</w:t>
      </w:r>
    </w:p>
    <w:p>
      <w:pPr>
        <w:spacing w:after="0" w:line="302"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Opinions </w:t>
      </w:r>
      <w:r>
        <w:rPr>
          <w:rFonts w:ascii="Arial" w:cs="Arial" w:eastAsia="Arial" w:hAnsi="Arial"/>
          <w:sz w:val="18"/>
          <w:szCs w:val="18"/>
          <w:color w:val="auto"/>
        </w:rPr>
        <w:t>– The Agent shall have received the following favourable legal opinions, each in form and substance satisfactory to it:</w:t>
      </w:r>
    </w:p>
    <w:p>
      <w:pPr>
        <w:spacing w:after="0" w:line="121"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opinion of Borden Ladner Gervais LLP, counsel to the Lenders, addressed to the Agent and the Lenders in relation to the Loan Documents which are governed by Ontario law;</w:t>
      </w:r>
    </w:p>
    <w:p>
      <w:pPr>
        <w:spacing w:after="0" w:line="75"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opinion of Nova Scotia counsel to the Borrower, addressed to the Agent, the Lenders and Borden Ladner Gervais LLP in relation to, among other things, the existence of the Borrower, its corporate power and authority and the due authorization, execution and delivery of the Loan Documents and such other matters as the Agent may reasonably require; and</w:t>
      </w:r>
    </w:p>
    <w:p>
      <w:pPr>
        <w:spacing w:after="0" w:line="86" w:lineRule="exact"/>
        <w:rPr>
          <w:rFonts w:ascii="Arial" w:cs="Arial" w:eastAsia="Arial" w:hAnsi="Arial"/>
          <w:sz w:val="18"/>
          <w:szCs w:val="18"/>
          <w:color w:val="auto"/>
        </w:rPr>
      </w:pPr>
    </w:p>
    <w:p>
      <w:pPr>
        <w:ind w:left="660" w:right="140" w:hanging="436"/>
        <w:spacing w:after="0" w:line="264" w:lineRule="auto"/>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opinion of in-house counsel to the Guarantors, addressed to the Agent, the Lenders and Borden Ladner Gervais LLP in relation to, among other things, the Guarantors and the enforceability of the Loan Documents governed by U.S. law and such other matters as the Agent may reasonably require.</w:t>
      </w:r>
    </w:p>
    <w:p>
      <w:pPr>
        <w:spacing w:after="0" w:line="69"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Other Matters </w:t>
      </w:r>
      <w:r>
        <w:rPr>
          <w:rFonts w:ascii="Arial" w:cs="Arial" w:eastAsia="Arial" w:hAnsi="Arial"/>
          <w:sz w:val="18"/>
          <w:szCs w:val="18"/>
          <w:color w:val="auto"/>
        </w:rPr>
        <w:t>– The following conditions must also be satisfied:</w:t>
      </w:r>
    </w:p>
    <w:p>
      <w:pPr>
        <w:spacing w:after="0" w:line="121" w:lineRule="exact"/>
        <w:rPr>
          <w:rFonts w:ascii="Arial" w:cs="Arial" w:eastAsia="Arial" w:hAnsi="Arial"/>
          <w:sz w:val="18"/>
          <w:szCs w:val="18"/>
          <w:color w:val="auto"/>
        </w:rPr>
      </w:pPr>
    </w:p>
    <w:p>
      <w:pPr>
        <w:ind w:left="660" w:right="580" w:hanging="436"/>
        <w:spacing w:after="0" w:line="308" w:lineRule="auto"/>
        <w:tabs>
          <w:tab w:leader="none" w:pos="6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fees and expenses payable under the Loan Documents, the Fee Letter and the Agency Fee Letter (including upfront fees, agency fees, and reasonable legal fees and expenses of the Lenders’ counsel invoiced prior to the Closing Date) shall have been paid; and</w:t>
      </w:r>
    </w:p>
    <w:p>
      <w:pPr>
        <w:spacing w:after="0" w:line="51" w:lineRule="exact"/>
        <w:rPr>
          <w:rFonts w:ascii="Arial" w:cs="Arial" w:eastAsia="Arial" w:hAnsi="Arial"/>
          <w:sz w:val="17"/>
          <w:szCs w:val="17"/>
          <w:color w:val="auto"/>
        </w:rPr>
      </w:pPr>
    </w:p>
    <w:p>
      <w:pPr>
        <w:ind w:left="660" w:hanging="436"/>
        <w:spacing w:after="0"/>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conditions precedent in this Section 4.1 shall be satisfied no later than 15 December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Conditions Precedent to all Advances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obligation of the Lenders to make any Advance (including the initial Advance) is subject to the conditions precedent that:</w:t>
      </w:r>
    </w:p>
    <w:p>
      <w:pPr>
        <w:spacing w:after="0" w:line="117" w:lineRule="exact"/>
        <w:rPr>
          <w:sz w:val="20"/>
          <w:szCs w:val="20"/>
          <w:color w:val="auto"/>
        </w:rPr>
      </w:pPr>
    </w:p>
    <w:p>
      <w:pPr>
        <w:ind w:left="660" w:hanging="436"/>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Event of Default or Pending Event of Default has occurred and is continuing on the Drawdown Date, or would result from making the Advance;</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has received timely notice as required under Section 5.3;</w:t>
      </w:r>
    </w:p>
    <w:p>
      <w:pPr>
        <w:spacing w:after="0" w:line="130"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representations and warranties set out in Section 6.1 (other than the representation and warranty in Section 6.1(5)), other than those expressly stated to be made as of a specific date or otherwise expressly modified in accordance with Section 6.2, are true and correct in all material respects on the date of the Advance as if made on and as of the date of the Advance; and</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other terms and conditions of this Agreement upon which an Advance may be obtained are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ADVANCES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Evidence of Indebtedness</w:t>
      </w:r>
    </w:p>
    <w:p>
      <w:pPr>
        <w:spacing w:after="0" w:line="121"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color w:val="auto"/>
        </w:rPr>
        <w:t xml:space="preserve">The Agent will maintain records of the Obligations resulting from Prime Rate Advances made by the Lenders and each Lender will maintain records concerning those Advances it has made. The Agent shall also maintain records of the Obligations resulting from Advances by way of Banker’s Acceptances and BA Equivalent Loans, and each Lender shall also maintain records relating to Banker’s Acceptances that it has accepted and BA Equivalent Loans it has made. The records maintained by the Agent shall constitute, in the absence of manifest error,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Obligations and all details relating thereto. After a request by the Borrower, the Agent or the Lender to whom the request is made will promptly advise the Borrower of the entries in such records. The failure of the Agent or any Lender to correctly record any such amount or date shall not, however, adversely affect the obligation of the Borrower to pay the Obligations in accordance with this Agreement. The Agent shall, upon the reasonable request of a Lender or the Borrower, provide any information contained in its records of Advances to such Lender or the Borrower and the Agent, each Lender and the Borrower shall cooperate in providing all information reasonably required to keep all accounts accurate and up-to-date.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Conversions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Subject to the other terms of this Agreement, the Borrower may from time to time convert all or any part of the outstanding amount of any Advance into another form of Advance.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Notice of Advances and Payments</w:t>
      </w:r>
    </w:p>
    <w:p>
      <w:pPr>
        <w:spacing w:after="0" w:line="121" w:lineRule="exact"/>
        <w:rPr>
          <w:sz w:val="20"/>
          <w:szCs w:val="20"/>
          <w:color w:val="auto"/>
        </w:rPr>
      </w:pPr>
    </w:p>
    <w:p>
      <w:pPr>
        <w:ind w:left="340" w:right="220" w:hanging="332"/>
        <w:spacing w:after="0" w:line="259"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 shall give the Agent irrevocable written notice, in the form of Schedule A, of any request for any Advance to it under the Credit. The Borrower shall also give the Agent irrevocable written notice in the same form of any payment by it (whether resulting from a repayment, prepayment, rollover or conversion of any Advance under the Credit) and each such payment shall be for an amount no less than Cdn. $5,000,000 or the aggregate amount of the Advances outstanding, whichever is less.</w:t>
      </w:r>
    </w:p>
    <w:p>
      <w:pPr>
        <w:spacing w:after="0" w:line="92"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Notice in respect of a Prime Rate Advance or payment thereof shall be given on the Business Day prior to any such Advance or payment. Notices in respect of Advances by way of Banker’s Acceptance shall be given two Business Days prior to any such Advance. Any permanent reduction of the Credit shall only be effective on three Business Days notice as required by Section 5.4.</w:t>
      </w:r>
    </w:p>
    <w:p>
      <w:pPr>
        <w:spacing w:after="0" w:line="73" w:lineRule="exact"/>
        <w:rPr>
          <w:rFonts w:ascii="Arial" w:cs="Arial" w:eastAsia="Arial" w:hAnsi="Arial"/>
          <w:sz w:val="18"/>
          <w:szCs w:val="18"/>
          <w:color w:val="auto"/>
        </w:rPr>
      </w:pPr>
    </w:p>
    <w:p>
      <w:pPr>
        <w:jc w:val="both"/>
        <w:ind w:left="340" w:right="60" w:hanging="332"/>
        <w:spacing w:after="0" w:line="286" w:lineRule="auto"/>
        <w:tabs>
          <w:tab w:leader="none" w:pos="3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Notices shall be given not later than 11:00 a.m. (Toronto time) on the date for notice. Payments (other than those being made solely from the proceeds of rollovers and conversions) must be made prior to 11:00 a.m. (Toronto time) on the date for payment. If a notice or payment is not given or made by those times, it shall be deemed to have been given or made on the next Business Day, unless all Lenders affected by the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jc w:val="center"/>
        <w:ind w:right="-39"/>
        <w:spacing w:after="0"/>
        <w:rPr>
          <w:sz w:val="20"/>
          <w:szCs w:val="20"/>
          <w:color w:val="auto"/>
        </w:rPr>
      </w:pPr>
      <w:r>
        <w:rPr>
          <w:rFonts w:ascii="Arial" w:cs="Arial" w:eastAsia="Arial" w:hAnsi="Arial"/>
          <w:sz w:val="18"/>
          <w:szCs w:val="18"/>
          <w:color w:val="auto"/>
        </w:rPr>
        <w:t>- 20 -</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notice or payment agree, in their sole discretion, to accept a notice or payment at a later time as being effective on the date it is given or made.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Prepayments and Reductions</w:t>
      </w:r>
    </w:p>
    <w:p>
      <w:pPr>
        <w:spacing w:after="0" w:line="121" w:lineRule="exact"/>
        <w:rPr>
          <w:sz w:val="20"/>
          <w:szCs w:val="20"/>
          <w:color w:val="auto"/>
        </w:rPr>
      </w:pPr>
    </w:p>
    <w:p>
      <w:pPr>
        <w:ind w:left="340" w:right="120" w:hanging="332"/>
        <w:spacing w:after="0" w:line="308" w:lineRule="auto"/>
        <w:tabs>
          <w:tab w:leader="none" w:pos="3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giving notice required by Section 5.3, the Borrower may from time to time repay Advances outstanding under the Credit without premium or penalty, except that Banker’s Acceptances and BA Equivalent Loans may not be paid prior to their respective maturity dates.</w:t>
      </w:r>
    </w:p>
    <w:p>
      <w:pPr>
        <w:spacing w:after="0" w:line="38" w:lineRule="exact"/>
        <w:rPr>
          <w:rFonts w:ascii="Arial" w:cs="Arial" w:eastAsia="Arial" w:hAnsi="Arial"/>
          <w:sz w:val="17"/>
          <w:szCs w:val="17"/>
          <w:color w:val="auto"/>
        </w:rPr>
      </w:pPr>
    </w:p>
    <w:p>
      <w:pPr>
        <w:ind w:left="340" w:hanging="332"/>
        <w:spacing w:after="0" w:line="312"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Borrower may from time to time, by giving not less than three Business Days express written notice to the Agent, irrevocably notify the Agent of the cancellation of the Credit or of the permanent reduction of the committed amount of the Credit by an amount which shall be a minimum of Cdn. $5,000,000 and a whole multiple of Cdn. $1,000,000. The Borrower shall have no right to any increase in the committed amount of the Credit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 Prime Rate Advances</w:t>
      </w:r>
    </w:p>
    <w:p>
      <w:pPr>
        <w:spacing w:after="0" w:line="121" w:lineRule="exact"/>
        <w:rPr>
          <w:sz w:val="20"/>
          <w:szCs w:val="20"/>
          <w:color w:val="auto"/>
        </w:rPr>
      </w:pPr>
    </w:p>
    <w:p>
      <w:pPr>
        <w:ind w:left="340" w:right="20" w:hanging="332"/>
        <w:spacing w:after="0" w:line="276"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Upon timely fulfilment of all applicable conditions as set forth in this Agreement, the Agent, in accordance with the procedures set forth in Section 5.6, will make the requested amount of a Prime Rate Advance available to the Borrower on the Drawdown Date requested by the Borrower by crediting the Designated Account with such amount. Each Prime Rate Advance shall be in an aggregate minimum amount of Cdn. $5,000,000 and in a whole multiple of Cdn. $1,000,000. The Borrower shall pay interest to the Agent for the account of the Lenders at the Branch of Account on any such Advances outstanding from time to time hereunder at the applicable rate of interest specified in Section 2.6.</w:t>
      </w:r>
    </w:p>
    <w:p>
      <w:pPr>
        <w:spacing w:after="0" w:line="64" w:lineRule="exact"/>
        <w:rPr>
          <w:rFonts w:ascii="Arial" w:cs="Arial" w:eastAsia="Arial" w:hAnsi="Arial"/>
          <w:sz w:val="17"/>
          <w:szCs w:val="17"/>
          <w:color w:val="auto"/>
        </w:rPr>
      </w:pPr>
    </w:p>
    <w:p>
      <w:pPr>
        <w:ind w:left="340" w:right="60" w:hanging="332"/>
        <w:spacing w:after="0" w:line="259"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Interest on Prime Rate Advances shall be calculated and payable monthly on each Interest Payment Date. All interest shall accrue from day to day and shall be payable in arrears for the actual number of days elapsed from and including the date of Advance or the previous date on which interest was payable, as the case may be, to but excluding the date on which interest is payable, both before and after maturity, default and judgment, with interest on overdue interest at the same rate payable on demand.</w:t>
      </w:r>
    </w:p>
    <w:p>
      <w:pPr>
        <w:spacing w:after="0" w:line="78" w:lineRule="exact"/>
        <w:rPr>
          <w:rFonts w:ascii="Arial" w:cs="Arial" w:eastAsia="Arial" w:hAnsi="Arial"/>
          <w:sz w:val="18"/>
          <w:szCs w:val="18"/>
          <w:color w:val="auto"/>
        </w:rPr>
      </w:pPr>
    </w:p>
    <w:p>
      <w:pPr>
        <w:ind w:left="340" w:right="40" w:hanging="332"/>
        <w:spacing w:after="0" w:line="255"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Interest calculated with reference to the Prime Rate shall be calculated on the basis of a calendar year. Each rate of interest which is calculated with reference to a period (the “</w:t>
      </w:r>
      <w:r>
        <w:rPr>
          <w:rFonts w:ascii="Arial" w:cs="Arial" w:eastAsia="Arial" w:hAnsi="Arial"/>
          <w:sz w:val="18"/>
          <w:szCs w:val="18"/>
          <w:b w:val="1"/>
          <w:bCs w:val="1"/>
          <w:color w:val="auto"/>
        </w:rPr>
        <w:t>deemed interest period</w:t>
      </w:r>
      <w:r>
        <w:rPr>
          <w:rFonts w:ascii="Arial" w:cs="Arial" w:eastAsia="Arial" w:hAnsi="Arial"/>
          <w:sz w:val="18"/>
          <w:szCs w:val="18"/>
          <w:color w:val="auto"/>
        </w:rPr>
        <w:t xml:space="preserve">”) that is less than the actual number of days in the calendar year of calculation is,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equivalent to a rate based on a calendar year calculated by multiplying such rate of interest by the actual number of days in the calendar year of calculation and dividing by the number of days in the deemed interest period. Interest shall be calculated using the nominal rate of calculation, and will not be calculated using the effective rate method of calculation or any other basis that gives effect to the principle of deemed reinvestment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color w:val="auto"/>
        </w:rPr>
        <w:t>- 21 -</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5.6 Co-ordination of Prime Rate Advances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Lender shall advance its Applicable Percentage of each Prime Rate Advance in accordance with the following provisions:</w:t>
      </w:r>
    </w:p>
    <w:p>
      <w:pPr>
        <w:spacing w:after="0" w:line="117" w:lineRule="exact"/>
        <w:rPr>
          <w:sz w:val="20"/>
          <w:szCs w:val="20"/>
          <w:color w:val="auto"/>
        </w:rPr>
      </w:pPr>
    </w:p>
    <w:p>
      <w:pPr>
        <w:ind w:left="660" w:right="140" w:hanging="436"/>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Agent shall advise each Lender of its receipt of a notice from the Borrower pursuant to Section 5.3 on the day such notice is received and shall, as soon as possible, advise each Lender of such Lender’s Applicable Percentage of any Advance requested by the notice;</w:t>
      </w:r>
    </w:p>
    <w:p>
      <w:pPr>
        <w:spacing w:after="0" w:line="51" w:lineRule="exact"/>
        <w:rPr>
          <w:rFonts w:ascii="Arial" w:cs="Arial" w:eastAsia="Arial" w:hAnsi="Arial"/>
          <w:sz w:val="17"/>
          <w:szCs w:val="17"/>
          <w:color w:val="auto"/>
        </w:rPr>
      </w:pPr>
    </w:p>
    <w:p>
      <w:pPr>
        <w:ind w:left="660" w:hanging="436"/>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Lender shall deliver its Applicable Percentage of the Advance to the Agent not later than 11:00 a.m. (Toronto time) on the Drawdown Date; and</w:t>
      </w:r>
    </w:p>
    <w:p>
      <w:pPr>
        <w:spacing w:after="0" w:line="153" w:lineRule="exact"/>
        <w:rPr>
          <w:rFonts w:ascii="Arial" w:cs="Arial" w:eastAsia="Arial" w:hAnsi="Arial"/>
          <w:sz w:val="16"/>
          <w:szCs w:val="16"/>
          <w:color w:val="auto"/>
        </w:rPr>
      </w:pPr>
    </w:p>
    <w:p>
      <w:pPr>
        <w:ind w:left="660" w:hanging="436"/>
        <w:spacing w:after="0" w:line="302"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unless a Lender notifies the Agent that a condition precedent to an Advance specified in this Agreement has not been met, the Agent shall advance to the Borrower the amount delivered by each Lender by crediting the Designated Account prior to 2:00 p.m. (Toronto time) on the Drawdown Date, but if the conditions precedent to the Advance are not met by 2:00 p.m. (Toronto time) on the Drawdown Date, the Agent shall return the funds to the Lenders or invest them in an overnight investment as orally instructed by each Lender until such time as the Advance is made.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 Execution of Banker’s Acceptances</w:t>
      </w:r>
    </w:p>
    <w:p>
      <w:pPr>
        <w:spacing w:after="0" w:line="121" w:lineRule="exact"/>
        <w:rPr>
          <w:sz w:val="20"/>
          <w:szCs w:val="20"/>
          <w:color w:val="auto"/>
        </w:rPr>
      </w:pPr>
    </w:p>
    <w:p>
      <w:pPr>
        <w:ind w:left="340" w:right="420" w:hanging="332"/>
        <w:spacing w:after="0" w:line="342" w:lineRule="auto"/>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facilitate the acceptance of Banker’s Acceptances hereunder, the Borrower hereby appoints each Lender as its attorney to sign and endorse on its behalf, as and when considered necessary by the Lender, an appropriate number of orders in the form prescribed by that Lender.</w:t>
      </w:r>
    </w:p>
    <w:p>
      <w:pPr>
        <w:spacing w:after="0" w:line="15" w:lineRule="exact"/>
        <w:rPr>
          <w:rFonts w:ascii="Arial" w:cs="Arial" w:eastAsia="Arial" w:hAnsi="Arial"/>
          <w:sz w:val="16"/>
          <w:szCs w:val="16"/>
          <w:color w:val="auto"/>
        </w:rPr>
      </w:pPr>
    </w:p>
    <w:p>
      <w:pPr>
        <w:ind w:left="340" w:right="220" w:hanging="332"/>
        <w:spacing w:after="0" w:line="279"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Lender may, at its option, execute any order in handwriting or by the facsimile or mechanical signature of any of its authorized officers, and the Lenders are hereby authorized to accept or pay, as the case may be, any order of the Borrower which purports to bear such a signature notwithstanding that any such individual has ceased to be an authorized officer of the Lender. Any such order or Banker’s Acceptance shall be as valid as if he or she were an authorized officer at the date of issue of the order or Banker’s Acceptance.</w:t>
      </w:r>
    </w:p>
    <w:p>
      <w:pPr>
        <w:spacing w:after="0" w:line="63"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order or Banker’s Acceptance signed by a Lender as attorney for the Borrower, whether signed in handwriting or by the facsimile or mechanical signature of an authorized officer of a Lender, may be dealt with by the Agent or any Lender to all intents and purposes and shall bind the Borrower as if duly signed and issued by the Borrower.</w:t>
      </w:r>
    </w:p>
    <w:p>
      <w:pPr>
        <w:spacing w:after="0" w:line="73" w:lineRule="exact"/>
        <w:rPr>
          <w:rFonts w:ascii="Arial" w:cs="Arial" w:eastAsia="Arial" w:hAnsi="Arial"/>
          <w:sz w:val="18"/>
          <w:szCs w:val="18"/>
          <w:color w:val="auto"/>
        </w:rPr>
      </w:pPr>
    </w:p>
    <w:p>
      <w:pPr>
        <w:jc w:val="both"/>
        <w:ind w:left="340" w:right="260" w:hanging="332"/>
        <w:spacing w:after="0" w:line="286"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receipt by the Agent of a request for an Advance by way of Banker’s Acceptances shall be each Lender’s sufficient authority to execute, and each Lender shall, subject to the terms and conditions of this Agreement, execute orders in accordance with such request and the advice of the Agent given pursuant to Section 5.10, and the orders so executed shall thereupon be deemed to have been presented for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color w:val="auto"/>
        </w:rPr>
        <w:t>- 22 -</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5.8 Sale of Banker’s Acceptances</w:t>
      </w:r>
    </w:p>
    <w:p>
      <w:pPr>
        <w:spacing w:after="0" w:line="121" w:lineRule="exact"/>
        <w:rPr>
          <w:sz w:val="20"/>
          <w:szCs w:val="20"/>
          <w:color w:val="auto"/>
        </w:rPr>
      </w:pPr>
    </w:p>
    <w:p>
      <w:pPr>
        <w:ind w:left="340" w:right="160" w:hanging="332"/>
        <w:spacing w:after="0" w:line="277"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shall be the responsibility of each Lender to arrange, in accordance with normal market practice, for the sale on each Drawdown Date of the Banker’s Acceptances to be accepted by that Lender, failing which the Lender shall purchase its Banker’s Acceptances.</w:t>
      </w:r>
    </w:p>
    <w:p>
      <w:pPr>
        <w:spacing w:after="0" w:line="62" w:lineRule="exact"/>
        <w:rPr>
          <w:rFonts w:ascii="Arial" w:cs="Arial" w:eastAsia="Arial" w:hAnsi="Arial"/>
          <w:sz w:val="18"/>
          <w:szCs w:val="18"/>
          <w:color w:val="auto"/>
        </w:rPr>
      </w:pPr>
    </w:p>
    <w:p>
      <w:pPr>
        <w:ind w:left="340" w:right="220" w:hanging="332"/>
        <w:spacing w:after="0" w:line="342" w:lineRule="auto"/>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accordance with the procedures set forth in Section 5.10, the Agent will make the net proceeds of the requested Advance by way of Banker’s Acceptances received by it from the Lenders available to the Borrower on the Drawdown Date by crediting the Designated Account with such amount.</w:t>
      </w:r>
    </w:p>
    <w:p>
      <w:pPr>
        <w:spacing w:after="0" w:line="15" w:lineRule="exact"/>
        <w:rPr>
          <w:rFonts w:ascii="Arial" w:cs="Arial" w:eastAsia="Arial" w:hAnsi="Arial"/>
          <w:sz w:val="16"/>
          <w:szCs w:val="16"/>
          <w:color w:val="auto"/>
        </w:rPr>
      </w:pPr>
    </w:p>
    <w:p>
      <w:pPr>
        <w:ind w:left="340" w:right="60" w:hanging="332"/>
        <w:spacing w:after="0" w:line="297" w:lineRule="auto"/>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the foregoing, if in the determination of the Required Lenders, acting reasonably, a market for Banker’s Acceptances does not exist at any time, or the Lenders cannot for other reasons, after reasonable efforts, readily sell Banker’s Acceptances or perform their other obligations under this Agreement with respect to Banker’s Acceptances, then upon at least one Business Day’s written notice by the Agent to the Borrower, the Borrower’s right to request Advances by way of Banker’s Acceptances shall be and remain suspended until the Agent notifies the Borrower that any condition causing such determination no longer exists (and the Agent shall be obligated to so notify the Borrower promptly following such occurrence).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 Size and Maturity of Banker’s Acceptances and Rollovers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Each Advance of Banker’s Acceptances shall be in a minimum amount of Cdn. $5,000,000 and integral multiples of Cdn. $1,000,000 and the maximum number of maturities of Banker’s Acceptances outstanding at any time shall not exceed fifteen. Each Banker’s Acceptance shall have a term of 1, 2, 3, 6 or, if available, or 12 months or such other periods after the date of acceptance of the order by a Lender, but no Banker’s Acceptance may mature on a date which is not a Business Day or after the Maturity Date. Subject to the terms and conditions of this Agreement, the face amount at maturity of a Banker’s Acceptance may be renewed as a Banker’s Acceptance (by repayment and reissue) or converted (by repayment) into another form of Advance.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5.10  Co-ordination of BA Advances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Each Lender shall advance its Applicable Percentage of each Advance by way of Banker’s Acceptances in accordance with the provisions set forth below.</w:t>
      </w:r>
    </w:p>
    <w:p>
      <w:pPr>
        <w:spacing w:after="0" w:line="140" w:lineRule="exact"/>
        <w:rPr>
          <w:sz w:val="20"/>
          <w:szCs w:val="20"/>
          <w:color w:val="auto"/>
        </w:rPr>
      </w:pPr>
    </w:p>
    <w:p>
      <w:pPr>
        <w:ind w:left="340" w:right="80" w:hanging="332"/>
        <w:spacing w:after="0" w:line="297" w:lineRule="auto"/>
        <w:tabs>
          <w:tab w:leader="none" w:pos="3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Agent, promptly following receipt of a notice from the Borrower pursuant to Section 5.3 requesting an Advance by way of Banker’s Acceptances, shall advise each Lender of the aggregate face amount and term(s) of the Banker’s Acceptances to be accepted by it, which term(s) shall be identical for all Lenders. The aggregate face amount of Banker’s Acceptances to be accepted by a Lender shall be determined by the Agent by reference to the respective Commitments of the Lenders, except that, if the face amount of a Banker’s Acceptance would not be Cdn. $1,000 or a whole multiple thereof, the face amount shall be increased or reduced by the Agent in its sole discretion to the nearest whole multiple of Cdn.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center"/>
        <w:ind w:right="-51"/>
        <w:spacing w:after="0"/>
        <w:rPr>
          <w:sz w:val="20"/>
          <w:szCs w:val="20"/>
          <w:color w:val="auto"/>
        </w:rPr>
      </w:pPr>
      <w:r>
        <w:rPr>
          <w:rFonts w:ascii="Arial" w:cs="Arial" w:eastAsia="Arial" w:hAnsi="Arial"/>
          <w:sz w:val="18"/>
          <w:szCs w:val="18"/>
          <w:color w:val="auto"/>
        </w:rPr>
        <w:t>- 23 -</w:t>
      </w:r>
    </w:p>
    <w:p>
      <w:pPr>
        <w:spacing w:after="0" w:line="306" w:lineRule="exact"/>
        <w:rPr>
          <w:sz w:val="20"/>
          <w:szCs w:val="20"/>
          <w:color w:val="auto"/>
        </w:rPr>
      </w:pPr>
    </w:p>
    <w:p>
      <w:pPr>
        <w:ind w:left="332" w:hanging="332"/>
        <w:spacing w:after="0" w:line="257" w:lineRule="auto"/>
        <w:tabs>
          <w:tab w:leader="none" w:pos="3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Lender shall transfer to the Agent at the Branch of Account for value not later than 11:00 a.m. (Toronto time) on each Drawdown Date immediately available Cdn. Dollars in an aggregate amount equal to the BA Discount Proceeds of all Banker’s Acceptances accepted and sold or purchased by the Lender on such Drawdown Date net of the applicable Banker’s Acceptance Fee and net of the amount required to pay any of its previously accepted Banker’s Acceptances that are maturing on the Drawdown Date or any of its other Advances that are being converted to Banker’s Acceptances on the Drawdown Date.</w:t>
      </w:r>
    </w:p>
    <w:p>
      <w:pPr>
        <w:spacing w:after="0" w:line="80" w:lineRule="exact"/>
        <w:rPr>
          <w:rFonts w:ascii="Arial" w:cs="Arial" w:eastAsia="Arial" w:hAnsi="Arial"/>
          <w:sz w:val="18"/>
          <w:szCs w:val="18"/>
          <w:color w:val="auto"/>
        </w:rPr>
      </w:pPr>
    </w:p>
    <w:p>
      <w:pPr>
        <w:ind w:left="332" w:hanging="332"/>
        <w:spacing w:after="0" w:line="302" w:lineRule="auto"/>
        <w:tabs>
          <w:tab w:leader="none" w:pos="3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Unless a Lender notifies the Agent that a condition precedent to an Advance specified in this Agreement has not been met, the Agent shall advance to the Borrower the amount delivered by each Lender by crediting the Designated Account prior to 2:00 p.m. (Toronto time) on the Drawdown Date, but if the conditions precedent to the Advance are not met by 2:00 p.m. (Toronto time) on the Drawdown Date, the Agent shall return the funds to the Lenders or invest them in an overnight investment as orally instructed by each Lender until such time as the Advance is made.</w:t>
      </w:r>
    </w:p>
    <w:p>
      <w:pPr>
        <w:spacing w:after="0" w:line="46" w:lineRule="exact"/>
        <w:rPr>
          <w:rFonts w:ascii="Arial" w:cs="Arial" w:eastAsia="Arial" w:hAnsi="Arial"/>
          <w:sz w:val="16"/>
          <w:szCs w:val="16"/>
          <w:color w:val="auto"/>
        </w:rPr>
      </w:pPr>
    </w:p>
    <w:p>
      <w:pPr>
        <w:ind w:left="332" w:right="80" w:hanging="332"/>
        <w:spacing w:after="0" w:line="272" w:lineRule="auto"/>
        <w:tabs>
          <w:tab w:leader="none" w:pos="3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Notwithstanding any other provision hereof, for the purpose of determining the amount to be transferred by a Lender to the Agent for the account of the Borrower in respect of the sale of any Banker’s Acceptance accepted by such Lender and sold or purchased by it, the proceeds of sale thereof shall be deemed to be an amount equal to the BA Discount Proceeds calculated with respect thereto. Accordingly, in respect of any particular Banker’s Acceptance accepted by it, a Lender in addition to its entitlement to retain the applicable Banker’s Acceptance Fee for its own account (a) shall be entitled to retain for its own account the amount, if any, by which the actual proceeds of sale thereof exceed the BA Discount Proceeds calculated with respect thereto, and (b) shall be required to pay out of its own funds the amount, if any, by which the actual proceeds of sale thereof are less than the BA Discount Proceeds calculated with respect thereto.</w:t>
      </w:r>
    </w:p>
    <w:p>
      <w:pPr>
        <w:spacing w:after="0" w:line="69" w:lineRule="exact"/>
        <w:rPr>
          <w:rFonts w:ascii="Arial" w:cs="Arial" w:eastAsia="Arial" w:hAnsi="Arial"/>
          <w:sz w:val="17"/>
          <w:szCs w:val="17"/>
          <w:color w:val="auto"/>
        </w:rPr>
      </w:pPr>
    </w:p>
    <w:p>
      <w:pPr>
        <w:ind w:left="332" w:right="40" w:hanging="332"/>
        <w:spacing w:after="0" w:line="288" w:lineRule="auto"/>
        <w:tabs>
          <w:tab w:leader="none" w:pos="3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Whenever the Borrower requests an Advance that includes Banker’s Acceptances, each Lender that is not permitted by applicable law or by customary market practice to accept a Banker’s Acceptance (a “</w:t>
      </w:r>
      <w:r>
        <w:rPr>
          <w:rFonts w:ascii="Arial" w:cs="Arial" w:eastAsia="Arial" w:hAnsi="Arial"/>
          <w:sz w:val="16"/>
          <w:szCs w:val="16"/>
          <w:b w:val="1"/>
          <w:bCs w:val="1"/>
          <w:color w:val="auto"/>
        </w:rPr>
        <w:t>Non BA Lender</w:t>
      </w:r>
      <w:r>
        <w:rPr>
          <w:rFonts w:ascii="Arial" w:cs="Arial" w:eastAsia="Arial" w:hAnsi="Arial"/>
          <w:sz w:val="16"/>
          <w:szCs w:val="16"/>
          <w:color w:val="auto"/>
        </w:rPr>
        <w:t xml:space="preserve">”) shall, in lieu of accepting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of such Banker’s Acceptances, make available to the Borrower on the Drawdown Date a non-interest bearing loan (a “</w:t>
      </w:r>
      <w:r>
        <w:rPr>
          <w:rFonts w:ascii="Arial" w:cs="Arial" w:eastAsia="Arial" w:hAnsi="Arial"/>
          <w:sz w:val="16"/>
          <w:szCs w:val="16"/>
          <w:b w:val="1"/>
          <w:bCs w:val="1"/>
          <w:color w:val="auto"/>
        </w:rPr>
        <w:t>BA Equivalent Loan</w:t>
      </w:r>
      <w:r>
        <w:rPr>
          <w:rFonts w:ascii="Arial" w:cs="Arial" w:eastAsia="Arial" w:hAnsi="Arial"/>
          <w:sz w:val="16"/>
          <w:szCs w:val="16"/>
          <w:color w:val="auto"/>
        </w:rPr>
        <w:t xml:space="preserve">”) in Canadian Dollars and in an amount equal to the BA Discount Proceeds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of the Banker’s Acceptances that the Non BA Lender would have been required to accept on the Drawdown Date if it were able to accept Banker’s Acceptances. The BA Discount Proceeds shall be calculated based on the BA Discount Rate. Each Non BA Lender shall also be entitled to deduct from the BA Equivalent Loan an amount equal to the Banker’s Acceptance Fee that would have been applicable had it been able to accept Banker’s Acceptances. The BA Equivalent Loan shall have a term equal to the term of the Banker’s Acceptances that the Non BA Lender would otherwise have accepted and the Borrower shall, at the end of that term, be obligated to pay the Non BA Lender an amount equal to the aggregate face amount of the Banker’s Acceptances that it would otherwise have accepted. All provisions of this Agreement applicable to Banker’s Acceptances and Lenders that accept Banker’s Acceptances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79" w:name="page180"/>
    <w:bookmarkEnd w:id="179"/>
    <w:p>
      <w:pPr>
        <w:jc w:val="center"/>
        <w:ind w:right="-119"/>
        <w:spacing w:after="0"/>
        <w:rPr>
          <w:sz w:val="20"/>
          <w:szCs w:val="20"/>
          <w:color w:val="auto"/>
        </w:rPr>
      </w:pPr>
      <w:r>
        <w:rPr>
          <w:rFonts w:ascii="Arial" w:cs="Arial" w:eastAsia="Arial" w:hAnsi="Arial"/>
          <w:sz w:val="18"/>
          <w:szCs w:val="18"/>
          <w:color w:val="auto"/>
        </w:rPr>
        <w:t>- 24 -</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mutatis mutandis to BA Equivalent Loans and Non BA Lenders and, without limiting the foregoing, Advances shall include BA Equivalent Loans.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Payment of Banker’s Acceptances</w:t>
      </w:r>
    </w:p>
    <w:p>
      <w:pPr>
        <w:spacing w:after="0" w:line="121" w:lineRule="exact"/>
        <w:rPr>
          <w:sz w:val="20"/>
          <w:szCs w:val="20"/>
          <w:color w:val="auto"/>
        </w:rPr>
      </w:pPr>
    </w:p>
    <w:p>
      <w:pPr>
        <w:ind w:left="340" w:right="40" w:hanging="332"/>
        <w:spacing w:after="0" w:line="272" w:lineRule="auto"/>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Borrower shall provide for the payment to the Agent at the Branch of Account for the account of the applicable Lenders of the full face amount of each Banker’s Acceptance accepted for its account on the earlier of (a) the date of maturity of a Banker’s Acceptance, and (b) the date on which any Obligations become due and payable pursuant to Section 8.2. The Lenders shall be entitled to recover interest from the Borrower at a rate of interest per annum equal to the rate applicable to Prime Rate Advances under the Credit under which the Banker’s Acceptance was issued, compounded monthly, upon any amount payment of which has not been provided for by the Borrower in accordance with this Section. Interest shall be calculated from and including the date of maturity of each such Banker’s Acceptance up to but excluding the date such payment, and all interest thereon, is provided for by the Borrower, both before and after demand, default and judgment.</w:t>
      </w:r>
    </w:p>
    <w:p>
      <w:pPr>
        <w:spacing w:after="0" w:line="69"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Borrower provides cash in response to any Obligations becoming due and payable under Section 8.2, it shall be entitled to receive interest on the cash provided in accordance with Section 11.12 as long as the cash is held as Collateral.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Deemed Advance – Banker’s Acceptances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Except for amounts which are paid from the proceeds of a rollover of a Banker’s Acceptance or for which payment has otherwise been funded by the Borrower, any amount which a Lender pays to any third party on or after the date of maturity of a Banker’s Acceptance in satisfaction thereof or which is owing to the Lender in respect of such a Banker’s Acceptance on or after the date of maturity of such a Banker’s Acceptance, shall be deemed to be a Prime Rate Advance to the Borrower under this Agreement. Each Lender shall forthwith give notice of the making of such a Prime Rate Advance to the Borrower and the Agent (which shall promptly give similar notice to the other Lenders). Interest shall be payable on such Prime Rate Advances in accordance with the terms applicable to Prime Rate Advances.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5.13  Waiver</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Borrower shall not claim from a Lender any days of grace for the payment at maturity of any Banker’s Acceptances presented and accepted by the Lender pursuant to this Agreement. The Borrower waives any defence to payment which might otherwise exist if for any reason a Banker’s Acceptance shall be held by a Lender in its own right at the maturity thereof, and the doctrine of merger shall not apply to any Banker’s Acceptance that is at any time held by a Lender in its own right.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5.14  Degree of Care</w:t>
      </w:r>
    </w:p>
    <w:p>
      <w:pPr>
        <w:spacing w:after="0" w:line="121"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Any executed orders to be used as Banker’s Acceptances shall be held in safekeeping with the same degree of care as if they were the Lender’s own property, and shall be kept at the place at which such orders are ordinarily held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color w:val="auto"/>
        </w:rPr>
        <w:t>- 25 -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5.15  Obligations Absolute</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obligations of the Borrower with respect to Banker’s Acceptances under this Agreement shall be unconditional and irrevocable, and shall be paid strictly in accordance with the terms of this Agreement under all circumstances, including the following circumstances:</w:t>
      </w:r>
    </w:p>
    <w:p>
      <w:pPr>
        <w:spacing w:after="0" w:line="62" w:lineRule="exact"/>
        <w:rPr>
          <w:sz w:val="20"/>
          <w:szCs w:val="20"/>
          <w:color w:val="auto"/>
        </w:rPr>
      </w:pPr>
    </w:p>
    <w:p>
      <w:pPr>
        <w:ind w:left="800" w:hanging="454"/>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lack of validity or enforceability of any order accepted by a Lender as a Banker’s Acceptance; or</w:t>
      </w:r>
    </w:p>
    <w:p>
      <w:pPr>
        <w:spacing w:after="0" w:line="130" w:lineRule="exact"/>
        <w:rPr>
          <w:rFonts w:ascii="Arial" w:cs="Arial" w:eastAsia="Arial" w:hAnsi="Arial"/>
          <w:sz w:val="18"/>
          <w:szCs w:val="18"/>
          <w:color w:val="auto"/>
        </w:rPr>
      </w:pPr>
    </w:p>
    <w:p>
      <w:pPr>
        <w:ind w:left="800" w:right="80" w:hanging="454"/>
        <w:spacing w:after="0" w:line="277"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existence of any claim, set-off, defence or other right which the Borrower may have at any time against the holder of a Banker’s Acceptance, a Lender or any other Person, whether in connection with this Agreement or otherwise.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5.16  Shortfall on Drawdowns, Rollovers and Conversions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Borrower agrees that:</w:t>
      </w:r>
    </w:p>
    <w:p>
      <w:pPr>
        <w:spacing w:after="0" w:line="117" w:lineRule="exact"/>
        <w:rPr>
          <w:sz w:val="20"/>
          <w:szCs w:val="20"/>
          <w:color w:val="auto"/>
        </w:rPr>
      </w:pPr>
    </w:p>
    <w:p>
      <w:pPr>
        <w:ind w:left="800" w:right="480" w:hanging="454"/>
        <w:spacing w:after="0" w:line="277"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difference between the amount of an Advance requested by the Borrower by way of Banker’s Acceptances and the actual proceeds of the Banker’s Acceptances;</w:t>
      </w:r>
    </w:p>
    <w:p>
      <w:pPr>
        <w:spacing w:after="0" w:line="75" w:lineRule="exact"/>
        <w:rPr>
          <w:rFonts w:ascii="Arial" w:cs="Arial" w:eastAsia="Arial" w:hAnsi="Arial"/>
          <w:sz w:val="18"/>
          <w:szCs w:val="18"/>
          <w:color w:val="auto"/>
        </w:rPr>
      </w:pPr>
    </w:p>
    <w:p>
      <w:pPr>
        <w:ind w:left="800" w:right="660" w:hanging="454"/>
        <w:spacing w:after="0" w:line="277"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difference between the actual proceeds of a Banker’s Acceptance and the amount required to pay a maturing Banker’s Acceptance, if a Banker’s Acceptance is being rolled over; and</w:t>
      </w:r>
    </w:p>
    <w:p>
      <w:pPr>
        <w:spacing w:after="0" w:line="75" w:lineRule="exact"/>
        <w:rPr>
          <w:rFonts w:ascii="Arial" w:cs="Arial" w:eastAsia="Arial" w:hAnsi="Arial"/>
          <w:sz w:val="18"/>
          <w:szCs w:val="18"/>
          <w:color w:val="auto"/>
        </w:rPr>
      </w:pPr>
    </w:p>
    <w:p>
      <w:pPr>
        <w:ind w:left="800" w:right="100" w:hanging="454"/>
        <w:spacing w:after="0" w:line="277"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difference between the actual proceeds of a Banker’s Acceptance and the amount required to repay any Advance which is being converted to a Banker’s Acceptance;</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be funded and paid by the Borrower from its own resources, by 11:00 a.m. on the day of the Advance or may be advanced as a Prime Rate Advance under the Credit if the Borrower is otherwise entitled to an Advance under the Credit.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5.17  Payment by the Borrower</w:t>
      </w:r>
    </w:p>
    <w:p>
      <w:pPr>
        <w:spacing w:after="0" w:line="121" w:lineRule="exact"/>
        <w:rPr>
          <w:sz w:val="20"/>
          <w:szCs w:val="20"/>
          <w:color w:val="auto"/>
        </w:rPr>
      </w:pPr>
    </w:p>
    <w:p>
      <w:pPr>
        <w:jc w:val="both"/>
        <w:ind w:left="340" w:hanging="332"/>
        <w:spacing w:after="0" w:line="264"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otherwise provided herein, all payments made by or on behalf of the Borrower pursuant to this Agreement shall be made to and received by the Agent and shall be distributed by the Agent to the Lenders as soon as possible upon receipt by the Agent. Except as otherwise provided in this Agreement (including Section 9.3(2), the Agent shall distribute:</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payments of interest in accordance with each Lender’s Applicable Percentage of the Credit;</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repayments of principal in accordance with each Lender’s Applicable Percentage of the Credit;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color w:val="auto"/>
        </w:rPr>
        <w:t>- 26 -</w:t>
      </w:r>
    </w:p>
    <w:p>
      <w:pPr>
        <w:spacing w:after="0" w:line="198" w:lineRule="exact"/>
        <w:rPr>
          <w:sz w:val="20"/>
          <w:szCs w:val="20"/>
          <w:color w:val="auto"/>
        </w:rPr>
      </w:pPr>
    </w:p>
    <w:p>
      <w:pPr>
        <w:ind w:left="800" w:right="40" w:hanging="454"/>
        <w:spacing w:after="0" w:line="264" w:lineRule="auto"/>
        <w:tabs>
          <w:tab w:leader="none" w:pos="8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other payments received by the Agent including amounts received upon the realization of Security, in accordance with each Lender’s Applicable Percentage of the Credit provided, however, that with respect to proceeds of realization, no Lender shall receive an amount in excess of the amounts owing to it in respect of the Obligations.</w:t>
      </w:r>
    </w:p>
    <w:p>
      <w:pPr>
        <w:spacing w:after="0" w:line="73" w:lineRule="exact"/>
        <w:rPr>
          <w:rFonts w:ascii="Arial" w:cs="Arial" w:eastAsia="Arial" w:hAnsi="Arial"/>
          <w:sz w:val="18"/>
          <w:szCs w:val="18"/>
          <w:color w:val="auto"/>
        </w:rPr>
      </w:pPr>
    </w:p>
    <w:p>
      <w:pPr>
        <w:ind w:left="340" w:right="40" w:hanging="332"/>
        <w:spacing w:after="0" w:line="273"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the Agent does not distribute a Lender’s share of a payment made by the Borrower to that Lender for value on the day that payment is made or deemed to have been made to the Agent, the Agent shall pay to the Lender on demand an amount equal to the product of (a) the Interbank Reference Rate per annum multiplied by (b) the Lender’s share of the amount received by the Agent from the Borrower and not so distributed, multiplied by (c) a fraction, the numerator of which is the number of days that have elapsed from and including the date of receipt of the payment by the Agent to but excluding the date on which the payment is made by the Agent to such Lender and the denominator of which is 365. The Agent shall be entitled to withhold any Tax applicable to any such payment as required by applicable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5.18  Prohibited Rates of Interest</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It is the intention of the parties to comply with applicable usury laws now or hereafter enacted. Accordingly, notwithstanding any other provisions of this Agreement or any other Loan Document, in no event shall any Loan Document require the payment or permit the collection of interest or other amounts in an amount or at a rate in excess of the amount or rate that is permitted by law or in an amount or at a rate that would result in the receipt by the Lenders or the Agent of interest at a criminal rate, as the terms “interest” and “criminal rate” are defined under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Where more than one such law is applicable to any Obligor, such Obligor shall not be obliged to make payment in an amount or at a rate higher than the lowest amount or rate permitted by such laws. If from any circumstances whatever, fulfilment of any provision of any Loan Document shall involve transcending the limit of validity prescribed by any applicable law for the collection or charging of interest, the obligation to be fulfilled shall be reduced to the limit of such validity, and if from any such circumstances the Agent or the Lenders shall ever receive anything of value as interest or deemed interest under any Loan Document in an amount that would exceed the highest lawful rate of interest permitted by any applicable law, such amount that would be excessive interest shall be applied to the reduction of the principal amount of the Credit, and not to the payment of interest, or if such excessive interest exceeds the unpaid principal balance of the Credit, the amount exceeding the unpaid balance shall be refunded to the Borrower. In determining whether or not the interest paid or payable under any specified contingency exceeds the highest lawful rate, the Obligors, the Agent and the Lenders shall, to the maximum extent permitted by applicable laws (a) characterize any non-principal payment as an expense, fee or premium rather than as interest, (b) exclude voluntary prepayments and the effects thereof, (c) amortize, prorate, allocate and spread the total amount of interest throughout the term of such indebtedness so that interest thereon does not exceed the maximum amount permitted by applicable laws, or (d) allocate interest between portions of such indebtedness to the end that no such portion shall bear interest at a rate greater than that permitted by applicable laws. For the purposes of the application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the effective annual rate of interest shall be determined in accordance with generally accepted actuarial practices and principles and in the event of any dispute,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color w:val="auto"/>
        </w:rPr>
        <w:t>- 27 -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 Fellow of the Canadian Institute of Actuaries appointed by the Agent shall be conclusive for the purpose of such determination.</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Representations and Warranties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Obligors represents and warrants, with respect to itself and each other Obligor, to the Lenders as follows:</w:t>
      </w:r>
    </w:p>
    <w:p>
      <w:pPr>
        <w:spacing w:after="0" w:line="113"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Corporate Authority</w:t>
      </w:r>
    </w:p>
    <w:p>
      <w:pPr>
        <w:spacing w:after="0" w:line="121" w:lineRule="exact"/>
        <w:rPr>
          <w:rFonts w:ascii="Arial" w:cs="Arial" w:eastAsia="Arial" w:hAnsi="Arial"/>
          <w:sz w:val="18"/>
          <w:szCs w:val="18"/>
          <w:color w:val="auto"/>
        </w:rPr>
      </w:pPr>
    </w:p>
    <w:p>
      <w:pPr>
        <w:ind w:left="800" w:right="40" w:hanging="454"/>
        <w:spacing w:after="0" w:line="302" w:lineRule="auto"/>
        <w:tabs>
          <w:tab w:leader="none" w:pos="8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of the Obligors (i) is duly organized, validly existing and in good standing under the laws of its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59" w:lineRule="exact"/>
        <w:rPr>
          <w:rFonts w:ascii="Arial" w:cs="Arial" w:eastAsia="Arial" w:hAnsi="Arial"/>
          <w:sz w:val="16"/>
          <w:szCs w:val="16"/>
          <w:color w:val="auto"/>
        </w:rPr>
      </w:pPr>
    </w:p>
    <w:p>
      <w:pPr>
        <w:ind w:left="800" w:right="20" w:hanging="454"/>
        <w:spacing w:after="0" w:line="255" w:lineRule="auto"/>
        <w:tabs>
          <w:tab w:leader="none" w:pos="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execution, delivery and performance of its Loan Documents and the transactions contemplated hereby and thereby (i) are within the corporate authority of each of the Obligors, (ii) have been duly authorized by all necessary corporate proceedings on the part of each of the Obligors, (iii) do not conflict with or result in any breach or contravention of any provision of law, statute, rule or regulation to which any of the Obligors is subject, (iv) do not contravene any judgment, order, writ, injunction, license or permit applicable to any Obligor so as to have a Material Adverse Effect, and (v) do not conflict with any provision of the Constating Documents of any of the Obligors or any agreement or other instrument binding upon any Obligor, except for those conflicts with any such agreement or instrument which could not reasonably be expected to have a Material Adverse Effect.</w:t>
      </w:r>
    </w:p>
    <w:p>
      <w:pPr>
        <w:spacing w:after="0" w:line="94" w:lineRule="exact"/>
        <w:rPr>
          <w:rFonts w:ascii="Arial" w:cs="Arial" w:eastAsia="Arial" w:hAnsi="Arial"/>
          <w:sz w:val="18"/>
          <w:szCs w:val="18"/>
          <w:color w:val="auto"/>
        </w:rPr>
      </w:pPr>
    </w:p>
    <w:p>
      <w:pPr>
        <w:ind w:left="800" w:hanging="454"/>
        <w:spacing w:after="0" w:line="259" w:lineRule="auto"/>
        <w:tabs>
          <w:tab w:leader="none" w:pos="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by each of the Obligors will result in valid and legally binding obligations of each of the Obligors enforceable against each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74"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Governmental and Other Approvals</w:t>
      </w:r>
    </w:p>
    <w:p>
      <w:pPr>
        <w:spacing w:after="0" w:line="121" w:lineRule="exact"/>
        <w:rPr>
          <w:rFonts w:ascii="Arial" w:cs="Arial" w:eastAsia="Arial" w:hAnsi="Arial"/>
          <w:sz w:val="18"/>
          <w:szCs w:val="18"/>
          <w:color w:val="auto"/>
        </w:rPr>
      </w:pPr>
    </w:p>
    <w:p>
      <w:pPr>
        <w:ind w:left="340" w:right="720"/>
        <w:spacing w:after="0" w:line="277" w:lineRule="auto"/>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by each of the Obligors and the consummation by each of the Obligors of the transactions contemplated hereby and thereby do not require any approval or consent of, or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3" w:name="page184"/>
    <w:bookmarkEnd w:id="183"/>
    <w:p>
      <w:pPr>
        <w:jc w:val="center"/>
        <w:ind w:right="-31"/>
        <w:spacing w:after="0"/>
        <w:rPr>
          <w:sz w:val="20"/>
          <w:szCs w:val="20"/>
          <w:color w:val="auto"/>
        </w:rPr>
      </w:pPr>
      <w:r>
        <w:rPr>
          <w:rFonts w:ascii="Arial" w:cs="Arial" w:eastAsia="Arial" w:hAnsi="Arial"/>
          <w:sz w:val="18"/>
          <w:szCs w:val="18"/>
          <w:color w:val="auto"/>
        </w:rPr>
        <w:t>- 28 -</w:t>
      </w:r>
    </w:p>
    <w:p>
      <w:pPr>
        <w:spacing w:after="0" w:line="198" w:lineRule="exact"/>
        <w:rPr>
          <w:sz w:val="20"/>
          <w:szCs w:val="20"/>
          <w:color w:val="auto"/>
        </w:rPr>
      </w:pPr>
    </w:p>
    <w:p>
      <w:pPr>
        <w:ind w:left="352" w:right="160"/>
        <w:spacing w:after="0" w:line="277" w:lineRule="auto"/>
        <w:rPr>
          <w:sz w:val="20"/>
          <w:szCs w:val="20"/>
          <w:color w:val="auto"/>
        </w:rPr>
      </w:pPr>
      <w:r>
        <w:rPr>
          <w:rFonts w:ascii="Arial" w:cs="Arial" w:eastAsia="Arial" w:hAnsi="Arial"/>
          <w:sz w:val="18"/>
          <w:szCs w:val="18"/>
          <w:color w:val="auto"/>
        </w:rPr>
        <w:t>with, any governmental agency or authority or other third party other than those already obtained and those required after the date hereof in connection with the Obligors’ performance of the covenants contained in this Agreement.</w:t>
      </w:r>
    </w:p>
    <w:p>
      <w:pPr>
        <w:spacing w:after="0" w:line="58" w:lineRule="exact"/>
        <w:rPr>
          <w:sz w:val="20"/>
          <w:szCs w:val="20"/>
          <w:color w:val="auto"/>
        </w:rPr>
      </w:pPr>
    </w:p>
    <w:p>
      <w:pPr>
        <w:ind w:left="332" w:hanging="332"/>
        <w:spacing w:after="0"/>
        <w:tabs>
          <w:tab w:leader="none" w:pos="332"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Title to Properties; Leases</w:t>
      </w:r>
    </w:p>
    <w:p>
      <w:pPr>
        <w:spacing w:after="0" w:line="121" w:lineRule="exact"/>
        <w:rPr>
          <w:rFonts w:ascii="Arial" w:cs="Arial" w:eastAsia="Arial" w:hAnsi="Arial"/>
          <w:sz w:val="18"/>
          <w:szCs w:val="18"/>
          <w:color w:val="auto"/>
        </w:rPr>
      </w:pPr>
    </w:p>
    <w:p>
      <w:pPr>
        <w:ind w:left="352"/>
        <w:spacing w:after="0" w:line="259" w:lineRule="auto"/>
        <w:rPr>
          <w:rFonts w:ascii="Arial" w:cs="Arial" w:eastAsia="Arial" w:hAnsi="Arial"/>
          <w:sz w:val="18"/>
          <w:szCs w:val="18"/>
          <w:color w:val="auto"/>
        </w:rPr>
      </w:pPr>
      <w:r>
        <w:rPr>
          <w:rFonts w:ascii="Arial" w:cs="Arial" w:eastAsia="Arial" w:hAnsi="Arial"/>
          <w:sz w:val="18"/>
          <w:szCs w:val="18"/>
          <w:color w:val="auto"/>
        </w:rPr>
        <w:t>Waste Management, Inc. and its Subsidiaries own all of the assets reflected in the consolidated balance sheet as at the Interim Balance Sheet Date (other than those assets not owned by Waste Management, Inc. or its Subsidiaries, but required to be consolidated under GAAP) or acquired since that date (except property and assets operated under capital leases or sold or otherwise disposed of in the ordinary course of business since that date), subject to no Encumbrances except Permitted Encumbrances.</w:t>
      </w:r>
    </w:p>
    <w:p>
      <w:pPr>
        <w:spacing w:after="0" w:line="74" w:lineRule="exact"/>
        <w:rPr>
          <w:rFonts w:ascii="Arial" w:cs="Arial" w:eastAsia="Arial" w:hAnsi="Arial"/>
          <w:sz w:val="18"/>
          <w:szCs w:val="18"/>
          <w:color w:val="auto"/>
        </w:rPr>
      </w:pPr>
    </w:p>
    <w:p>
      <w:pPr>
        <w:ind w:left="332" w:hanging="332"/>
        <w:spacing w:after="0"/>
        <w:tabs>
          <w:tab w:leader="none" w:pos="332"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Financial Statements; Solvency</w:t>
      </w:r>
    </w:p>
    <w:p>
      <w:pPr>
        <w:spacing w:after="0" w:line="121" w:lineRule="exact"/>
        <w:rPr>
          <w:rFonts w:ascii="Arial" w:cs="Arial" w:eastAsia="Arial" w:hAnsi="Arial"/>
          <w:sz w:val="18"/>
          <w:szCs w:val="18"/>
          <w:color w:val="auto"/>
        </w:rPr>
      </w:pPr>
    </w:p>
    <w:p>
      <w:pPr>
        <w:ind w:left="792" w:right="60" w:hanging="454"/>
        <w:spacing w:after="0" w:line="287" w:lineRule="auto"/>
        <w:tabs>
          <w:tab w:leader="none" w:pos="79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There have been furnished to the Lenders consolidated balance sheets of Waste Management, Inc. dated the Balance Sheet Date and consolidated statements of operations for the fiscal periods then ended, certified by the independent auditors permitted under the U.S. Credit Agreement from time to time. In addition, there have been furnished to the Lenders consolidated balance sheets of Waste Management, Inc. and its Subsidiaries (including the Borrower)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Waste Management, Inc.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Waste Management, Inc. and its Subsidiaries involving material amounts, known to the officers of any of the Obligors, which have not been disclosed in said balance sheets and the related notes thereto or otherwise in writing to the Lenders.</w:t>
      </w:r>
    </w:p>
    <w:p>
      <w:pPr>
        <w:spacing w:after="0" w:line="78" w:lineRule="exact"/>
        <w:rPr>
          <w:rFonts w:ascii="Arial" w:cs="Arial" w:eastAsia="Arial" w:hAnsi="Arial"/>
          <w:sz w:val="16"/>
          <w:szCs w:val="16"/>
          <w:color w:val="auto"/>
        </w:rPr>
      </w:pPr>
    </w:p>
    <w:p>
      <w:pPr>
        <w:ind w:left="792" w:right="220" w:hanging="454"/>
        <w:spacing w:after="0" w:line="312" w:lineRule="auto"/>
        <w:tabs>
          <w:tab w:leader="none" w:pos="79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Each of the Obligors on a consolidated basis (both before and after giving effect to the transactions contemplated by this Agreement)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84" w:name="page185"/>
    <w:bookmarkEnd w:id="184"/>
    <w:p>
      <w:pPr>
        <w:jc w:val="center"/>
        <w:ind w:right="-11"/>
        <w:spacing w:after="0"/>
        <w:rPr>
          <w:sz w:val="20"/>
          <w:szCs w:val="20"/>
          <w:color w:val="auto"/>
        </w:rPr>
      </w:pPr>
      <w:r>
        <w:rPr>
          <w:rFonts w:ascii="Arial" w:cs="Arial" w:eastAsia="Arial" w:hAnsi="Arial"/>
          <w:sz w:val="18"/>
          <w:szCs w:val="18"/>
          <w:color w:val="auto"/>
        </w:rPr>
        <w:t>- 29 -</w:t>
      </w:r>
    </w:p>
    <w:p>
      <w:pPr>
        <w:spacing w:after="0" w:line="302" w:lineRule="exact"/>
        <w:rPr>
          <w:sz w:val="20"/>
          <w:szCs w:val="20"/>
          <w:color w:val="auto"/>
        </w:rPr>
      </w:pPr>
    </w:p>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No Material Changes, Etc.</w:t>
      </w:r>
    </w:p>
    <w:p>
      <w:pPr>
        <w:spacing w:after="0" w:line="121" w:lineRule="exact"/>
        <w:rPr>
          <w:rFonts w:ascii="Arial" w:cs="Arial" w:eastAsia="Arial" w:hAnsi="Arial"/>
          <w:sz w:val="18"/>
          <w:szCs w:val="18"/>
          <w:color w:val="auto"/>
        </w:rPr>
      </w:pPr>
    </w:p>
    <w:p>
      <w:pPr>
        <w:ind w:left="352" w:right="80"/>
        <w:spacing w:after="0" w:line="264" w:lineRule="auto"/>
        <w:rPr>
          <w:rFonts w:ascii="Arial" w:cs="Arial" w:eastAsia="Arial" w:hAnsi="Arial"/>
          <w:sz w:val="18"/>
          <w:szCs w:val="18"/>
          <w:color w:val="auto"/>
        </w:rPr>
      </w:pPr>
      <w:r>
        <w:rPr>
          <w:rFonts w:ascii="Arial" w:cs="Arial" w:eastAsia="Arial" w:hAnsi="Arial"/>
          <w:sz w:val="18"/>
          <w:szCs w:val="18"/>
          <w:color w:val="auto"/>
        </w:rPr>
        <w:t>Since the Balance Sheet Date, there have been no material adverse changes in the consolidated financial condition, business, assets or liabilities (contingent or otherwise) of Waste Management, Inc. and its Subsidiaries, taken as a whole, other than changes in the ordinary course of business which have not had a Material Adverse Effect.</w:t>
      </w:r>
    </w:p>
    <w:p>
      <w:pPr>
        <w:spacing w:after="0" w:line="69" w:lineRule="exact"/>
        <w:rPr>
          <w:rFonts w:ascii="Arial" w:cs="Arial" w:eastAsia="Arial" w:hAnsi="Arial"/>
          <w:sz w:val="18"/>
          <w:szCs w:val="18"/>
          <w:color w:val="auto"/>
        </w:rPr>
      </w:pPr>
    </w:p>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Franchises, Patents, Copyrights, Etc.</w:t>
      </w:r>
    </w:p>
    <w:p>
      <w:pPr>
        <w:spacing w:after="0" w:line="121" w:lineRule="exact"/>
        <w:rPr>
          <w:rFonts w:ascii="Arial" w:cs="Arial" w:eastAsia="Arial" w:hAnsi="Arial"/>
          <w:sz w:val="18"/>
          <w:szCs w:val="18"/>
          <w:color w:val="auto"/>
        </w:rPr>
      </w:pPr>
    </w:p>
    <w:p>
      <w:pPr>
        <w:jc w:val="both"/>
        <w:ind w:left="352" w:right="340"/>
        <w:spacing w:after="0" w:line="286" w:lineRule="auto"/>
        <w:rPr>
          <w:rFonts w:ascii="Arial" w:cs="Arial" w:eastAsia="Arial" w:hAnsi="Arial"/>
          <w:sz w:val="18"/>
          <w:szCs w:val="18"/>
          <w:color w:val="auto"/>
        </w:rPr>
      </w:pPr>
      <w:r>
        <w:rPr>
          <w:rFonts w:ascii="Arial" w:cs="Arial" w:eastAsia="Arial" w:hAnsi="Arial"/>
          <w:sz w:val="17"/>
          <w:szCs w:val="17"/>
          <w:color w:val="auto"/>
        </w:rPr>
        <w:t>Each of the Obligors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53" w:lineRule="exact"/>
        <w:rPr>
          <w:rFonts w:ascii="Arial" w:cs="Arial" w:eastAsia="Arial" w:hAnsi="Arial"/>
          <w:sz w:val="18"/>
          <w:szCs w:val="18"/>
          <w:color w:val="auto"/>
        </w:rPr>
      </w:pPr>
    </w:p>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ind w:left="352"/>
        <w:spacing w:after="0" w:line="259" w:lineRule="auto"/>
        <w:rPr>
          <w:rFonts w:ascii="Arial" w:cs="Arial" w:eastAsia="Arial" w:hAnsi="Arial"/>
          <w:sz w:val="18"/>
          <w:szCs w:val="18"/>
          <w:color w:val="auto"/>
        </w:rPr>
      </w:pPr>
      <w:r>
        <w:rPr>
          <w:rFonts w:ascii="Arial" w:cs="Arial" w:eastAsia="Arial" w:hAnsi="Arial"/>
          <w:sz w:val="18"/>
          <w:szCs w:val="18"/>
          <w:color w:val="auto"/>
        </w:rPr>
        <w:t>Except as disclosed in Schedule 6.7 of the U.S. Credit Agreement, as such Schedule exists at the date of this Agreement, or in the Disclosure Documents, there are no actions, suits, proceedings or investigations of any kind pending or, to the knowledge of the Obligors, threatened against the Obligors before any court, tribunal or administrative agency or board which, either in any case or in the aggregate, could reasonably be expected to have a Material Adverse Effect.</w:t>
      </w:r>
    </w:p>
    <w:p>
      <w:pPr>
        <w:spacing w:after="0" w:line="74" w:lineRule="exact"/>
        <w:rPr>
          <w:rFonts w:ascii="Arial" w:cs="Arial" w:eastAsia="Arial" w:hAnsi="Arial"/>
          <w:sz w:val="18"/>
          <w:szCs w:val="18"/>
          <w:color w:val="auto"/>
        </w:rPr>
      </w:pPr>
    </w:p>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No Materially Adverse Contracts, Etc.</w:t>
      </w:r>
    </w:p>
    <w:p>
      <w:pPr>
        <w:spacing w:after="0" w:line="121" w:lineRule="exact"/>
        <w:rPr>
          <w:rFonts w:ascii="Arial" w:cs="Arial" w:eastAsia="Arial" w:hAnsi="Arial"/>
          <w:sz w:val="18"/>
          <w:szCs w:val="18"/>
          <w:color w:val="auto"/>
        </w:rPr>
      </w:pPr>
    </w:p>
    <w:p>
      <w:pPr>
        <w:ind w:left="352" w:right="40"/>
        <w:spacing w:after="0" w:line="279" w:lineRule="auto"/>
        <w:rPr>
          <w:rFonts w:ascii="Arial" w:cs="Arial" w:eastAsia="Arial" w:hAnsi="Arial"/>
          <w:sz w:val="18"/>
          <w:szCs w:val="18"/>
          <w:color w:val="auto"/>
        </w:rPr>
      </w:pPr>
      <w:r>
        <w:rPr>
          <w:rFonts w:ascii="Arial" w:cs="Arial" w:eastAsia="Arial" w:hAnsi="Arial"/>
          <w:sz w:val="17"/>
          <w:szCs w:val="17"/>
          <w:color w:val="auto"/>
        </w:rPr>
        <w:t>None of the Obligors is subject to any restriction in its Constating Documents, corporate or other legal restriction, or any judgment, decree, order, rule or regulation which in the judgment of such Obligor’s officers has or could reasonably be expected in the future to have a Material Adverse Effect. None of the Obligors is a party to any contract or agreement which in the judgment of such Obligor’s officers has or could reasonably be expected to have any Material Adverse Effect, except as otherwise reflected in adequate reserves as required by GAAP.</w:t>
      </w:r>
    </w:p>
    <w:p>
      <w:pPr>
        <w:spacing w:after="0" w:line="59" w:lineRule="exact"/>
        <w:rPr>
          <w:rFonts w:ascii="Arial" w:cs="Arial" w:eastAsia="Arial" w:hAnsi="Arial"/>
          <w:sz w:val="18"/>
          <w:szCs w:val="18"/>
          <w:color w:val="auto"/>
        </w:rPr>
      </w:pPr>
    </w:p>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Compliance With Other Instruments, Laws, Etc.</w:t>
      </w:r>
    </w:p>
    <w:p>
      <w:pPr>
        <w:spacing w:after="0" w:line="121" w:lineRule="exact"/>
        <w:rPr>
          <w:rFonts w:ascii="Arial" w:cs="Arial" w:eastAsia="Arial" w:hAnsi="Arial"/>
          <w:sz w:val="18"/>
          <w:szCs w:val="18"/>
          <w:color w:val="auto"/>
        </w:rPr>
      </w:pPr>
    </w:p>
    <w:p>
      <w:pPr>
        <w:ind w:left="352" w:right="20"/>
        <w:spacing w:after="0" w:line="312" w:lineRule="auto"/>
        <w:rPr>
          <w:rFonts w:ascii="Arial" w:cs="Arial" w:eastAsia="Arial" w:hAnsi="Arial"/>
          <w:sz w:val="18"/>
          <w:szCs w:val="18"/>
          <w:color w:val="auto"/>
        </w:rPr>
      </w:pPr>
      <w:r>
        <w:rPr>
          <w:rFonts w:ascii="Arial" w:cs="Arial" w:eastAsia="Arial" w:hAnsi="Arial"/>
          <w:sz w:val="16"/>
          <w:szCs w:val="16"/>
          <w:color w:val="auto"/>
        </w:rPr>
        <w:t>None of the Obligor is (a) violating any provision of its Constating Documents,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34" w:lineRule="exact"/>
        <w:rPr>
          <w:rFonts w:ascii="Arial" w:cs="Arial" w:eastAsia="Arial" w:hAnsi="Arial"/>
          <w:sz w:val="18"/>
          <w:szCs w:val="18"/>
          <w:color w:val="auto"/>
        </w:rPr>
      </w:pPr>
    </w:p>
    <w:p>
      <w:pPr>
        <w:ind w:left="412" w:hanging="412"/>
        <w:spacing w:after="0"/>
        <w:tabs>
          <w:tab w:leader="none" w:pos="41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ind w:left="352" w:right="700"/>
        <w:spacing w:after="0" w:line="277" w:lineRule="auto"/>
        <w:rPr>
          <w:sz w:val="20"/>
          <w:szCs w:val="20"/>
          <w:color w:val="auto"/>
        </w:rPr>
      </w:pPr>
      <w:r>
        <w:rPr>
          <w:rFonts w:ascii="Arial" w:cs="Arial" w:eastAsia="Arial" w:hAnsi="Arial"/>
          <w:sz w:val="18"/>
          <w:szCs w:val="18"/>
          <w:color w:val="auto"/>
        </w:rPr>
        <w:t>Each of the Obligors have filed all federal, state, provincial and territorial income and all other tax returns, reports and declarations (or obtained extensions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85" w:name="page186"/>
    <w:bookmarkEnd w:id="185"/>
    <w:p>
      <w:pPr>
        <w:jc w:val="center"/>
        <w:ind w:right="-31"/>
        <w:spacing w:after="0"/>
        <w:rPr>
          <w:sz w:val="20"/>
          <w:szCs w:val="20"/>
          <w:color w:val="auto"/>
        </w:rPr>
      </w:pPr>
      <w:r>
        <w:rPr>
          <w:rFonts w:ascii="Arial" w:cs="Arial" w:eastAsia="Arial" w:hAnsi="Arial"/>
          <w:sz w:val="18"/>
          <w:szCs w:val="18"/>
          <w:color w:val="auto"/>
        </w:rPr>
        <w:t>- 30 -</w:t>
      </w:r>
    </w:p>
    <w:p>
      <w:pPr>
        <w:spacing w:after="0" w:line="198" w:lineRule="exact"/>
        <w:rPr>
          <w:sz w:val="20"/>
          <w:szCs w:val="20"/>
          <w:color w:val="auto"/>
        </w:rPr>
      </w:pPr>
    </w:p>
    <w:p>
      <w:pPr>
        <w:ind w:left="352"/>
        <w:spacing w:after="0" w:line="270" w:lineRule="auto"/>
        <w:rPr>
          <w:sz w:val="20"/>
          <w:szCs w:val="20"/>
          <w:color w:val="auto"/>
        </w:rPr>
      </w:pPr>
      <w:r>
        <w:rPr>
          <w:rFonts w:ascii="Arial" w:cs="Arial" w:eastAsia="Arial" w:hAnsi="Arial"/>
          <w:sz w:val="17"/>
          <w:szCs w:val="17"/>
          <w:color w:val="auto"/>
        </w:rPr>
        <w:t>thereto) required by applicable law to be filed by them (unless and only to the extent that such Obligor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any Obligor on an individual basis or of Waste Management, Inc.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Obligor, nor do the officers of any Obligor know of any basis for any such claim.</w:t>
      </w:r>
    </w:p>
    <w:p>
      <w:pPr>
        <w:spacing w:after="0" w:line="70" w:lineRule="exact"/>
        <w:rPr>
          <w:sz w:val="20"/>
          <w:szCs w:val="20"/>
          <w:color w:val="auto"/>
        </w:rPr>
      </w:pPr>
    </w:p>
    <w:p>
      <w:pPr>
        <w:ind w:left="412" w:hanging="412"/>
        <w:spacing w:after="0"/>
        <w:tabs>
          <w:tab w:leader="none" w:pos="41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No Event of Default</w:t>
      </w:r>
    </w:p>
    <w:p>
      <w:pPr>
        <w:spacing w:after="0" w:line="1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No Pending Event of Default or Event of Default has occurred hereunder and is continuing.</w:t>
      </w:r>
    </w:p>
    <w:p>
      <w:pPr>
        <w:spacing w:after="0" w:line="113" w:lineRule="exact"/>
        <w:rPr>
          <w:sz w:val="20"/>
          <w:szCs w:val="20"/>
          <w:color w:val="auto"/>
        </w:rPr>
      </w:pPr>
    </w:p>
    <w:p>
      <w:pPr>
        <w:ind w:left="412" w:hanging="412"/>
        <w:spacing w:after="0"/>
        <w:tabs>
          <w:tab w:leader="none" w:pos="41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Holding Company and Investment Company Acts</w:t>
      </w:r>
    </w:p>
    <w:p>
      <w:pPr>
        <w:spacing w:after="0" w:line="121" w:lineRule="exact"/>
        <w:rPr>
          <w:sz w:val="20"/>
          <w:szCs w:val="20"/>
          <w:color w:val="auto"/>
        </w:rPr>
      </w:pPr>
    </w:p>
    <w:p>
      <w:pPr>
        <w:ind w:left="352" w:right="100"/>
        <w:spacing w:after="0" w:line="286" w:lineRule="auto"/>
        <w:rPr>
          <w:sz w:val="20"/>
          <w:szCs w:val="20"/>
          <w:color w:val="auto"/>
        </w:rPr>
      </w:pPr>
      <w:r>
        <w:rPr>
          <w:rFonts w:ascii="Arial" w:cs="Arial" w:eastAsia="Arial" w:hAnsi="Arial"/>
          <w:sz w:val="17"/>
          <w:szCs w:val="17"/>
          <w:color w:val="auto"/>
        </w:rPr>
        <w:t xml:space="preserve">None of the Obligors is a “holding company”, or a “subsidiary company” of a “holding company”, or an “affiliate” of a “holding company”, as such terms are defined in the </w:t>
      </w:r>
      <w:r>
        <w:rPr>
          <w:rFonts w:ascii="Arial" w:cs="Arial" w:eastAsia="Arial" w:hAnsi="Arial"/>
          <w:sz w:val="17"/>
          <w:szCs w:val="17"/>
          <w:i w:val="1"/>
          <w:iCs w:val="1"/>
          <w:color w:val="auto"/>
        </w:rPr>
        <w:t>Public Utility Holding Company Act of 1935</w:t>
      </w:r>
      <w:r>
        <w:rPr>
          <w:rFonts w:ascii="Arial" w:cs="Arial" w:eastAsia="Arial" w:hAnsi="Arial"/>
          <w:sz w:val="17"/>
          <w:szCs w:val="17"/>
          <w:color w:val="auto"/>
        </w:rPr>
        <w:t xml:space="preserve">; nor is any of them a “registered investment company”, or an “affiliated company” or a “principal underwriter” of a “registered investment company”, as such terms are defined in the </w:t>
      </w:r>
      <w:r>
        <w:rPr>
          <w:rFonts w:ascii="Arial" w:cs="Arial" w:eastAsia="Arial" w:hAnsi="Arial"/>
          <w:sz w:val="17"/>
          <w:szCs w:val="17"/>
          <w:i w:val="1"/>
          <w:iCs w:val="1"/>
          <w:color w:val="auto"/>
        </w:rPr>
        <w:t>Investment Company Act of 1940</w:t>
      </w:r>
      <w:r>
        <w:rPr>
          <w:rFonts w:ascii="Arial" w:cs="Arial" w:eastAsia="Arial" w:hAnsi="Arial"/>
          <w:sz w:val="17"/>
          <w:szCs w:val="17"/>
          <w:color w:val="auto"/>
        </w:rPr>
        <w:t>.</w:t>
      </w:r>
    </w:p>
    <w:p>
      <w:pPr>
        <w:spacing w:after="0" w:line="53" w:lineRule="exact"/>
        <w:rPr>
          <w:sz w:val="20"/>
          <w:szCs w:val="20"/>
          <w:color w:val="auto"/>
        </w:rPr>
      </w:pPr>
    </w:p>
    <w:p>
      <w:pPr>
        <w:ind w:left="412" w:hanging="412"/>
        <w:spacing w:after="0"/>
        <w:tabs>
          <w:tab w:leader="none" w:pos="412"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Absence of Financing Statements, Etc.</w:t>
      </w:r>
    </w:p>
    <w:p>
      <w:pPr>
        <w:spacing w:after="0" w:line="121" w:lineRule="exact"/>
        <w:rPr>
          <w:sz w:val="20"/>
          <w:szCs w:val="20"/>
          <w:color w:val="auto"/>
        </w:rPr>
      </w:pPr>
    </w:p>
    <w:p>
      <w:pPr>
        <w:ind w:left="352" w:right="140"/>
        <w:spacing w:after="0" w:line="302" w:lineRule="auto"/>
        <w:rPr>
          <w:sz w:val="20"/>
          <w:szCs w:val="20"/>
          <w:color w:val="auto"/>
        </w:rPr>
      </w:pPr>
      <w:r>
        <w:rPr>
          <w:rFonts w:ascii="Arial" w:cs="Arial" w:eastAsia="Arial" w:hAnsi="Arial"/>
          <w:sz w:val="16"/>
          <w:szCs w:val="16"/>
          <w:color w:val="auto"/>
        </w:rPr>
        <w:t>Except as permitted by §8.1 of the U.S. Credit Agreement, as such provision exists at the date of this Agreement, there is no Debt senior to the Obligations, and except for Permitted Encumbrances, there are no Encumbrances, or any effective financing statement, security agreement, chattel mortgage, real estate mortgage or other document filed, registered or recorded with any filing records, registry, or other public office, which purports to cover, affect or give notice of any present or possible future Encumbrances on any assets or property of any Obligor or right thereunder.</w:t>
      </w:r>
    </w:p>
    <w:p>
      <w:pPr>
        <w:spacing w:after="0" w:line="42" w:lineRule="exact"/>
        <w:rPr>
          <w:sz w:val="20"/>
          <w:szCs w:val="20"/>
          <w:color w:val="auto"/>
        </w:rPr>
      </w:pPr>
    </w:p>
    <w:p>
      <w:pPr>
        <w:ind w:left="412" w:hanging="412"/>
        <w:spacing w:after="0"/>
        <w:tabs>
          <w:tab w:leader="none" w:pos="412"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left="352" w:right="60"/>
        <w:spacing w:after="0" w:line="286" w:lineRule="auto"/>
        <w:rPr>
          <w:sz w:val="20"/>
          <w:szCs w:val="20"/>
          <w:color w:val="auto"/>
        </w:rPr>
      </w:pPr>
      <w:r>
        <w:rPr>
          <w:rFonts w:ascii="Arial" w:cs="Arial" w:eastAsia="Arial" w:hAnsi="Arial"/>
          <w:sz w:val="17"/>
          <w:szCs w:val="17"/>
          <w:color w:val="auto"/>
        </w:rPr>
        <w:t>Each of the Obligors have taken all steps that they have deemed reasonably necessary to investigate the past and present condition and usage of its Real Property and the operations conducted by it and, based upon such diligent investigation, have determined that, except as set forth in Schedule 6.15 to the U.S. Credit Agreement, as such Schedule exists at the date of this Agreement, and in the Disclosure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86" w:name="page187"/>
    <w:bookmarkEnd w:id="186"/>
    <w:p>
      <w:pPr>
        <w:jc w:val="center"/>
        <w:ind w:right="-11"/>
        <w:spacing w:after="0"/>
        <w:rPr>
          <w:sz w:val="20"/>
          <w:szCs w:val="20"/>
          <w:color w:val="auto"/>
        </w:rPr>
      </w:pPr>
      <w:r>
        <w:rPr>
          <w:rFonts w:ascii="Arial" w:cs="Arial" w:eastAsia="Arial" w:hAnsi="Arial"/>
          <w:sz w:val="18"/>
          <w:szCs w:val="18"/>
          <w:color w:val="auto"/>
        </w:rPr>
        <w:t>- 31 -</w:t>
      </w:r>
    </w:p>
    <w:p>
      <w:pPr>
        <w:spacing w:after="0" w:line="198" w:lineRule="exact"/>
        <w:rPr>
          <w:sz w:val="20"/>
          <w:szCs w:val="20"/>
          <w:color w:val="auto"/>
        </w:rPr>
      </w:pPr>
    </w:p>
    <w:p>
      <w:pPr>
        <w:ind w:left="312" w:right="40" w:hanging="312"/>
        <w:spacing w:after="0" w:line="255" w:lineRule="auto"/>
        <w:tabs>
          <w:tab w:leader="none" w:pos="31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None of the Obligors, nor any operator of their properties, is in violation, or alleged violation, of any judgment, decree, order, law, permit, license, rule or regulation pertaining to environmental matters, including without limitation, those arising under the </w:t>
      </w:r>
      <w:r>
        <w:rPr>
          <w:rFonts w:ascii="Arial" w:cs="Arial" w:eastAsia="Arial" w:hAnsi="Arial"/>
          <w:sz w:val="18"/>
          <w:szCs w:val="18"/>
          <w:i w:val="1"/>
          <w:iCs w:val="1"/>
          <w:color w:val="auto"/>
        </w:rPr>
        <w:t>Resource Conservation and Recovery Act</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Comprehensive Environmental Response, Compensation and Liability Act of 1980 </w:t>
      </w:r>
      <w:r>
        <w:rPr>
          <w:rFonts w:ascii="Arial" w:cs="Arial" w:eastAsia="Arial" w:hAnsi="Arial"/>
          <w:sz w:val="18"/>
          <w:szCs w:val="18"/>
          <w:color w:val="auto"/>
        </w:rPr>
        <w:t>as amended (“</w:t>
      </w:r>
      <w:r>
        <w:rPr>
          <w:rFonts w:ascii="Arial" w:cs="Arial" w:eastAsia="Arial" w:hAnsi="Arial"/>
          <w:sz w:val="18"/>
          <w:szCs w:val="18"/>
          <w:b w:val="1"/>
          <w:bCs w:val="1"/>
          <w:color w:val="auto"/>
        </w:rPr>
        <w:t>CERCLA</w:t>
      </w:r>
      <w:r>
        <w:rPr>
          <w:rFonts w:ascii="Arial" w:cs="Arial" w:eastAsia="Arial" w:hAnsi="Arial"/>
          <w:sz w:val="18"/>
          <w:szCs w:val="18"/>
          <w:color w:val="auto"/>
        </w:rPr>
        <w:t>”), the</w:t>
      </w:r>
      <w:r>
        <w:rPr>
          <w:rFonts w:ascii="Arial" w:cs="Arial" w:eastAsia="Arial" w:hAnsi="Arial"/>
          <w:sz w:val="18"/>
          <w:szCs w:val="18"/>
          <w:i w:val="1"/>
          <w:iCs w:val="1"/>
          <w:color w:val="auto"/>
        </w:rPr>
        <w:t xml:space="preserve"> Superfund Amendments and Reauthorization Act of 1986</w:t>
      </w:r>
      <w:r>
        <w:rPr>
          <w:rFonts w:ascii="Arial" w:cs="Arial" w:eastAsia="Arial" w:hAnsi="Arial"/>
          <w:sz w:val="18"/>
          <w:szCs w:val="18"/>
          <w:color w:val="auto"/>
        </w:rPr>
        <w:t>, the</w:t>
      </w:r>
      <w:r>
        <w:rPr>
          <w:rFonts w:ascii="Arial" w:cs="Arial" w:eastAsia="Arial" w:hAnsi="Arial"/>
          <w:sz w:val="18"/>
          <w:szCs w:val="18"/>
          <w:i w:val="1"/>
          <w:iCs w:val="1"/>
          <w:color w:val="auto"/>
        </w:rPr>
        <w:t xml:space="preserve"> Federal Clean Water Act</w:t>
      </w:r>
      <w:r>
        <w:rPr>
          <w:rFonts w:ascii="Arial" w:cs="Arial" w:eastAsia="Arial" w:hAnsi="Arial"/>
          <w:sz w:val="18"/>
          <w:szCs w:val="18"/>
          <w:color w:val="auto"/>
        </w:rPr>
        <w:t>, the</w:t>
      </w:r>
      <w:r>
        <w:rPr>
          <w:rFonts w:ascii="Arial" w:cs="Arial" w:eastAsia="Arial" w:hAnsi="Arial"/>
          <w:sz w:val="18"/>
          <w:szCs w:val="18"/>
          <w:i w:val="1"/>
          <w:iCs w:val="1"/>
          <w:color w:val="auto"/>
        </w:rPr>
        <w:t xml:space="preserve"> Federal Clean Air Act</w:t>
      </w:r>
      <w:r>
        <w:rPr>
          <w:rFonts w:ascii="Arial" w:cs="Arial" w:eastAsia="Arial" w:hAnsi="Arial"/>
          <w:sz w:val="18"/>
          <w:szCs w:val="18"/>
          <w:color w:val="auto"/>
        </w:rPr>
        <w:t>, the</w:t>
      </w:r>
      <w:r>
        <w:rPr>
          <w:rFonts w:ascii="Arial" w:cs="Arial" w:eastAsia="Arial" w:hAnsi="Arial"/>
          <w:sz w:val="18"/>
          <w:szCs w:val="18"/>
          <w:i w:val="1"/>
          <w:iCs w:val="1"/>
          <w:color w:val="auto"/>
        </w:rPr>
        <w:t xml:space="preserve"> Toxic Substances Control Act</w:t>
      </w:r>
      <w:r>
        <w:rPr>
          <w:rFonts w:ascii="Arial" w:cs="Arial" w:eastAsia="Arial" w:hAnsi="Arial"/>
          <w:sz w:val="18"/>
          <w:szCs w:val="18"/>
          <w:color w:val="auto"/>
        </w:rPr>
        <w:t>, or any applicable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provincial, territorial or local statute, regulation, ordinance, order or decree relating to health, safety, waste transportation or disposal, or the environment (the “</w:t>
      </w:r>
      <w:r>
        <w:rPr>
          <w:rFonts w:ascii="Arial" w:cs="Arial" w:eastAsia="Arial" w:hAnsi="Arial"/>
          <w:sz w:val="18"/>
          <w:szCs w:val="18"/>
          <w:b w:val="1"/>
          <w:bCs w:val="1"/>
          <w:color w:val="auto"/>
        </w:rPr>
        <w:t>Environmental Laws</w:t>
      </w:r>
      <w:r>
        <w:rPr>
          <w:rFonts w:ascii="Arial" w:cs="Arial" w:eastAsia="Arial" w:hAnsi="Arial"/>
          <w:sz w:val="18"/>
          <w:szCs w:val="18"/>
          <w:color w:val="auto"/>
        </w:rPr>
        <w:t>”), which violation, individually or in the aggregate, could reasonably be expected to have a Material Adverse Effect.</w:t>
      </w:r>
    </w:p>
    <w:p>
      <w:pPr>
        <w:spacing w:after="0" w:line="81" w:lineRule="exact"/>
        <w:rPr>
          <w:rFonts w:ascii="Arial" w:cs="Arial" w:eastAsia="Arial" w:hAnsi="Arial"/>
          <w:sz w:val="18"/>
          <w:szCs w:val="18"/>
          <w:color w:val="auto"/>
        </w:rPr>
      </w:pPr>
    </w:p>
    <w:p>
      <w:pPr>
        <w:ind w:left="332" w:hanging="332"/>
        <w:spacing w:after="0" w:line="288" w:lineRule="auto"/>
        <w:tabs>
          <w:tab w:leader="none" w:pos="33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none of the Obligors has received notice from any third party including, without limitation: any federal, state, provincial, territorial or local governmental authority, (i) that any one of them has been identified by the United States Environmental Protection Agency (“</w:t>
      </w:r>
      <w:r>
        <w:rPr>
          <w:rFonts w:ascii="Arial" w:cs="Arial" w:eastAsia="Arial" w:hAnsi="Arial"/>
          <w:sz w:val="16"/>
          <w:szCs w:val="16"/>
          <w:b w:val="1"/>
          <w:bCs w:val="1"/>
          <w:color w:val="auto"/>
        </w:rPr>
        <w:t>EPA</w:t>
      </w:r>
      <w:r>
        <w:rPr>
          <w:rFonts w:ascii="Arial" w:cs="Arial" w:eastAsia="Arial" w:hAnsi="Arial"/>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6"/>
          <w:szCs w:val="16"/>
          <w:b w:val="1"/>
          <w:bCs w:val="1"/>
          <w:color w:val="auto"/>
        </w:rPr>
        <w:t>Hazardous Substances</w:t>
      </w:r>
      <w:r>
        <w:rPr>
          <w:rFonts w:ascii="Arial" w:cs="Arial" w:eastAsia="Arial" w:hAnsi="Arial"/>
          <w:sz w:val="16"/>
          <w:szCs w:val="16"/>
          <w:color w:val="auto"/>
        </w:rPr>
        <w:t>”), which any one of them has generated, transported or disposed of, has been found at any site at which a federal, state, provincial, territorial or local agency or other third party has conducted or has ordered that an Obligor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61" w:lineRule="exact"/>
        <w:rPr>
          <w:rFonts w:ascii="Arial" w:cs="Arial" w:eastAsia="Arial" w:hAnsi="Arial"/>
          <w:sz w:val="16"/>
          <w:szCs w:val="16"/>
          <w:color w:val="auto"/>
        </w:rPr>
      </w:pPr>
    </w:p>
    <w:p>
      <w:pPr>
        <w:ind w:left="312" w:right="40" w:hanging="312"/>
        <w:spacing w:after="0" w:line="272" w:lineRule="auto"/>
        <w:tabs>
          <w:tab w:leader="none" w:pos="31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for those occurrences or situations that could not reasonably be expected to have a Material Adverse Effect (i) no portion of the Real Property or other assets of the Obligors has been used for the handling, processing, storage or disposal of Hazardous Substances except in accordance with applicable Environmental Laws, (ii) in the course of any activities conducted by the Obligors or their respective operators of the Real Property or other assets of the Obligors,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Obligors, and (iv) any Hazardous Substances that have been generated on the Real Property or other assets of the Obligors have been transported offsite only by carriers having an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187" w:name="page188"/>
    <w:bookmarkEnd w:id="187"/>
    <w:p>
      <w:pPr>
        <w:jc w:val="center"/>
        <w:ind w:right="-59"/>
        <w:spacing w:after="0"/>
        <w:rPr>
          <w:sz w:val="20"/>
          <w:szCs w:val="20"/>
          <w:color w:val="auto"/>
        </w:rPr>
      </w:pPr>
      <w:r>
        <w:rPr>
          <w:rFonts w:ascii="Arial" w:cs="Arial" w:eastAsia="Arial" w:hAnsi="Arial"/>
          <w:sz w:val="18"/>
          <w:szCs w:val="18"/>
          <w:color w:val="auto"/>
        </w:rPr>
        <w:t>- 32 -</w:t>
      </w:r>
    </w:p>
    <w:p>
      <w:pPr>
        <w:spacing w:after="0" w:line="306" w:lineRule="exact"/>
        <w:rPr>
          <w:sz w:val="20"/>
          <w:szCs w:val="20"/>
          <w:color w:val="auto"/>
        </w:rPr>
      </w:pPr>
    </w:p>
    <w:p>
      <w:pPr>
        <w:ind w:left="580" w:right="100"/>
        <w:spacing w:after="0" w:line="264" w:lineRule="auto"/>
        <w:rPr>
          <w:sz w:val="20"/>
          <w:szCs w:val="20"/>
          <w:color w:val="auto"/>
        </w:rPr>
      </w:pPr>
      <w:r>
        <w:rPr>
          <w:rFonts w:ascii="Arial" w:cs="Arial" w:eastAsia="Arial" w:hAnsi="Arial"/>
          <w:sz w:val="18"/>
          <w:szCs w:val="18"/>
          <w:color w:val="auto"/>
        </w:rPr>
        <w:t>issued by the EPA or other relevant Governmental Authority, treated or disposed of only by treatment or disposal facilities maintaining valid permits as required under applicable Environmental Laws, which transporters and facilities have been and are, to the Obligors’ knowledge, operating in compliance with such permits and applicable Environmental Laws.</w:t>
      </w:r>
    </w:p>
    <w:p>
      <w:pPr>
        <w:spacing w:after="0" w:line="69" w:lineRule="exact"/>
        <w:rPr>
          <w:sz w:val="20"/>
          <w:szCs w:val="20"/>
          <w:color w:val="auto"/>
        </w:rPr>
      </w:pPr>
    </w:p>
    <w:p>
      <w:pPr>
        <w:ind w:left="420" w:hanging="412"/>
        <w:spacing w:after="0"/>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Disclosure</w:t>
      </w:r>
    </w:p>
    <w:p>
      <w:pPr>
        <w:spacing w:after="0" w:line="121" w:lineRule="exact"/>
        <w:rPr>
          <w:sz w:val="20"/>
          <w:szCs w:val="20"/>
          <w:color w:val="auto"/>
        </w:rPr>
      </w:pPr>
    </w:p>
    <w:p>
      <w:pPr>
        <w:ind w:left="360" w:right="120"/>
        <w:spacing w:after="0" w:line="302" w:lineRule="auto"/>
        <w:rPr>
          <w:sz w:val="20"/>
          <w:szCs w:val="20"/>
          <w:color w:val="auto"/>
        </w:rPr>
      </w:pPr>
      <w:r>
        <w:rPr>
          <w:rFonts w:ascii="Arial" w:cs="Arial" w:eastAsia="Arial" w:hAnsi="Arial"/>
          <w:sz w:val="16"/>
          <w:szCs w:val="16"/>
          <w:color w:val="auto"/>
        </w:rPr>
        <w:t>No representation or warranty made by any Obligor in this Agreement or in any agreement, instrument, document, certificate, or financial statement furnished to the Lenders or the Agent by or on behalf of or at the request of the Borrower and any other Obligor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42" w:lineRule="exact"/>
        <w:rPr>
          <w:sz w:val="20"/>
          <w:szCs w:val="20"/>
          <w:color w:val="auto"/>
        </w:rPr>
      </w:pPr>
    </w:p>
    <w:p>
      <w:pPr>
        <w:ind w:left="420" w:hanging="412"/>
        <w:spacing w:after="0"/>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Permits and Governmental Authority</w:t>
      </w:r>
    </w:p>
    <w:p>
      <w:pPr>
        <w:spacing w:after="0" w:line="121"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All permits (other than those the absence of which could not reasonably be expected to have a Material Adverse Effect) required for the construction and operation of all landfills currently owned or operated by Waste Management, Inc. or the other Obligors have been obtained and remain in full force and effect and are not subject to any appeals or further proceedings or to any unsatisfied conditions that may allow material modification or revocation. None of the Obligors, to the knowledge of any such Obligor, or the holder of such permits, is in violation of any such permits, except for any violation which could not reasonably be expected to have a Material Adverse Effect.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Survival of Representations and Warranties</w:t>
      </w:r>
    </w:p>
    <w:p>
      <w:pPr>
        <w:spacing w:after="0" w:line="121"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The representations and warranties made in this Agreement shall survive the execution of this Agreement and all other Loan Documents until such time as all of the Obligations have been paid in full, and unless expressly stated to be made as of a specific date, shall be deemed to be repeated and made as of the date of each Advance (including any deemed Advance) and as of the date of delivery of each Compliance Certificate with the same force and effect as if made on and as of each such date, subject to modifications communicated by the Borrower to the Lenders in writing and accepted by the Required Lenders. The Lenders shall be deemed to have relied upon such representations and warranties at each such time as a condition of making an Advance hereunder or continuing to extend the Credit hereunder.</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right"/>
        <w:ind w:right="7380"/>
        <w:spacing w:after="0"/>
        <w:rPr>
          <w:sz w:val="20"/>
          <w:szCs w:val="20"/>
          <w:color w:val="auto"/>
        </w:rPr>
      </w:pPr>
      <w:r>
        <w:rPr>
          <w:rFonts w:ascii="Arial" w:cs="Arial" w:eastAsia="Arial" w:hAnsi="Arial"/>
          <w:sz w:val="16"/>
          <w:szCs w:val="16"/>
          <w:b w:val="1"/>
          <w:bCs w:val="1"/>
          <w:color w:val="auto"/>
        </w:rPr>
        <w:t>7.1 Financial Covenants of Waste Management, Inc.</w:t>
      </w:r>
    </w:p>
    <w:p>
      <w:pPr>
        <w:spacing w:after="0" w:line="144" w:lineRule="exact"/>
        <w:rPr>
          <w:sz w:val="20"/>
          <w:szCs w:val="20"/>
          <w:color w:val="auto"/>
        </w:rPr>
      </w:pPr>
    </w:p>
    <w:p>
      <w:pPr>
        <w:jc w:val="right"/>
        <w:ind w:right="7420"/>
        <w:spacing w:after="0"/>
        <w:rPr>
          <w:sz w:val="20"/>
          <w:szCs w:val="20"/>
          <w:color w:val="auto"/>
        </w:rPr>
      </w:pPr>
      <w:r>
        <w:rPr>
          <w:rFonts w:ascii="Arial" w:cs="Arial" w:eastAsia="Arial" w:hAnsi="Arial"/>
          <w:sz w:val="17"/>
          <w:szCs w:val="17"/>
          <w:color w:val="auto"/>
        </w:rPr>
        <w:t>Waste Management, Inc. shall at all times maintain:</w:t>
      </w:r>
    </w:p>
    <w:p>
      <w:pPr>
        <w:spacing w:after="0" w:line="129" w:lineRule="exact"/>
        <w:rPr>
          <w:sz w:val="20"/>
          <w:szCs w:val="20"/>
          <w:color w:val="auto"/>
        </w:rPr>
      </w:pPr>
    </w:p>
    <w:p>
      <w:pPr>
        <w:ind w:left="800" w:hanging="45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Total Leverage Ratio of not greater than 3.50 to 1.00;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color w:val="auto"/>
        </w:rPr>
        <w:t>- 33 -</w:t>
      </w:r>
    </w:p>
    <w:p>
      <w:pPr>
        <w:spacing w:after="0" w:line="306" w:lineRule="exact"/>
        <w:rPr>
          <w:sz w:val="20"/>
          <w:szCs w:val="20"/>
          <w:color w:val="auto"/>
        </w:rPr>
      </w:pPr>
    </w:p>
    <w:p>
      <w:pPr>
        <w:ind w:left="800" w:hanging="454"/>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Interest Coverage Ratio of not less than 2.75 to 1.00.</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foregoing ratios shall be calculated on a rolling four quarter basis, based on the most recently completed four fiscal quarters of Waste Management,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Positive 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term of this Agreement, each Obligor, as applicable, shall perform the covenants specified below:</w:t>
      </w:r>
    </w:p>
    <w:p>
      <w:pPr>
        <w:spacing w:after="0" w:line="113"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Punctual Payment</w:t>
      </w:r>
    </w:p>
    <w:p>
      <w:pPr>
        <w:spacing w:after="0" w:line="121" w:lineRule="exact"/>
        <w:rPr>
          <w:rFonts w:ascii="Arial" w:cs="Arial" w:eastAsia="Arial" w:hAnsi="Arial"/>
          <w:sz w:val="18"/>
          <w:szCs w:val="18"/>
          <w:color w:val="auto"/>
        </w:rPr>
      </w:pPr>
    </w:p>
    <w:p>
      <w:pPr>
        <w:ind w:left="360" w:right="280"/>
        <w:spacing w:after="0" w:line="259" w:lineRule="auto"/>
        <w:rPr>
          <w:rFonts w:ascii="Arial" w:cs="Arial" w:eastAsia="Arial" w:hAnsi="Arial"/>
          <w:sz w:val="18"/>
          <w:szCs w:val="18"/>
          <w:color w:val="auto"/>
        </w:rPr>
      </w:pPr>
      <w:r>
        <w:rPr>
          <w:rFonts w:ascii="Arial" w:cs="Arial" w:eastAsia="Arial" w:hAnsi="Arial"/>
          <w:sz w:val="18"/>
          <w:szCs w:val="18"/>
          <w:color w:val="auto"/>
        </w:rPr>
        <w:t>The Borrower shall duly and punctually pay and perform its indebtedness, liabilities and obligations under this Agreement and under the other Loan Documents to which it is a party and each Guarantor shall duly and punctually pay and perform its indebtedness, liabilities and obligations under this Agreement and under the other Loan Documents to which it is a party, in each case, at the times and places and in the manner required by the terms hereof and thereof.</w:t>
      </w:r>
    </w:p>
    <w:p>
      <w:pPr>
        <w:spacing w:after="0" w:line="74"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Chief Place of Business</w:t>
      </w:r>
    </w:p>
    <w:p>
      <w:pPr>
        <w:spacing w:after="0" w:line="121"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The Borrower’s place of business is located at 5045 South Service Road, Suite 300, Burlington, Ontario L7L 5Y7. The Borrower will give 30 days’ prior written notice to the Agent of any change in its place of business.</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Records and Accounts</w:t>
      </w:r>
    </w:p>
    <w:p>
      <w:pPr>
        <w:spacing w:after="0" w:line="121" w:lineRule="exact"/>
        <w:rPr>
          <w:rFonts w:ascii="Arial" w:cs="Arial" w:eastAsia="Arial" w:hAnsi="Arial"/>
          <w:sz w:val="18"/>
          <w:szCs w:val="18"/>
          <w:color w:val="auto"/>
        </w:rPr>
      </w:pPr>
    </w:p>
    <w:p>
      <w:pPr>
        <w:ind w:left="360" w:right="300"/>
        <w:spacing w:after="0" w:line="312" w:lineRule="auto"/>
        <w:rPr>
          <w:rFonts w:ascii="Arial" w:cs="Arial" w:eastAsia="Arial" w:hAnsi="Arial"/>
          <w:sz w:val="18"/>
          <w:szCs w:val="18"/>
          <w:color w:val="auto"/>
        </w:rPr>
      </w:pPr>
      <w:r>
        <w:rPr>
          <w:rFonts w:ascii="Arial" w:cs="Arial" w:eastAsia="Arial" w:hAnsi="Arial"/>
          <w:sz w:val="16"/>
          <w:szCs w:val="16"/>
          <w:color w:val="auto"/>
        </w:rPr>
        <w:t>Each of the Obligors will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34"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Existence and Conduct of Business</w:t>
      </w:r>
    </w:p>
    <w:p>
      <w:pPr>
        <w:spacing w:after="0" w:line="121" w:lineRule="exact"/>
        <w:rPr>
          <w:rFonts w:ascii="Arial" w:cs="Arial" w:eastAsia="Arial" w:hAnsi="Arial"/>
          <w:sz w:val="18"/>
          <w:szCs w:val="18"/>
          <w:color w:val="auto"/>
        </w:rPr>
      </w:pPr>
    </w:p>
    <w:p>
      <w:pPr>
        <w:ind w:left="360" w:right="60"/>
        <w:spacing w:after="0" w:line="255" w:lineRule="auto"/>
        <w:rPr>
          <w:rFonts w:ascii="Arial" w:cs="Arial" w:eastAsia="Arial" w:hAnsi="Arial"/>
          <w:sz w:val="18"/>
          <w:szCs w:val="18"/>
          <w:color w:val="auto"/>
        </w:rPr>
      </w:pPr>
      <w:r>
        <w:rPr>
          <w:rFonts w:ascii="Arial" w:cs="Arial" w:eastAsia="Arial" w:hAnsi="Arial"/>
          <w:sz w:val="18"/>
          <w:szCs w:val="18"/>
          <w:color w:val="auto"/>
        </w:rPr>
        <w:t>Each of the Obligors will do or cause to be done all things necessary to preserve and keep in full force and effect its existence, rights and franchises; and effect and maintain its foreign qualifications (except where the failure to do so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None of the Obligors will become obligated under any contract or binding arrangement which, at the time it was entered into, could reasonably be expected to have a Material Adverse Effect. Each of the Obligors will continue to engage primarily in any of the businesses now conducted by it and in related, complementary or supplemental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9" w:name="page190"/>
    <w:bookmarkEnd w:id="189"/>
    <w:p>
      <w:pPr>
        <w:jc w:val="center"/>
        <w:ind w:right="-11"/>
        <w:spacing w:after="0"/>
        <w:rPr>
          <w:sz w:val="20"/>
          <w:szCs w:val="20"/>
          <w:color w:val="auto"/>
        </w:rPr>
      </w:pPr>
      <w:r>
        <w:rPr>
          <w:rFonts w:ascii="Arial" w:cs="Arial" w:eastAsia="Arial" w:hAnsi="Arial"/>
          <w:sz w:val="18"/>
          <w:szCs w:val="18"/>
          <w:color w:val="auto"/>
        </w:rPr>
        <w:t>- 34 -</w:t>
      </w:r>
    </w:p>
    <w:p>
      <w:pPr>
        <w:spacing w:after="0" w:line="198" w:lineRule="exact"/>
        <w:rPr>
          <w:sz w:val="20"/>
          <w:szCs w:val="20"/>
          <w:color w:val="auto"/>
        </w:rPr>
      </w:pPr>
    </w:p>
    <w:p>
      <w:pPr>
        <w:ind w:left="352" w:right="160"/>
        <w:spacing w:after="0" w:line="277" w:lineRule="auto"/>
        <w:rPr>
          <w:sz w:val="20"/>
          <w:szCs w:val="20"/>
          <w:color w:val="auto"/>
        </w:rPr>
      </w:pPr>
      <w:r>
        <w:rPr>
          <w:rFonts w:ascii="Arial" w:cs="Arial" w:eastAsia="Arial" w:hAnsi="Arial"/>
          <w:sz w:val="18"/>
          <w:szCs w:val="18"/>
          <w:color w:val="auto"/>
        </w:rPr>
        <w:t>businesses, and any additional businesses acquired pursuant to the terms of §8.4(a) of the U.S. Credit Agreement, as such provision exists at the date of this Agreement.</w:t>
      </w:r>
    </w:p>
    <w:p>
      <w:pPr>
        <w:spacing w:after="0" w:line="58" w:lineRule="exact"/>
        <w:rPr>
          <w:sz w:val="20"/>
          <w:szCs w:val="20"/>
          <w:color w:val="auto"/>
        </w:rPr>
      </w:pPr>
    </w:p>
    <w:p>
      <w:pPr>
        <w:ind w:left="332" w:hanging="332"/>
        <w:spacing w:after="0"/>
        <w:tabs>
          <w:tab w:leader="none" w:pos="33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Maintenance of Properties</w:t>
      </w:r>
    </w:p>
    <w:p>
      <w:pPr>
        <w:spacing w:after="0" w:line="121" w:lineRule="exact"/>
        <w:rPr>
          <w:rFonts w:ascii="Arial" w:cs="Arial" w:eastAsia="Arial" w:hAnsi="Arial"/>
          <w:sz w:val="18"/>
          <w:szCs w:val="18"/>
          <w:color w:val="auto"/>
        </w:rPr>
      </w:pPr>
    </w:p>
    <w:p>
      <w:pPr>
        <w:ind w:left="352"/>
        <w:spacing w:after="0" w:line="273" w:lineRule="auto"/>
        <w:rPr>
          <w:rFonts w:ascii="Arial" w:cs="Arial" w:eastAsia="Arial" w:hAnsi="Arial"/>
          <w:sz w:val="18"/>
          <w:szCs w:val="18"/>
          <w:color w:val="auto"/>
        </w:rPr>
      </w:pPr>
      <w:r>
        <w:rPr>
          <w:rFonts w:ascii="Arial" w:cs="Arial" w:eastAsia="Arial" w:hAnsi="Arial"/>
          <w:sz w:val="17"/>
          <w:szCs w:val="17"/>
          <w:color w:val="auto"/>
        </w:rPr>
        <w:t>Each of the Obligors will cause all material properties used or useful in the conduct of its businesses to be maintained and kept in good condition, repair and working order (ordinary wear and tear excepted) and supplied with all necessary equipment and cause to be made all necessary repairs, renewals, replacements, betterments and improvements thereof, all as in its judgment may be necessary so that the businesses carried on in connection therewith may be properly and advantageously conducted at all times; provided, however, that nothing in this Section 7.2(5) shall prevent any Obligor from discontinuing the operation and maintenance of any of its properties if such discontinuance is, in its judgment, desirable in the conduct of its business and could not reasonably be expected to have a Material Adverse Effect.</w:t>
      </w:r>
    </w:p>
    <w:p>
      <w:pPr>
        <w:spacing w:after="0" w:line="66" w:lineRule="exact"/>
        <w:rPr>
          <w:rFonts w:ascii="Arial" w:cs="Arial" w:eastAsia="Arial" w:hAnsi="Arial"/>
          <w:sz w:val="18"/>
          <w:szCs w:val="18"/>
          <w:color w:val="auto"/>
        </w:rPr>
      </w:pPr>
    </w:p>
    <w:p>
      <w:pPr>
        <w:ind w:left="332" w:hanging="332"/>
        <w:spacing w:after="0"/>
        <w:tabs>
          <w:tab w:leader="none" w:pos="33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121" w:lineRule="exact"/>
        <w:rPr>
          <w:rFonts w:ascii="Arial" w:cs="Arial" w:eastAsia="Arial" w:hAnsi="Arial"/>
          <w:sz w:val="18"/>
          <w:szCs w:val="18"/>
          <w:color w:val="auto"/>
        </w:rPr>
      </w:pPr>
    </w:p>
    <w:p>
      <w:pPr>
        <w:ind w:left="352" w:right="100"/>
        <w:spacing w:after="0" w:line="259" w:lineRule="auto"/>
        <w:rPr>
          <w:rFonts w:ascii="Arial" w:cs="Arial" w:eastAsia="Arial" w:hAnsi="Arial"/>
          <w:sz w:val="18"/>
          <w:szCs w:val="18"/>
          <w:color w:val="auto"/>
        </w:rPr>
      </w:pPr>
      <w:r>
        <w:rPr>
          <w:rFonts w:ascii="Arial" w:cs="Arial" w:eastAsia="Arial" w:hAnsi="Arial"/>
          <w:sz w:val="18"/>
          <w:szCs w:val="18"/>
          <w:color w:val="auto"/>
        </w:rPr>
        <w:t>Each Obligor shall maintain or cause to be maintained insurance on its property that satisfies the covenants and conditions of the U.S. Credit Agreement concerning insurance coverage from time to time. Whenever reasonably requested in writing by the Agent, it shall cause certificates evidencing such policies of insurance to be made available to the Agent to the same extent required to be delivered to the administrative agent under the U.S. Credit Agreement.</w:t>
      </w:r>
    </w:p>
    <w:p>
      <w:pPr>
        <w:spacing w:after="0" w:line="74" w:lineRule="exact"/>
        <w:rPr>
          <w:rFonts w:ascii="Arial" w:cs="Arial" w:eastAsia="Arial" w:hAnsi="Arial"/>
          <w:sz w:val="18"/>
          <w:szCs w:val="18"/>
          <w:color w:val="auto"/>
        </w:rPr>
      </w:pPr>
    </w:p>
    <w:p>
      <w:pPr>
        <w:ind w:left="332" w:hanging="332"/>
        <w:spacing w:after="0"/>
        <w:tabs>
          <w:tab w:leader="none" w:pos="33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121" w:lineRule="exact"/>
        <w:rPr>
          <w:rFonts w:ascii="Arial" w:cs="Arial" w:eastAsia="Arial" w:hAnsi="Arial"/>
          <w:sz w:val="18"/>
          <w:szCs w:val="18"/>
          <w:color w:val="auto"/>
        </w:rPr>
      </w:pPr>
    </w:p>
    <w:p>
      <w:pPr>
        <w:ind w:left="352" w:right="60"/>
        <w:spacing w:after="0" w:line="254" w:lineRule="auto"/>
        <w:rPr>
          <w:rFonts w:ascii="Arial" w:cs="Arial" w:eastAsia="Arial" w:hAnsi="Arial"/>
          <w:sz w:val="18"/>
          <w:szCs w:val="18"/>
          <w:color w:val="auto"/>
        </w:rPr>
      </w:pPr>
      <w:r>
        <w:rPr>
          <w:rFonts w:ascii="Arial" w:cs="Arial" w:eastAsia="Arial" w:hAnsi="Arial"/>
          <w:sz w:val="18"/>
          <w:szCs w:val="18"/>
          <w:color w:val="auto"/>
        </w:rPr>
        <w:t>Each Obligor will duly pay and discharge, or cause to be paid and discharged, before the same shall become overdue, all taxes, assessments and other governmental charges imposed upon it and its real properties, sales and activities, or any part thereof, or upon the income or profits therefrom, as well as all claims for labour, materials, or supplies, which if unpaid might by law become an Encumbrances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Obligor shall have set aside on its books adequate reserves with respect thereto as required by GAAP; and provided, further, that each Obligor will pay all such taxes, assessments, charges, levies or claims prior to the foreclosure on any Encumbrance which may have attached as security therefor.</w:t>
      </w:r>
    </w:p>
    <w:p>
      <w:pPr>
        <w:spacing w:after="0" w:line="80" w:lineRule="exact"/>
        <w:rPr>
          <w:rFonts w:ascii="Arial" w:cs="Arial" w:eastAsia="Arial" w:hAnsi="Arial"/>
          <w:sz w:val="18"/>
          <w:szCs w:val="18"/>
          <w:color w:val="auto"/>
        </w:rPr>
      </w:pPr>
    </w:p>
    <w:p>
      <w:pPr>
        <w:ind w:left="332" w:hanging="332"/>
        <w:spacing w:after="0"/>
        <w:tabs>
          <w:tab w:leader="none" w:pos="33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Inspection of Properties, Books and Contracts</w:t>
      </w:r>
    </w:p>
    <w:p>
      <w:pPr>
        <w:spacing w:after="0" w:line="121" w:lineRule="exact"/>
        <w:rPr>
          <w:rFonts w:ascii="Arial" w:cs="Arial" w:eastAsia="Arial" w:hAnsi="Arial"/>
          <w:sz w:val="18"/>
          <w:szCs w:val="18"/>
          <w:color w:val="auto"/>
        </w:rPr>
      </w:pPr>
    </w:p>
    <w:p>
      <w:pPr>
        <w:ind w:left="352" w:right="100"/>
        <w:spacing w:after="0" w:line="264" w:lineRule="auto"/>
        <w:rPr>
          <w:rFonts w:ascii="Arial" w:cs="Arial" w:eastAsia="Arial" w:hAnsi="Arial"/>
          <w:sz w:val="18"/>
          <w:szCs w:val="18"/>
          <w:color w:val="auto"/>
        </w:rPr>
      </w:pPr>
      <w:r>
        <w:rPr>
          <w:rFonts w:ascii="Arial" w:cs="Arial" w:eastAsia="Arial" w:hAnsi="Arial"/>
          <w:sz w:val="18"/>
          <w:szCs w:val="18"/>
          <w:color w:val="auto"/>
        </w:rPr>
        <w:t>Each Obligor will permit the Agent or any Lender or any of their respective designated representatives, upon reasonable notice, to visit and inspect any of its properties, to examine its books of account or contracts (and to make copies thereof and extracts therefrom), and to discuss its affairs, finances and accounts with,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color w:val="auto"/>
        </w:rPr>
        <w:t>- 35 -</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 advised as to the same by, its officers, all at such times and intervals as may be reasonably requested.</w:t>
      </w:r>
    </w:p>
    <w:p>
      <w:pPr>
        <w:spacing w:after="0" w:line="127" w:lineRule="exact"/>
        <w:rPr>
          <w:sz w:val="20"/>
          <w:szCs w:val="20"/>
          <w:color w:val="auto"/>
        </w:rPr>
      </w:pPr>
    </w:p>
    <w:p>
      <w:pPr>
        <w:ind w:left="420" w:hanging="412"/>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Compliance with Laws, Contracts, Licenses and Permits; Maintenance of Material Licenses and Permits</w:t>
      </w:r>
    </w:p>
    <w:p>
      <w:pPr>
        <w:spacing w:after="0" w:line="134" w:lineRule="exact"/>
        <w:rPr>
          <w:rFonts w:ascii="Arial" w:cs="Arial" w:eastAsia="Arial" w:hAnsi="Arial"/>
          <w:sz w:val="18"/>
          <w:szCs w:val="18"/>
          <w:color w:val="auto"/>
        </w:rPr>
      </w:pPr>
    </w:p>
    <w:p>
      <w:pPr>
        <w:ind w:left="420"/>
        <w:spacing w:after="0" w:line="269" w:lineRule="auto"/>
        <w:rPr>
          <w:rFonts w:ascii="Arial" w:cs="Arial" w:eastAsia="Arial" w:hAnsi="Arial"/>
          <w:sz w:val="18"/>
          <w:szCs w:val="18"/>
          <w:color w:val="auto"/>
        </w:rPr>
      </w:pPr>
      <w:r>
        <w:rPr>
          <w:rFonts w:ascii="Arial" w:cs="Arial" w:eastAsia="Arial" w:hAnsi="Arial"/>
          <w:sz w:val="17"/>
          <w:szCs w:val="17"/>
          <w:color w:val="auto"/>
        </w:rPr>
        <w:t>Each Obligor will (a) comply with the provisions of its Constating Documents, (b) comply with all agreements and instruments by which it or any of its properties may be bound except where non-compliance could not reasonably be expected to have a Material Adverse Effect, (c) comply with all applicable laws and regulations (including Environmental Laws), decrees, orders, judgments, licenses and permits, including, without limitation, all environmental permits (“</w:t>
      </w:r>
      <w:r>
        <w:rPr>
          <w:rFonts w:ascii="Arial" w:cs="Arial" w:eastAsia="Arial" w:hAnsi="Arial"/>
          <w:sz w:val="17"/>
          <w:szCs w:val="17"/>
          <w:b w:val="1"/>
          <w:bCs w:val="1"/>
          <w:color w:val="auto"/>
        </w:rPr>
        <w:t>Applicable Requirements</w:t>
      </w:r>
      <w:r>
        <w:rPr>
          <w:rFonts w:ascii="Arial" w:cs="Arial" w:eastAsia="Arial" w:hAnsi="Arial"/>
          <w:sz w:val="17"/>
          <w:szCs w:val="17"/>
          <w:color w:val="auto"/>
        </w:rPr>
        <w:t>”), except where non-compliance with such Applicable Requirements could not reasonably be expected to have a Material Adverse Effect, (d) maintain all operating permits for all landfills now owned or hereafter acquired, except where the failure to do so could not reasonably be expected to have a Material Adverse Effect, and (e) dispose of hazardous waste only at licensed disposal facilities operating, to such Obligor’s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any Obligor may fulfill any of its obligations hereunder or under any other Loan Document, such Obligor will immediately take or cause to be taken all reasonable steps within its power to obtain such authorization, consent, approval, permit or license and furnish the Agent with evidence thereof.</w:t>
      </w:r>
    </w:p>
    <w:p>
      <w:pPr>
        <w:spacing w:after="0" w:line="84" w:lineRule="exact"/>
        <w:rPr>
          <w:rFonts w:ascii="Arial" w:cs="Arial" w:eastAsia="Arial" w:hAnsi="Arial"/>
          <w:sz w:val="18"/>
          <w:szCs w:val="18"/>
          <w:color w:val="auto"/>
        </w:rPr>
      </w:pPr>
    </w:p>
    <w:p>
      <w:pPr>
        <w:ind w:left="420" w:hanging="412"/>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Environmental Indemnification</w:t>
      </w:r>
    </w:p>
    <w:p>
      <w:pPr>
        <w:spacing w:after="0" w:line="134" w:lineRule="exact"/>
        <w:rPr>
          <w:rFonts w:ascii="Arial" w:cs="Arial" w:eastAsia="Arial" w:hAnsi="Arial"/>
          <w:sz w:val="18"/>
          <w:szCs w:val="18"/>
          <w:color w:val="auto"/>
        </w:rPr>
      </w:pPr>
    </w:p>
    <w:p>
      <w:pPr>
        <w:ind w:left="420"/>
        <w:spacing w:after="0" w:line="271" w:lineRule="auto"/>
        <w:rPr>
          <w:rFonts w:ascii="Arial" w:cs="Arial" w:eastAsia="Arial" w:hAnsi="Arial"/>
          <w:sz w:val="18"/>
          <w:szCs w:val="18"/>
          <w:color w:val="auto"/>
        </w:rPr>
      </w:pPr>
      <w:r>
        <w:rPr>
          <w:rFonts w:ascii="Arial" w:cs="Arial" w:eastAsia="Arial" w:hAnsi="Arial"/>
          <w:sz w:val="17"/>
          <w:szCs w:val="17"/>
          <w:color w:val="auto"/>
        </w:rPr>
        <w:t>Each of the Obligors covenants and agrees that it will indemnify and hold the Lenders and the Agent and their respective affiliates, and each of the representatives, agents and officers of each of the foregoing, harmless from and against any and all claims, expense, damage, loss or liability incurred by the Lenders or the Agent (including all reasonable costs of legal representation incurred by the Lenders or the Agent) relating to (a) any Release or threatened Release of Hazardous Substances on any of its Real Property, (b) any violation of any Environmental Laws or other Applicable Requirements with respect to conditions of the Real Property or other assets of the Obligors, or the operations conducted thereon, or (c) the investigation or remediation of offsite locations at which any of the Obligors, or their predecessors, are alleged to have directly or indirectly disposed of Hazardous Substances. It is expressly acknowledged by the Obligors that this covenant of indemnification shall survive the payment of the Obligations and termination of the Credit and shall inure to the benefit of the Lenders, the Agent and their affiliates,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jc w:val="center"/>
        <w:ind w:right="-31"/>
        <w:spacing w:after="0"/>
        <w:rPr>
          <w:sz w:val="20"/>
          <w:szCs w:val="20"/>
          <w:color w:val="auto"/>
        </w:rPr>
      </w:pPr>
      <w:r>
        <w:rPr>
          <w:rFonts w:ascii="Arial" w:cs="Arial" w:eastAsia="Arial" w:hAnsi="Arial"/>
          <w:sz w:val="18"/>
          <w:szCs w:val="18"/>
          <w:color w:val="auto"/>
        </w:rPr>
        <w:t>- 36 -</w:t>
      </w:r>
    </w:p>
    <w:p>
      <w:pPr>
        <w:spacing w:after="0" w:line="302" w:lineRule="exact"/>
        <w:rPr>
          <w:sz w:val="20"/>
          <w:szCs w:val="20"/>
          <w:color w:val="auto"/>
        </w:rPr>
      </w:pPr>
    </w:p>
    <w:p>
      <w:pPr>
        <w:ind w:left="412" w:hanging="412"/>
        <w:spacing w:after="0"/>
        <w:tabs>
          <w:tab w:leader="none" w:pos="41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Further Assurances</w:t>
      </w:r>
    </w:p>
    <w:p>
      <w:pPr>
        <w:spacing w:after="0" w:line="134" w:lineRule="exact"/>
        <w:rPr>
          <w:rFonts w:ascii="Arial" w:cs="Arial" w:eastAsia="Arial" w:hAnsi="Arial"/>
          <w:sz w:val="18"/>
          <w:szCs w:val="18"/>
          <w:color w:val="auto"/>
        </w:rPr>
      </w:pPr>
    </w:p>
    <w:p>
      <w:pPr>
        <w:ind w:left="412" w:right="140"/>
        <w:spacing w:after="0" w:line="277" w:lineRule="auto"/>
        <w:rPr>
          <w:rFonts w:ascii="Arial" w:cs="Arial" w:eastAsia="Arial" w:hAnsi="Arial"/>
          <w:sz w:val="18"/>
          <w:szCs w:val="18"/>
          <w:color w:val="auto"/>
        </w:rPr>
      </w:pPr>
      <w:r>
        <w:rPr>
          <w:rFonts w:ascii="Arial" w:cs="Arial" w:eastAsia="Arial" w:hAnsi="Arial"/>
          <w:sz w:val="18"/>
          <w:szCs w:val="18"/>
          <w:color w:val="auto"/>
        </w:rPr>
        <w:t>Each of the Obligors will cooperate with the Agent and execute such further instruments and documents as the Agent shall reasonably request to carry out to the Required Lenders’ satisfaction the transactions contemplated by this Agreement.</w:t>
      </w:r>
    </w:p>
    <w:p>
      <w:pPr>
        <w:spacing w:after="0" w:line="71" w:lineRule="exact"/>
        <w:rPr>
          <w:rFonts w:ascii="Arial" w:cs="Arial" w:eastAsia="Arial" w:hAnsi="Arial"/>
          <w:sz w:val="18"/>
          <w:szCs w:val="18"/>
          <w:color w:val="auto"/>
        </w:rPr>
      </w:pPr>
    </w:p>
    <w:p>
      <w:pPr>
        <w:ind w:left="412" w:hanging="412"/>
        <w:spacing w:after="0"/>
        <w:tabs>
          <w:tab w:leader="none" w:pos="41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Notice of Potential Claims or Litigation</w:t>
      </w:r>
    </w:p>
    <w:p>
      <w:pPr>
        <w:spacing w:after="0" w:line="134" w:lineRule="exact"/>
        <w:rPr>
          <w:rFonts w:ascii="Arial" w:cs="Arial" w:eastAsia="Arial" w:hAnsi="Arial"/>
          <w:sz w:val="18"/>
          <w:szCs w:val="18"/>
          <w:color w:val="auto"/>
        </w:rPr>
      </w:pPr>
    </w:p>
    <w:p>
      <w:pPr>
        <w:ind w:left="412" w:right="160"/>
        <w:spacing w:after="0" w:line="276" w:lineRule="auto"/>
        <w:rPr>
          <w:rFonts w:ascii="Arial" w:cs="Arial" w:eastAsia="Arial" w:hAnsi="Arial"/>
          <w:sz w:val="18"/>
          <w:szCs w:val="18"/>
          <w:color w:val="auto"/>
        </w:rPr>
      </w:pPr>
      <w:r>
        <w:rPr>
          <w:rFonts w:ascii="Arial" w:cs="Arial" w:eastAsia="Arial" w:hAnsi="Arial"/>
          <w:sz w:val="17"/>
          <w:szCs w:val="17"/>
          <w:color w:val="auto"/>
        </w:rPr>
        <w:t>Waste Management, Inc. shall deliver to the Agent written notice of the initiation of any action, claim, complaint, investigation or any other notice of dispute or litigation against any Obligor that could reasonably be expected to have a Material Adverse Effect, or which questions the validity or enforceability of any Loan Document, together with a copy of each such complaint or other notice received by such Obligor if requested by the Agent within 30 days of receipt thereof or of the determination that such action could reasonably be expected to have a Material Adverse Effect, whichever occurs later (and such Obligor will make such determination in each case as promptly as practicable).</w:t>
      </w:r>
    </w:p>
    <w:p>
      <w:pPr>
        <w:spacing w:after="0" w:line="73" w:lineRule="exact"/>
        <w:rPr>
          <w:rFonts w:ascii="Arial" w:cs="Arial" w:eastAsia="Arial" w:hAnsi="Arial"/>
          <w:sz w:val="18"/>
          <w:szCs w:val="18"/>
          <w:color w:val="auto"/>
        </w:rPr>
      </w:pPr>
    </w:p>
    <w:p>
      <w:pPr>
        <w:ind w:left="412" w:hanging="412"/>
        <w:spacing w:after="0"/>
        <w:tabs>
          <w:tab w:leader="none" w:pos="41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Notice of Certain Events Concerning Environmental Claims</w:t>
      </w:r>
    </w:p>
    <w:p>
      <w:pPr>
        <w:spacing w:after="0" w:line="134" w:lineRule="exact"/>
        <w:rPr>
          <w:rFonts w:ascii="Arial" w:cs="Arial" w:eastAsia="Arial" w:hAnsi="Arial"/>
          <w:sz w:val="18"/>
          <w:szCs w:val="18"/>
          <w:color w:val="auto"/>
        </w:rPr>
      </w:pPr>
    </w:p>
    <w:p>
      <w:pPr>
        <w:ind w:left="412"/>
        <w:spacing w:after="0" w:line="277" w:lineRule="auto"/>
        <w:rPr>
          <w:rFonts w:ascii="Arial" w:cs="Arial" w:eastAsia="Arial" w:hAnsi="Arial"/>
          <w:sz w:val="18"/>
          <w:szCs w:val="18"/>
          <w:color w:val="auto"/>
        </w:rPr>
      </w:pPr>
      <w:r>
        <w:rPr>
          <w:rFonts w:ascii="Arial" w:cs="Arial" w:eastAsia="Arial" w:hAnsi="Arial"/>
          <w:sz w:val="18"/>
          <w:szCs w:val="18"/>
          <w:color w:val="auto"/>
        </w:rPr>
        <w:t>Waste Management, Inc. shall promptly, and in any event within ten Business Days of the Obligor obtaining knowledge thereof, notify the Agent of any of the following events:</w:t>
      </w:r>
    </w:p>
    <w:p>
      <w:pPr>
        <w:spacing w:after="0" w:line="62" w:lineRule="exact"/>
        <w:rPr>
          <w:rFonts w:ascii="Arial" w:cs="Arial" w:eastAsia="Arial" w:hAnsi="Arial"/>
          <w:sz w:val="18"/>
          <w:szCs w:val="18"/>
          <w:color w:val="auto"/>
        </w:rPr>
      </w:pPr>
    </w:p>
    <w:p>
      <w:pPr>
        <w:ind w:left="532" w:right="640" w:hanging="316"/>
        <w:spacing w:after="0" w:line="277" w:lineRule="auto"/>
        <w:tabs>
          <w:tab w:leader="none" w:pos="53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Obligor obtaining knowledge of any violation of any Environmental Law regarding its Real Property or operations which violation could reasonably be expected to have a Material Adverse Effect;</w:t>
      </w:r>
    </w:p>
    <w:p>
      <w:pPr>
        <w:spacing w:after="0" w:line="75" w:lineRule="exact"/>
        <w:rPr>
          <w:rFonts w:ascii="Arial" w:cs="Arial" w:eastAsia="Arial" w:hAnsi="Arial"/>
          <w:sz w:val="18"/>
          <w:szCs w:val="18"/>
          <w:color w:val="auto"/>
        </w:rPr>
      </w:pPr>
    </w:p>
    <w:p>
      <w:pPr>
        <w:ind w:left="532" w:right="400" w:hanging="316"/>
        <w:spacing w:after="0" w:line="277" w:lineRule="auto"/>
        <w:tabs>
          <w:tab w:leader="none" w:pos="53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Obligor obtaining knowledge of any potential or known Release, or threat of Release, of any Hazardous Substance at, from, or into any Real Property which could reasonably be expected to have a Material Adverse Effect;</w:t>
      </w:r>
    </w:p>
    <w:p>
      <w:pPr>
        <w:spacing w:after="0" w:line="75" w:lineRule="exact"/>
        <w:rPr>
          <w:rFonts w:ascii="Arial" w:cs="Arial" w:eastAsia="Arial" w:hAnsi="Arial"/>
          <w:sz w:val="18"/>
          <w:szCs w:val="18"/>
          <w:color w:val="auto"/>
        </w:rPr>
      </w:pPr>
    </w:p>
    <w:p>
      <w:pPr>
        <w:ind w:left="532" w:right="20" w:hanging="316"/>
        <w:spacing w:after="0" w:line="255" w:lineRule="auto"/>
        <w:tabs>
          <w:tab w:leader="none" w:pos="53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Obligor receiving any notice of any material violation of any Environmental Law or of any Release or threatened Release of Hazardous Substance, including a notice or claim of liability or potential responsibility from any third party (including any Governmental Authority) and including notice of any formal inquiry, proceeding, demand, investigation or other action with regard to (i) any Obligor’s or other Person’s operation of the Real Property of such Obligor, (ii) contamination on, from, or into the Real Property, or (iii) investigation or remediation of offsite locations at which any Obligor, or its predecessors, are alleged to have directly or indirectly disposed of Hazardous Substances, if any thereof could reasonably be expected to have a Material Adverse Effect; or</w:t>
      </w:r>
    </w:p>
    <w:p>
      <w:pPr>
        <w:spacing w:after="0" w:line="98" w:lineRule="exact"/>
        <w:rPr>
          <w:rFonts w:ascii="Arial" w:cs="Arial" w:eastAsia="Arial" w:hAnsi="Arial"/>
          <w:sz w:val="18"/>
          <w:szCs w:val="18"/>
          <w:color w:val="auto"/>
        </w:rPr>
      </w:pPr>
    </w:p>
    <w:p>
      <w:pPr>
        <w:ind w:left="532" w:right="440" w:hanging="316"/>
        <w:spacing w:after="0" w:line="264" w:lineRule="auto"/>
        <w:tabs>
          <w:tab w:leader="none" w:pos="53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Obligor obtaining knowledge that any expense or loss has been incurred by any Governmental Authority in connection with the assessment, containment, removal or remediation of any Hazardous Substance with respect to which any Obligor has been alleged to be liable by such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color w:val="auto"/>
        </w:rPr>
        <w:t>- 37 -</w:t>
      </w:r>
    </w:p>
    <w:p>
      <w:pPr>
        <w:spacing w:after="0" w:line="198"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Authority or for which an Encumbrance may be imposed on any Real Property by such Governmental Authority, if any thereof could reasonably be expected to have a Material Adverse Effect.</w:t>
      </w:r>
    </w:p>
    <w:p>
      <w:pPr>
        <w:spacing w:after="0" w:line="58" w:lineRule="exact"/>
        <w:rPr>
          <w:sz w:val="20"/>
          <w:szCs w:val="20"/>
          <w:color w:val="auto"/>
        </w:rPr>
      </w:pPr>
    </w:p>
    <w:p>
      <w:pPr>
        <w:ind w:left="420" w:hanging="412"/>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Notice of Default</w:t>
      </w:r>
    </w:p>
    <w:p>
      <w:pPr>
        <w:spacing w:after="0" w:line="134" w:lineRule="exact"/>
        <w:rPr>
          <w:rFonts w:ascii="Arial" w:cs="Arial" w:eastAsia="Arial" w:hAnsi="Arial"/>
          <w:sz w:val="18"/>
          <w:szCs w:val="18"/>
          <w:color w:val="auto"/>
        </w:rPr>
      </w:pPr>
    </w:p>
    <w:p>
      <w:pPr>
        <w:ind w:left="420" w:right="20"/>
        <w:spacing w:after="0" w:line="257" w:lineRule="auto"/>
        <w:rPr>
          <w:rFonts w:ascii="Arial" w:cs="Arial" w:eastAsia="Arial" w:hAnsi="Arial"/>
          <w:sz w:val="18"/>
          <w:szCs w:val="18"/>
          <w:color w:val="auto"/>
        </w:rPr>
      </w:pPr>
      <w:r>
        <w:rPr>
          <w:rFonts w:ascii="Arial" w:cs="Arial" w:eastAsia="Arial" w:hAnsi="Arial"/>
          <w:sz w:val="18"/>
          <w:szCs w:val="18"/>
          <w:color w:val="auto"/>
        </w:rPr>
        <w:t>The Borrower will promptly notify the Agent in writing of the occurrence of any Pending Event of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U.S. $25,000,000 as to which any Obligor is a party or obligor, whether as principal or surety, such Obligor shall promptly upon obtaining actual knowledge thereof give written notice thereof to the Agent, describing the notice of action and the nature of the claimed default.</w:t>
      </w:r>
    </w:p>
    <w:p>
      <w:pPr>
        <w:spacing w:after="0" w:line="89" w:lineRule="exact"/>
        <w:rPr>
          <w:rFonts w:ascii="Arial" w:cs="Arial" w:eastAsia="Arial" w:hAnsi="Arial"/>
          <w:sz w:val="18"/>
          <w:szCs w:val="18"/>
          <w:color w:val="auto"/>
        </w:rPr>
      </w:pPr>
    </w:p>
    <w:p>
      <w:pPr>
        <w:ind w:left="420" w:hanging="412"/>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Use of Proceeds</w:t>
      </w:r>
    </w:p>
    <w:p>
      <w:pPr>
        <w:spacing w:after="0" w:line="134"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proceeds of the Advances shall be used as set forth in Section 2.3.</w:t>
      </w:r>
    </w:p>
    <w:p>
      <w:pPr>
        <w:spacing w:after="0" w:line="126" w:lineRule="exact"/>
        <w:rPr>
          <w:rFonts w:ascii="Arial" w:cs="Arial" w:eastAsia="Arial" w:hAnsi="Arial"/>
          <w:sz w:val="18"/>
          <w:szCs w:val="18"/>
          <w:color w:val="auto"/>
        </w:rPr>
      </w:pPr>
    </w:p>
    <w:p>
      <w:pPr>
        <w:ind w:left="420" w:hanging="412"/>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Certain Transactions</w:t>
      </w:r>
    </w:p>
    <w:p>
      <w:pPr>
        <w:spacing w:after="0" w:line="134" w:lineRule="exact"/>
        <w:rPr>
          <w:rFonts w:ascii="Arial" w:cs="Arial" w:eastAsia="Arial" w:hAnsi="Arial"/>
          <w:sz w:val="18"/>
          <w:szCs w:val="18"/>
          <w:color w:val="auto"/>
        </w:rPr>
      </w:pPr>
    </w:p>
    <w:p>
      <w:pPr>
        <w:ind w:left="420"/>
        <w:spacing w:after="0" w:line="255" w:lineRule="auto"/>
        <w:rPr>
          <w:rFonts w:ascii="Arial" w:cs="Arial" w:eastAsia="Arial" w:hAnsi="Arial"/>
          <w:sz w:val="18"/>
          <w:szCs w:val="18"/>
          <w:color w:val="auto"/>
        </w:rPr>
      </w:pPr>
      <w:r>
        <w:rPr>
          <w:rFonts w:ascii="Arial" w:cs="Arial" w:eastAsia="Arial" w:hAnsi="Arial"/>
          <w:sz w:val="18"/>
          <w:szCs w:val="18"/>
          <w:color w:val="auto"/>
        </w:rPr>
        <w:t>Except as disclosed in the Disclosure Documents, and except for arm’s length transactions pursuant to which any Obligor makes payments in the ordinary course of business, none of such Obligor’s officers, directors, or employees (or any affiliate of such officers, directors or employees) are presently or shall be a party to any transaction with the Borrower or any Guarantor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Guarantor, any corporation, partnership, trust or other entity in which any officer, director, or any such employee has a substantial interest or is an officer, director, trustee or partner.</w:t>
      </w:r>
    </w:p>
    <w:p>
      <w:pPr>
        <w:spacing w:after="0" w:line="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Reporting Requirements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During the term of this Agreement, Waste Management, Inc. and the Borrower shall deliver or cause the delivery of the periodic reports specified below and shall give notices in the circumstances specified below, or cause notices to be given. All financial statements and other reports shall be prepared in accordance with GAAP applied on a consistent basis.</w:t>
      </w:r>
    </w:p>
    <w:p>
      <w:pPr>
        <w:spacing w:after="0" w:line="69"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Periodic Financial Reports</w:t>
      </w:r>
    </w:p>
    <w:p>
      <w:pPr>
        <w:spacing w:after="0" w:line="121" w:lineRule="exact"/>
        <w:rPr>
          <w:rFonts w:ascii="Arial" w:cs="Arial" w:eastAsia="Arial" w:hAnsi="Arial"/>
          <w:sz w:val="18"/>
          <w:szCs w:val="18"/>
          <w:color w:val="auto"/>
        </w:rPr>
      </w:pPr>
    </w:p>
    <w:p>
      <w:pPr>
        <w:ind w:left="540" w:right="220" w:hanging="316"/>
        <w:spacing w:after="0" w:line="342" w:lineRule="auto"/>
        <w:tabs>
          <w:tab w:leader="none" w:pos="5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Waste Management, Inc. shall, as soon as practicable and in any event within 60 days of the end of each of its fiscal quarters (excluding the fourth fiscal quarter), cause to be prepared and delivered to the Agent, its interim unaudited consolidated financial statements as at the end of such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color w:val="auto"/>
        </w:rPr>
        <w:t>- 38 -</w:t>
      </w:r>
    </w:p>
    <w:p>
      <w:pPr>
        <w:spacing w:after="0" w:line="198" w:lineRule="exact"/>
        <w:rPr>
          <w:sz w:val="20"/>
          <w:szCs w:val="20"/>
          <w:color w:val="auto"/>
        </w:rPr>
      </w:pPr>
    </w:p>
    <w:p>
      <w:pPr>
        <w:ind w:left="540" w:right="160" w:hanging="316"/>
        <w:spacing w:after="0" w:line="264"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Waste Management, Inc. shall, as soon as practicable and in any event within 100 days after the end of each of its fiscal years, prepare and deliver to the Agent its consolidated annual financial statements, audited by Ernst &amp; Young LLP or other independent auditors reasonably acceptable to the Lenders.</w:t>
      </w:r>
    </w:p>
    <w:p>
      <w:pPr>
        <w:spacing w:after="0" w:line="86"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Waste Management, Inc. shall, concurrently with the delivery of its quarterly financial statements and annual financial statements, provide the Agent with a Compliance Certificate.</w:t>
      </w:r>
    </w:p>
    <w:p>
      <w:pPr>
        <w:spacing w:after="0" w:line="75" w:lineRule="exact"/>
        <w:rPr>
          <w:rFonts w:ascii="Arial" w:cs="Arial" w:eastAsia="Arial" w:hAnsi="Arial"/>
          <w:sz w:val="18"/>
          <w:szCs w:val="18"/>
          <w:color w:val="auto"/>
        </w:rPr>
      </w:pPr>
    </w:p>
    <w:p>
      <w:pPr>
        <w:ind w:left="540" w:right="140" w:hanging="316"/>
        <w:spacing w:after="0" w:line="342" w:lineRule="auto"/>
        <w:tabs>
          <w:tab w:leader="none" w:pos="5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Waste Management, Inc. shall provide to the Agent, promptly following the filing or mailing thereof, copies of all material of a financial nature filed by Waste Management, Inc. with the Securities and Exchange Commission or sent to the Waste Management Inc.’s stockholders generally.</w:t>
      </w:r>
    </w:p>
    <w:p>
      <w:pPr>
        <w:spacing w:after="0" w:line="29" w:lineRule="exact"/>
        <w:rPr>
          <w:rFonts w:ascii="Arial" w:cs="Arial" w:eastAsia="Arial" w:hAnsi="Arial"/>
          <w:sz w:val="16"/>
          <w:szCs w:val="16"/>
          <w:color w:val="auto"/>
        </w:rPr>
      </w:pPr>
    </w:p>
    <w:p>
      <w:pPr>
        <w:ind w:left="540" w:right="220" w:hanging="316"/>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Obligors shall promptly provide the Agent with all other information, reports and certificates reasonably requested by the Lenders from time to time concerning the business, financial condition and property of the Borrower and each other Obligor.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Negative Covenants</w:t>
      </w:r>
    </w:p>
    <w:p>
      <w:pPr>
        <w:spacing w:after="0" w:line="121"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During the term of this Agreement, none of the Obligors shall, or shall cause or permit any other Obligor, to do any of the things specified in this Section 7.4.</w:t>
      </w:r>
    </w:p>
    <w:p>
      <w:pPr>
        <w:spacing w:after="0" w:line="58"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Restrictions on Indebtedness</w:t>
      </w:r>
    </w:p>
    <w:p>
      <w:pPr>
        <w:spacing w:after="0" w:line="134" w:lineRule="exact"/>
        <w:rPr>
          <w:rFonts w:ascii="Arial" w:cs="Arial" w:eastAsia="Arial" w:hAnsi="Arial"/>
          <w:sz w:val="18"/>
          <w:szCs w:val="18"/>
          <w:color w:val="auto"/>
        </w:rPr>
      </w:pPr>
    </w:p>
    <w:p>
      <w:pPr>
        <w:ind w:left="340"/>
        <w:spacing w:after="0" w:line="257" w:lineRule="auto"/>
        <w:rPr>
          <w:rFonts w:ascii="Arial" w:cs="Arial" w:eastAsia="Arial" w:hAnsi="Arial"/>
          <w:sz w:val="18"/>
          <w:szCs w:val="18"/>
          <w:color w:val="auto"/>
        </w:rPr>
      </w:pPr>
      <w:r>
        <w:rPr>
          <w:rFonts w:ascii="Arial" w:cs="Arial" w:eastAsia="Arial" w:hAnsi="Arial"/>
          <w:sz w:val="18"/>
          <w:szCs w:val="18"/>
          <w:color w:val="auto"/>
        </w:rPr>
        <w:t>None of the Obligors (other than Waste Management, Inc.) will create, incur, assume, or be or remain liable, contingently or otherwise, with respect to any Debt, or become or be responsible in any manner (whether by agreement to purchase any obligations, stock, assets, goods or services, or to supply or advance any funds, assets, goods or services or otherwise) with respect to any Debt of any other Person (other than Waste Management, Inc. or any of its Subsidiaries), other than Debt which is permitted under §8.1 of the U.S. Credit Agreement, as such provision (and all references therein) exists at the date of this Agreement.</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Restrictions on Encumbrances</w:t>
      </w:r>
    </w:p>
    <w:p>
      <w:pPr>
        <w:spacing w:after="0" w:line="121" w:lineRule="exact"/>
        <w:rPr>
          <w:rFonts w:ascii="Arial" w:cs="Arial" w:eastAsia="Arial" w:hAnsi="Arial"/>
          <w:sz w:val="18"/>
          <w:szCs w:val="18"/>
          <w:color w:val="auto"/>
        </w:rPr>
      </w:pPr>
    </w:p>
    <w:p>
      <w:pPr>
        <w:ind w:left="540" w:right="160" w:hanging="316"/>
        <w:spacing w:after="0" w:line="273" w:lineRule="auto"/>
        <w:tabs>
          <w:tab w:leader="none" w:pos="5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None of the Obligors will create or incur or suffer to be created or incurred or to exist any Encumbrance of any kind upon any property or assets of any character, whether now owned or hereafter acquired, or upon the income or profits therefrom; or transfer any of such property or assets or the income or profits therefrom for the purpose of subjecting the same to the payment of Debt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Debt or claim or demand against it which if unpaid might by law or upon bankruptcy or insolvency,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4" w:name="page195"/>
    <w:bookmarkEnd w:id="194"/>
    <w:p>
      <w:pPr>
        <w:jc w:val="center"/>
        <w:ind w:right="-11"/>
        <w:spacing w:after="0"/>
        <w:rPr>
          <w:sz w:val="20"/>
          <w:szCs w:val="20"/>
          <w:color w:val="auto"/>
        </w:rPr>
      </w:pPr>
      <w:r>
        <w:rPr>
          <w:rFonts w:ascii="Arial" w:cs="Arial" w:eastAsia="Arial" w:hAnsi="Arial"/>
          <w:sz w:val="18"/>
          <w:szCs w:val="18"/>
          <w:color w:val="auto"/>
        </w:rPr>
        <w:t>- 39 -</w:t>
      </w:r>
    </w:p>
    <w:p>
      <w:pPr>
        <w:spacing w:after="0" w:line="198" w:lineRule="exact"/>
        <w:rPr>
          <w:sz w:val="20"/>
          <w:szCs w:val="20"/>
          <w:color w:val="auto"/>
        </w:rPr>
      </w:pPr>
    </w:p>
    <w:p>
      <w:pPr>
        <w:ind w:left="532" w:right="520"/>
        <w:spacing w:after="0" w:line="277" w:lineRule="auto"/>
        <w:rPr>
          <w:sz w:val="20"/>
          <w:szCs w:val="20"/>
          <w:color w:val="auto"/>
        </w:rPr>
      </w:pPr>
      <w:r>
        <w:rPr>
          <w:rFonts w:ascii="Arial" w:cs="Arial" w:eastAsia="Arial" w:hAnsi="Arial"/>
          <w:sz w:val="18"/>
          <w:szCs w:val="18"/>
          <w:color w:val="auto"/>
        </w:rPr>
        <w:t>otherwise, be given any priority whatsoever over its general creditors; or sell, assign, pledge or otherwise transfer any accounts, contract rights, general intangibles or chattel paper, with or without recourse, except for Permitted Encumbrances.</w:t>
      </w:r>
    </w:p>
    <w:p>
      <w:pPr>
        <w:spacing w:after="0" w:line="76" w:lineRule="exact"/>
        <w:rPr>
          <w:sz w:val="20"/>
          <w:szCs w:val="20"/>
          <w:color w:val="auto"/>
        </w:rPr>
      </w:pPr>
    </w:p>
    <w:p>
      <w:pPr>
        <w:ind w:left="532" w:right="20" w:hanging="316"/>
        <w:spacing w:after="0" w:line="255" w:lineRule="auto"/>
        <w:tabs>
          <w:tab w:leader="none" w:pos="53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Each Obligor covenants and agrees that if any of them shall create or incur any Encumbrance upon any of their respective property or assets, whether now owned or hereafter acquired, other than Permitted Encumbrances (unless prior written consent shall have been obtained from the Lenders), the Obligors will make or cause to be made effective provision whereby the Obligations will be secured by such Encumbrance equally and ratably with any and all other Debt thereby secured so long as such other Debt shall be so secured; provided that the covenants of the Obligors contained in this sentence shall only be in effect for so long as the Obligors shall be similarly obligated under any other Debt; provided, further, that an Event of Default shall occur for so long as such other Debt becomes secured notwithstanding any actions taken by the Obligor to ratably secure the Obligations hereunder.</w:t>
      </w:r>
    </w:p>
    <w:p>
      <w:pPr>
        <w:spacing w:after="0" w:line="77" w:lineRule="exact"/>
        <w:rPr>
          <w:rFonts w:ascii="Arial" w:cs="Arial" w:eastAsia="Arial" w:hAnsi="Arial"/>
          <w:sz w:val="18"/>
          <w:szCs w:val="18"/>
          <w:color w:val="auto"/>
        </w:rPr>
      </w:pPr>
    </w:p>
    <w:p>
      <w:pPr>
        <w:ind w:left="332" w:hanging="332"/>
        <w:spacing w:after="0"/>
        <w:tabs>
          <w:tab w:leader="none" w:pos="332"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Restrictions on Investments</w:t>
      </w:r>
    </w:p>
    <w:p>
      <w:pPr>
        <w:spacing w:after="0" w:line="134" w:lineRule="exact"/>
        <w:rPr>
          <w:rFonts w:ascii="Arial" w:cs="Arial" w:eastAsia="Arial" w:hAnsi="Arial"/>
          <w:sz w:val="18"/>
          <w:szCs w:val="18"/>
          <w:color w:val="auto"/>
        </w:rPr>
      </w:pPr>
    </w:p>
    <w:p>
      <w:pPr>
        <w:ind w:left="332"/>
        <w:spacing w:after="0" w:line="277" w:lineRule="auto"/>
        <w:rPr>
          <w:rFonts w:ascii="Arial" w:cs="Arial" w:eastAsia="Arial" w:hAnsi="Arial"/>
          <w:sz w:val="18"/>
          <w:szCs w:val="18"/>
          <w:color w:val="auto"/>
        </w:rPr>
      </w:pPr>
      <w:r>
        <w:rPr>
          <w:rFonts w:ascii="Arial" w:cs="Arial" w:eastAsia="Arial" w:hAnsi="Arial"/>
          <w:sz w:val="18"/>
          <w:szCs w:val="18"/>
          <w:color w:val="auto"/>
        </w:rPr>
        <w:t>None of the Obligors may make or permit to exist or to remain outstanding any Investment, except to the extent that it may do so in compliance with §8.3 of the U.S. Credit Agreement, as such provision exists at the date of this Agreement,</w:t>
      </w:r>
    </w:p>
    <w:p>
      <w:pPr>
        <w:spacing w:after="0" w:line="71" w:lineRule="exact"/>
        <w:rPr>
          <w:rFonts w:ascii="Arial" w:cs="Arial" w:eastAsia="Arial" w:hAnsi="Arial"/>
          <w:sz w:val="18"/>
          <w:szCs w:val="18"/>
          <w:color w:val="auto"/>
        </w:rPr>
      </w:pPr>
    </w:p>
    <w:p>
      <w:pPr>
        <w:ind w:left="332" w:hanging="332"/>
        <w:spacing w:after="0"/>
        <w:tabs>
          <w:tab w:leader="none" w:pos="332"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Mergers, Consolidations, Sales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532" w:right="20" w:hanging="316"/>
        <w:spacing w:after="0" w:line="277" w:lineRule="auto"/>
        <w:tabs>
          <w:tab w:leader="none" w:pos="53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Obligor shall be a party to any amalgamation, merger, consolidation or exchange of stock except to the extent that it may do so in compliance with §8.4 of the U.S. Credit Agreement, as such provision exists at the date of this Agreement.</w:t>
      </w:r>
    </w:p>
    <w:p>
      <w:pPr>
        <w:spacing w:after="0" w:line="75" w:lineRule="exact"/>
        <w:rPr>
          <w:rFonts w:ascii="Arial" w:cs="Arial" w:eastAsia="Arial" w:hAnsi="Arial"/>
          <w:sz w:val="18"/>
          <w:szCs w:val="18"/>
          <w:color w:val="auto"/>
        </w:rPr>
      </w:pPr>
    </w:p>
    <w:p>
      <w:pPr>
        <w:ind w:left="532" w:right="100" w:hanging="316"/>
        <w:spacing w:after="0" w:line="279" w:lineRule="auto"/>
        <w:tabs>
          <w:tab w:leader="none" w:pos="53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None of the Obligors shall sell, transfer, convey or lease any assets or group of assets, including the sale or transfer of any property owned by such Obligor in order then or thereafter to lease such property or lease other property which such Obligor intends to use for substantially the same purpose as the property being sold or transferred, or sell or assign, with or without recourse, any receivables, except to the extent that it may do so in compliance with §8.4(b) of the U.S. Credit Agreement, as such provision exists at the date of this Agreement.</w:t>
      </w:r>
    </w:p>
    <w:p>
      <w:pPr>
        <w:spacing w:after="0" w:line="59" w:lineRule="exact"/>
        <w:rPr>
          <w:rFonts w:ascii="Arial" w:cs="Arial" w:eastAsia="Arial" w:hAnsi="Arial"/>
          <w:sz w:val="17"/>
          <w:szCs w:val="17"/>
          <w:color w:val="auto"/>
        </w:rPr>
      </w:pPr>
    </w:p>
    <w:p>
      <w:pPr>
        <w:ind w:left="332" w:hanging="332"/>
        <w:spacing w:after="0"/>
        <w:tabs>
          <w:tab w:leader="none" w:pos="332"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Restricted Distributions and Redemptions</w:t>
      </w:r>
    </w:p>
    <w:p>
      <w:pPr>
        <w:spacing w:after="0" w:line="134" w:lineRule="exact"/>
        <w:rPr>
          <w:rFonts w:ascii="Arial" w:cs="Arial" w:eastAsia="Arial" w:hAnsi="Arial"/>
          <w:sz w:val="18"/>
          <w:szCs w:val="18"/>
          <w:color w:val="auto"/>
        </w:rPr>
      </w:pPr>
    </w:p>
    <w:p>
      <w:pPr>
        <w:ind w:left="332" w:right="180"/>
        <w:spacing w:after="0" w:line="308" w:lineRule="auto"/>
        <w:rPr>
          <w:rFonts w:ascii="Arial" w:cs="Arial" w:eastAsia="Arial" w:hAnsi="Arial"/>
          <w:sz w:val="18"/>
          <w:szCs w:val="18"/>
          <w:color w:val="auto"/>
        </w:rPr>
      </w:pPr>
      <w:r>
        <w:rPr>
          <w:rFonts w:ascii="Arial" w:cs="Arial" w:eastAsia="Arial" w:hAnsi="Arial"/>
          <w:sz w:val="17"/>
          <w:szCs w:val="17"/>
          <w:color w:val="auto"/>
        </w:rPr>
        <w:t>None of the Obligors will (a) declare or pay any Distributions, or (b) redeem, convert, retire or otherwise acquire shares of any class of its capital stock unless such action is permitted under §8.5 of the U.S. Credit Agreement, as such provision exists at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95" w:name="page196"/>
    <w:bookmarkEnd w:id="195"/>
    <w:p>
      <w:pPr>
        <w:jc w:val="center"/>
        <w:ind w:right="-79"/>
        <w:spacing w:after="0"/>
        <w:rPr>
          <w:sz w:val="20"/>
          <w:szCs w:val="20"/>
          <w:color w:val="auto"/>
        </w:rPr>
      </w:pPr>
      <w:r>
        <w:rPr>
          <w:rFonts w:ascii="Arial" w:cs="Arial" w:eastAsia="Arial" w:hAnsi="Arial"/>
          <w:sz w:val="18"/>
          <w:szCs w:val="18"/>
          <w:color w:val="auto"/>
        </w:rPr>
        <w:t>- 40 -</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DEFAULT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Events of Default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occurrence of any one or more of the following events shall constitute an Event of Default under this Agreement:</w:t>
      </w:r>
    </w:p>
    <w:p>
      <w:pPr>
        <w:spacing w:after="0" w:line="117" w:lineRule="exact"/>
        <w:rPr>
          <w:sz w:val="20"/>
          <w:szCs w:val="20"/>
          <w:color w:val="auto"/>
        </w:rPr>
      </w:pPr>
    </w:p>
    <w:p>
      <w:pPr>
        <w:ind w:left="540" w:right="22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Borrower fails to pay, whether by acceleration or otherwise, any amount of principal (including any amount relating to a Banker’s Acceptance) when due; or</w:t>
      </w:r>
    </w:p>
    <w:p>
      <w:pPr>
        <w:spacing w:after="0" w:line="75"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Borrower fails to pay any amount of interest, fees, commissions or other Obligations (other than amounts on account of principal) when due, and such failure continues for five Business Days after the date of such default; or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occurs a breach of any of the covenants in Section 7.1 or Section 7.4; or</w:t>
      </w:r>
    </w:p>
    <w:p>
      <w:pPr>
        <w:spacing w:after="0" w:line="130" w:lineRule="exact"/>
        <w:rPr>
          <w:rFonts w:ascii="Arial" w:cs="Arial" w:eastAsia="Arial" w:hAnsi="Arial"/>
          <w:sz w:val="18"/>
          <w:szCs w:val="18"/>
          <w:color w:val="auto"/>
        </w:rPr>
      </w:pPr>
    </w:p>
    <w:p>
      <w:pPr>
        <w:ind w:left="540" w:hanging="316"/>
        <w:spacing w:after="0" w:line="308"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Obligor makes any representation or warranty in any Loan Document, or in any written statement or certificate made or delivered pursuant to this Agreement which shall prove to have been false in any material respect upon the date when made or deemed to be made; or</w:t>
      </w:r>
    </w:p>
    <w:p>
      <w:pPr>
        <w:spacing w:after="0" w:line="51" w:lineRule="exact"/>
        <w:rPr>
          <w:rFonts w:ascii="Arial" w:cs="Arial" w:eastAsia="Arial" w:hAnsi="Arial"/>
          <w:sz w:val="17"/>
          <w:szCs w:val="17"/>
          <w:color w:val="auto"/>
        </w:rPr>
      </w:pPr>
    </w:p>
    <w:p>
      <w:pPr>
        <w:ind w:left="540" w:right="80" w:hanging="316"/>
        <w:spacing w:after="0" w:line="286"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there is a breach of any covenant, condition or other provision of any Loan Document (other than a breach which is specifically dealt with elsewhere in this Section 8.1), by any party thereto other than the Agent or the Lenders, and such breach, if capable of being remedied, is not corrected or otherwise remedied within 30 days after the Agent or any Lender gives written notice thereof to the Borrower; or</w:t>
      </w:r>
    </w:p>
    <w:p>
      <w:pPr>
        <w:spacing w:after="0" w:line="70" w:lineRule="exact"/>
        <w:rPr>
          <w:rFonts w:ascii="Arial" w:cs="Arial" w:eastAsia="Arial" w:hAnsi="Arial"/>
          <w:sz w:val="17"/>
          <w:szCs w:val="17"/>
          <w:color w:val="auto"/>
        </w:rPr>
      </w:pPr>
    </w:p>
    <w:p>
      <w:pPr>
        <w:ind w:left="540" w:right="220" w:hanging="316"/>
        <w:spacing w:after="0" w:line="297"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Obligor shall fail to pay when due, or within any applicable period of grace, any Debt or obligations under Swap Contracts in an aggregate amount greater than U.S. $50,000,000, or fail to observe or perform any material term, covenant or agreement contained in any one or more agreements by which it is bound, evidencing or securing any Debt or obligations under Swap Contracts in an aggregate amount greater than U.S.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 or</w:t>
      </w:r>
    </w:p>
    <w:p>
      <w:pPr>
        <w:spacing w:after="0" w:line="63" w:lineRule="exact"/>
        <w:rPr>
          <w:rFonts w:ascii="Arial" w:cs="Arial" w:eastAsia="Arial" w:hAnsi="Arial"/>
          <w:sz w:val="16"/>
          <w:szCs w:val="16"/>
          <w:color w:val="auto"/>
        </w:rPr>
      </w:pPr>
    </w:p>
    <w:p>
      <w:pPr>
        <w:ind w:left="540" w:right="60" w:hanging="316"/>
        <w:spacing w:after="0" w:line="259"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Obligor makes an assignment for the benefit of creditors, or admits in writing its inability to pay or generally fails to pay its debts as they mature or become due, or petitions or applies for the appointment of a trustee or other custodian, liquidator or receiver of any Obligor, or of any substantial part of the assets of any Obligor or commences any case or other proceeding relating to any Obligor under any bankruptcy, reorganization, arrangement, insolvency, readjustment of debt, dissolution or liquidation or similar law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18"/>
          <w:szCs w:val="18"/>
          <w:color w:val="auto"/>
        </w:rPr>
        <w:t>- 41 -</w:t>
      </w:r>
    </w:p>
    <w:p>
      <w:pPr>
        <w:spacing w:after="0" w:line="198" w:lineRule="exact"/>
        <w:rPr>
          <w:sz w:val="20"/>
          <w:szCs w:val="20"/>
          <w:color w:val="auto"/>
        </w:rPr>
      </w:pPr>
    </w:p>
    <w:p>
      <w:pPr>
        <w:ind w:left="540" w:right="80"/>
        <w:spacing w:after="0" w:line="264" w:lineRule="auto"/>
        <w:rPr>
          <w:sz w:val="20"/>
          <w:szCs w:val="20"/>
          <w:color w:val="auto"/>
        </w:rPr>
      </w:pPr>
      <w:r>
        <w:rPr>
          <w:rFonts w:ascii="Arial" w:cs="Arial" w:eastAsia="Arial" w:hAnsi="Arial"/>
          <w:sz w:val="18"/>
          <w:szCs w:val="18"/>
          <w:color w:val="auto"/>
        </w:rPr>
        <w:t>jurisdiction, now or hereafter in effect, or takes any action to authorize or in furtherance of any of the foregoing, or if any such petition or application is filed or any such case or other proceeding is commenced against any Obligor or any Obligor indicates its approval thereof, consent thereto or acquiescence therein; or</w:t>
      </w:r>
    </w:p>
    <w:p>
      <w:pPr>
        <w:spacing w:after="0" w:line="87" w:lineRule="exact"/>
        <w:rPr>
          <w:sz w:val="20"/>
          <w:szCs w:val="20"/>
          <w:color w:val="auto"/>
        </w:rPr>
      </w:pPr>
    </w:p>
    <w:p>
      <w:pPr>
        <w:ind w:left="540" w:right="300" w:hanging="316"/>
        <w:spacing w:after="0" w:line="264"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any Obligor bankrupt or insolvent, or approving a petition in any such case or other proceeding, or a decree or order for relief is entered in respect of any Obligor in an involuntary case under the bankruptcy laws of any jurisdiction as now or hereafter constituted; or</w:t>
      </w:r>
    </w:p>
    <w:p>
      <w:pPr>
        <w:spacing w:after="0" w:line="86" w:lineRule="exact"/>
        <w:rPr>
          <w:rFonts w:ascii="Arial" w:cs="Arial" w:eastAsia="Arial" w:hAnsi="Arial"/>
          <w:sz w:val="18"/>
          <w:szCs w:val="18"/>
          <w:color w:val="auto"/>
        </w:rPr>
      </w:pPr>
    </w:p>
    <w:p>
      <w:pPr>
        <w:jc w:val="both"/>
        <w:ind w:left="540" w:right="160" w:hanging="316"/>
        <w:spacing w:after="0" w:line="264"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30 days, whether or not consecutive, any final judgment against any Obligor which, with other outstanding final judgments against any Obligor, exceeds in the aggregate U.S. $25,000,000 after taking into account any undisputed insurance coverage; or</w:t>
      </w:r>
    </w:p>
    <w:p>
      <w:pPr>
        <w:spacing w:after="0" w:line="86" w:lineRule="exact"/>
        <w:rPr>
          <w:rFonts w:ascii="Arial" w:cs="Arial" w:eastAsia="Arial" w:hAnsi="Arial"/>
          <w:sz w:val="18"/>
          <w:szCs w:val="18"/>
          <w:color w:val="auto"/>
        </w:rPr>
      </w:pPr>
    </w:p>
    <w:p>
      <w:pPr>
        <w:ind w:left="540" w:hanging="316"/>
        <w:spacing w:after="0" w:line="297"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any of the Loan Documents shall be cancelled, terminated, revoked or rescinded otherwise than in accordance with the terms thereof or with the express prior written agreement, consent or approval of the Lenders, or any action at law, suit or in equity or other legal proceeding to cancel, revoke or rescind any of the Loan Documents shall be commenced by or on behalf of any Obligor,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63" w:lineRule="exact"/>
        <w:rPr>
          <w:rFonts w:ascii="Arial" w:cs="Arial" w:eastAsia="Arial" w:hAnsi="Arial"/>
          <w:sz w:val="16"/>
          <w:szCs w:val="16"/>
          <w:color w:val="auto"/>
        </w:rPr>
      </w:pPr>
    </w:p>
    <w:p>
      <w:pPr>
        <w:ind w:left="540" w:hanging="316"/>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ceases to be directly or indirectly wholly-owned by Waste Management, Inc.; or</w:t>
      </w:r>
    </w:p>
    <w:p>
      <w:pPr>
        <w:spacing w:after="0" w:line="130"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occurrence of any Event of Default (as such term is defined in the U.S. Credit Agreement as at the date of this Agreement) under the U.S. Credit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Acceleration and Termination of Rights, Pre-Acceleration Rights</w:t>
      </w:r>
    </w:p>
    <w:p>
      <w:pPr>
        <w:spacing w:after="0" w:line="135" w:lineRule="exact"/>
        <w:rPr>
          <w:sz w:val="20"/>
          <w:szCs w:val="20"/>
          <w:color w:val="auto"/>
        </w:rPr>
      </w:pPr>
    </w:p>
    <w:p>
      <w:pPr>
        <w:jc w:val="both"/>
        <w:ind w:left="340" w:right="200" w:hanging="332"/>
        <w:spacing w:after="0" w:line="291" w:lineRule="auto"/>
        <w:tabs>
          <w:tab w:leader="none" w:pos="3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any Event of Default occurs, no Lender shall be under any further obligation to make Advances and the Required Lenders may instruct the Agent to give notice to the Borrower (a) declaring the Lenders’ obligations to make Advances to be terminated, whereupon the same shall forthwith terminate,</w:t>
      </w:r>
    </w:p>
    <w:p>
      <w:pPr>
        <w:ind w:left="340" w:right="240"/>
        <w:spacing w:after="0" w:line="255" w:lineRule="auto"/>
        <w:rPr>
          <w:rFonts w:ascii="Arial" w:cs="Arial" w:eastAsia="Arial" w:hAnsi="Arial"/>
          <w:sz w:val="16"/>
          <w:szCs w:val="16"/>
          <w:color w:val="auto"/>
        </w:rPr>
      </w:pPr>
      <w:r>
        <w:rPr>
          <w:rFonts w:ascii="Arial" w:cs="Arial" w:eastAsia="Arial" w:hAnsi="Arial"/>
          <w:sz w:val="18"/>
          <w:szCs w:val="18"/>
          <w:color w:val="auto"/>
        </w:rPr>
        <w:t>(b) declaring the Obligations or any of them to be forthwith due and payable, whereupon they shall become and be forthwith due and payable without presentment, demand, protest or further notice of any kind, all of which are hereby expressly waived by the Borrower, and/or (c) demanding that the Borrower deposit forthwith with the Agent for the Lenders’ benefit Collateral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color w:val="auto"/>
        </w:rPr>
        <w:t>- 42 -</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full face amount at maturity of all Banker’s Acceptances then outstanding for its account.</w:t>
      </w:r>
    </w:p>
    <w:p>
      <w:pPr>
        <w:spacing w:after="0" w:line="131" w:lineRule="exact"/>
        <w:rPr>
          <w:sz w:val="20"/>
          <w:szCs w:val="20"/>
          <w:color w:val="auto"/>
        </w:rPr>
      </w:pPr>
    </w:p>
    <w:p>
      <w:pPr>
        <w:ind w:left="340" w:hanging="332"/>
        <w:spacing w:after="0" w:line="293" w:lineRule="auto"/>
        <w:tabs>
          <w:tab w:leader="none" w:pos="3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the preceding paragraph, if any Obligor becomes a bankrupt (voluntarily or involuntarily), or institutes any proceeding seeking liquidation, dissolution, arrangement, winding-up, relief of debtors or from creditors or the appointment of a receiver or trustee over any material part of its property or analogous proceeding in any jurisdiction, then without prejudice to the other rights of the Lenders as a result of any such event, without any notice or action of any kind by the Agent or any Lender, and without presentment, demand or protest, the Lenders’ obligation to make Advances shall immediately terminate, the Obligations shall immediately become due and payable and the Borrower shall be obligated to deposit forthwith with the Agent for the Lenders’ benefit Collateral equal to the full face amount at maturity of all Banker’s Acceptances then outstanding for its account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Payment of Banker’s Acceptances</w:t>
      </w:r>
    </w:p>
    <w:p>
      <w:pPr>
        <w:spacing w:after="0" w:line="135" w:lineRule="exact"/>
        <w:rPr>
          <w:sz w:val="20"/>
          <w:szCs w:val="20"/>
          <w:color w:val="auto"/>
        </w:rPr>
      </w:pPr>
    </w:p>
    <w:p>
      <w:pPr>
        <w:ind w:left="340" w:right="60" w:hanging="332"/>
        <w:spacing w:after="0" w:line="290" w:lineRule="auto"/>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Immediately upon any Obligations becoming due and payable under Section 8.2, the Borrower shall, without necessity of further act or evidence, be and become thereby unconditionally obligated to deposit forthwith with the Agent for the benefit of the Lenders, Collateral equal to the full face amount at maturity of Banker’s Acceptances then outstanding for its account and the Borrower hereby unconditionally promises and agrees to deposit with the Agent immediately upon such demand Collateral in the amount so demanded. The Borrower authorizes the Lenders, or any of them, to debit its accounts with the amount required to pay such Banker’s Acceptances, notwithstanding that such Banker’s Acceptances may be held by the Lenders, or any of them, in their own right at maturity. Amounts paid to the Agent pursuant to such a demand in respect of Banker’s Acceptances shall be applied against, and shall reduce,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Lenders, to the extent of the amounts paid to the Agent in respect of Banker’s Acceptances, the obligations of the Borrower to pay amounts then or thereafter payable under Banker’s Acceptances, at the times amounts become payable thereunder.</w:t>
      </w:r>
    </w:p>
    <w:p>
      <w:pPr>
        <w:spacing w:after="0" w:line="71" w:lineRule="exact"/>
        <w:rPr>
          <w:rFonts w:ascii="Arial" w:cs="Arial" w:eastAsia="Arial" w:hAnsi="Arial"/>
          <w:sz w:val="16"/>
          <w:szCs w:val="16"/>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shall be entitled to receive interest on cash held by the Agent as Collateral in accordance with Section 11.12.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Remedies</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Upon the occurrence of any event by which any of the Obligations become due and payable under Section 8.2, the Security shall become immediately enforceable and the Required Lenders may instruct the Agent to take such action or proceedings on behalf of the Lenders and in compliance with applicable laws as the Required Lenders in their sole discretion deem expedient to enforce the same, all without any additional notice, presentment, demand, protest or other formality, all of which are hereby expressly waived by the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color w:val="auto"/>
        </w:rPr>
        <w:t>- 43 -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Saving</w:t>
      </w:r>
    </w:p>
    <w:p>
      <w:pPr>
        <w:spacing w:after="0" w:line="12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Neither the Agent nor any Lender shall be under any obligation to any Obligor or any other Person to realize any collateral or enforce the Security or any part thereof or to allow any of the collateral to be sold, dealt with or otherwise disposed of. None of the Agent or any Lender shall be responsible or liable to any Obligor or any other Person for any loss or damage upon the realization or enforcement of, the failure to realize or enforce the collateral or any part thereof or the failure to allow any of the collateral to be sold, dealt with or otherwise disposed of or for any act or omission on their respective parts or on the part of any director, officer, agent, servant or adviser in connection with any of the foregoing, except that the Agent and each Lender may be responsible or liable for any loss or damage arising from its wilful misconduct or gross negligence.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Perform Obligations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If an Event of Default has occurred and is continuing and any Obligor has failed to perform any of its covenants or agreements in the Loan Documents, the Required Lenders, may, but shall be under no obligation to, instruct the Agent on behalf of the Lenders to perform any such covenants or agreements in any manner deemed fit by the Required Lenders without thereby waiving any rights to enforce the Loan Documents. The reasonable expenses (including any legal costs) paid by the Agent and/or the Lenders in respect of the foregoing shall be secured by the Security.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8.7 Third Parties</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No Person dealing with the Lenders or any agent of the Lenders shall be concerned to inquire whether the Security has become enforceable, or whether the powers which the Lenders are purporting to exercise have become exercisable, or whether any Obligations remain outstanding upon the security thereof, or as to the necessity or expediency of the stipulations and conditions subject to which any sale shall be made, or otherwise as to the propriety or regularity of any sale or other disposition or any other dealing with the collateral charged by such Security or any part thereof.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8.8 Remedies Cumulative</w:t>
      </w:r>
    </w:p>
    <w:p>
      <w:pPr>
        <w:spacing w:after="0" w:line="121"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rights and remedies of the Lenders under the Loan Documents are cumulative and are in addition to and not in substitution for any rights or remedies provided by applicable laws. Any single or partial exercise by the Lenders of any right or remedy for a default or breach of any term, covenant, condition or agreement herein contained shall not be deemed to be a waiver of or to alter, affect, or prejudice any other right or remedy or other rights or remedies to which the Lenders may be lawfully entitled for the same default or breach. Any waiver by the Lenders of the strict observance, performance or compliance with any term, covenant, condition or agreement herein contained, and any indulgence granted by the Lenders shall be deemed not to be a waiver of any subsequent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color w:val="auto"/>
        </w:rPr>
        <w:t>- 44 -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AGENT AND THE LENDERS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Authorization of Agent</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Each Lender irrevocably designates and appoints the Agent as its agent hereunder and under the other Loan Documents for all purposes of the Credit, including for the purpose of holding and enforcing the Security in accordance with and subject to the terms hereof and the terms of the other Loan Documents, and authorizes it on behalf of such Lender to take such action and to exercise such rights, powers and discretions as are expressly delegated to it under this Agreement and the other Loan Documents and on the terms hereof or thereof together with such other rights, powers and discretions as are reasonably incidental thereto. The Agent may perform any of its duties hereunder or thereunder by or through its agents, officers or employees, its Affiliates or its Affiliates’ agents, officers or employees. The Agent hereby accepts each such appointment. Each such appointment may only be terminated as expressly provided in this Agreement. The Agent shall have only those duties and responsibilities which are of a solely mechanical and administrative nature and which are expressly specified in this Agreement, and it may perform such duties by or through its agents or employees, but shall not by reason of this Agreement have a fiduciary duty in respect of any Lender. As to any matters not expressly provided for by this Agreement, the Agent is not required to exercise any discretion or to take any action, but is required to act or to refrain from acting (and is fully protected in so acting or refraining from acting) upon the instructions of the Lenders or the Required Lenders, as the case may be. Those instructions shall be binding upon all Lenders, but the Agent is not required to take any action which exposes the Agent to personal liability or which is contrary to this Agreement or applicable law.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Disclaimer of Agent</w:t>
      </w:r>
    </w:p>
    <w:p>
      <w:pPr>
        <w:spacing w:after="0" w:line="12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Agent makes no representation or warranty, and assumes no responsibility with respect to the due execution, legality, validity, sufficiency, enforceability or collectability of this Agreement or any other Loan Document; provided, however, that the foregoing shall not be construed to relieve the Agent from the performance of its own duties and responsibilities as set forth herein. The Agent assumes no responsibility for the financial condition of any Obligor, or for the performance of the obligations of any Obligor under this Agreement or any other Loan Document. The Agent assumes no responsibility with respect to the accuracy, authenticity, legality, validity, sufficiency or enforceability of any documents, papers, materials or other information furnished by or on behalf of any Obligor to the Agent on behalf of the Lenders. The Agent shall not be required to ascertain or inquire as to the performance or observance of any of the terms, conditions, provisions, covenants or agreements contained herein or as to the use of the proceeds of the Credit or (unless the officers or employees of the Agent active in their capacity as officers or employees on the Borrower’s accounts have actual knowledge thereof, or have been notified thereof in writing by an Obligor) of the existence or possible existence of any Event of Default or Pending Event of Default. Neither the Agent nor any of its directors, officers, agents or employees shall be liable for any action taken or omitted to be taken by it or them as Agent under or in connection with the Agreement except for its or their own gross negligence or wilful misconduct. With respect to its Commitment, the Advances made by the Lender that is acting as Agent, and all amounts payable with respect thereto, the Agent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8"/>
          <w:szCs w:val="18"/>
          <w:color w:val="auto"/>
        </w:rPr>
        <w:t>- 45 -</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same rights and powers hereunder as any other Lender, and may exercise the same as though it were not performing the duties and functions delegated to it as Agent hereunder.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Failure of Lender to Fund</w:t>
      </w:r>
    </w:p>
    <w:p>
      <w:pPr>
        <w:spacing w:after="0" w:line="121" w:lineRule="exact"/>
        <w:rPr>
          <w:sz w:val="20"/>
          <w:szCs w:val="20"/>
          <w:color w:val="auto"/>
        </w:rPr>
      </w:pPr>
    </w:p>
    <w:p>
      <w:pPr>
        <w:ind w:left="340" w:hanging="332"/>
        <w:spacing w:after="0" w:line="287" w:lineRule="auto"/>
        <w:tabs>
          <w:tab w:leader="none" w:pos="3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Unless the Agent has actual knowledge that a Lender has not made or will not make available to the Agent for value on a Drawdown Date the applicable amount required from such Lender pursuant to Sections 5.6 or 5.10, the Agent shall be entitled to assume that such amount has been or will be received from such Lender when so due and the Agent may (but shall not be obliged to), in reliance upon such assumption, make available to the Borrower a corresponding amount. If such amount is not in fact received by the Agent from such Lender on such Drawdown Date and the Agent has made available a corresponding amount to the Borrower on such Drawdown Date as aforesaid, such Lender shall pay to the Agent on demand such amount together with an amount equal to the product of (a) the Interbank Reference Rate per annum multiplied by (b) the amount that should have been paid to the Agent by such Lender on such Drawdown Date and was not, multiplied by (c) a fraction, the numerator of which is the number of days that have elapsed from and including such Drawdown Date to but excluding the date on which the amount is received by the Agent from such Lender and the denominator of which is the number of days in the calendar year in which the same is to be ascertained. A certificate of the Agent containing details of the amounts owing by a Lender under this Section shall be binding and conclusive in the absence of manifest error. If any such principal amount is not in fact received by the Agent from such Lender on such Drawdown Date, the Agent shall be entitled to recover from the Borrower, on demand, the related amount made available by the Agent to the Borrower as aforesaid together with interest thereon at the applicable rate per annum payable by the Borrower hereunder.</w:t>
      </w:r>
    </w:p>
    <w:p>
      <w:pPr>
        <w:spacing w:after="0" w:line="60" w:lineRule="exact"/>
        <w:rPr>
          <w:rFonts w:ascii="Arial" w:cs="Arial" w:eastAsia="Arial" w:hAnsi="Arial"/>
          <w:sz w:val="16"/>
          <w:szCs w:val="16"/>
          <w:color w:val="auto"/>
        </w:rPr>
      </w:pPr>
    </w:p>
    <w:p>
      <w:pPr>
        <w:ind w:left="340" w:right="20" w:hanging="332"/>
        <w:spacing w:after="0" w:line="269" w:lineRule="auto"/>
        <w:tabs>
          <w:tab w:leader="none" w:pos="3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Notwithstanding the provisions of Section 9.3(1), if any Lender fails to make available to the Agent its Applicable Percentage of any Advance (such Lender being herein called the “</w:t>
      </w:r>
      <w:r>
        <w:rPr>
          <w:rFonts w:ascii="Arial" w:cs="Arial" w:eastAsia="Arial" w:hAnsi="Arial"/>
          <w:sz w:val="17"/>
          <w:szCs w:val="17"/>
          <w:b w:val="1"/>
          <w:bCs w:val="1"/>
          <w:color w:val="auto"/>
        </w:rPr>
        <w:t>Defaulting Lender</w:t>
      </w:r>
      <w:r>
        <w:rPr>
          <w:rFonts w:ascii="Arial" w:cs="Arial" w:eastAsia="Arial" w:hAnsi="Arial"/>
          <w:sz w:val="17"/>
          <w:szCs w:val="17"/>
          <w:color w:val="auto"/>
        </w:rPr>
        <w:t>”), the Agent shall forthwith give notice of such failure by the Defaulting Lender to the Borrower and the other Lenders. The Agent shall then forthwith give notice to the other Lenders that any Lender may make available to the Agent all or any portion of the Defaulting Lender’s Applicable Percentage of such Advance (but in no way shall any other Lender or the Agent be obliged to do so) in the place of the Defaulting Lender. If more than one Lender gives notice that it is prepared to make funds available in the place of a Defaulting Lender in such circumstances and the aggregate of the funds which such Lenders (herein collectively called the “</w:t>
      </w:r>
      <w:r>
        <w:rPr>
          <w:rFonts w:ascii="Arial" w:cs="Arial" w:eastAsia="Arial" w:hAnsi="Arial"/>
          <w:sz w:val="17"/>
          <w:szCs w:val="17"/>
          <w:b w:val="1"/>
          <w:bCs w:val="1"/>
          <w:color w:val="auto"/>
        </w:rPr>
        <w:t>Contributing Lenders</w:t>
      </w:r>
      <w:r>
        <w:rPr>
          <w:rFonts w:ascii="Arial" w:cs="Arial" w:eastAsia="Arial" w:hAnsi="Arial"/>
          <w:sz w:val="17"/>
          <w:szCs w:val="17"/>
          <w:color w:val="auto"/>
        </w:rPr>
        <w:t>” and individually called the “</w:t>
      </w:r>
      <w:r>
        <w:rPr>
          <w:rFonts w:ascii="Arial" w:cs="Arial" w:eastAsia="Arial" w:hAnsi="Arial"/>
          <w:sz w:val="17"/>
          <w:szCs w:val="17"/>
          <w:b w:val="1"/>
          <w:bCs w:val="1"/>
          <w:color w:val="auto"/>
        </w:rPr>
        <w:t>Contributing Lender</w:t>
      </w:r>
      <w:r>
        <w:rPr>
          <w:rFonts w:ascii="Arial" w:cs="Arial" w:eastAsia="Arial" w:hAnsi="Arial"/>
          <w:sz w:val="17"/>
          <w:szCs w:val="17"/>
          <w:color w:val="auto"/>
        </w:rPr>
        <w:t>”) are prepared to make available exceeds the amount of the Advance which the Defaulting Lender failed to make, then each Contributing Lender shall be deemed to have given notice that it is prepared to make available its Applicable Percentage of such Advance based on the Contributing Lenders’ relative commitments to advance in such circumstances. If any Contributing Lender makes funds available in the place of a Defaulting Lender in such circumstances, then the Defaulting Lender shall pay to each Contributing Lender making the funds available in its place, forthwith on demand, each amount advanced on its behalf together with interest thereon at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t>- 46 -</w:t>
      </w:r>
    </w:p>
    <w:p>
      <w:pPr>
        <w:spacing w:after="0" w:line="198"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color w:val="auto"/>
        </w:rPr>
        <w:t>applicable to such Advance from the date of advance to the date of payment, against payment by the applicable Contributing Lender making the funds available of all interest received in respect of the Advance from the Borrower. The failure of any Lender to make available to the Agent its Applicable Percentage of any Advance as required herein shall not relieve any other Lender of its obligations to make available to the Agent its Applicable Percentage of any Advance as required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Payments by the Borrower</w:t>
      </w:r>
    </w:p>
    <w:p>
      <w:pPr>
        <w:spacing w:after="0" w:line="135" w:lineRule="exact"/>
        <w:rPr>
          <w:sz w:val="20"/>
          <w:szCs w:val="20"/>
          <w:color w:val="auto"/>
        </w:rPr>
      </w:pPr>
    </w:p>
    <w:p>
      <w:pPr>
        <w:ind w:left="340" w:right="240" w:hanging="332"/>
        <w:spacing w:after="0" w:line="277" w:lineRule="auto"/>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payments made by or on behalf of the Borrower pursuant to this Agreement shall be made to and received by the Agent and shall be distributed by the Agent to the Lenders as soon as possible upon receipt by the Agent. The Agent shall distribute:</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payments of interest in accordance with each Lender’s Applicable Percentage of the Credit;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repayments of principal in accordance with each Lender’s Applicable Percentage of the Credit; and</w:t>
      </w:r>
    </w:p>
    <w:p>
      <w:pPr>
        <w:spacing w:after="0" w:line="130" w:lineRule="exact"/>
        <w:rPr>
          <w:rFonts w:ascii="Arial" w:cs="Arial" w:eastAsia="Arial" w:hAnsi="Arial"/>
          <w:sz w:val="18"/>
          <w:szCs w:val="18"/>
          <w:color w:val="auto"/>
        </w:rPr>
      </w:pPr>
    </w:p>
    <w:p>
      <w:pPr>
        <w:ind w:left="540" w:right="20" w:hanging="316"/>
        <w:spacing w:after="0" w:line="264" w:lineRule="auto"/>
        <w:tabs>
          <w:tab w:leader="none" w:pos="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other payments received by the Agent including amounts received upon the enforcement of the Security in accordance with each Lender’s Applicable Percentage of the Credit provided, however, that with respect to proceeds of realization, no Lender shall receive an amount in excess of the amounts owing to it in respect of the Obligations.</w:t>
      </w:r>
    </w:p>
    <w:p>
      <w:pPr>
        <w:spacing w:after="0" w:line="73" w:lineRule="exact"/>
        <w:rPr>
          <w:rFonts w:ascii="Arial" w:cs="Arial" w:eastAsia="Arial" w:hAnsi="Arial"/>
          <w:sz w:val="18"/>
          <w:szCs w:val="18"/>
          <w:color w:val="auto"/>
        </w:rPr>
      </w:pPr>
    </w:p>
    <w:p>
      <w:pPr>
        <w:ind w:left="340" w:right="40" w:hanging="332"/>
        <w:spacing w:after="0" w:line="255" w:lineRule="auto"/>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the Agent does not distribute a Lender’s share of a payment made by the Borrower to that Lender for value on the day that payment is made or deemed to have been made to the Agent, the Agent shall pay to the Lender on demand an amount equal to the product of (a) the Interbank Reference Rate per annum multiplied by (b) the Lender’s share of the amount received by the Agent from the Borrower and not so distributed, multiplied by (c) a fraction, the numerator of which is the number of days that have elapsed from and including the date of receipt of the payment by the Agent to but excluding the date on which the payment is made by the Agent to such Lender and the denominator of which is the number of days in the calendar year in which the same is to be ascertained.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Payments by Agent</w:t>
      </w:r>
    </w:p>
    <w:p>
      <w:pPr>
        <w:spacing w:after="0" w:line="135"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greater certainty, the following provisions shall apply to any and all payments made by the Agent to the Lenders hereunder:</w:t>
      </w:r>
    </w:p>
    <w:p>
      <w:pPr>
        <w:spacing w:after="0" w:line="117" w:lineRule="exact"/>
        <w:rPr>
          <w:rFonts w:ascii="Arial" w:cs="Arial" w:eastAsia="Arial" w:hAnsi="Arial"/>
          <w:sz w:val="18"/>
          <w:szCs w:val="18"/>
          <w:color w:val="auto"/>
        </w:rPr>
      </w:pPr>
    </w:p>
    <w:p>
      <w:pPr>
        <w:ind w:left="540" w:hanging="316"/>
        <w:spacing w:after="0" w:line="277" w:lineRule="auto"/>
        <w:tabs>
          <w:tab w:leader="none" w:pos="5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Agent shall be under no obligation to make any payment (whether in respect of principal, interest, fees or otherwise) to any Lender until an amount in respect of such payment has been received by the Agent from the Borrower;</w:t>
      </w:r>
    </w:p>
    <w:p>
      <w:pPr>
        <w:spacing w:after="0" w:line="75" w:lineRule="exact"/>
        <w:rPr>
          <w:rFonts w:ascii="Arial" w:cs="Arial" w:eastAsia="Arial" w:hAnsi="Arial"/>
          <w:sz w:val="18"/>
          <w:szCs w:val="18"/>
          <w:color w:val="auto"/>
        </w:rPr>
      </w:pPr>
    </w:p>
    <w:p>
      <w:pPr>
        <w:ind w:left="540" w:right="840" w:hanging="316"/>
        <w:spacing w:after="0" w:line="277" w:lineRule="auto"/>
        <w:tabs>
          <w:tab w:leader="none" w:pos="5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the Agent receives less than the full amount of any payment of principal, interest, fees or other amount owing by the Borrower under this Agreement, the Agent shall have no obligation to remit to each Lender any amount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color w:val="auto"/>
        </w:rPr>
        <w:t>- 47 -</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than such Lender’s Applicable Percentage of the amount actually received by the Agent;</w:t>
      </w:r>
    </w:p>
    <w:p>
      <w:pPr>
        <w:spacing w:after="0" w:line="131" w:lineRule="exact"/>
        <w:rPr>
          <w:sz w:val="20"/>
          <w:szCs w:val="20"/>
          <w:color w:val="auto"/>
        </w:rPr>
      </w:pPr>
    </w:p>
    <w:p>
      <w:pPr>
        <w:ind w:left="540" w:hanging="316"/>
        <w:spacing w:after="0" w:line="277" w:lineRule="auto"/>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any Lender advances more or less than its Applicable Percentage of a Credit, such Lender’s entitlement to payment shall be increased or reduced, as the case may be, in proportion to the amount actually advanced by such Lender;</w:t>
      </w:r>
    </w:p>
    <w:p>
      <w:pPr>
        <w:spacing w:after="0" w:line="75" w:lineRule="exact"/>
        <w:rPr>
          <w:rFonts w:ascii="Arial" w:cs="Arial" w:eastAsia="Arial" w:hAnsi="Arial"/>
          <w:sz w:val="18"/>
          <w:szCs w:val="18"/>
          <w:color w:val="auto"/>
        </w:rPr>
      </w:pPr>
    </w:p>
    <w:p>
      <w:pPr>
        <w:ind w:left="540" w:right="120" w:hanging="316"/>
        <w:spacing w:after="0" w:line="259" w:lineRule="auto"/>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a Lender’s Applicable Percentage of an Advance has been advanced, or a Lender’s Commitment has been outstanding, for less than the full period to which any payment (other than a payment of principal) by the Borrower relates, such Lender’s entitlement to such payment shall be reduced in proportion to the length of time such Lender’s Applicable Percentage of the relevant Credit or such Lender’s Commitment, as the case may be, has actually been outstanding;</w:t>
      </w:r>
    </w:p>
    <w:p>
      <w:pPr>
        <w:spacing w:after="0" w:line="92" w:lineRule="exact"/>
        <w:rPr>
          <w:rFonts w:ascii="Arial" w:cs="Arial" w:eastAsia="Arial" w:hAnsi="Arial"/>
          <w:sz w:val="18"/>
          <w:szCs w:val="18"/>
          <w:color w:val="auto"/>
        </w:rPr>
      </w:pPr>
    </w:p>
    <w:p>
      <w:pPr>
        <w:ind w:left="540" w:hanging="316"/>
        <w:spacing w:after="0" w:line="342" w:lineRule="auto"/>
        <w:tabs>
          <w:tab w:leader="none" w:pos="54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Agent acting reasonably and in good faith shall, after consultation with the Lenders in the case of any dispute, determine in all cases the amount of all payments to which each Lender is entitled and such determination shall, in the absence of manifest error, be binding and conclusive; and</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upon request, the Agent shall deliver a statement detailing any of the payments to the Lenders referred to herein.</w:t>
      </w:r>
    </w:p>
    <w:p>
      <w:pPr>
        <w:spacing w:after="0" w:line="117" w:lineRule="exact"/>
        <w:rPr>
          <w:rFonts w:ascii="Arial" w:cs="Arial" w:eastAsia="Arial" w:hAnsi="Arial"/>
          <w:sz w:val="18"/>
          <w:szCs w:val="18"/>
          <w:color w:val="auto"/>
        </w:rPr>
      </w:pPr>
    </w:p>
    <w:p>
      <w:pPr>
        <w:ind w:left="340" w:hanging="332"/>
        <w:spacing w:after="0" w:line="270" w:lineRule="auto"/>
        <w:tabs>
          <w:tab w:leader="none" w:pos="3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Unless the Agent has actual knowledge that the Borrower has not made or will not make a payment to the Agent for value on the date in respect of which the Borrower has notified the Agent that the payment will be made, the Agent shall be entitled to assume that such payment has been or will be received from the Borrower when due and the Agent may (but shall not be obliged to), in reliance upon such assumption, pay the Lenders corresponding amounts. If the payment by the Borrower is in fact not received by the Agent on the required date and the Agent has made available corresponding amounts to the Lenders, the Borrower shall, without limiting its other obligations under this Agreement, indemnify the Agent against any and all liabilities, obligations, losses, damages, penalties, costs, expenses or disbursements of any kind or nature whatsoever that may be imposed on or incurred by the Agent as a result, except for those arising from the Agent’s gross negligence or wilful misconduct. A certificate of the Agent with respect to any amount owing by the Borrower under this Section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amount owing in the absence of manifest error. If the payment is not received by the Agent from the Borrower within a reasonable time following the disbursement to the Lenders by the Agent, the Lenders shall return the amounts received by them to the Agent with interest at the Interbank Reference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Direct Payments</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Lenders agree among themselves that, except as otherwise provided for in this Agreement (including but not limited to Sections 11.9 and 11.10), and except as necessary to adjust for Advances that are not in each Lender’s Applicable Percentage under the Credit,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03" w:name="page204"/>
    <w:bookmarkEnd w:id="203"/>
    <w:p>
      <w:pPr>
        <w:jc w:val="center"/>
        <w:ind w:right="-119"/>
        <w:spacing w:after="0"/>
        <w:rPr>
          <w:sz w:val="20"/>
          <w:szCs w:val="20"/>
          <w:color w:val="auto"/>
        </w:rPr>
      </w:pPr>
      <w:r>
        <w:rPr>
          <w:rFonts w:ascii="Arial" w:cs="Arial" w:eastAsia="Arial" w:hAnsi="Arial"/>
          <w:sz w:val="18"/>
          <w:szCs w:val="18"/>
          <w:color w:val="auto"/>
        </w:rPr>
        <w:t>- 48 -</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sums received by a Lender relating to this Agreement or by virtue of the Security, whether received by voluntary payment, by the exercise of the right of set off or compensation or by counterclaim, cross action or as proceeds of realization of any Security or otherwise, shall be shared by each Lender in its Applicable Percentage under the Credit and each Lender undertakes to do all such things as may be reasonably required to give full effect to this Section, including, all things as shall be necessary to cause the Lender in receipt of such sum to share the excess amount rateably in its Applicable Percentage under the Credit with the other Lenders. If any sum which is so shared is later recovered from the Lenders who originally received it, the Lender shall restore its Applicable Percentage under the Credit of such sum to such Lenders, without interest. If any Lender shall obtain any payment of moneys due under this Agreement as referred to above, it shall forthwith remit such payment to the Agent and, upon receipt, the Agent shall distribute such payment in accordance with the provisions of Section 9.5.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 Administration of the Credit</w:t>
      </w:r>
    </w:p>
    <w:p>
      <w:pPr>
        <w:spacing w:after="0" w:line="135"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Unless otherwise specified herein, the Agent shall perform the following duties under this Agreement:</w:t>
      </w:r>
    </w:p>
    <w:p>
      <w:pPr>
        <w:spacing w:after="0" w:line="117" w:lineRule="exact"/>
        <w:rPr>
          <w:rFonts w:ascii="Arial" w:cs="Arial" w:eastAsia="Arial" w:hAnsi="Arial"/>
          <w:sz w:val="18"/>
          <w:szCs w:val="18"/>
          <w:color w:val="auto"/>
        </w:rPr>
      </w:pPr>
    </w:p>
    <w:p>
      <w:pPr>
        <w:ind w:left="540" w:hanging="316"/>
        <w:spacing w:after="0" w:line="277" w:lineRule="auto"/>
        <w:tabs>
          <w:tab w:leader="none" w:pos="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take delivery of each Lender’s Applicable Percentage of an Advance and make all Advances hereunder in accordance with the procedures set forth in Sections 5.6 and 5.10;</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use reasonable efforts to collect promptly all sums due and payable by the Borrower pursuant to this Agreement;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make all payments to the Lenders in accordance with the provisions hereof;</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hold the Security on behalf of the Lenders;</w:t>
      </w:r>
    </w:p>
    <w:p>
      <w:pPr>
        <w:spacing w:after="0" w:line="130" w:lineRule="exact"/>
        <w:rPr>
          <w:rFonts w:ascii="Arial" w:cs="Arial" w:eastAsia="Arial" w:hAnsi="Arial"/>
          <w:sz w:val="18"/>
          <w:szCs w:val="18"/>
          <w:color w:val="auto"/>
        </w:rPr>
      </w:pPr>
    </w:p>
    <w:p>
      <w:pPr>
        <w:ind w:left="540" w:right="60" w:hanging="316"/>
        <w:spacing w:after="0" w:line="273" w:lineRule="auto"/>
        <w:tabs>
          <w:tab w:leader="none" w:pos="5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hold all legal documents relating to the Credit, maintain complete and accurate records showing all Advances made by the Lenders, all remittances and payments made by the Borrower to the Agent, all remittances and payments made by the Agent to the Lenders and all fees or any other sums received by the Agent and, except for accounts, records and documents relating to the fees payable by the Borrower to the Agent in its capacity as Agent under the Agency Fee Letter or the Arrangers under the Fee Letter, allow each Lender and their respective advisors to examine such accounts, records and documents at their own expense, and provide any Lender, upon reasonable notice, with such copies thereof or information contained therein as such Lender may reasonably require from time to time at the Lender’s expense;</w:t>
      </w:r>
    </w:p>
    <w:p>
      <w:pPr>
        <w:spacing w:after="0" w:line="83" w:lineRule="exact"/>
        <w:rPr>
          <w:rFonts w:ascii="Arial" w:cs="Arial" w:eastAsia="Arial" w:hAnsi="Arial"/>
          <w:sz w:val="17"/>
          <w:szCs w:val="17"/>
          <w:color w:val="auto"/>
        </w:rPr>
      </w:pPr>
    </w:p>
    <w:p>
      <w:pPr>
        <w:jc w:val="both"/>
        <w:ind w:left="540" w:right="40" w:hanging="316"/>
        <w:spacing w:after="0" w:line="264" w:lineRule="auto"/>
        <w:tabs>
          <w:tab w:leader="none" w:pos="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except as otherwise specifically provided for in this Agreement, promptly advise each Lender upon receipt of each notice and deliver to each Lender, promptly upon receipt, all other written communications furnished by any Obligor to the Agent on behalf of the Lenders pursuant to this Agreement, including copies of financial reports and certificates which are to be furnished to the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04" w:name="page205"/>
    <w:bookmarkEnd w:id="204"/>
    <w:p>
      <w:pPr>
        <w:jc w:val="center"/>
        <w:ind w:right="-11"/>
        <w:spacing w:after="0"/>
        <w:rPr>
          <w:sz w:val="20"/>
          <w:szCs w:val="20"/>
          <w:color w:val="auto"/>
        </w:rPr>
      </w:pPr>
      <w:r>
        <w:rPr>
          <w:rFonts w:ascii="Arial" w:cs="Arial" w:eastAsia="Arial" w:hAnsi="Arial"/>
          <w:sz w:val="18"/>
          <w:szCs w:val="18"/>
          <w:color w:val="auto"/>
        </w:rPr>
        <w:t>- 49 -</w:t>
      </w:r>
    </w:p>
    <w:p>
      <w:pPr>
        <w:spacing w:after="0" w:line="198" w:lineRule="exact"/>
        <w:rPr>
          <w:sz w:val="20"/>
          <w:szCs w:val="20"/>
          <w:color w:val="auto"/>
        </w:rPr>
      </w:pPr>
    </w:p>
    <w:p>
      <w:pPr>
        <w:ind w:left="532" w:hanging="316"/>
        <w:spacing w:after="0" w:line="255" w:lineRule="auto"/>
        <w:tabs>
          <w:tab w:leader="none" w:pos="53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upon learning of same, promptly advise each Lender in writing of the occurrence of an Event of Default or Pending Event of Default or the occurrence of any event, condition or circumstance which would or could reasonably be expected to have a Material Adverse Effect or of any material adverse information coming to the attention of the Agent (using reasonable efforts) relative to the Security or of the occurrence of any material adverse change in the financial condition or property of any Obligor, provided that, except as aforesaid, the Agent shall be under no duty or obligation whatsoever to provide any notice to the Lenders and further provided that each Lender hereby agrees to notify the Agent of any Event of Default or Pending Event of Default of which it may become aware.</w:t>
      </w:r>
    </w:p>
    <w:p>
      <w:pPr>
        <w:spacing w:after="0" w:line="85" w:lineRule="exact"/>
        <w:rPr>
          <w:rFonts w:ascii="Arial" w:cs="Arial" w:eastAsia="Arial" w:hAnsi="Arial"/>
          <w:sz w:val="18"/>
          <w:szCs w:val="18"/>
          <w:color w:val="auto"/>
        </w:rPr>
      </w:pPr>
    </w:p>
    <w:p>
      <w:pPr>
        <w:ind w:left="332" w:hanging="332"/>
        <w:spacing w:after="0"/>
        <w:tabs>
          <w:tab w:leader="none" w:pos="33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Agent may take the following actions only with the prior consent of the Required Lenders, unless otherwise specified in this Agreement:</w:t>
      </w:r>
    </w:p>
    <w:p>
      <w:pPr>
        <w:spacing w:after="0" w:line="128" w:lineRule="exact"/>
        <w:rPr>
          <w:rFonts w:ascii="Arial" w:cs="Arial" w:eastAsia="Arial" w:hAnsi="Arial"/>
          <w:sz w:val="17"/>
          <w:szCs w:val="17"/>
          <w:color w:val="auto"/>
        </w:rPr>
      </w:pPr>
    </w:p>
    <w:p>
      <w:pPr>
        <w:ind w:left="532" w:hanging="316"/>
        <w:spacing w:after="0"/>
        <w:tabs>
          <w:tab w:leader="none" w:pos="5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subject to Section 9.7(3), exercise any and all rights of approval conferred upon the Lenders by this Agreement;</w:t>
      </w:r>
    </w:p>
    <w:p>
      <w:pPr>
        <w:spacing w:after="0" w:line="130" w:lineRule="exact"/>
        <w:rPr>
          <w:rFonts w:ascii="Arial" w:cs="Arial" w:eastAsia="Arial" w:hAnsi="Arial"/>
          <w:sz w:val="18"/>
          <w:szCs w:val="18"/>
          <w:color w:val="auto"/>
        </w:rPr>
      </w:pPr>
    </w:p>
    <w:p>
      <w:pPr>
        <w:ind w:left="532" w:right="60" w:hanging="316"/>
        <w:spacing w:after="0" w:line="302" w:lineRule="auto"/>
        <w:tabs>
          <w:tab w:leader="none" w:pos="53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give written notice to any Obligor in respect of any matter in respect of which notice may be required, permitted, necessary or desirable in accordance with or pursuant to this Agreement, promptly after receiving the consent of the Required Lenders, except that the Agent shall, without direction from the Lenders, immediately give the Borrower notice of any payment that is due or overdue under the terms of this Agreement unless the Agent considers that it should request the direction of the Required Lenders, in which case the Agent shall promptly request that direction;</w:t>
      </w:r>
    </w:p>
    <w:p>
      <w:pPr>
        <w:spacing w:after="0" w:line="59" w:lineRule="exact"/>
        <w:rPr>
          <w:rFonts w:ascii="Arial" w:cs="Arial" w:eastAsia="Arial" w:hAnsi="Arial"/>
          <w:sz w:val="16"/>
          <w:szCs w:val="16"/>
          <w:color w:val="auto"/>
        </w:rPr>
      </w:pPr>
    </w:p>
    <w:p>
      <w:pPr>
        <w:ind w:left="532" w:right="20" w:hanging="316"/>
        <w:spacing w:after="0" w:line="277" w:lineRule="auto"/>
        <w:tabs>
          <w:tab w:leader="none" w:pos="5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amend, modify or waive any of the terms of this Agreement, including waiver of an Event of Default or Pending Event of Default, if such action is not otherwise provided for in Section 9.7(3);</w:t>
      </w:r>
    </w:p>
    <w:p>
      <w:pPr>
        <w:spacing w:after="0" w:line="75" w:lineRule="exact"/>
        <w:rPr>
          <w:rFonts w:ascii="Arial" w:cs="Arial" w:eastAsia="Arial" w:hAnsi="Arial"/>
          <w:sz w:val="18"/>
          <w:szCs w:val="18"/>
          <w:color w:val="auto"/>
        </w:rPr>
      </w:pPr>
    </w:p>
    <w:p>
      <w:pPr>
        <w:ind w:left="532" w:right="340" w:hanging="316"/>
        <w:spacing w:after="0" w:line="264" w:lineRule="auto"/>
        <w:tabs>
          <w:tab w:leader="none" w:pos="5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declare an Event of Default or take, or cause to be taken by the Agent, action to enforce performance of the Obligations and to realize upon the Security, including the appointment of a receiver, the exercise of powers of distress, lease or sale given by the Security or by law and the taking of foreclosure proceedings and/or the pursuit of any other legal remedy necessary;</w:t>
      </w:r>
    </w:p>
    <w:p>
      <w:pPr>
        <w:spacing w:after="0" w:line="86" w:lineRule="exact"/>
        <w:rPr>
          <w:rFonts w:ascii="Arial" w:cs="Arial" w:eastAsia="Arial" w:hAnsi="Arial"/>
          <w:sz w:val="18"/>
          <w:szCs w:val="18"/>
          <w:color w:val="auto"/>
        </w:rPr>
      </w:pPr>
    </w:p>
    <w:p>
      <w:pPr>
        <w:ind w:left="532" w:hanging="316"/>
        <w:spacing w:after="0"/>
        <w:tabs>
          <w:tab w:leader="none" w:pos="5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decide to accelerate the amounts outstanding under the Credit; and</w:t>
      </w:r>
    </w:p>
    <w:p>
      <w:pPr>
        <w:spacing w:after="0" w:line="130" w:lineRule="exact"/>
        <w:rPr>
          <w:rFonts w:ascii="Arial" w:cs="Arial" w:eastAsia="Arial" w:hAnsi="Arial"/>
          <w:sz w:val="18"/>
          <w:szCs w:val="18"/>
          <w:color w:val="auto"/>
        </w:rPr>
      </w:pPr>
    </w:p>
    <w:p>
      <w:pPr>
        <w:ind w:left="532" w:hanging="316"/>
        <w:spacing w:after="0"/>
        <w:tabs>
          <w:tab w:leader="none" w:pos="53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pay, or instruct the Agent to pay insurance premiums, Taxes and any other sums as may be reasonably required to protect the interests of the Lenders.</w:t>
      </w:r>
    </w:p>
    <w:p>
      <w:pPr>
        <w:spacing w:after="0" w:line="140" w:lineRule="exact"/>
        <w:rPr>
          <w:rFonts w:ascii="Arial" w:cs="Arial" w:eastAsia="Arial" w:hAnsi="Arial"/>
          <w:sz w:val="16"/>
          <w:szCs w:val="16"/>
          <w:color w:val="auto"/>
        </w:rPr>
      </w:pPr>
    </w:p>
    <w:p>
      <w:pPr>
        <w:ind w:left="332" w:hanging="332"/>
        <w:spacing w:after="0"/>
        <w:tabs>
          <w:tab w:leader="none" w:pos="3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Agent may take the following actions only if the prior unanimous consent of the Lenders is obtained, unless otherwise specified herein:</w:t>
      </w:r>
    </w:p>
    <w:p>
      <w:pPr>
        <w:spacing w:after="0" w:line="117" w:lineRule="exact"/>
        <w:rPr>
          <w:rFonts w:ascii="Arial" w:cs="Arial" w:eastAsia="Arial" w:hAnsi="Arial"/>
          <w:sz w:val="18"/>
          <w:szCs w:val="18"/>
          <w:color w:val="auto"/>
        </w:rPr>
      </w:pPr>
    </w:p>
    <w:p>
      <w:pPr>
        <w:ind w:left="532" w:hanging="316"/>
        <w:spacing w:after="0"/>
        <w:tabs>
          <w:tab w:leader="none" w:pos="5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amend, modify, discharge, terminate or waive any of the terms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205" w:name="page206"/>
    <w:bookmarkEnd w:id="205"/>
    <w:p>
      <w:pPr>
        <w:jc w:val="center"/>
        <w:ind w:right="-51"/>
        <w:spacing w:after="0"/>
        <w:rPr>
          <w:sz w:val="20"/>
          <w:szCs w:val="20"/>
          <w:color w:val="auto"/>
        </w:rPr>
      </w:pPr>
      <w:r>
        <w:rPr>
          <w:rFonts w:ascii="Arial" w:cs="Arial" w:eastAsia="Arial" w:hAnsi="Arial"/>
          <w:sz w:val="18"/>
          <w:szCs w:val="18"/>
          <w:color w:val="auto"/>
        </w:rPr>
        <w:t>- 50 -</w:t>
      </w:r>
    </w:p>
    <w:p>
      <w:pPr>
        <w:spacing w:after="0" w:line="198" w:lineRule="exact"/>
        <w:rPr>
          <w:sz w:val="20"/>
          <w:szCs w:val="20"/>
          <w:color w:val="auto"/>
        </w:rPr>
      </w:pPr>
    </w:p>
    <w:p>
      <w:pPr>
        <w:ind w:left="532" w:right="520" w:hanging="316"/>
        <w:spacing w:after="0" w:line="259" w:lineRule="auto"/>
        <w:tabs>
          <w:tab w:leader="none" w:pos="5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amend, modify, discharge, terminate or waive any of the terms of this Agreement or the Security if such amendment, modification, discharge, termination or waiver would increase the amount of the Credit, amend the purpose of the Credit, reduce the interest rates and similar charges applicable to the Credit, reduce the fees payable with respect to the Credit, extend any date fixed for payment of principal, interest or any other amount relating to the Credit or extend the term of the Credit; and</w:t>
      </w:r>
    </w:p>
    <w:p>
      <w:pPr>
        <w:spacing w:after="0" w:line="92" w:lineRule="exact"/>
        <w:rPr>
          <w:rFonts w:ascii="Arial" w:cs="Arial" w:eastAsia="Arial" w:hAnsi="Arial"/>
          <w:sz w:val="18"/>
          <w:szCs w:val="18"/>
          <w:color w:val="auto"/>
        </w:rPr>
      </w:pPr>
    </w:p>
    <w:p>
      <w:pPr>
        <w:ind w:left="532" w:hanging="316"/>
        <w:spacing w:after="0"/>
        <w:tabs>
          <w:tab w:leader="none" w:pos="5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amend the definition of “Required Lenders” or this Section 9.7(3).</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greater certainty, no Lender’s Commitment or Applicable Percentage may be amended without the consent of that Lender.</w:t>
      </w:r>
    </w:p>
    <w:p>
      <w:pPr>
        <w:spacing w:after="0" w:line="131" w:lineRule="exact"/>
        <w:rPr>
          <w:sz w:val="20"/>
          <w:szCs w:val="20"/>
          <w:color w:val="auto"/>
        </w:rPr>
      </w:pPr>
    </w:p>
    <w:p>
      <w:pPr>
        <w:ind w:left="332" w:right="220" w:hanging="332"/>
        <w:spacing w:after="0" w:line="264" w:lineRule="auto"/>
        <w:tabs>
          <w:tab w:leader="none" w:pos="3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extent that any Obligor or any Affiliate of a Obligor becomes a Lender, such Lender shall not be permitted to vote on or consent to any matter under this Agreement on or to which a Lender may vote or consent and the Commitment of such Lender shall be deemed not to be outstanding for the purposes of determining whether a specified majority has been achieved.</w:t>
      </w:r>
    </w:p>
    <w:p>
      <w:pPr>
        <w:spacing w:after="0" w:line="86" w:lineRule="exact"/>
        <w:rPr>
          <w:rFonts w:ascii="Arial" w:cs="Arial" w:eastAsia="Arial" w:hAnsi="Arial"/>
          <w:sz w:val="18"/>
          <w:szCs w:val="18"/>
          <w:color w:val="auto"/>
        </w:rPr>
      </w:pPr>
    </w:p>
    <w:p>
      <w:pPr>
        <w:ind w:left="332" w:hanging="332"/>
        <w:spacing w:after="0" w:line="264" w:lineRule="auto"/>
        <w:tabs>
          <w:tab w:leader="none" w:pos="3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Notwithstanding Sections 9.7(2) and 9.7(3) the Agent may, without the consent of the Lenders (but with the consent of the Borrower), make, or cause to be made, amendments to the Loan Documents that are for the sole purpose of curing any immaterial or administrative ambiguity, defect or inconsistency, but shall immediately notify the Lenders of any such action.</w:t>
      </w:r>
    </w:p>
    <w:p>
      <w:pPr>
        <w:spacing w:after="0" w:line="86" w:lineRule="exact"/>
        <w:rPr>
          <w:rFonts w:ascii="Arial" w:cs="Arial" w:eastAsia="Arial" w:hAnsi="Arial"/>
          <w:sz w:val="18"/>
          <w:szCs w:val="18"/>
          <w:color w:val="auto"/>
        </w:rPr>
      </w:pPr>
    </w:p>
    <w:p>
      <w:pPr>
        <w:ind w:left="332" w:hanging="332"/>
        <w:spacing w:after="0"/>
        <w:tabs>
          <w:tab w:leader="none" w:pos="3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between the Obligors, on the one hand, and the Agent and the Lenders, on the other hand:</w:t>
      </w:r>
    </w:p>
    <w:p>
      <w:pPr>
        <w:spacing w:after="0" w:line="117" w:lineRule="exact"/>
        <w:rPr>
          <w:rFonts w:ascii="Arial" w:cs="Arial" w:eastAsia="Arial" w:hAnsi="Arial"/>
          <w:sz w:val="18"/>
          <w:szCs w:val="18"/>
          <w:color w:val="auto"/>
        </w:rPr>
      </w:pPr>
    </w:p>
    <w:p>
      <w:pPr>
        <w:ind w:left="532" w:right="120" w:hanging="316"/>
        <w:spacing w:after="0" w:line="264" w:lineRule="auto"/>
        <w:tabs>
          <w:tab w:leader="none" w:pos="53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statements, certificates, consents and other documents which the Agent purports to deliver on behalf of the Lenders or the Required Lenders shall be binding on each of the Lenders, and none of the Obligors shall be required to ascertain or confirm the authority of the Agent in delivering such documents;</w:t>
      </w:r>
    </w:p>
    <w:p>
      <w:pPr>
        <w:spacing w:after="0" w:line="86" w:lineRule="exact"/>
        <w:rPr>
          <w:rFonts w:ascii="Arial" w:cs="Arial" w:eastAsia="Arial" w:hAnsi="Arial"/>
          <w:sz w:val="18"/>
          <w:szCs w:val="18"/>
          <w:color w:val="auto"/>
        </w:rPr>
      </w:pPr>
    </w:p>
    <w:p>
      <w:pPr>
        <w:ind w:left="532" w:right="120" w:hanging="316"/>
        <w:spacing w:after="0" w:line="277" w:lineRule="auto"/>
        <w:tabs>
          <w:tab w:leader="none" w:pos="53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certificates, statements, notices and other documents which are delivered by any Obligor to the Agent in accordance with this Agreement shall be deemed to have been duly delivered to each of the Lenders;</w:t>
      </w:r>
    </w:p>
    <w:p>
      <w:pPr>
        <w:spacing w:after="0" w:line="75" w:lineRule="exact"/>
        <w:rPr>
          <w:rFonts w:ascii="Arial" w:cs="Arial" w:eastAsia="Arial" w:hAnsi="Arial"/>
          <w:sz w:val="18"/>
          <w:szCs w:val="18"/>
          <w:color w:val="auto"/>
        </w:rPr>
      </w:pPr>
    </w:p>
    <w:p>
      <w:pPr>
        <w:ind w:left="532" w:right="300" w:hanging="316"/>
        <w:spacing w:after="0" w:line="277" w:lineRule="auto"/>
        <w:tabs>
          <w:tab w:leader="none" w:pos="53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payments which are delivered by the Borrower to the Agent in accordance with this Agreement shall be deemed to have been duly delivered to each of the Lenders; and</w:t>
      </w:r>
    </w:p>
    <w:p>
      <w:pPr>
        <w:spacing w:after="0" w:line="75" w:lineRule="exact"/>
        <w:rPr>
          <w:rFonts w:ascii="Arial" w:cs="Arial" w:eastAsia="Arial" w:hAnsi="Arial"/>
          <w:sz w:val="18"/>
          <w:szCs w:val="18"/>
          <w:color w:val="auto"/>
        </w:rPr>
      </w:pPr>
    </w:p>
    <w:p>
      <w:pPr>
        <w:ind w:left="532" w:right="40" w:hanging="316"/>
        <w:spacing w:after="0" w:line="277" w:lineRule="auto"/>
        <w:tabs>
          <w:tab w:leader="none" w:pos="53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unless a Pending Event of Default or an Event of Default has occurred and is continuing, the Borrower’s consent to the appointment of any Successor Agent must be obtained, but the Borrower’s consent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color w:val="auto"/>
        </w:rPr>
        <w:t>- 51 -</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9.8 Rights of Agent</w:t>
      </w:r>
    </w:p>
    <w:p>
      <w:pPr>
        <w:spacing w:after="0" w:line="135" w:lineRule="exact"/>
        <w:rPr>
          <w:sz w:val="20"/>
          <w:szCs w:val="20"/>
          <w:color w:val="auto"/>
        </w:rPr>
      </w:pPr>
    </w:p>
    <w:p>
      <w:pPr>
        <w:ind w:left="340" w:right="180" w:hanging="332"/>
        <w:spacing w:after="0" w:line="264"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administering the Credit, the Agent may retain, at the expense of the Lenders if such expenses are not recovered from the Borrower, such solicitors, counsel, auditors and other experts and agents as the Agent may select, in its sole discretion, acting reasonably and in good faith after consultation with the Lenders.</w:t>
      </w:r>
    </w:p>
    <w:p>
      <w:pPr>
        <w:spacing w:after="0" w:line="86" w:lineRule="exact"/>
        <w:rPr>
          <w:rFonts w:ascii="Arial" w:cs="Arial" w:eastAsia="Arial" w:hAnsi="Arial"/>
          <w:sz w:val="18"/>
          <w:szCs w:val="18"/>
          <w:color w:val="auto"/>
        </w:rPr>
      </w:pPr>
    </w:p>
    <w:p>
      <w:pPr>
        <w:ind w:left="340" w:right="40" w:hanging="332"/>
        <w:spacing w:after="0" w:line="255"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Agent shall be entitled to rely on any communication, instrument or document believed by it to be genuine and correct and to have been signed by the proper individual or individuals, and shall be entitled to rely and shall be protected in relying as to legal matters upon opinions of independent legal advisors selected by it. The Agent may also assume that any representation made by any Obligor is true and that no Event of Default or Pending Event of Default has occurred unless the officers or employees of the Lender acting as Agent, active in their capacity as officers or employees responsible for the Borrower’s and the Guarantors’ accounts, have actual knowledge to the contrary or have received notice to the contrary from any other party to this Agreement.</w:t>
      </w:r>
    </w:p>
    <w:p>
      <w:pPr>
        <w:spacing w:after="0" w:line="98"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Agent may, without any liability to account, accept deposits from and lend money to and generally engage in any kind of banking, or other business with any Obligor, as if it were not the Agent.</w:t>
      </w:r>
    </w:p>
    <w:p>
      <w:pPr>
        <w:spacing w:after="0" w:line="75"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in its own right as a Lender, the Agent shall not be required to advance its own funds for any purpose, and in particular, shall not be required to pay with its own funds insurance premiums, taxes or public utility charges or the cost of repairs or maintenance with respect to the assets which are the subject matter of the Security, nor shall it be required to pay with its own funds the fees of solicitors, counsel, auditors, experts or agents engaged by it as permitted hereby.</w:t>
      </w:r>
    </w:p>
    <w:p>
      <w:pPr>
        <w:spacing w:after="0" w:line="92" w:lineRule="exact"/>
        <w:rPr>
          <w:rFonts w:ascii="Arial" w:cs="Arial" w:eastAsia="Arial" w:hAnsi="Arial"/>
          <w:sz w:val="18"/>
          <w:szCs w:val="18"/>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Agent shall be entitled to receive a fee for acting as Agent as agreed between the Agent and the Borrower from time to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 Acknowledgements, Representations and Covenants of Lenders</w:t>
      </w:r>
    </w:p>
    <w:p>
      <w:pPr>
        <w:spacing w:after="0" w:line="135" w:lineRule="exact"/>
        <w:rPr>
          <w:sz w:val="20"/>
          <w:szCs w:val="20"/>
          <w:color w:val="auto"/>
        </w:rPr>
      </w:pPr>
    </w:p>
    <w:p>
      <w:pPr>
        <w:ind w:left="340" w:hanging="332"/>
        <w:spacing w:after="0" w:line="273" w:lineRule="auto"/>
        <w:tabs>
          <w:tab w:leader="none" w:pos="3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It is acknowledged and agreed by each Lender that it has itself been, and will continue to be, solely responsible for making its own independent appraisal of and investigations into the financial condition, creditworthiness, property, affairs, status and nature of the Obligors. Accordingly, each Lender confirms to the Agent that it has not relied, and will not hereafter rely, on the Agent (a) to check or inquire on its behalf into the adequacy or completeness of any information provided by any Obligor under or in connection with this Agreement or the transactions herein contemplated (whether or not such information has been or is hereafter distributed to such Lender by the Agent), or (b) to assess or keep under review on its behalf the financial condition, creditworthiness, property, affairs, status or nature of Obligors.</w:t>
      </w:r>
    </w:p>
    <w:p>
      <w:pPr>
        <w:spacing w:after="0" w:line="83" w:lineRule="exact"/>
        <w:rPr>
          <w:rFonts w:ascii="Arial" w:cs="Arial" w:eastAsia="Arial" w:hAnsi="Arial"/>
          <w:sz w:val="17"/>
          <w:szCs w:val="17"/>
          <w:color w:val="auto"/>
        </w:rPr>
      </w:pPr>
    </w:p>
    <w:p>
      <w:pPr>
        <w:ind w:left="340" w:right="200" w:hanging="332"/>
        <w:spacing w:after="0" w:line="277" w:lineRule="auto"/>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Lender represents and warrants that it has the legal capacity to enter into this Agreement pursuant to its charter and any applicable legislation and has not violated its charter, constating documents or any applicable legislation by so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color w:val="auto"/>
        </w:rPr>
        <w:t>- 52 -</w:t>
      </w:r>
    </w:p>
    <w:p>
      <w:pPr>
        <w:spacing w:after="0" w:line="198" w:lineRule="exact"/>
        <w:rPr>
          <w:sz w:val="20"/>
          <w:szCs w:val="20"/>
          <w:color w:val="auto"/>
        </w:rPr>
      </w:pPr>
    </w:p>
    <w:p>
      <w:pPr>
        <w:ind w:left="440" w:hanging="432"/>
        <w:spacing w:after="0" w:line="270" w:lineRule="auto"/>
        <w:tabs>
          <w:tab w:leader="none" w:pos="4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Lender agrees to indemnify the Agent (to the extent not reimbursed by the Borrower), rateably according to its Applicable Percentage from and against any and all liabilities, obligations, losses, damages, penalties, actions, judgments, suits, costs, expenses or disbursements of any kind or nature whatsoever which may be imposed on, incurred by, or asserted against the Agent in any way relating to or arising out of the Loan Documents or the transactions therein contemplated, provided that no Lender shall be liable for any portion of such liabilities, obligations, losses, damages, penalties, actions, judgments, suits, costs, expenses or disbursements resulting from the Agent’s gross negligence or wilful misconduct. Without limiting the generality of the foregoing, each Lender agrees to reimburse the Agent for its Applicable Percentage of any out of pocket expenses (including counsel fees) incurred by the Agent in connection with the preservation of any rights of the Agent or the Lenders under, or the enforcement of, or legal advice in respect of rights or responsibilities under this Agreement, to the extent that the Agent is not reimbursed for such expenses by the Borrower. The obligation of the Lenders to indemnify the Agent shall survive the termination of this Agreement and shall be performed by the Lenders promptly upon demand by the Agent.</w:t>
      </w:r>
    </w:p>
    <w:p>
      <w:pPr>
        <w:spacing w:after="0" w:line="83" w:lineRule="exact"/>
        <w:rPr>
          <w:rFonts w:ascii="Arial" w:cs="Arial" w:eastAsia="Arial" w:hAnsi="Arial"/>
          <w:sz w:val="17"/>
          <w:szCs w:val="17"/>
          <w:color w:val="auto"/>
        </w:rPr>
      </w:pPr>
    </w:p>
    <w:p>
      <w:pPr>
        <w:ind w:left="440" w:right="180" w:hanging="432"/>
        <w:spacing w:after="0" w:line="264" w:lineRule="auto"/>
        <w:tabs>
          <w:tab w:leader="none" w:pos="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of the Lenders acknowledges and confirms that in the event that the Agent does not receive payment in accordance with this Agreement, it shall not be the obligation of the Agent to maintain the Credit in good standing nor shall any Lender have recourse to the Agent in respect of any amounts owing to such Lender under this Agreement.</w:t>
      </w:r>
    </w:p>
    <w:p>
      <w:pPr>
        <w:spacing w:after="0" w:line="86" w:lineRule="exact"/>
        <w:rPr>
          <w:rFonts w:ascii="Arial" w:cs="Arial" w:eastAsia="Arial" w:hAnsi="Arial"/>
          <w:sz w:val="18"/>
          <w:szCs w:val="18"/>
          <w:color w:val="auto"/>
        </w:rPr>
      </w:pPr>
    </w:p>
    <w:p>
      <w:pPr>
        <w:ind w:left="440" w:right="600" w:hanging="432"/>
        <w:spacing w:after="0" w:line="277" w:lineRule="auto"/>
        <w:tabs>
          <w:tab w:leader="none" w:pos="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Lender acknowledges and agrees that its obligation to advance its Applicable Percentage of Advances in accordance with the terms of this Agreement is independent and in no way related to the obligation of any other Lender hereunder.</w:t>
      </w:r>
    </w:p>
    <w:p>
      <w:pPr>
        <w:spacing w:after="0" w:line="75" w:lineRule="exact"/>
        <w:rPr>
          <w:rFonts w:ascii="Arial" w:cs="Arial" w:eastAsia="Arial" w:hAnsi="Arial"/>
          <w:sz w:val="18"/>
          <w:szCs w:val="18"/>
          <w:color w:val="auto"/>
        </w:rPr>
      </w:pPr>
    </w:p>
    <w:p>
      <w:pPr>
        <w:ind w:left="440" w:right="660" w:hanging="432"/>
        <w:spacing w:after="0" w:line="277" w:lineRule="auto"/>
        <w:tabs>
          <w:tab w:leader="none" w:pos="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Lender hereby acknowledges receipt of a copy of this Agreement and the Security (to the extent that the Security has been delivered) and acknowledges that it is satisfied with the form and content of such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9.10  Collective Action of the Lenders</w:t>
      </w:r>
    </w:p>
    <w:p>
      <w:pPr>
        <w:spacing w:after="0" w:line="121"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Each of the Lenders hereby acknowledges that to the extent permitted by applicable law, the Security and the remedies provided under the Loan Documents to the Lenders are for the benefit of the Lenders collectively and acting together and not severally and further acknowledges that its rights hereunder and under the Security are to be exercised not severally, but by the Agent upon the decision of the Required Lenders or Lenders as required by this Agreement. Accordingly, notwithstanding any of the provisions contained herein or in the Security each of the Lenders hereby covenants and agrees that it shall not be entitled to take any action hereunder including any declaration of default hereunder or thereunder but that any such action shall be taken only by the Agent with the prior written agreement of the Required Lenders. Each of the Lenders hereby further covenants and agrees that upon any such written agreement being given by the Required Lenders, it shall co operate fully with the Agent to the extent requested by the Agent. Notwithstanding the foregoing, in the absence of instructions from the Lenders and where in the sole opinion of the Agent, acting reasonably and in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color w:val="auto"/>
        </w:rPr>
        <w:t>- 53 -</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faith, the exigencies of the situation warrant such action, the Agent may without notice to or consent of the Lenders take such action on behalf of the Lenders as it deems appropriate or desirable in the interest of the Lenders.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9.11 Successor Agent</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Subject to the appointment and acceptance of a Successor Agent as provided in this Section, and subject to Section 9.7(6)(d), the Agent may resign at any time by giving 30 days written notice thereof to the Lenders and the Borrower, and may be removed at any time by the Required Lenders upon 30 days written notice. Upon receipt of notice by the Lenders of the resignation of the Agent, or upon giving notice of termination to the Agent, the Required Lenders may, within 21 days, appoint a successor from among the Lenders or, if no Lender is willing to accept such an appointment, from among other banks or authorized foreign banks to which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applies, which have combined capital and reserves in excess of $250,000,000, and which have offices in Toronto (the “</w:t>
      </w:r>
      <w:r>
        <w:rPr>
          <w:rFonts w:ascii="Arial" w:cs="Arial" w:eastAsia="Arial" w:hAnsi="Arial"/>
          <w:sz w:val="16"/>
          <w:szCs w:val="16"/>
          <w:b w:val="1"/>
          <w:bCs w:val="1"/>
          <w:color w:val="auto"/>
        </w:rPr>
        <w:t>Successor Agent</w:t>
      </w:r>
      <w:r>
        <w:rPr>
          <w:rFonts w:ascii="Arial" w:cs="Arial" w:eastAsia="Arial" w:hAnsi="Arial"/>
          <w:sz w:val="16"/>
          <w:szCs w:val="16"/>
          <w:color w:val="auto"/>
        </w:rPr>
        <w:t>”). If no Successor Agent has been so appointed and has accepted such appointment within 21 days after the retiring Agent’s giving of notice of resignation or receiving of notice of termination, then the retiring Agent may, on behalf of the Lenders, appoint a Successor Agent. Upon the acceptance of any appointment as Agent hereunder by a Successor Agent, the retiring Agent shall pay the Successor Agent any unearned portion of any fee paid to the Agent for acting as such, and the Successor Agent shall succeed to and become vested with all the rights, powers, privileges and duties of the retiring Agent, and the retiring Agent shall be discharged from its further duties and obligations as Agent under this Agreement and the other Loan Documents (but for greater certainty, shall not be discharged from any existing liabilities resulting from its own gross negligence or wilful misconduct). After any retiring Agent’s resignation hereunder as Agent, the provisions of this Article shall continue to enure to its benefit and be binding upon it as to any actions taken or omitted to be taken by it while it was Agent hereunder. Each Obligor shall, at its expense, at the request of the Successor Agent, do all such further acts and execute and deliver all such further documents, agreements, certificates and instruments as may, in the reasonable opinion of the Successor Agent, be necessary or desirable in order to fully perform and carry out the purpose and intent of this Section and to ensure that any Security granted in favour of the Agent on behalf of the Lenders continues for the benefit of the Successor Agent on behalf of the Lenders.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9.12  Provisions Operative Between Lenders and Agent Only</w:t>
      </w:r>
    </w:p>
    <w:p>
      <w:pPr>
        <w:spacing w:after="0" w:line="121"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 xml:space="preserve">Except for the provisions of Sections 9.7(6), 9.9 and this Section 9.12, the provisions of this Article 9 relating to the rights and obligations of the Lenders and the Agent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shall be operative as between the Lenders and the Agent only, and no Obligor shall have any rights or obligations under or be entitled to rely for any purpose upon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9" w:name="page210"/>
    <w:bookmarkEnd w:id="209"/>
    <w:p>
      <w:pPr>
        <w:jc w:val="center"/>
        <w:ind w:right="-99"/>
        <w:spacing w:after="0"/>
        <w:rPr>
          <w:sz w:val="20"/>
          <w:szCs w:val="20"/>
          <w:color w:val="auto"/>
        </w:rPr>
      </w:pPr>
      <w:r>
        <w:rPr>
          <w:rFonts w:ascii="Arial" w:cs="Arial" w:eastAsia="Arial" w:hAnsi="Arial"/>
          <w:sz w:val="18"/>
          <w:szCs w:val="18"/>
          <w:color w:val="auto"/>
        </w:rPr>
        <w:t>- 54 -</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LENDERS, SUCCESSORS AND ASSIGNS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Successors and Assigns</w:t>
      </w:r>
    </w:p>
    <w:p>
      <w:pPr>
        <w:spacing w:after="0" w:line="135" w:lineRule="exact"/>
        <w:rPr>
          <w:sz w:val="20"/>
          <w:szCs w:val="20"/>
          <w:color w:val="auto"/>
        </w:rPr>
      </w:pPr>
    </w:p>
    <w:p>
      <w:pPr>
        <w:ind w:left="440" w:right="340" w:hanging="432"/>
        <w:spacing w:after="0" w:line="264" w:lineRule="auto"/>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Loan Documents shall be binding upon and enure to the benefit of the Agent, each Lender, each Obligor and their respective successors and permitted assigns, except that no Obligor shall assign any rights or obligations with respect to this Agreement or any of the other Loan Documents without the prior written consent of each Lender.</w:t>
      </w:r>
    </w:p>
    <w:p>
      <w:pPr>
        <w:spacing w:after="0" w:line="86" w:lineRule="exact"/>
        <w:rPr>
          <w:rFonts w:ascii="Arial" w:cs="Arial" w:eastAsia="Arial" w:hAnsi="Arial"/>
          <w:sz w:val="18"/>
          <w:szCs w:val="18"/>
          <w:color w:val="auto"/>
        </w:rPr>
      </w:pPr>
    </w:p>
    <w:p>
      <w:pPr>
        <w:ind w:left="440" w:right="100" w:hanging="432"/>
        <w:spacing w:after="0" w:line="257" w:lineRule="auto"/>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Lender shall be entitled to assign in whole or in part its individual rights and obligations hereunder or to permit other financial institutions to participate in the Credit, all in accordance with the provisions of Sections 10.2 and 10.3 and the other terms of this Agreement. Each Obligor hereby consents to the disclosure of any information relating to it to any Lender or participant or potential Lender or participant provided that the Lender or participant or potential Lender or participant agrees in writing to keep all non-public information confidential except as may otherwise be required by applicable law or Governmental Authority.</w:t>
      </w:r>
    </w:p>
    <w:p>
      <w:pPr>
        <w:spacing w:after="0" w:line="93" w:lineRule="exact"/>
        <w:rPr>
          <w:rFonts w:ascii="Arial" w:cs="Arial" w:eastAsia="Arial" w:hAnsi="Arial"/>
          <w:sz w:val="18"/>
          <w:szCs w:val="18"/>
          <w:color w:val="auto"/>
        </w:rPr>
      </w:pPr>
    </w:p>
    <w:p>
      <w:pPr>
        <w:ind w:left="440" w:hanging="432"/>
        <w:spacing w:after="0" w:line="290" w:lineRule="auto"/>
        <w:tabs>
          <w:tab w:leader="none" w:pos="4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each Lender agrees that it shall not assign any portion of its rights and obligations under this Agreement, including any portion of its Commitment, without the prior written consent of the Agent and the Borrower, which consent of the Borrower shall not be unreasonably withheld, provided however that the consent of the Borrower shall not be required if an Event of Default has occurred and is continuing or in connection with an assignment to any existing Lender or to any of their respective Affiliates. No consent of the Borrower is required if any Lender offers to sell or sells a participation in any portion of its rights and obligations under this Agreement pursuant to Section 10.3. If any such assignment or participation is made to a Person which is a non resident of Canada within the meaning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for the purposes of the withholding tax provisions in Part XIII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the Borrower will not be required to make any payment to such Person pursuant to Section 11.9 which would otherwise have been payable by virtue of the residency of such Person.</w:t>
      </w:r>
    </w:p>
    <w:p>
      <w:pPr>
        <w:spacing w:after="0" w:line="71" w:lineRule="exact"/>
        <w:rPr>
          <w:rFonts w:ascii="Arial" w:cs="Arial" w:eastAsia="Arial" w:hAnsi="Arial"/>
          <w:sz w:val="16"/>
          <w:szCs w:val="16"/>
          <w:color w:val="auto"/>
        </w:rPr>
      </w:pPr>
    </w:p>
    <w:p>
      <w:pPr>
        <w:ind w:left="440" w:right="20" w:hanging="432"/>
        <w:spacing w:after="0" w:line="257" w:lineRule="auto"/>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participation by a Lender of its interest (or a part thereof) hereunder or a payment by a participant to a Lender as a result of the participation will not constitute a payment hereunder to the Lender or an Advance to the Borrower. A payment made by an assignee to an assigning Lender in order for the assignee to assume its Applicable Percentage of Advances made by the assigning Lender will reduce the Advances owing by the Borrower to the assigning Lender and will be deemed to be Advances by the assignee to the Borrower as of the date that the payment is made, excluding in each case the effect of any premium or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color w:val="auto"/>
        </w:rPr>
        <w:t>- 55 -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Assignments</w:t>
      </w:r>
    </w:p>
    <w:p>
      <w:pPr>
        <w:spacing w:after="0" w:line="135" w:lineRule="exact"/>
        <w:rPr>
          <w:sz w:val="20"/>
          <w:szCs w:val="20"/>
          <w:color w:val="auto"/>
        </w:rPr>
      </w:pPr>
    </w:p>
    <w:p>
      <w:pPr>
        <w:ind w:left="440" w:hanging="432"/>
        <w:spacing w:after="0" w:line="287" w:lineRule="auto"/>
        <w:tabs>
          <w:tab w:leader="none" w:pos="4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Subject to Section 10.1 and the other terms of this Agreement, each of the Lenders may assign to one or more assignees all or a portion of their respective rights and obligations under this Agreement (including all or a portion of their respective Commitments). No assignment by a Lender of its Commitment hereunder shall be for an amount less than $5,000,000 unless the Commitment of such Lender at the time of such assignment is less than that amount and the entirety of its Commitment is disposed of. The parties to each such assignment shall execute and deliver an Assignment Agreement to the Agent, for its consent and recording in the Register and, except in the case of an assignment by a Lender to an Affiliate of that Lender, shall pay a processing and recording fee of $2,500 to the Agent. After such execution, delivery, consent and recording (a) the assignee thereunder shall be a party to this Agreement and, to the extent that rights and obligations hereunder have been assigned to it, have the rights and obligations of a Lender hereunder, and (b) the assigning Lender thereunder shall, to the extent that rights and obligations hereunder have been assigned by it pursuant to such Assignment Agreement, relinquish its rights and be released from its obligations under this Agreement, other than obligations in respect of which it is then in default and liabilities arising from its actions prior to the assignment. In the case of an Assignment Agreement covering all or the remaining portion of an assigning Lender’s rights and obligations under this Agreement, such Lender shall cease to be a party hereto.</w:t>
      </w:r>
    </w:p>
    <w:p>
      <w:pPr>
        <w:spacing w:after="0" w:line="78" w:lineRule="exact"/>
        <w:rPr>
          <w:rFonts w:ascii="Arial" w:cs="Arial" w:eastAsia="Arial" w:hAnsi="Arial"/>
          <w:sz w:val="16"/>
          <w:szCs w:val="16"/>
          <w:color w:val="auto"/>
        </w:rPr>
      </w:pPr>
    </w:p>
    <w:p>
      <w:pPr>
        <w:ind w:left="440" w:right="100" w:hanging="432"/>
        <w:spacing w:after="0" w:line="277" w:lineRule="auto"/>
        <w:tabs>
          <w:tab w:leader="none" w:pos="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agreements of an assignee contained in an Assignment Agreement shall benefit the assigning Lender thereunder, the other Lenders, the Agent and the Borrower in accordance with the terms of the Assignment Agreement.</w:t>
      </w:r>
    </w:p>
    <w:p>
      <w:pPr>
        <w:spacing w:after="0" w:line="75" w:lineRule="exact"/>
        <w:rPr>
          <w:rFonts w:ascii="Arial" w:cs="Arial" w:eastAsia="Arial" w:hAnsi="Arial"/>
          <w:sz w:val="18"/>
          <w:szCs w:val="18"/>
          <w:color w:val="auto"/>
        </w:rPr>
      </w:pPr>
    </w:p>
    <w:p>
      <w:pPr>
        <w:ind w:left="440" w:right="20" w:hanging="432"/>
        <w:spacing w:after="0" w:line="273" w:lineRule="auto"/>
        <w:tabs>
          <w:tab w:leader="none" w:pos="4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Agent shall maintain at its address referred to herein a copy of each Assignment Agreement delivered to and acknowledged by it and a register for recording the names and addresses of the Lenders and the Commitment under the Credit of each Lender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and binding for all purposes, absent manifest error. The Borrower, the Agent, each of the Lenders and each of the Guarantors may treat each person whose name is recorded in the Register as a Lender hereunder for all purposes of this Agreement, and need not recognize any person as a Lender unless it is recorded in the Register as a Lender. The Register shall be available for inspection by the Borrower or any Lender at any reasonable time and from time to time upon reasonable prior notice.</w:t>
      </w:r>
    </w:p>
    <w:p>
      <w:pPr>
        <w:spacing w:after="0" w:line="83" w:lineRule="exact"/>
        <w:rPr>
          <w:rFonts w:ascii="Arial" w:cs="Arial" w:eastAsia="Arial" w:hAnsi="Arial"/>
          <w:sz w:val="17"/>
          <w:szCs w:val="17"/>
          <w:color w:val="auto"/>
        </w:rPr>
      </w:pPr>
    </w:p>
    <w:p>
      <w:pPr>
        <w:ind w:left="440" w:right="560" w:hanging="432"/>
        <w:spacing w:after="0" w:line="264" w:lineRule="auto"/>
        <w:tabs>
          <w:tab w:leader="none" w:pos="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Upon its receipt of an Assignment Agreement executed by an assigning Lender and an assignee and approved by the Agent and the Borrower, if applicable, the Agent shall, if the Assignment Agreement has been completed and is in the required form with such immaterial changes as are acceptable to the Agent:</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record the information contained therein in the Register;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give prompt notice thereof to the Borrower and the other Lenders, and provide them with an updated version of Schedule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11" w:name="page212"/>
    <w:bookmarkEnd w:id="211"/>
    <w:p>
      <w:pPr>
        <w:jc w:val="center"/>
        <w:ind w:right="-59"/>
        <w:spacing w:after="0"/>
        <w:rPr>
          <w:sz w:val="20"/>
          <w:szCs w:val="20"/>
          <w:color w:val="auto"/>
        </w:rPr>
      </w:pPr>
      <w:r>
        <w:rPr>
          <w:rFonts w:ascii="Arial" w:cs="Arial" w:eastAsia="Arial" w:hAnsi="Arial"/>
          <w:sz w:val="18"/>
          <w:szCs w:val="18"/>
          <w:color w:val="auto"/>
        </w:rPr>
        <w:t>- 53 -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Participations</w:t>
      </w:r>
    </w:p>
    <w:p>
      <w:pPr>
        <w:spacing w:after="0" w:line="135" w:lineRule="exact"/>
        <w:rPr>
          <w:sz w:val="20"/>
          <w:szCs w:val="20"/>
          <w:color w:val="auto"/>
        </w:rPr>
      </w:pPr>
    </w:p>
    <w:p>
      <w:pPr>
        <w:ind w:left="440" w:right="80" w:hanging="432"/>
        <w:spacing w:after="0" w:line="264" w:lineRule="auto"/>
        <w:tabs>
          <w:tab w:leader="none" w:pos="4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Lender may (subject to the provisions of Section 10.1) sell participations to one or more financial institutions or other persons in or to all or a portion of its rights and obligations under this Agreement (including all or a portion of its Commitment), but the participant shall not become a Lender and:</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Lender’s obligations under this Agreement (including its Commitment) shall remain unchanged;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Lender shall remain solely responsible to the other parties hereto for the performance of such obligations;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Borrower, the Agent and the other Lenders shall continue to deal solely and directly with the Lender in connection with the Lender’s rights and obligations under this Agreement; and</w:t>
      </w:r>
    </w:p>
    <w:p>
      <w:pPr>
        <w:spacing w:after="0" w:line="75" w:lineRule="exact"/>
        <w:rPr>
          <w:rFonts w:ascii="Arial" w:cs="Arial" w:eastAsia="Arial" w:hAnsi="Arial"/>
          <w:sz w:val="18"/>
          <w:szCs w:val="18"/>
          <w:color w:val="auto"/>
        </w:rPr>
      </w:pPr>
    </w:p>
    <w:p>
      <w:pPr>
        <w:ind w:left="900" w:hanging="446"/>
        <w:spacing w:after="0" w:line="297" w:lineRule="auto"/>
        <w:tabs>
          <w:tab w:leader="none" w:pos="9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no participant shall have any right to approve any amendment or waiver of any provision of this Agreement, or any consent to any departure by any Person therefrom (provided however that, for greater certainty, the foregoing shall not limit or restrict a Lender from agreeing with its participant that the Lender will not, without the consent of its participant, consent to any amendment or waiver that would increase the amount of any Credit, reduce the interest rates, fees or similar charges applicable to any Credit, extend the date fixed for payment of any principal, interest or other amount relating to any Credit, extend the term of any Credit or, except as permitted in Section 9.7(5), discharge any Security).</w:t>
      </w:r>
    </w:p>
    <w:p>
      <w:pPr>
        <w:spacing w:after="0" w:line="50" w:lineRule="exact"/>
        <w:rPr>
          <w:rFonts w:ascii="Arial" w:cs="Arial" w:eastAsia="Arial" w:hAnsi="Arial"/>
          <w:sz w:val="16"/>
          <w:szCs w:val="16"/>
          <w:color w:val="auto"/>
        </w:rPr>
      </w:pPr>
    </w:p>
    <w:p>
      <w:pPr>
        <w:ind w:left="340" w:right="520" w:hanging="332"/>
        <w:spacing w:after="0" w:line="312" w:lineRule="auto"/>
        <w:tabs>
          <w:tab w:leader="none" w:pos="3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participant shall have the right to be provided by the Lender from whom it has obtained its participation with all information relating to each Obligor which is provided to any Lender and shall have the benefit of Sections 11.8, 11.10 and 11.11. No participant shall have the benefit of Section 11.9 except to the extent that the Lender from whom it has obtained its participation is itself entitled to compensation under that Section.</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Defined Terms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All terms used in any of the Loan Documents (other than this Agreement) which are defined in this Agreement shall have the meanings defined herein unless otherwise defined in the other Loan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Severability</w:t>
      </w:r>
    </w:p>
    <w:p>
      <w:pPr>
        <w:spacing w:after="0" w:line="121"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Any provision of this Agreement which is or becomes prohibited or unenforceable in any relevant jurisdiction shall not invalidate or impair the remaining provisions hereof which shall be deemed severable from such prohibited or unenforceable provision and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sectPr>
      </w:pPr>
    </w:p>
    <w:bookmarkStart w:id="212" w:name="page213"/>
    <w:bookmarkEnd w:id="212"/>
    <w:p>
      <w:pPr>
        <w:jc w:val="center"/>
        <w:ind w:right="-39"/>
        <w:spacing w:after="0"/>
        <w:rPr>
          <w:sz w:val="20"/>
          <w:szCs w:val="20"/>
          <w:color w:val="auto"/>
        </w:rPr>
      </w:pPr>
      <w:r>
        <w:rPr>
          <w:rFonts w:ascii="Arial" w:cs="Arial" w:eastAsia="Arial" w:hAnsi="Arial"/>
          <w:sz w:val="18"/>
          <w:szCs w:val="18"/>
          <w:color w:val="auto"/>
        </w:rPr>
        <w:t>- 57 -</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prohibition or unenforceability in any such jurisdiction shall not invalidate or render unenforceable such provision in any other jurisdiction. Should this Agreement fail to provide for any relevant matter, the validity, legality or enforceability of this Agreement shall not thereby be affected.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Amendment, Supplement or Waiver</w:t>
      </w:r>
    </w:p>
    <w:p>
      <w:pPr>
        <w:spacing w:after="0" w:line="121"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No amendment, supplement or waiver of any provision of the Loan Documents, nor any consent to any departure by an Obligor therefrom, shall in any event be effective unless it is in writing, makes express reference to the provision affected thereby and is signed by the Agent for and on behalf of the Lenders or the Required Lenders, as the case may be, and then such waiver or consent shall be effective only in the specific instance and for the specific purpose for which given. In addition, any amendment or supplement shall require the written consent of the other parties to the Loan Document in question. No waiver or act or omission of the Agent, the Lenders, or any of them, shall extend to or be taken in any manner whatsoever to affect any subsequent Event of Default or breach by an Obligor of any provision of the Loan Documents or the rights resulting therefrom.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Governing Law</w:t>
      </w:r>
    </w:p>
    <w:p>
      <w:pPr>
        <w:spacing w:after="0" w:line="121" w:lineRule="exact"/>
        <w:rPr>
          <w:sz w:val="20"/>
          <w:szCs w:val="20"/>
          <w:color w:val="auto"/>
        </w:rPr>
      </w:pPr>
    </w:p>
    <w:p>
      <w:pPr>
        <w:jc w:val="both"/>
        <w:ind w:right="20" w:firstLine="450"/>
        <w:spacing w:after="0" w:line="276" w:lineRule="auto"/>
        <w:rPr>
          <w:sz w:val="20"/>
          <w:szCs w:val="20"/>
          <w:color w:val="auto"/>
        </w:rPr>
      </w:pPr>
      <w:r>
        <w:rPr>
          <w:rFonts w:ascii="Arial" w:cs="Arial" w:eastAsia="Arial" w:hAnsi="Arial"/>
          <w:sz w:val="17"/>
          <w:szCs w:val="17"/>
          <w:color w:val="auto"/>
        </w:rPr>
        <w:t>Each of the Loan Documents, except for those which expressly provide otherwise, shall be conclusively deemed to be a contract made under, and shall for all purposes be governed by and construed in accordance with, the laws of the Province of Ontario and the laws of Canada applicable in Ontario. For the purposes of all legal proceedings this Agreement will be deemed to have been performed in the Province of Ontario and the courts of the Province of Ontario will have jurisdiction to entertain any action arising under this Agreement. Each party to this Agreement hereby irrevocably and unconditionally attorns to the non exclusive jurisdiction of the courts of the Province of Ontario and all courts competent to hear appeals therefrom.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 This Agreement to Govern</w:t>
      </w:r>
    </w:p>
    <w:p>
      <w:pPr>
        <w:spacing w:after="0" w:line="121"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In the event of any conflict or inconsistency between the terms of this Agreement and the terms of any other Loan Document, the provisions of this Agreement shall govern to the extent necessary to remove the conflict or inconsistency.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11.6 Currency</w:t>
      </w:r>
    </w:p>
    <w:p>
      <w:pPr>
        <w:spacing w:after="0" w:line="135" w:lineRule="exact"/>
        <w:rPr>
          <w:sz w:val="20"/>
          <w:szCs w:val="20"/>
          <w:color w:val="auto"/>
        </w:rPr>
      </w:pPr>
    </w:p>
    <w:p>
      <w:pPr>
        <w:ind w:left="420" w:right="600" w:hanging="412"/>
        <w:spacing w:after="0" w:line="277"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payments made hereunder shall be made in the currency in respect of which the obligation requiring such payment arose. Unless the context otherwise requires, all amounts expressed in this Agreement in terms of money shall refer to Canadian Dollars.</w:t>
      </w:r>
    </w:p>
    <w:p>
      <w:pPr>
        <w:spacing w:after="0" w:line="75" w:lineRule="exact"/>
        <w:rPr>
          <w:rFonts w:ascii="Arial" w:cs="Arial" w:eastAsia="Arial" w:hAnsi="Arial"/>
          <w:sz w:val="18"/>
          <w:szCs w:val="18"/>
          <w:color w:val="auto"/>
        </w:rPr>
      </w:pPr>
    </w:p>
    <w:p>
      <w:pPr>
        <w:ind w:left="420" w:right="220" w:hanging="412"/>
        <w:spacing w:after="0" w:line="264"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wherever this Agreement contemplates or requires the calculation of the equivalent in one currency of an amount expressed in another currency, the calculation shall be made on the basis of the Exchange Rate, at the effective date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8"/>
          <w:szCs w:val="18"/>
          <w:color w:val="auto"/>
        </w:rPr>
        <w:t>- 58 -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Liability of Lenders</w:t>
      </w:r>
    </w:p>
    <w:p>
      <w:pPr>
        <w:spacing w:after="0" w:line="121" w:lineRule="exact"/>
        <w:rPr>
          <w:sz w:val="20"/>
          <w:szCs w:val="20"/>
          <w:color w:val="auto"/>
        </w:rPr>
      </w:pPr>
    </w:p>
    <w:p>
      <w:pPr>
        <w:ind w:right="480" w:firstLine="447"/>
        <w:spacing w:after="0" w:line="312" w:lineRule="auto"/>
        <w:rPr>
          <w:sz w:val="20"/>
          <w:szCs w:val="20"/>
          <w:color w:val="auto"/>
        </w:rPr>
      </w:pPr>
      <w:r>
        <w:rPr>
          <w:rFonts w:ascii="Arial" w:cs="Arial" w:eastAsia="Arial" w:hAnsi="Arial"/>
          <w:sz w:val="16"/>
          <w:szCs w:val="16"/>
          <w:color w:val="auto"/>
        </w:rPr>
        <w:t>The liability of the Lenders in respect of all matters relating to this Agreement and the other Loan Documents is several and not joint or joint and several. Without limiting that statement, the obligations of the Lenders to make Advances is limited to their respective Applicable Percentages of any Advance that is requested, and, in the aggregate, to their respective Applicable Percentages of the total amounts of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11.8 Expenses and Indemnity</w:t>
      </w:r>
    </w:p>
    <w:p>
      <w:pPr>
        <w:spacing w:after="0" w:line="135" w:lineRule="exact"/>
        <w:rPr>
          <w:sz w:val="20"/>
          <w:szCs w:val="20"/>
          <w:color w:val="auto"/>
        </w:rPr>
      </w:pPr>
    </w:p>
    <w:p>
      <w:pPr>
        <w:ind w:left="420" w:right="120" w:hanging="412"/>
        <w:spacing w:after="0" w:line="284" w:lineRule="auto"/>
        <w:tabs>
          <w:tab w:leader="none" w:pos="4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All statements, reports, certificates, opinions, appraisals and other documents or information required to be furnished to the Lenders, the Agent, or any of them, by any Obligor under this Agreement shall be supplied without cost to the Lenders, the Agent, or any of them. The Borrower shall pay on demand all reasonable third party costs and expenses (including the reasonable fees and expenses of counsel) for the Agent, on its and the Lenders’ collective behalf, but not separately for individual Lenders and the Agent, on a solicitor and own client basis, incurred in connection with (a) the preparation, execution, delivery, and enforcement of the Loan Documents and all amendments, waivers and consents with respect thereto and the syndication of the Credit, (b) obtaining advice as to their rights and responsibilities in connection with the Credit and the Loan Documents,</w:t>
      </w:r>
    </w:p>
    <w:p>
      <w:pPr>
        <w:spacing w:after="0" w:line="4" w:lineRule="exact"/>
        <w:rPr>
          <w:rFonts w:ascii="Arial" w:cs="Arial" w:eastAsia="Arial" w:hAnsi="Arial"/>
          <w:sz w:val="16"/>
          <w:szCs w:val="16"/>
          <w:color w:val="auto"/>
        </w:rPr>
      </w:pPr>
    </w:p>
    <w:p>
      <w:pPr>
        <w:ind w:left="420"/>
        <w:spacing w:after="0" w:line="254" w:lineRule="auto"/>
        <w:rPr>
          <w:rFonts w:ascii="Arial" w:cs="Arial" w:eastAsia="Arial" w:hAnsi="Arial"/>
          <w:sz w:val="16"/>
          <w:szCs w:val="16"/>
          <w:color w:val="auto"/>
        </w:rPr>
      </w:pPr>
      <w:r>
        <w:rPr>
          <w:rFonts w:ascii="Arial" w:cs="Arial" w:eastAsia="Arial" w:hAnsi="Arial"/>
          <w:sz w:val="18"/>
          <w:szCs w:val="18"/>
          <w:color w:val="auto"/>
        </w:rPr>
        <w:t>(c) reviewing, inspecting and appraising the collateral that is the subject of the Security at reasonable intervals (but, unless an Event of Default has occurred and is continuing, no more frequently than once each calendar year), and (d) all other matters relating to the Credit, excluding any assignment or participation of an interest in the Credit following the initial Advance under this Agreement. Such costs and expenses shall be payable whether or not an Advance is made under this Agreement.</w:t>
      </w:r>
    </w:p>
    <w:p>
      <w:pPr>
        <w:spacing w:after="0" w:line="95" w:lineRule="exact"/>
        <w:rPr>
          <w:rFonts w:ascii="Arial" w:cs="Arial" w:eastAsia="Arial" w:hAnsi="Arial"/>
          <w:sz w:val="16"/>
          <w:szCs w:val="16"/>
          <w:color w:val="auto"/>
        </w:rPr>
      </w:pPr>
    </w:p>
    <w:p>
      <w:pPr>
        <w:ind w:left="420" w:right="40" w:hanging="412"/>
        <w:spacing w:after="0" w:line="255" w:lineRule="auto"/>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shall indemnify each of the Agent, the Lenders and their respective agents, receivers, successors, assigns, officers, directors and employees (collectively for the purpose of this Section 11.8 the “</w:t>
      </w:r>
      <w:r>
        <w:rPr>
          <w:rFonts w:ascii="Arial" w:cs="Arial" w:eastAsia="Arial" w:hAnsi="Arial"/>
          <w:sz w:val="18"/>
          <w:szCs w:val="18"/>
          <w:b w:val="1"/>
          <w:bCs w:val="1"/>
          <w:color w:val="auto"/>
        </w:rPr>
        <w:t>Indemnitees</w:t>
      </w:r>
      <w:r>
        <w:rPr>
          <w:rFonts w:ascii="Arial" w:cs="Arial" w:eastAsia="Arial" w:hAnsi="Arial"/>
          <w:sz w:val="18"/>
          <w:szCs w:val="18"/>
          <w:color w:val="auto"/>
        </w:rPr>
        <w:t>”) (in respect of each of whom it is agreed that the Agent and the Lenders are acting as agent for the purpose of agreeing to the availability of such indemnity) from and against any claim, liability, obligation, loss, damage or expense (including reasonable legal fees and expenses) which any of them may sustain or incur as a consequence of the consummation of the transactions contemplated by this Agreement, except any of the foregoing which resulted from the gross negligence or wilful misconduct of the Indemnitee.</w:t>
      </w:r>
    </w:p>
    <w:p>
      <w:pPr>
        <w:spacing w:after="0" w:line="98" w:lineRule="exact"/>
        <w:rPr>
          <w:rFonts w:ascii="Arial" w:cs="Arial" w:eastAsia="Arial" w:hAnsi="Arial"/>
          <w:sz w:val="18"/>
          <w:szCs w:val="18"/>
          <w:color w:val="auto"/>
        </w:rPr>
      </w:pPr>
    </w:p>
    <w:p>
      <w:pPr>
        <w:ind w:left="420" w:hanging="412"/>
        <w:spacing w:after="0"/>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agreements in this Section 11.8 shall survive the termination of this Agreement and repayment of the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11.9 Manner of Payment and Taxes</w:t>
      </w:r>
    </w:p>
    <w:p>
      <w:pPr>
        <w:spacing w:after="0" w:line="135" w:lineRule="exact"/>
        <w:rPr>
          <w:sz w:val="20"/>
          <w:szCs w:val="20"/>
          <w:color w:val="auto"/>
        </w:rPr>
      </w:pPr>
    </w:p>
    <w:p>
      <w:pPr>
        <w:ind w:left="420" w:right="420" w:hanging="412"/>
        <w:spacing w:after="0" w:line="264"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payments to be made by or on behalf of each Obligor (or in the case of upfront fees and indemnity fees, by the Agent or any Lender to another Lender or to an assignee of an interest in the Credit) in connection with the Loan Documents are to be made without set off, compensation or counterclaim, free and clear of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0" w:right="27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color w:val="auto"/>
        </w:rPr>
        <w:t>- 59 -</w:t>
      </w:r>
    </w:p>
    <w:p>
      <w:pPr>
        <w:spacing w:after="0" w:line="117"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deduction for or on account of any Tax (other than Excluded Taxes), except if such deduction is required by applicable law or the administration thereof. If any Tax (other than Excluded Taxes) is deducted or withheld from any payments under the Loan Documents (including the remittance provided for in this Section), the Obligor making payment shall promptly remit to the Agent for the Lenders’ benefit in the currency in which such payment was made, the equivalent of the amount of Tax so deducted or withheld together with the relevant receipt issued by the taxing or other receiving authority. Subject to Section 5.18, if the Borrower is prevented by operation of law or otherwise from paying, causing to be paid or remitting such Tax (other than Excluded Taxes), the interest or other amount payable under the Loan Documents will be increased to such rates as are necessary to yield and remit to the Lenders the principal sum advanced or made available together with interest at the rates specified in the Loan Documents after provision for payment of such Tax.</w:t>
      </w:r>
    </w:p>
    <w:p>
      <w:pPr>
        <w:spacing w:after="0" w:line="71" w:lineRule="exact"/>
        <w:rPr>
          <w:sz w:val="20"/>
          <w:szCs w:val="20"/>
          <w:color w:val="auto"/>
        </w:rPr>
      </w:pPr>
    </w:p>
    <w:p>
      <w:pPr>
        <w:ind w:left="520" w:right="40" w:hanging="512"/>
        <w:spacing w:after="0" w:line="293" w:lineRule="auto"/>
        <w:tabs>
          <w:tab w:leader="none" w:pos="5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any Lender or the Agent becomes liable for any Tax (other than Excluded Taxes) in the jurisdiction in which the person making a payment under the Loan Documents is located as a result of a payment being made without the required Tax (other than Excluded Taxes) in that jurisdiction having been deducted or withheld, the payer shall indemnify the Lender or the Agent, as the case may be, for such Tax and any interest and penalties thereon, and the indemnity payment shall be increased as necessary so that after the imposition of any such Tax in that jurisdiction on the indemnity payment (including Tax in respect of any such increase in the indemnity payment), the Lender or the Agent shall receive the full amount of such Taxes, interest and penalties for which it is liable in that jurisdiction as a result of the failure to deduct or withhold such Tax.</w:t>
      </w:r>
    </w:p>
    <w:p>
      <w:pPr>
        <w:spacing w:after="0" w:line="70" w:lineRule="exact"/>
        <w:rPr>
          <w:rFonts w:ascii="Arial" w:cs="Arial" w:eastAsia="Arial" w:hAnsi="Arial"/>
          <w:sz w:val="16"/>
          <w:szCs w:val="16"/>
          <w:color w:val="auto"/>
        </w:rPr>
      </w:pPr>
    </w:p>
    <w:p>
      <w:pPr>
        <w:ind w:left="520" w:right="40" w:hanging="512"/>
        <w:spacing w:after="0" w:line="276" w:lineRule="auto"/>
        <w:tabs>
          <w:tab w:leader="none" w:pos="5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None of the Obligors shall be required to pay any additional amounts under Section 11.9 of this Agreement (a) to any Lender that is an original party to this Agreement as at the Closing Date and is a non resident of Canada within the meaning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for the purposes of the withholding tax provisions in Part XIII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(b) to any Lender that was not a non resident of Canada within the meaning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for the purposes of the withholding tax provisions in Part XIII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as at the Closing Date who becomes such a non-resident of Canada subsequent to the Closing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Change in Law</w:t>
      </w:r>
    </w:p>
    <w:p>
      <w:pPr>
        <w:spacing w:after="0" w:line="135" w:lineRule="exact"/>
        <w:rPr>
          <w:sz w:val="20"/>
          <w:szCs w:val="20"/>
          <w:color w:val="auto"/>
        </w:rPr>
      </w:pPr>
    </w:p>
    <w:p>
      <w:pPr>
        <w:ind w:left="520" w:hanging="512"/>
        <w:spacing w:after="0" w:line="264" w:lineRule="auto"/>
        <w:tabs>
          <w:tab w:leader="none" w:pos="5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any change in any applicable law, rule, guideline, treaty or official directive (whether or not having the force of law) or in the interpretation or application thereof by any court or by any governmental agency, central bank or other authority or entity charged with the administration thereof which now or hereafter:</w:t>
      </w:r>
    </w:p>
    <w:p>
      <w:pPr>
        <w:spacing w:after="0" w:line="73" w:lineRule="exact"/>
        <w:rPr>
          <w:rFonts w:ascii="Arial" w:cs="Arial" w:eastAsia="Arial" w:hAnsi="Arial"/>
          <w:sz w:val="18"/>
          <w:szCs w:val="18"/>
          <w:color w:val="auto"/>
        </w:rPr>
      </w:pPr>
    </w:p>
    <w:p>
      <w:pPr>
        <w:ind w:left="1120" w:right="380" w:hanging="437"/>
        <w:spacing w:after="0" w:line="342" w:lineRule="auto"/>
        <w:tabs>
          <w:tab w:leader="none" w:pos="11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subjects any Lender to any Tax (except for Excluded Taxes) or changes the basis of taxation, or increases any existing Tax (except for Excluded Taxes), on payments of principal, interest, fees or other amounts payable by the Borrower to the Lenders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15" w:name="page216"/>
    <w:bookmarkEnd w:id="215"/>
    <w:p>
      <w:pPr>
        <w:jc w:val="center"/>
        <w:ind w:right="-11"/>
        <w:spacing w:after="0"/>
        <w:rPr>
          <w:sz w:val="20"/>
          <w:szCs w:val="20"/>
          <w:color w:val="auto"/>
        </w:rPr>
      </w:pPr>
      <w:r>
        <w:rPr>
          <w:rFonts w:ascii="Arial" w:cs="Arial" w:eastAsia="Arial" w:hAnsi="Arial"/>
          <w:sz w:val="18"/>
          <w:szCs w:val="18"/>
          <w:color w:val="auto"/>
        </w:rPr>
        <w:t>- 60 -</w:t>
      </w:r>
    </w:p>
    <w:p>
      <w:pPr>
        <w:spacing w:after="0" w:line="117" w:lineRule="exact"/>
        <w:rPr>
          <w:sz w:val="20"/>
          <w:szCs w:val="20"/>
          <w:color w:val="auto"/>
        </w:rPr>
      </w:pPr>
    </w:p>
    <w:p>
      <w:pPr>
        <w:ind w:left="792" w:right="120" w:hanging="454"/>
        <w:spacing w:after="0" w:line="277" w:lineRule="auto"/>
        <w:tabs>
          <w:tab w:leader="none" w:pos="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imposes, modifies or deems applicable any reserve, special deposit or similar requirements against assets held by, or deposits in or for the account of or loans by or any other acquisition of funds by, an office of any of the Lenders; or</w:t>
      </w:r>
    </w:p>
    <w:p>
      <w:pPr>
        <w:spacing w:after="0" w:line="75" w:lineRule="exact"/>
        <w:rPr>
          <w:rFonts w:ascii="Arial" w:cs="Arial" w:eastAsia="Arial" w:hAnsi="Arial"/>
          <w:sz w:val="18"/>
          <w:szCs w:val="18"/>
          <w:color w:val="auto"/>
        </w:rPr>
      </w:pPr>
    </w:p>
    <w:p>
      <w:pPr>
        <w:ind w:left="792" w:right="180" w:hanging="454"/>
        <w:spacing w:after="0" w:line="277" w:lineRule="auto"/>
        <w:tabs>
          <w:tab w:leader="none" w:pos="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imposes on any of the Lenders or expects there to be maintained by any of the Lenders any capital adequacy or additional capital requirements in respect of any Advance or the Credit hereunder or any other condition with respect to this Agreement,</w:t>
      </w:r>
    </w:p>
    <w:p>
      <w:pPr>
        <w:spacing w:after="0" w:line="62" w:lineRule="exact"/>
        <w:rPr>
          <w:sz w:val="20"/>
          <w:szCs w:val="20"/>
          <w:color w:val="auto"/>
        </w:rPr>
      </w:pPr>
    </w:p>
    <w:p>
      <w:pPr>
        <w:ind w:left="352" w:right="20"/>
        <w:spacing w:after="0" w:line="268" w:lineRule="auto"/>
        <w:rPr>
          <w:sz w:val="20"/>
          <w:szCs w:val="20"/>
          <w:color w:val="auto"/>
        </w:rPr>
      </w:pPr>
      <w:r>
        <w:rPr>
          <w:rFonts w:ascii="Arial" w:cs="Arial" w:eastAsia="Arial" w:hAnsi="Arial"/>
          <w:sz w:val="17"/>
          <w:szCs w:val="17"/>
          <w:color w:val="auto"/>
        </w:rPr>
        <w:t>and the result of any of the foregoing will be to increase the cost to, or reduce the amount of principal, interest or other amount received or receivable by any Lender hereunder or its effective return hereunder in respect of making, maintaining or funding such Advance, the affected Lender will determine that amount of money which will compensate the affected Lender for such increase in cost or reduction in income (herein referred to as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w:t>
      </w:r>
      <w:r>
        <w:rPr>
          <w:rFonts w:ascii="Arial" w:cs="Arial" w:eastAsia="Arial" w:hAnsi="Arial"/>
          <w:sz w:val="17"/>
          <w:szCs w:val="17"/>
          <w:color w:val="auto"/>
        </w:rPr>
        <w:t>”). Upon the affected Lender having determined that it is entitled to Additional Compensation in accordance with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11.10, the affected Lender will promptly so notify the Borrower and provide to the Borrower a photocopy of the relevant law, rule, guideline, treaty or official directive and a certificate of a duly authorized officer of the affected Lender setting forth the Additional Compensation and the basis of calculation therefor, which will be conclusive evidence of such Additional Compensation in the absence of manifest error. The Borrower will pay to the affected Lender within 10 Business Days of the giving of such notice the Additional Compensation calculated to the date of such notification. The affected Lender will be entitled to be paid such Additional Compensation from time to time to the extent that the provisions of this Section 11.10 are then applicable notwithstanding that the affected Lender has previously been paid any Additional Compensation. The affected Lender will endeavour to limit the incidence of any such Additional Compensation, including seeking recovery for the account of the Borrower, by appealing any assessment at the expense of the Borrower upon the Borrower’s request. If the affected Lender subsequently recovers all or a part thereof, it will repay an equal amount to the Borrower.</w:t>
      </w:r>
    </w:p>
    <w:p>
      <w:pPr>
        <w:spacing w:after="0" w:line="76" w:lineRule="exact"/>
        <w:rPr>
          <w:sz w:val="20"/>
          <w:szCs w:val="20"/>
          <w:color w:val="auto"/>
        </w:rPr>
      </w:pPr>
    </w:p>
    <w:p>
      <w:pPr>
        <w:ind w:left="332" w:hanging="332"/>
        <w:spacing w:after="0" w:line="255" w:lineRule="auto"/>
        <w:tabs>
          <w:tab w:leader="none" w:pos="33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a Lender gives the notice provided for in Section 11.10(1) with respect to any Advance (an “</w:t>
      </w:r>
      <w:r>
        <w:rPr>
          <w:rFonts w:ascii="Arial" w:cs="Arial" w:eastAsia="Arial" w:hAnsi="Arial"/>
          <w:sz w:val="18"/>
          <w:szCs w:val="18"/>
          <w:b w:val="1"/>
          <w:bCs w:val="1"/>
          <w:color w:val="auto"/>
        </w:rPr>
        <w:t>Affected Advance</w:t>
      </w:r>
      <w:r>
        <w:rPr>
          <w:rFonts w:ascii="Arial" w:cs="Arial" w:eastAsia="Arial" w:hAnsi="Arial"/>
          <w:sz w:val="18"/>
          <w:szCs w:val="18"/>
          <w:color w:val="auto"/>
        </w:rPr>
        <w:t>”), the Borrower may, upon 10 Business Days notice to that effect given to such Lender (which notice shall be irrevocable), either prepay in full without penalty the Affected Advance together with accrued and unpaid interest on the principal amount so prepaid up to the date of such prepayment, such compensation as may be payable pursuant to Section 11.10(1) to the date of such prepayment and all costs, losses and expenses incurred by the Lender by reason of the liquidation or re employment of deposits or other funds or for any other reason whatsoever resulting from the repayment of such Affected Advance or any part thereof on other than the last day of the applicable period, or may arrange for another bank or financial institution to purchase all of the interest of such Lender in the Advance represented by the Affected Advance (and, in such event, such Lender shall sell, assign and transfer all of its interest in the Advance represented by the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384810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60"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- 61 -</w:t>
      </w:r>
    </w:p>
    <w:p>
      <w:pPr>
        <w:spacing w:after="0" w:line="117" w:lineRule="exact"/>
        <w:rPr>
          <w:sz w:val="20"/>
          <w:szCs w:val="20"/>
          <w:color w:val="auto"/>
        </w:rPr>
      </w:pPr>
    </w:p>
    <w:p>
      <w:pPr>
        <w:ind w:left="460" w:right="140"/>
        <w:spacing w:after="0" w:line="279" w:lineRule="auto"/>
        <w:rPr>
          <w:sz w:val="20"/>
          <w:szCs w:val="20"/>
          <w:color w:val="auto"/>
        </w:rPr>
      </w:pPr>
      <w:r>
        <w:rPr>
          <w:rFonts w:ascii="Arial" w:cs="Arial" w:eastAsia="Arial" w:hAnsi="Arial"/>
          <w:sz w:val="17"/>
          <w:szCs w:val="17"/>
          <w:color w:val="auto"/>
        </w:rPr>
        <w:t>Advance to such other bank or financial institution upon payment to such Lender by such other bank or financial institution of the same amount as would have been payable by the Borrower if it had prepaid the Affected Advance) and upon either such payment being made, that Lender’s obligation to make such Affected Advance to the Borrower under this Agreement shall terminate. The other Lenders shall be given the first opportunity to make any such purchase pro rata in accordance with their respective Applicable Percentages or as they may otherwise agree.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11.11  Illegality</w:t>
      </w:r>
    </w:p>
    <w:p>
      <w:pPr>
        <w:spacing w:after="0" w:line="121"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If the adoption of any applicable law, treaty or official directive (whether or not having the force of law) or any change therein or in the interpretation or application thereof by any court or by any governmental or other authority or central bank or comparable agency or any other entity charged with the interpretation or administration thereof or compliance by any Lender with any request or direction (whether or not having the force of law) of any such authority, central bank or comparable agency or entity, now or hereafter makes it unlawful or impossible for such Lender to make, fund or maintain an Advance or to give effect to its obligations in respect of such an Advance, such Lender may, by notice thereof to the Borrower, declare its obligations under this Agreement to be terminated whereupon the same will forthwith terminate, and the Borrower will prepay within the time required by such law (or at the end of such longer period as such Lender at its discretion has agreed) the principal of such Advance together with accrued interest and such Additional Compensation as may be applicable to the date of such payment. The Lender will also provide to the Borrower a photocopy of the relevant law, treaty or directive. The Borrower will be responsible for any costs, losses or expenses incurred by such Lender by reason of the liquidation or re employment of deposits or other funds or for any other reason whatsoever resulting from the repayment of such Advance or any part thereof on other than the last day of the applicable period of such Advance. If any such change will only affect a portion of such Lender’s obligations under this Agreement which is, in the opinion of such Lender, severable from the remainder of this Agreement so that the remainder of this Agreement may be continued in full force and effect without otherwise affecting any of the obligations of such Lender or the Borrower hereunder, such Lender will only declare its obligations under that portion so terminated.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Interest on Miscellaneous Amounts</w:t>
      </w:r>
    </w:p>
    <w:p>
      <w:pPr>
        <w:spacing w:after="0" w:line="135" w:lineRule="exact"/>
        <w:rPr>
          <w:sz w:val="20"/>
          <w:szCs w:val="20"/>
          <w:color w:val="auto"/>
        </w:rPr>
      </w:pPr>
    </w:p>
    <w:p>
      <w:pPr>
        <w:ind w:left="520" w:hanging="512"/>
        <w:spacing w:after="0" w:line="259" w:lineRule="auto"/>
        <w:tabs>
          <w:tab w:leader="none" w:pos="5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Borrower fails to pay any amount payable hereunder on the due date (including principal, interest thereon, interest upon interest or any other amount), the Borrower shall, on demand, pay interest on such overdue amount to the Agent from and including such due date up to but excluding the date of actual payment, both before and after demand, default or judgment, at a rate of interest per annum equal to the sum of the Prime Rate plus 2.0% per annum, compounded monthly.</w:t>
      </w:r>
    </w:p>
    <w:p>
      <w:pPr>
        <w:spacing w:after="0" w:line="92" w:lineRule="exact"/>
        <w:rPr>
          <w:rFonts w:ascii="Arial" w:cs="Arial" w:eastAsia="Arial" w:hAnsi="Arial"/>
          <w:sz w:val="18"/>
          <w:szCs w:val="18"/>
          <w:color w:val="auto"/>
        </w:rPr>
      </w:pPr>
    </w:p>
    <w:p>
      <w:pPr>
        <w:ind w:left="520" w:hanging="512"/>
        <w:spacing w:after="0" w:line="264" w:lineRule="auto"/>
        <w:tabs>
          <w:tab w:leader="none" w:pos="5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Borrower deposits cash as Collateral pursuant to a requirement under this Agreement, the Agent, Lender or Lenders, as applicable, holding the cash shall pay the Borrower interest on the cash while it continues to be held as Collateral at the rate offered by the relevant Lender or Agent from time to time for deposits in the relevant currency of comparable size and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color w:val="auto"/>
        </w:rPr>
        <w:t>- 62 -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11.13  Address for Notice</w:t>
      </w:r>
    </w:p>
    <w:p>
      <w:pPr>
        <w:spacing w:after="0" w:line="121"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Notice to be given under the Loan Documents shall, except as otherwise specifically provided, be in writing addressed to the party for whom it is intended and, unless the law or a specific provision in another Loan Document deems a particular notice to be received earlier, a notice shall not be deemed received until actual receipt thereof by the other party. The addresses of the parties hereto for the purposes hereof shall be the addresses specified beside their respective signatures to this Agreement or on any Assignment Agreement, or such other mailing, internet e-mail, secure internet website or telecopier addresses as each party from time to time may notify the other as aforesaid.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11.14  Time of the Essence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shall be of the essence in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11.15  Further Assurances</w:t>
      </w:r>
    </w:p>
    <w:p>
      <w:pPr>
        <w:spacing w:after="0" w:line="121" w:lineRule="exact"/>
        <w:rPr>
          <w:sz w:val="20"/>
          <w:szCs w:val="20"/>
          <w:color w:val="auto"/>
        </w:rPr>
      </w:pPr>
    </w:p>
    <w:p>
      <w:pPr>
        <w:jc w:val="both"/>
        <w:ind w:right="220" w:firstLine="450"/>
        <w:spacing w:after="0" w:line="264" w:lineRule="auto"/>
        <w:rPr>
          <w:sz w:val="20"/>
          <w:szCs w:val="20"/>
          <w:color w:val="auto"/>
        </w:rPr>
      </w:pPr>
      <w:r>
        <w:rPr>
          <w:rFonts w:ascii="Arial" w:cs="Arial" w:eastAsia="Arial" w:hAnsi="Arial"/>
          <w:sz w:val="18"/>
          <w:szCs w:val="18"/>
          <w:color w:val="auto"/>
        </w:rPr>
        <w:t>Each Obligor shall, at its expense, at the request of the Agent acting on the instructions of the Required Lenders, do all such further acts and execute and deliver all such further documents, agreements, certificates and instruments as may, in the reasonable opinion of the Required Lenders, be necessary or desirable in order to fully perform and carry out the purpose and intent of the Loan Documents.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11.16  Term of Agreement</w:t>
      </w:r>
    </w:p>
    <w:p>
      <w:pPr>
        <w:spacing w:after="0" w:line="121"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Except as otherwise provided herein, this Agreement shall remain in full force and effect until the indefeasible payment and performance in full in cash of all of the Obligations and the termination of the Commitments. The obligations of the Obligors in Sections 7.2(10), 11.8 and 11.9 and of the Lenders in Article 9 shall continue for the benefit of those to whom the obligations are owed notwithstanding the termination of this Agreement or the termination of any particular Person’s role as Obligor, Agent or Lender.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11.17  Payments on Business Day</w:t>
      </w:r>
    </w:p>
    <w:p>
      <w:pPr>
        <w:spacing w:after="0" w:line="121" w:lineRule="exact"/>
        <w:rPr>
          <w:sz w:val="20"/>
          <w:szCs w:val="20"/>
          <w:color w:val="auto"/>
        </w:rPr>
      </w:pPr>
    </w:p>
    <w:p>
      <w:pPr>
        <w:ind w:right="80" w:firstLine="447"/>
        <w:spacing w:after="0" w:line="264" w:lineRule="auto"/>
        <w:rPr>
          <w:sz w:val="20"/>
          <w:szCs w:val="20"/>
          <w:color w:val="auto"/>
        </w:rPr>
      </w:pPr>
      <w:r>
        <w:rPr>
          <w:rFonts w:ascii="Arial" w:cs="Arial" w:eastAsia="Arial" w:hAnsi="Arial"/>
          <w:sz w:val="18"/>
          <w:szCs w:val="18"/>
          <w:color w:val="auto"/>
        </w:rPr>
        <w:t>Whenever any payment or performance under the Loan Documents would otherwise be due on a day other than a Business Day, such payment shall be made on the following Business Day, unless the following Business Day is in a different calendar month, in which case the payment shall be made on the preceding Business Day.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Counterparts and Facsimile</w:t>
      </w:r>
    </w:p>
    <w:p>
      <w:pPr>
        <w:spacing w:after="0" w:line="121" w:lineRule="exact"/>
        <w:rPr>
          <w:sz w:val="20"/>
          <w:szCs w:val="20"/>
          <w:color w:val="auto"/>
        </w:rPr>
      </w:pPr>
    </w:p>
    <w:p>
      <w:pPr>
        <w:ind w:right="300" w:firstLine="447"/>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executed and delivered shall be deemed to be an original, and such counterparts together shall constitute one and the same agreement. For the purposes of this Section, the delivery of a facsimile copy of an executed counterpart of this Agreement shall be deemed to be valid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18"/>
          <w:szCs w:val="18"/>
          <w:color w:val="auto"/>
        </w:rPr>
        <w:t>- 63 -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11.19  Waiver of Jury Trial and Consequential Damages</w:t>
      </w:r>
    </w:p>
    <w:p>
      <w:pPr>
        <w:spacing w:after="0" w:line="121" w:lineRule="exact"/>
        <w:rPr>
          <w:sz w:val="20"/>
          <w:szCs w:val="20"/>
          <w:color w:val="auto"/>
        </w:rPr>
      </w:pPr>
    </w:p>
    <w:p>
      <w:pPr>
        <w:ind w:left="340" w:right="40" w:hanging="332"/>
        <w:spacing w:after="0" w:line="286"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this the Loan Documents, the transactions contemplated thereby or any course of conduct, course of dealing, statements (whether oral or written) or actions of any party (whether based on contract, tort or any other theory).</w:t>
      </w:r>
    </w:p>
    <w:p>
      <w:pPr>
        <w:spacing w:after="0" w:line="70" w:lineRule="exact"/>
        <w:rPr>
          <w:rFonts w:ascii="Arial" w:cs="Arial" w:eastAsia="Arial" w:hAnsi="Arial"/>
          <w:sz w:val="17"/>
          <w:szCs w:val="17"/>
          <w:color w:val="auto"/>
        </w:rPr>
      </w:pPr>
    </w:p>
    <w:p>
      <w:pPr>
        <w:ind w:left="340" w:right="40" w:hanging="332"/>
        <w:spacing w:after="0" w:line="259"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party shall assert, and each party hereby waives, to the fullest extent permitted by applicable law, any claim against any other party on any theory of liability, for special, indirect, consequential or punitive damages (as opposed to direct or actual damages) arising out of, in connection with, or as a result of, the Loan Documents, the transactions contemplated thereby or any course of conduct, course of dealing, statements (whether oral or written) or actions of any party (whether based on contract, tort or any other theory).</w:t>
      </w:r>
    </w:p>
    <w:p>
      <w:pPr>
        <w:spacing w:after="0" w:line="92" w:lineRule="exact"/>
        <w:rPr>
          <w:rFonts w:ascii="Arial" w:cs="Arial" w:eastAsia="Arial" w:hAnsi="Arial"/>
          <w:sz w:val="18"/>
          <w:szCs w:val="18"/>
          <w:color w:val="auto"/>
        </w:rPr>
      </w:pPr>
    </w:p>
    <w:p>
      <w:pPr>
        <w:ind w:left="340" w:right="20" w:hanging="332"/>
        <w:spacing w:after="0" w:line="257"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Obligor acknowledges and agrees that none of the Agent or the Lenders shall have any liability to them in relation to any due diligence investigations conducted by any of them in connection with the transactions contemplated hereby or be under any obligation whatsoever to disclose to them any information received or facts disclosed by any such investigations. Each Obligor further acknowledges and agrees that it is not relying, will not rely, and will not be deemed, in any respect whatsoever, to have relied upon the facts received by and information disclosed to any of the Agent or the Lenders under or in connection with such due diligence investigations.</w:t>
      </w:r>
    </w:p>
    <w:p>
      <w:pPr>
        <w:spacing w:after="0" w:line="93"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party hereto (a) certifies that no representative, agent or attorney of any other party has represented, expressly or otherwise, that such other party would not, in the event of litigation, seek to enforce the foregoing provisions, and (b) acknowledges that it and the other parties hereto have been induced to enter into this Agreement by, among other things, the waivers, acknowledgments and certifications in this Section.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11.20  Whole Agreement</w:t>
      </w:r>
    </w:p>
    <w:p>
      <w:pPr>
        <w:spacing w:after="0" w:line="121" w:lineRule="exact"/>
        <w:rPr>
          <w:sz w:val="20"/>
          <w:szCs w:val="20"/>
          <w:color w:val="auto"/>
        </w:rPr>
      </w:pPr>
    </w:p>
    <w:p>
      <w:pPr>
        <w:ind w:right="460" w:firstLine="450"/>
        <w:spacing w:after="0" w:line="264" w:lineRule="auto"/>
        <w:rPr>
          <w:sz w:val="20"/>
          <w:szCs w:val="20"/>
          <w:color w:val="auto"/>
        </w:rPr>
      </w:pPr>
      <w:r>
        <w:rPr>
          <w:rFonts w:ascii="Arial" w:cs="Arial" w:eastAsia="Arial" w:hAnsi="Arial"/>
          <w:sz w:val="18"/>
          <w:szCs w:val="18"/>
          <w:color w:val="auto"/>
        </w:rPr>
        <w:t>Except in relation to matters contemplated by the other Loan Documents, this Agreement constitutes the whole and entire agreement between the parties hereto concerning the matters addressed in this Agreement, and cancels and supersedes any prior agreements, undertakings, declarations, commitments or representations, written or verbal, in respect thereof.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11.21  English Language</w:t>
      </w:r>
    </w:p>
    <w:p>
      <w:pPr>
        <w:spacing w:after="0" w:line="121" w:lineRule="exact"/>
        <w:rPr>
          <w:sz w:val="20"/>
          <w:szCs w:val="20"/>
          <w:color w:val="auto"/>
        </w:rPr>
      </w:pPr>
    </w:p>
    <w:p>
      <w:pPr>
        <w:ind w:right="220" w:firstLine="447"/>
        <w:spacing w:after="0" w:line="302" w:lineRule="auto"/>
        <w:rPr>
          <w:sz w:val="20"/>
          <w:szCs w:val="20"/>
          <w:color w:val="auto"/>
        </w:rPr>
      </w:pPr>
      <w:r>
        <w:rPr>
          <w:rFonts w:ascii="Arial" w:cs="Arial" w:eastAsia="Arial" w:hAnsi="Arial"/>
          <w:sz w:val="16"/>
          <w:szCs w:val="16"/>
          <w:color w:val="auto"/>
        </w:rPr>
        <w:t>The Loan Documents have been negotiated in English and will be or have been executed in the English language. Les soussigné ont expressément demandé que ce document soit rédigé en langue anglaise. All paper writings given or delivered pursuant to this Agreement and the other Loan Documents shall, if requested by the Agent, be in the English language or, if not, shall be accompanied by a certified English translation thereof. The English language version of any document shall, absent manifest error, control the meaning and interpretation of the matters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19" w:name="page220"/>
    <w:bookmarkEnd w:id="219"/>
    <w:p>
      <w:pPr>
        <w:ind w:left="5520"/>
        <w:spacing w:after="0"/>
        <w:rPr>
          <w:sz w:val="20"/>
          <w:szCs w:val="20"/>
          <w:color w:val="auto"/>
        </w:rPr>
      </w:pPr>
      <w:r>
        <w:rPr>
          <w:rFonts w:ascii="Arial" w:cs="Arial" w:eastAsia="Arial" w:hAnsi="Arial"/>
          <w:sz w:val="18"/>
          <w:szCs w:val="18"/>
          <w:color w:val="auto"/>
        </w:rPr>
        <w:t>- 64 -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11.22  Date of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may be referred to as being dated 30 November 2005 or as of 30 November 2005, notwithstanding the actual date of execution.</w:t>
      </w:r>
    </w:p>
    <w:p>
      <w:pPr>
        <w:spacing w:after="0" w:line="3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 *</w:t>
      </w:r>
    </w:p>
    <w:p>
      <w:pPr>
        <w:spacing w:after="0" w:line="32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963" w:right="81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 S1 -</w:t>
            </w:r>
          </w:p>
        </w:tc>
        <w:tc>
          <w:tcPr>
            <w:tcW w:w="0" w:type="dxa"/>
            <w:vAlign w:val="bottom"/>
          </w:tcPr>
          <w:p>
            <w:pPr>
              <w:spacing w:after="0"/>
              <w:rPr>
                <w:sz w:val="1"/>
                <w:szCs w:val="1"/>
                <w:color w:val="auto"/>
              </w:rPr>
            </w:pPr>
          </w:p>
        </w:tc>
      </w:tr>
      <w:tr>
        <w:trPr>
          <w:trHeight w:val="324"/>
        </w:trPr>
        <w:tc>
          <w:tcPr>
            <w:tcW w:w="994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080" w:type="dxa"/>
            <w:vAlign w:val="bottom"/>
            <w:gridSpan w:val="2"/>
          </w:tcPr>
          <w:p>
            <w:pPr>
              <w:ind w:left="96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Agent</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Agent</w:t>
            </w:r>
          </w:p>
        </w:tc>
        <w:tc>
          <w:tcPr>
            <w:tcW w:w="1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Scotia Capital</w:t>
            </w:r>
          </w:p>
        </w:tc>
        <w:tc>
          <w:tcPr>
            <w:tcW w:w="1520" w:type="dxa"/>
            <w:vAlign w:val="bottom"/>
          </w:tcPr>
          <w:p>
            <w:pPr>
              <w:ind w:left="9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 D. McKay</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8"/>
                <w:szCs w:val="18"/>
                <w:color w:val="auto"/>
              </w:rPr>
              <w:t>Corporate Banking – Loan Syndications</w:t>
            </w:r>
          </w:p>
        </w:tc>
        <w:tc>
          <w:tcPr>
            <w:tcW w:w="15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 D. McKay</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62nd Floor</w:t>
            </w:r>
          </w:p>
        </w:tc>
        <w:tc>
          <w:tcPr>
            <w:tcW w:w="15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Scotia Plaza</w:t>
            </w:r>
          </w:p>
        </w:tc>
        <w:tc>
          <w:tcPr>
            <w:tcW w:w="1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40 King Street West</w:t>
            </w:r>
          </w:p>
        </w:tc>
        <w:tc>
          <w:tcPr>
            <w:tcW w:w="1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Toronto, ON M5W 2X6</w:t>
            </w:r>
          </w:p>
        </w:tc>
        <w:tc>
          <w:tcPr>
            <w:tcW w:w="1520" w:type="dxa"/>
            <w:vAlign w:val="bottom"/>
          </w:tcPr>
          <w:p>
            <w:pPr>
              <w:ind w:left="9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Qi</w:t>
            </w:r>
          </w:p>
        </w:tc>
        <w:tc>
          <w:tcPr>
            <w:tcW w:w="0" w:type="dxa"/>
            <w:vAlign w:val="bottom"/>
          </w:tcPr>
          <w:p>
            <w:pPr>
              <w:spacing w:after="0"/>
              <w:rPr>
                <w:sz w:val="1"/>
                <w:szCs w:val="1"/>
                <w:color w:val="auto"/>
              </w:rPr>
            </w:pPr>
          </w:p>
        </w:tc>
      </w:tr>
      <w:tr>
        <w:trPr>
          <w:trHeight w:val="209"/>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Attention: Unit Head</w:t>
            </w:r>
          </w:p>
        </w:tc>
        <w:tc>
          <w:tcPr>
            <w:tcW w:w="15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 Qi</w:t>
            </w:r>
          </w:p>
        </w:tc>
        <w:tc>
          <w:tcPr>
            <w:tcW w:w="0" w:type="dxa"/>
            <w:vAlign w:val="bottom"/>
          </w:tcPr>
          <w:p>
            <w:pPr>
              <w:spacing w:after="0"/>
              <w:rPr>
                <w:sz w:val="1"/>
                <w:szCs w:val="1"/>
                <w:color w:val="auto"/>
              </w:rPr>
            </w:pPr>
          </w:p>
        </w:tc>
      </w:tr>
      <w:tr>
        <w:trPr>
          <w:trHeight w:val="230"/>
        </w:trPr>
        <w:tc>
          <w:tcPr>
            <w:tcW w:w="386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Associate</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Facsimile: (416) 866-3329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60" w:type="dxa"/>
            <w:vAlign w:val="bottom"/>
          </w:tcPr>
          <w:p>
            <w:pPr>
              <w:ind w:left="1060"/>
              <w:spacing w:after="0"/>
              <w:rPr>
                <w:sz w:val="20"/>
                <w:szCs w:val="20"/>
                <w:color w:val="auto"/>
              </w:rPr>
            </w:pPr>
            <w:r>
              <w:rPr>
                <w:rFonts w:ascii="Arial" w:cs="Arial" w:eastAsia="Arial" w:hAnsi="Arial"/>
                <w:sz w:val="18"/>
                <w:szCs w:val="18"/>
                <w:color w:val="auto"/>
              </w:rPr>
              <w:t>- S2 -</w:t>
            </w:r>
          </w:p>
        </w:tc>
        <w:tc>
          <w:tcPr>
            <w:tcW w:w="0" w:type="dxa"/>
            <w:vAlign w:val="bottom"/>
          </w:tcPr>
          <w:p>
            <w:pPr>
              <w:spacing w:after="0"/>
              <w:rPr>
                <w:sz w:val="1"/>
                <w:szCs w:val="1"/>
                <w:color w:val="auto"/>
              </w:rPr>
            </w:pPr>
          </w:p>
        </w:tc>
      </w:tr>
      <w:tr>
        <w:trPr>
          <w:trHeight w:val="324"/>
        </w:trPr>
        <w:tc>
          <w:tcPr>
            <w:tcW w:w="902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5500" w:type="dxa"/>
            <w:vAlign w:val="bottom"/>
            <w:gridSpan w:val="2"/>
          </w:tcPr>
          <w:p>
            <w:pPr>
              <w:ind w:left="140"/>
              <w:spacing w:after="0"/>
              <w:rPr>
                <w:sz w:val="20"/>
                <w:szCs w:val="20"/>
                <w:color w:val="auto"/>
              </w:rPr>
            </w:pPr>
            <w:r>
              <w:rPr>
                <w:rFonts w:ascii="Arial" w:cs="Arial" w:eastAsia="Arial" w:hAnsi="Arial"/>
                <w:sz w:val="18"/>
                <w:szCs w:val="18"/>
                <w:b w:val="1"/>
                <w:bCs w:val="1"/>
                <w:color w:val="auto"/>
              </w:rPr>
              <w:t>WASTE MANAGEMENT OF CANADA</w:t>
            </w:r>
          </w:p>
        </w:tc>
        <w:tc>
          <w:tcPr>
            <w:tcW w:w="0" w:type="dxa"/>
            <w:vAlign w:val="bottom"/>
          </w:tcPr>
          <w:p>
            <w:pPr>
              <w:spacing w:after="0"/>
              <w:rPr>
                <w:sz w:val="1"/>
                <w:szCs w:val="1"/>
                <w:color w:val="auto"/>
              </w:rPr>
            </w:pPr>
          </w:p>
        </w:tc>
      </w:tr>
      <w:tr>
        <w:trPr>
          <w:trHeight w:val="234"/>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w w:val="95"/>
              </w:rPr>
              <w:t>Waste Management of Canada Corporation</w:t>
            </w:r>
          </w:p>
        </w:tc>
        <w:tc>
          <w:tcPr>
            <w:tcW w:w="55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CORPORATION</w:t>
            </w:r>
          </w:p>
        </w:tc>
        <w:tc>
          <w:tcPr>
            <w:tcW w:w="0" w:type="dxa"/>
            <w:vAlign w:val="bottom"/>
          </w:tcPr>
          <w:p>
            <w:pPr>
              <w:spacing w:after="0"/>
              <w:rPr>
                <w:sz w:val="1"/>
                <w:szCs w:val="1"/>
                <w:color w:val="auto"/>
              </w:rPr>
            </w:pPr>
          </w:p>
        </w:tc>
      </w:tr>
      <w:tr>
        <w:trPr>
          <w:trHeight w:val="216"/>
        </w:trPr>
        <w:tc>
          <w:tcPr>
            <w:tcW w:w="35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c/o Waste Management, Inc.</w:t>
            </w:r>
          </w:p>
        </w:tc>
        <w:tc>
          <w:tcPr>
            <w:tcW w:w="940" w:type="dxa"/>
            <w:vAlign w:val="bottom"/>
          </w:tcPr>
          <w:p>
            <w:pPr>
              <w:ind w:left="1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Cherie C. Rice</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1001 Fannin Street, Suite 4000</w:t>
            </w:r>
          </w:p>
        </w:tc>
        <w:tc>
          <w:tcPr>
            <w:tcW w:w="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Cherie C. Rice</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Houston, Texas 77002</w:t>
            </w:r>
          </w:p>
        </w:tc>
        <w:tc>
          <w:tcPr>
            <w:tcW w:w="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Vice President and Treasurer</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Attention: Treasurer</w:t>
            </w:r>
          </w:p>
        </w:tc>
        <w:tc>
          <w:tcPr>
            <w:tcW w:w="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Clement</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Facsimile: (713) 942-1580</w:t>
            </w:r>
          </w:p>
        </w:tc>
        <w:tc>
          <w:tcPr>
            <w:tcW w:w="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Jay Clement</w:t>
            </w:r>
          </w:p>
        </w:tc>
        <w:tc>
          <w:tcPr>
            <w:tcW w:w="0" w:type="dxa"/>
            <w:vAlign w:val="bottom"/>
          </w:tcPr>
          <w:p>
            <w:pPr>
              <w:spacing w:after="0"/>
              <w:rPr>
                <w:sz w:val="1"/>
                <w:szCs w:val="1"/>
                <w:color w:val="auto"/>
              </w:rPr>
            </w:pPr>
          </w:p>
        </w:tc>
      </w:tr>
      <w:tr>
        <w:trPr>
          <w:trHeight w:val="230"/>
        </w:trPr>
        <w:tc>
          <w:tcPr>
            <w:tcW w:w="3520" w:type="dxa"/>
            <w:vAlign w:val="bottom"/>
            <w:vMerge w:val="restart"/>
          </w:tcPr>
          <w:p>
            <w:pPr>
              <w:spacing w:after="0"/>
              <w:rPr>
                <w:sz w:val="20"/>
                <w:szCs w:val="20"/>
                <w:color w:val="auto"/>
              </w:rPr>
            </w:pPr>
            <w:r>
              <w:rPr>
                <w:rFonts w:ascii="Arial" w:cs="Arial" w:eastAsia="Arial" w:hAnsi="Arial"/>
                <w:sz w:val="18"/>
                <w:szCs w:val="18"/>
                <w:color w:val="auto"/>
              </w:rPr>
              <w:t>With copy to General</w:t>
            </w:r>
          </w:p>
        </w:tc>
        <w:tc>
          <w:tcPr>
            <w:tcW w:w="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Assistant Treasurer</w:t>
            </w:r>
          </w:p>
        </w:tc>
        <w:tc>
          <w:tcPr>
            <w:tcW w:w="0" w:type="dxa"/>
            <w:vAlign w:val="bottom"/>
          </w:tcPr>
          <w:p>
            <w:pPr>
              <w:spacing w:after="0"/>
              <w:rPr>
                <w:sz w:val="1"/>
                <w:szCs w:val="1"/>
                <w:color w:val="auto"/>
              </w:rPr>
            </w:pPr>
          </w:p>
        </w:tc>
      </w:tr>
      <w:tr>
        <w:trPr>
          <w:trHeight w:val="202"/>
        </w:trPr>
        <w:tc>
          <w:tcPr>
            <w:tcW w:w="35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Counsel, facsimile number</w:t>
            </w:r>
          </w:p>
        </w:tc>
        <w:tc>
          <w:tcPr>
            <w:tcW w:w="9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(713) 209-9710</w:t>
            </w:r>
          </w:p>
        </w:tc>
        <w:tc>
          <w:tcPr>
            <w:tcW w:w="9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 S3 -</w:t>
            </w:r>
          </w:p>
        </w:tc>
        <w:tc>
          <w:tcPr>
            <w:tcW w:w="0" w:type="dxa"/>
            <w:vAlign w:val="bottom"/>
          </w:tcPr>
          <w:p>
            <w:pPr>
              <w:spacing w:after="0"/>
              <w:rPr>
                <w:sz w:val="1"/>
                <w:szCs w:val="1"/>
                <w:color w:val="auto"/>
              </w:rPr>
            </w:pP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540" w:type="dxa"/>
            <w:vAlign w:val="bottom"/>
            <w:gridSpan w:val="3"/>
          </w:tcPr>
          <w:p>
            <w:pPr>
              <w:ind w:left="120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b w:val="1"/>
                <w:bCs w:val="1"/>
                <w:color w:val="auto"/>
              </w:rPr>
              <w:t>Waste Management, Inc.</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1001 Fannin Street, Suite 4000</w:t>
            </w:r>
          </w:p>
        </w:tc>
        <w:tc>
          <w:tcPr>
            <w:tcW w:w="1680" w:type="dxa"/>
            <w:vAlign w:val="bottom"/>
          </w:tcPr>
          <w:p>
            <w:pPr>
              <w:ind w:left="12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Cherie C. Rice</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Houston, Texas 77002</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Cherie C. Rice</w:t>
            </w:r>
          </w:p>
        </w:tc>
        <w:tc>
          <w:tcPr>
            <w:tcW w:w="0" w:type="dxa"/>
            <w:vAlign w:val="bottom"/>
          </w:tcPr>
          <w:p>
            <w:pPr>
              <w:spacing w:after="0"/>
              <w:rPr>
                <w:sz w:val="1"/>
                <w:szCs w:val="1"/>
                <w:color w:val="auto"/>
              </w:rPr>
            </w:pPr>
          </w:p>
        </w:tc>
      </w:tr>
      <w:tr>
        <w:trPr>
          <w:trHeight w:val="23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Attention: Treasurer</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Vice President and Treasurer</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Facsimile: (713) 942-1580</w:t>
            </w:r>
          </w:p>
        </w:tc>
        <w:tc>
          <w:tcPr>
            <w:tcW w:w="1680" w:type="dxa"/>
            <w:vAlign w:val="bottom"/>
          </w:tcPr>
          <w:p>
            <w:pPr>
              <w:ind w:left="12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Clement</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Jay Clement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With copy to General Counsel,</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Assistant Treasurer</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facsimile number (713) 209-9710</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23" w:name="page224"/>
    <w:bookmarkEnd w:id="223"/>
    <w:p>
      <w:pPr>
        <w:ind w:left="5520"/>
        <w:spacing w:after="0"/>
        <w:rPr>
          <w:sz w:val="20"/>
          <w:szCs w:val="20"/>
          <w:color w:val="auto"/>
        </w:rPr>
      </w:pPr>
      <w:r>
        <w:rPr>
          <w:rFonts w:ascii="Arial" w:cs="Arial" w:eastAsia="Arial" w:hAnsi="Arial"/>
          <w:sz w:val="16"/>
          <w:szCs w:val="16"/>
          <w:color w:val="auto"/>
        </w:rPr>
        <w:t>- S4 -</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duly executed this Agreement.</w:t>
      </w:r>
    </w:p>
    <w:p>
      <w:pPr>
        <w:sectPr>
          <w:pgSz w:w="11900" w:h="16838" w:orient="portrait"/>
          <w:cols w:equalWidth="0" w:num="1">
            <w:col w:w="10219"/>
          </w:cols>
          <w:pgMar w:left="240" w:top="963" w:right="1440"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Notice</w:t>
      </w:r>
    </w:p>
    <w:p>
      <w:pPr>
        <w:spacing w:after="0" w:line="225" w:lineRule="exact"/>
        <w:rPr>
          <w:sz w:val="20"/>
          <w:szCs w:val="20"/>
          <w:color w:val="auto"/>
        </w:rPr>
      </w:pPr>
    </w:p>
    <w:p>
      <w:pPr>
        <w:ind w:right="1440"/>
        <w:spacing w:after="0" w:line="266" w:lineRule="auto"/>
        <w:rPr>
          <w:sz w:val="20"/>
          <w:szCs w:val="20"/>
          <w:color w:val="auto"/>
        </w:rPr>
      </w:pPr>
      <w:r>
        <w:rPr>
          <w:rFonts w:ascii="Arial" w:cs="Arial" w:eastAsia="Arial" w:hAnsi="Arial"/>
          <w:sz w:val="18"/>
          <w:szCs w:val="18"/>
          <w:b w:val="1"/>
          <w:bCs w:val="1"/>
          <w:color w:val="auto"/>
        </w:rPr>
        <w:t xml:space="preserve">Waste Management Holdings, Inc. </w:t>
      </w:r>
      <w:r>
        <w:rPr>
          <w:rFonts w:ascii="Arial" w:cs="Arial" w:eastAsia="Arial" w:hAnsi="Arial"/>
          <w:sz w:val="18"/>
          <w:szCs w:val="18"/>
          <w:color w:val="auto"/>
        </w:rPr>
        <w:t>1001 Fannin, Suite 4000 Houston, Texas 77002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Treasurer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Facsimile: (713) 942-1580</w:t>
      </w:r>
    </w:p>
    <w:p>
      <w:pPr>
        <w:spacing w:after="0" w:line="252" w:lineRule="exact"/>
        <w:rPr>
          <w:sz w:val="20"/>
          <w:szCs w:val="20"/>
          <w:color w:val="auto"/>
        </w:rPr>
      </w:pPr>
    </w:p>
    <w:p>
      <w:pPr>
        <w:ind w:right="1660"/>
        <w:spacing w:after="0" w:line="342" w:lineRule="auto"/>
        <w:rPr>
          <w:sz w:val="20"/>
          <w:szCs w:val="20"/>
          <w:color w:val="auto"/>
        </w:rPr>
      </w:pPr>
      <w:r>
        <w:rPr>
          <w:rFonts w:ascii="Arial" w:cs="Arial" w:eastAsia="Arial" w:hAnsi="Arial"/>
          <w:sz w:val="16"/>
          <w:szCs w:val="16"/>
          <w:color w:val="auto"/>
        </w:rPr>
        <w:t>With copy to General Counsel, facsimile number (713) 209-9710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HOLDINGS,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 Cherie C. Rice</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Title: Vice President and Treasurer</w:t>
      </w:r>
    </w:p>
    <w:p>
      <w:pPr>
        <w:spacing w:after="0" w:line="200" w:lineRule="exact"/>
        <w:rPr>
          <w:sz w:val="20"/>
          <w:szCs w:val="20"/>
          <w:color w:val="auto"/>
        </w:rPr>
      </w:pPr>
    </w:p>
    <w:p>
      <w:pPr>
        <w:spacing w:after="0" w:line="2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Clement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8987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 Jay Clement</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 Assistant Treasurer</w:t>
      </w:r>
    </w:p>
    <w:p>
      <w:pPr>
        <w:spacing w:after="0" w:line="535" w:lineRule="exact"/>
        <w:rPr>
          <w:sz w:val="20"/>
          <w:szCs w:val="20"/>
          <w:color w:val="auto"/>
        </w:rPr>
      </w:pPr>
    </w:p>
    <w:p>
      <w:pPr>
        <w:sectPr>
          <w:pgSz w:w="11900" w:h="16838" w:orient="portrait"/>
          <w:cols w:equalWidth="0" w:num="2">
            <w:col w:w="4100" w:space="720"/>
            <w:col w:w="5399"/>
          </w:cols>
          <w:pgMar w:left="240" w:top="963" w:right="1440"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type w:val="continuous"/>
        </w:sectPr>
      </w:pPr>
    </w:p>
    <w:bookmarkStart w:id="224" w:name="page225"/>
    <w:bookmarkEnd w:id="224"/>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 S5 -</w:t>
            </w:r>
          </w:p>
        </w:tc>
        <w:tc>
          <w:tcPr>
            <w:tcW w:w="0" w:type="dxa"/>
            <w:vAlign w:val="bottom"/>
          </w:tcPr>
          <w:p>
            <w:pPr>
              <w:spacing w:after="0"/>
              <w:rPr>
                <w:sz w:val="1"/>
                <w:szCs w:val="1"/>
                <w:color w:val="auto"/>
              </w:rPr>
            </w:pP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800" w:type="dxa"/>
            <w:vAlign w:val="bottom"/>
            <w:gridSpan w:val="3"/>
          </w:tcPr>
          <w:p>
            <w:pPr>
              <w:ind w:left="1460"/>
              <w:spacing w:after="0"/>
              <w:rPr>
                <w:sz w:val="20"/>
                <w:szCs w:val="20"/>
                <w:color w:val="auto"/>
              </w:rPr>
            </w:pPr>
            <w:r>
              <w:rPr>
                <w:rFonts w:ascii="Arial" w:cs="Arial" w:eastAsia="Arial" w:hAnsi="Arial"/>
                <w:sz w:val="18"/>
                <w:szCs w:val="18"/>
                <w:b w:val="1"/>
                <w:bCs w:val="1"/>
                <w:color w:val="auto"/>
              </w:rPr>
              <w:t>BNP PARIBAS (CANADA)</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BNP Paribas (Canada)</w:t>
            </w: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Royal Trust Tower</w:t>
            </w:r>
          </w:p>
        </w:tc>
        <w:tc>
          <w:tcPr>
            <w:tcW w:w="1940" w:type="dxa"/>
            <w:vAlign w:val="bottom"/>
          </w:tcPr>
          <w:p>
            <w:pPr>
              <w:ind w:left="146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Lee</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77 King Street West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Don Lee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Suite 4100</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P.O. Box 31</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T-D Centre</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Toronto, ON M5K 1N8</w:t>
            </w:r>
          </w:p>
        </w:tc>
        <w:tc>
          <w:tcPr>
            <w:tcW w:w="1940" w:type="dxa"/>
            <w:vAlign w:val="bottom"/>
          </w:tcPr>
          <w:p>
            <w:pPr>
              <w:ind w:left="146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Sclater</w:t>
            </w:r>
          </w:p>
        </w:tc>
        <w:tc>
          <w:tcPr>
            <w:tcW w:w="0" w:type="dxa"/>
            <w:vAlign w:val="bottom"/>
          </w:tcPr>
          <w:p>
            <w:pPr>
              <w:spacing w:after="0"/>
              <w:rPr>
                <w:sz w:val="1"/>
                <w:szCs w:val="1"/>
                <w:color w:val="auto"/>
              </w:rPr>
            </w:pPr>
          </w:p>
        </w:tc>
      </w:tr>
      <w:tr>
        <w:trPr>
          <w:trHeight w:val="209"/>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Vice-President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Andrew Sclater</w:t>
            </w:r>
          </w:p>
        </w:tc>
        <w:tc>
          <w:tcPr>
            <w:tcW w:w="0" w:type="dxa"/>
            <w:vAlign w:val="bottom"/>
          </w:tcPr>
          <w:p>
            <w:pPr>
              <w:spacing w:after="0"/>
              <w:rPr>
                <w:sz w:val="1"/>
                <w:szCs w:val="1"/>
                <w:color w:val="auto"/>
              </w:rPr>
            </w:pPr>
          </w:p>
        </w:tc>
      </w:tr>
      <w:tr>
        <w:trPr>
          <w:trHeight w:val="230"/>
        </w:trPr>
        <w:tc>
          <w:tcPr>
            <w:tcW w:w="336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Facsimile: (416) 947-3538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1981, McGill College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Montreal, QC H3A 2W8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Paula Fortin/AnnaCiolfi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Facsimile: (514) 285-2944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 S6 -</w:t>
            </w:r>
          </w:p>
        </w:tc>
        <w:tc>
          <w:tcPr>
            <w:tcW w:w="0" w:type="dxa"/>
            <w:vAlign w:val="bottom"/>
          </w:tcPr>
          <w:p>
            <w:pPr>
              <w:spacing w:after="0"/>
              <w:rPr>
                <w:sz w:val="1"/>
                <w:szCs w:val="1"/>
                <w:color w:val="auto"/>
              </w:rPr>
            </w:pP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280" w:type="dxa"/>
            <w:vAlign w:val="bottom"/>
            <w:gridSpan w:val="3"/>
          </w:tcPr>
          <w:p>
            <w:pPr>
              <w:ind w:left="940"/>
              <w:spacing w:after="0"/>
              <w:rPr>
                <w:sz w:val="20"/>
                <w:szCs w:val="20"/>
                <w:color w:val="auto"/>
              </w:rPr>
            </w:pPr>
            <w:r>
              <w:rPr>
                <w:rFonts w:ascii="Arial" w:cs="Arial" w:eastAsia="Arial" w:hAnsi="Arial"/>
                <w:sz w:val="18"/>
                <w:szCs w:val="18"/>
                <w:b w:val="1"/>
                <w:bCs w:val="1"/>
                <w:color w:val="auto"/>
              </w:rPr>
              <w:t>THE BANK OF NOVA SCOTIA</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Lender</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West Metro Commercial Banking Centre</w:t>
            </w:r>
          </w:p>
        </w:tc>
        <w:tc>
          <w:tcPr>
            <w:tcW w:w="1420" w:type="dxa"/>
            <w:vAlign w:val="bottom"/>
          </w:tcPr>
          <w:p>
            <w:pPr>
              <w:ind w:left="9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 J. Armstrong</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2 Robert Speck Parkway</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 J. Armstrong</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Mississauga, ON L4Z 1H8</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Vice-President</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Attention: Unit Head</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80" w:type="dxa"/>
            <w:vAlign w:val="bottom"/>
            <w:vMerge w:val="restart"/>
          </w:tcPr>
          <w:p>
            <w:pPr>
              <w:spacing w:after="0"/>
              <w:rPr>
                <w:sz w:val="20"/>
                <w:szCs w:val="20"/>
                <w:color w:val="auto"/>
              </w:rPr>
            </w:pPr>
            <w:r>
              <w:rPr>
                <w:rFonts w:ascii="Arial" w:cs="Arial" w:eastAsia="Arial" w:hAnsi="Arial"/>
                <w:sz w:val="18"/>
                <w:szCs w:val="18"/>
                <w:color w:val="auto"/>
              </w:rPr>
              <w:t>Facsimile: (905)276-4920</w:t>
            </w:r>
          </w:p>
        </w:tc>
        <w:tc>
          <w:tcPr>
            <w:tcW w:w="1420" w:type="dxa"/>
            <w:vAlign w:val="bottom"/>
          </w:tcPr>
          <w:p>
            <w:pPr>
              <w:ind w:left="9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 G. Zaki</w:t>
            </w:r>
          </w:p>
        </w:tc>
        <w:tc>
          <w:tcPr>
            <w:tcW w:w="0" w:type="dxa"/>
            <w:vAlign w:val="bottom"/>
          </w:tcPr>
          <w:p>
            <w:pPr>
              <w:spacing w:after="0"/>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 G. Zaki</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Relationship Manager</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080" w:type="dxa"/>
            <w:vAlign w:val="bottom"/>
          </w:tcPr>
          <w:p>
            <w:pPr>
              <w:ind w:left="1340"/>
              <w:spacing w:after="0"/>
              <w:rPr>
                <w:sz w:val="20"/>
                <w:szCs w:val="20"/>
                <w:color w:val="auto"/>
              </w:rPr>
            </w:pPr>
            <w:r>
              <w:rPr>
                <w:rFonts w:ascii="Arial" w:cs="Arial" w:eastAsia="Arial" w:hAnsi="Arial"/>
                <w:sz w:val="18"/>
                <w:szCs w:val="18"/>
                <w:color w:val="auto"/>
              </w:rPr>
              <w:t>- S7 -</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8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7240" w:type="dxa"/>
            <w:vAlign w:val="bottom"/>
            <w:gridSpan w:val="2"/>
          </w:tcPr>
          <w:p>
            <w:pPr>
              <w:ind w:left="1200"/>
              <w:spacing w:after="0"/>
              <w:rPr>
                <w:sz w:val="20"/>
                <w:szCs w:val="20"/>
                <w:color w:val="auto"/>
              </w:rPr>
            </w:pPr>
            <w:r>
              <w:rPr>
                <w:rFonts w:ascii="Arial" w:cs="Arial" w:eastAsia="Arial" w:hAnsi="Arial"/>
                <w:sz w:val="18"/>
                <w:szCs w:val="18"/>
                <w:b w:val="1"/>
                <w:bCs w:val="1"/>
                <w:color w:val="auto"/>
              </w:rPr>
              <w:t>BANK OF AMERICA, NATIONAL</w:t>
            </w:r>
          </w:p>
        </w:tc>
        <w:tc>
          <w:tcPr>
            <w:tcW w:w="0" w:type="dxa"/>
            <w:vAlign w:val="bottom"/>
          </w:tcPr>
          <w:p>
            <w:pPr>
              <w:spacing w:after="0"/>
              <w:rPr>
                <w:sz w:val="1"/>
                <w:szCs w:val="1"/>
                <w:color w:val="auto"/>
              </w:rPr>
            </w:pPr>
          </w:p>
        </w:tc>
      </w:tr>
      <w:tr>
        <w:trPr>
          <w:trHeight w:val="234"/>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Bank of America, National Association</w:t>
            </w:r>
          </w:p>
        </w:tc>
        <w:tc>
          <w:tcPr>
            <w:tcW w:w="7240" w:type="dxa"/>
            <w:vAlign w:val="bottom"/>
            <w:gridSpan w:val="2"/>
          </w:tcPr>
          <w:p>
            <w:pPr>
              <w:ind w:left="1200"/>
              <w:spacing w:after="0"/>
              <w:rPr>
                <w:sz w:val="20"/>
                <w:szCs w:val="20"/>
                <w:color w:val="auto"/>
              </w:rPr>
            </w:pPr>
            <w:r>
              <w:rPr>
                <w:rFonts w:ascii="Arial" w:cs="Arial" w:eastAsia="Arial" w:hAnsi="Arial"/>
                <w:sz w:val="18"/>
                <w:szCs w:val="18"/>
                <w:b w:val="1"/>
                <w:bCs w:val="1"/>
                <w:color w:val="auto"/>
              </w:rPr>
              <w:t>ASSOCIATION (CANADA BRANCH)</w:t>
            </w:r>
          </w:p>
        </w:tc>
        <w:tc>
          <w:tcPr>
            <w:tcW w:w="0" w:type="dxa"/>
            <w:vAlign w:val="bottom"/>
          </w:tcPr>
          <w:p>
            <w:pPr>
              <w:spacing w:after="0"/>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(Canada Branch)</w:t>
            </w:r>
          </w:p>
        </w:tc>
        <w:tc>
          <w:tcPr>
            <w:tcW w:w="20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 Front Street West</w:t>
            </w:r>
          </w:p>
        </w:tc>
        <w:tc>
          <w:tcPr>
            <w:tcW w:w="20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Suite 2700</w:t>
            </w:r>
          </w:p>
        </w:tc>
        <w:tc>
          <w:tcPr>
            <w:tcW w:w="2080" w:type="dxa"/>
            <w:vAlign w:val="bottom"/>
          </w:tcPr>
          <w:p>
            <w:pPr>
              <w:ind w:left="12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Medina Sales De Andrade</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Toronto, Ontario M5V 3L2</w:t>
            </w:r>
          </w:p>
        </w:tc>
        <w:tc>
          <w:tcPr>
            <w:tcW w:w="2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Medina Sales De Andrade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Medina Sales De Andrade</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Facsimile: (416) 349-4282/4283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Maria F. Maia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Facsimile: (617) 434-2160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 S8 -</w:t>
            </w:r>
          </w:p>
        </w:tc>
        <w:tc>
          <w:tcPr>
            <w:tcW w:w="0" w:type="dxa"/>
            <w:vAlign w:val="bottom"/>
          </w:tcPr>
          <w:p>
            <w:pPr>
              <w:spacing w:after="0"/>
              <w:rPr>
                <w:sz w:val="1"/>
                <w:szCs w:val="1"/>
                <w:color w:val="auto"/>
              </w:rPr>
            </w:pP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400" w:type="dxa"/>
            <w:vAlign w:val="bottom"/>
            <w:gridSpan w:val="3"/>
          </w:tcPr>
          <w:p>
            <w:pPr>
              <w:ind w:left="1060"/>
              <w:spacing w:after="0"/>
              <w:rPr>
                <w:sz w:val="20"/>
                <w:szCs w:val="20"/>
                <w:color w:val="auto"/>
              </w:rPr>
            </w:pPr>
            <w:r>
              <w:rPr>
                <w:rFonts w:ascii="Arial" w:cs="Arial" w:eastAsia="Arial" w:hAnsi="Arial"/>
                <w:sz w:val="18"/>
                <w:szCs w:val="18"/>
                <w:b w:val="1"/>
                <w:bCs w:val="1"/>
                <w:color w:val="auto"/>
              </w:rPr>
              <w:t>MIZUHO CORPORATE BANK (CANADA)</w:t>
            </w: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Mizuho Corporate Bank (Canada)</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100 Yonge Street, Suite 1102, Box 29</w:t>
            </w:r>
          </w:p>
        </w:tc>
        <w:tc>
          <w:tcPr>
            <w:tcW w:w="1540" w:type="dxa"/>
            <w:vAlign w:val="bottom"/>
          </w:tcPr>
          <w:p>
            <w:pPr>
              <w:ind w:left="106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Bill McFarland</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Toronto, ON M5C 2W1</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Bill McFarland</w:t>
            </w:r>
          </w:p>
        </w:tc>
        <w:tc>
          <w:tcPr>
            <w:tcW w:w="0" w:type="dxa"/>
            <w:vAlign w:val="bottom"/>
          </w:tcPr>
          <w:p>
            <w:pPr>
              <w:spacing w:after="0"/>
              <w:rPr>
                <w:sz w:val="1"/>
                <w:szCs w:val="1"/>
                <w:color w:val="auto"/>
              </w:rPr>
            </w:pPr>
          </w:p>
        </w:tc>
      </w:tr>
      <w:tr>
        <w:trPr>
          <w:trHeight w:val="23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Bill McFarland</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Facsimile: (416) 367-3452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 S9 -</w:t>
            </w:r>
          </w:p>
        </w:tc>
        <w:tc>
          <w:tcPr>
            <w:tcW w:w="0" w:type="dxa"/>
            <w:vAlign w:val="bottom"/>
          </w:tcPr>
          <w:p>
            <w:pPr>
              <w:spacing w:after="0"/>
              <w:rPr>
                <w:sz w:val="1"/>
                <w:szCs w:val="1"/>
                <w:color w:val="auto"/>
              </w:rPr>
            </w:pP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180" w:type="dxa"/>
            <w:vAlign w:val="bottom"/>
            <w:gridSpan w:val="3"/>
          </w:tcPr>
          <w:p>
            <w:pPr>
              <w:ind w:left="840"/>
              <w:spacing w:after="0"/>
              <w:rPr>
                <w:sz w:val="20"/>
                <w:szCs w:val="20"/>
                <w:color w:val="auto"/>
              </w:rPr>
            </w:pPr>
            <w:r>
              <w:rPr>
                <w:rFonts w:ascii="Arial" w:cs="Arial" w:eastAsia="Arial" w:hAnsi="Arial"/>
                <w:sz w:val="18"/>
                <w:szCs w:val="18"/>
                <w:b w:val="1"/>
                <w:bCs w:val="1"/>
                <w:color w:val="auto"/>
              </w:rPr>
              <w:t>ABN AMRO BANK N.V.</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ABN AMRO Bank N.V., Canada Branch</w:t>
            </w:r>
          </w:p>
        </w:tc>
        <w:tc>
          <w:tcPr>
            <w:tcW w:w="6180" w:type="dxa"/>
            <w:vAlign w:val="bottom"/>
            <w:gridSpan w:val="3"/>
          </w:tcPr>
          <w:p>
            <w:pPr>
              <w:ind w:left="840"/>
              <w:spacing w:after="0"/>
              <w:rPr>
                <w:sz w:val="20"/>
                <w:szCs w:val="20"/>
                <w:color w:val="auto"/>
              </w:rPr>
            </w:pPr>
            <w:r>
              <w:rPr>
                <w:rFonts w:ascii="Arial" w:cs="Arial" w:eastAsia="Arial" w:hAnsi="Arial"/>
                <w:sz w:val="18"/>
                <w:szCs w:val="18"/>
                <w:b w:val="1"/>
                <w:bCs w:val="1"/>
                <w:color w:val="auto"/>
              </w:rPr>
              <w:t>(CANADA BRANCH)</w:t>
            </w: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79 Wellington Street West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Suite 1500</w:t>
            </w:r>
          </w:p>
        </w:tc>
        <w:tc>
          <w:tcPr>
            <w:tcW w:w="1320" w:type="dxa"/>
            <w:vAlign w:val="bottom"/>
          </w:tcPr>
          <w:p>
            <w:pPr>
              <w:ind w:left="8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Maloney</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Toronto-Dominion Centre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Lawrence J. Maloney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Toronto, ON M5K 1G8</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Vice President</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vMerge w:val="restart"/>
          </w:tcPr>
          <w:p>
            <w:pPr>
              <w:spacing w:after="0"/>
              <w:rPr>
                <w:sz w:val="20"/>
                <w:szCs w:val="20"/>
                <w:color w:val="auto"/>
              </w:rPr>
            </w:pPr>
            <w:r>
              <w:rPr>
                <w:rFonts w:ascii="Arial" w:cs="Arial" w:eastAsia="Arial" w:hAnsi="Arial"/>
                <w:sz w:val="18"/>
                <w:szCs w:val="18"/>
                <w:color w:val="auto"/>
              </w:rPr>
              <w:t>Facsimile: (416) 367-7937</w:t>
            </w:r>
          </w:p>
        </w:tc>
        <w:tc>
          <w:tcPr>
            <w:tcW w:w="1320" w:type="dxa"/>
            <w:vAlign w:val="bottom"/>
          </w:tcPr>
          <w:p>
            <w:pPr>
              <w:ind w:left="8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 Bayu Budiatimanto</w:t>
            </w:r>
          </w:p>
        </w:tc>
        <w:tc>
          <w:tcPr>
            <w:tcW w:w="0" w:type="dxa"/>
            <w:vAlign w:val="bottom"/>
          </w:tcPr>
          <w:p>
            <w:pPr>
              <w:spacing w:after="0"/>
              <w:rPr>
                <w:sz w:val="1"/>
                <w:szCs w:val="1"/>
                <w:color w:val="auto"/>
              </w:rPr>
            </w:pPr>
          </w:p>
        </w:tc>
      </w:tr>
      <w:tr>
        <w:trPr>
          <w:trHeight w:val="209"/>
        </w:trPr>
        <w:tc>
          <w:tcPr>
            <w:tcW w:w="3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 Bayu Budiatimanto</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Assistant Vice-President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6140" w:type="dxa"/>
            <w:vAlign w:val="bottom"/>
            <w:gridSpan w:val="2"/>
          </w:tcPr>
          <w:p>
            <w:pPr>
              <w:ind w:left="1440"/>
              <w:spacing w:after="0"/>
              <w:rPr>
                <w:sz w:val="20"/>
                <w:szCs w:val="20"/>
                <w:color w:val="auto"/>
              </w:rPr>
            </w:pPr>
            <w:r>
              <w:rPr>
                <w:rFonts w:ascii="Arial" w:cs="Arial" w:eastAsia="Arial" w:hAnsi="Arial"/>
                <w:sz w:val="18"/>
                <w:szCs w:val="18"/>
                <w:color w:val="auto"/>
              </w:rPr>
              <w:t>- S10 -</w:t>
            </w:r>
          </w:p>
        </w:tc>
        <w:tc>
          <w:tcPr>
            <w:tcW w:w="0" w:type="dxa"/>
            <w:vAlign w:val="bottom"/>
          </w:tcPr>
          <w:p>
            <w:pPr>
              <w:spacing w:after="0"/>
              <w:rPr>
                <w:sz w:val="1"/>
                <w:szCs w:val="1"/>
                <w:color w:val="auto"/>
              </w:rPr>
            </w:pPr>
          </w:p>
        </w:tc>
      </w:tr>
      <w:tr>
        <w:trPr>
          <w:trHeight w:val="324"/>
        </w:trPr>
        <w:tc>
          <w:tcPr>
            <w:tcW w:w="1016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0" w:type="dxa"/>
            <w:vAlign w:val="bottom"/>
          </w:tcPr>
          <w:p>
            <w:pPr>
              <w:spacing w:after="0"/>
              <w:rPr>
                <w:sz w:val="1"/>
                <w:szCs w:val="1"/>
                <w:color w:val="auto"/>
              </w:rPr>
            </w:pPr>
          </w:p>
        </w:tc>
      </w:tr>
      <w:tr>
        <w:trPr>
          <w:trHeight w:val="414"/>
        </w:trPr>
        <w:tc>
          <w:tcPr>
            <w:tcW w:w="402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140" w:type="dxa"/>
            <w:vAlign w:val="bottom"/>
            <w:gridSpan w:val="2"/>
          </w:tcPr>
          <w:p>
            <w:pPr>
              <w:ind w:left="800"/>
              <w:spacing w:after="0"/>
              <w:rPr>
                <w:sz w:val="20"/>
                <w:szCs w:val="20"/>
                <w:color w:val="auto"/>
              </w:rPr>
            </w:pPr>
            <w:r>
              <w:rPr>
                <w:rFonts w:ascii="Arial" w:cs="Arial" w:eastAsia="Arial" w:hAnsi="Arial"/>
                <w:sz w:val="18"/>
                <w:szCs w:val="18"/>
                <w:b w:val="1"/>
                <w:bCs w:val="1"/>
                <w:color w:val="auto"/>
              </w:rPr>
              <w:t>SUMITOMO MITSUI BANKING</w:t>
            </w:r>
          </w:p>
        </w:tc>
        <w:tc>
          <w:tcPr>
            <w:tcW w:w="0" w:type="dxa"/>
            <w:vAlign w:val="bottom"/>
          </w:tcPr>
          <w:p>
            <w:pPr>
              <w:spacing w:after="0"/>
              <w:rPr>
                <w:sz w:val="1"/>
                <w:szCs w:val="1"/>
                <w:color w:val="auto"/>
              </w:rPr>
            </w:pPr>
          </w:p>
        </w:tc>
      </w:t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Sumitomo Mitsui Banking Corporation of</w:t>
            </w:r>
          </w:p>
        </w:tc>
        <w:tc>
          <w:tcPr>
            <w:tcW w:w="6140" w:type="dxa"/>
            <w:vAlign w:val="bottom"/>
            <w:gridSpan w:val="2"/>
          </w:tcPr>
          <w:p>
            <w:pPr>
              <w:ind w:left="800"/>
              <w:spacing w:after="0"/>
              <w:rPr>
                <w:sz w:val="20"/>
                <w:szCs w:val="20"/>
                <w:color w:val="auto"/>
              </w:rPr>
            </w:pPr>
            <w:r>
              <w:rPr>
                <w:rFonts w:ascii="Arial" w:cs="Arial" w:eastAsia="Arial" w:hAnsi="Arial"/>
                <w:sz w:val="18"/>
                <w:szCs w:val="18"/>
                <w:b w:val="1"/>
                <w:bCs w:val="1"/>
                <w:color w:val="auto"/>
              </w:rPr>
              <w:t>CORPORATION OF CANADA</w:t>
            </w: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Arial" w:cs="Arial" w:eastAsia="Arial" w:hAnsi="Arial"/>
                <w:sz w:val="18"/>
                <w:szCs w:val="18"/>
                <w:b w:val="1"/>
                <w:bCs w:val="1"/>
                <w:color w:val="auto"/>
              </w:rPr>
              <w:t>Canada</w:t>
            </w:r>
          </w:p>
        </w:tc>
        <w:tc>
          <w:tcPr>
            <w:tcW w:w="1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Ernst &amp; Young Tower</w:t>
            </w:r>
          </w:p>
        </w:tc>
        <w:tc>
          <w:tcPr>
            <w:tcW w:w="6140" w:type="dxa"/>
            <w:vAlign w:val="bottom"/>
            <w:gridSpan w:val="2"/>
          </w:tcPr>
          <w:p>
            <w:pPr>
              <w:ind w:left="1100"/>
              <w:spacing w:after="0"/>
              <w:rPr>
                <w:sz w:val="20"/>
                <w:szCs w:val="20"/>
                <w:color w:val="auto"/>
              </w:rPr>
            </w:pPr>
            <w:r>
              <w:rPr>
                <w:rFonts w:ascii="Arial" w:cs="Arial" w:eastAsia="Arial" w:hAnsi="Arial"/>
                <w:sz w:val="18"/>
                <w:szCs w:val="18"/>
                <w:color w:val="auto"/>
                <w:w w:val="92"/>
              </w:rPr>
              <w:t>By:/s/ E. R. Langley</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Toronto-Dominion Centre</w:t>
            </w:r>
          </w:p>
        </w:tc>
        <w:tc>
          <w:tcPr>
            <w:tcW w:w="170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R. Langley</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Suite 1400, P.O. Box 172</w:t>
            </w:r>
          </w:p>
        </w:tc>
        <w:tc>
          <w:tcPr>
            <w:tcW w:w="17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222 Bay Street</w:t>
            </w:r>
          </w:p>
        </w:tc>
        <w:tc>
          <w:tcPr>
            <w:tcW w:w="17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Toronto, ON M5K 1H6</w:t>
            </w:r>
          </w:p>
        </w:tc>
        <w:tc>
          <w:tcPr>
            <w:tcW w:w="17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Mr. Elwood Langley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Facsimile: (416) 367-3565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340" w:type="dxa"/>
            <w:vAlign w:val="bottom"/>
          </w:tcPr>
          <w:p>
            <w:pPr>
              <w:ind w:left="1560"/>
              <w:spacing w:after="0"/>
              <w:rPr>
                <w:sz w:val="20"/>
                <w:szCs w:val="20"/>
                <w:color w:val="auto"/>
              </w:rPr>
            </w:pPr>
            <w:r>
              <w:rPr>
                <w:rFonts w:ascii="Arial" w:cs="Arial" w:eastAsia="Arial" w:hAnsi="Arial"/>
                <w:sz w:val="18"/>
                <w:szCs w:val="18"/>
                <w:color w:val="auto"/>
              </w:rPr>
              <w:t>- S11 -</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2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7500" w:type="dxa"/>
            <w:vAlign w:val="bottom"/>
            <w:gridSpan w:val="2"/>
          </w:tcPr>
          <w:p>
            <w:pPr>
              <w:ind w:left="1460"/>
              <w:spacing w:after="0"/>
              <w:rPr>
                <w:sz w:val="20"/>
                <w:szCs w:val="20"/>
                <w:color w:val="auto"/>
              </w:rPr>
            </w:pPr>
            <w:r>
              <w:rPr>
                <w:rFonts w:ascii="Arial" w:cs="Arial" w:eastAsia="Arial" w:hAnsi="Arial"/>
                <w:sz w:val="18"/>
                <w:szCs w:val="18"/>
                <w:b w:val="1"/>
                <w:bCs w:val="1"/>
                <w:color w:val="auto"/>
              </w:rPr>
              <w:t>U.S. BANK NATIONAL ASSOCIATION,</w:t>
            </w:r>
          </w:p>
        </w:tc>
        <w:tc>
          <w:tcPr>
            <w:tcW w:w="0" w:type="dxa"/>
            <w:vAlign w:val="bottom"/>
          </w:tcPr>
          <w:p>
            <w:pPr>
              <w:spacing w:after="0"/>
              <w:rPr>
                <w:sz w:val="1"/>
                <w:szCs w:val="1"/>
                <w:color w:val="auto"/>
              </w:rPr>
            </w:pPr>
          </w:p>
        </w:tc>
      </w:tr>
      <w:tr>
        <w:trPr>
          <w:trHeight w:val="23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U.S. Bank National Association,</w:t>
            </w:r>
          </w:p>
        </w:tc>
        <w:tc>
          <w:tcPr>
            <w:tcW w:w="7500" w:type="dxa"/>
            <w:vAlign w:val="bottom"/>
            <w:gridSpan w:val="2"/>
          </w:tcPr>
          <w:p>
            <w:pPr>
              <w:ind w:left="1460"/>
              <w:spacing w:after="0"/>
              <w:rPr>
                <w:sz w:val="20"/>
                <w:szCs w:val="20"/>
                <w:color w:val="auto"/>
              </w:rPr>
            </w:pPr>
            <w:r>
              <w:rPr>
                <w:rFonts w:ascii="Arial" w:cs="Arial" w:eastAsia="Arial" w:hAnsi="Arial"/>
                <w:sz w:val="18"/>
                <w:szCs w:val="18"/>
                <w:b w:val="1"/>
                <w:bCs w:val="1"/>
                <w:color w:val="auto"/>
              </w:rPr>
              <w:t>CANADA BRANCH</w:t>
            </w:r>
          </w:p>
        </w:tc>
        <w:tc>
          <w:tcPr>
            <w:tcW w:w="0" w:type="dxa"/>
            <w:vAlign w:val="bottom"/>
          </w:tcPr>
          <w:p>
            <w:pPr>
              <w:spacing w:after="0"/>
              <w:rPr>
                <w:sz w:val="1"/>
                <w:szCs w:val="1"/>
                <w:color w:val="auto"/>
              </w:rPr>
            </w:pPr>
          </w:p>
        </w:tc>
      </w:tr>
      <w:tr>
        <w:trPr>
          <w:trHeight w:val="198"/>
        </w:trPr>
        <w:tc>
          <w:tcPr>
            <w:tcW w:w="39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20" w:type="dxa"/>
            <w:vAlign w:val="bottom"/>
          </w:tcPr>
          <w:p>
            <w:pPr>
              <w:spacing w:after="0"/>
              <w:rPr>
                <w:sz w:val="20"/>
                <w:szCs w:val="20"/>
                <w:color w:val="auto"/>
              </w:rPr>
            </w:pPr>
            <w:r>
              <w:rPr>
                <w:rFonts w:ascii="Arial" w:cs="Arial" w:eastAsia="Arial" w:hAnsi="Arial"/>
                <w:sz w:val="18"/>
                <w:szCs w:val="18"/>
                <w:b w:val="1"/>
                <w:bCs w:val="1"/>
                <w:color w:val="auto"/>
              </w:rPr>
              <w:t>Canada Branch</w:t>
            </w:r>
          </w:p>
        </w:tc>
        <w:tc>
          <w:tcPr>
            <w:tcW w:w="23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2300-120 Adelaide Street West</w:t>
            </w:r>
          </w:p>
        </w:tc>
        <w:tc>
          <w:tcPr>
            <w:tcW w:w="2340" w:type="dxa"/>
            <w:vAlign w:val="bottom"/>
          </w:tcPr>
          <w:p>
            <w:pPr>
              <w:ind w:left="14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Jephcott</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Toronto, ON M5H 1T1</w:t>
            </w:r>
          </w:p>
        </w:tc>
        <w:tc>
          <w:tcPr>
            <w:tcW w:w="2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Kevin Jephcott</w:t>
            </w:r>
          </w:p>
        </w:tc>
        <w:tc>
          <w:tcPr>
            <w:tcW w:w="0" w:type="dxa"/>
            <w:vAlign w:val="bottom"/>
          </w:tcPr>
          <w:p>
            <w:pPr>
              <w:spacing w:after="0"/>
              <w:rPr>
                <w:sz w:val="1"/>
                <w:szCs w:val="1"/>
                <w:color w:val="auto"/>
              </w:rPr>
            </w:pPr>
          </w:p>
        </w:tc>
      </w:tr>
      <w:tr>
        <w:trPr>
          <w:trHeight w:val="23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Kevin Jephcott</w:t>
            </w:r>
          </w:p>
        </w:tc>
        <w:tc>
          <w:tcPr>
            <w:tcW w:w="2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Officer</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Facsimile: (416) 306-3565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300" w:type="dxa"/>
            <w:vAlign w:val="bottom"/>
          </w:tcPr>
          <w:p>
            <w:pPr>
              <w:ind w:left="1500"/>
              <w:spacing w:after="0"/>
              <w:rPr>
                <w:sz w:val="20"/>
                <w:szCs w:val="20"/>
                <w:color w:val="auto"/>
              </w:rPr>
            </w:pPr>
            <w:r>
              <w:rPr>
                <w:rFonts w:ascii="Arial" w:cs="Arial" w:eastAsia="Arial" w:hAnsi="Arial"/>
                <w:sz w:val="18"/>
                <w:szCs w:val="18"/>
                <w:color w:val="auto"/>
              </w:rPr>
              <w:t>- S12 -</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6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7460" w:type="dxa"/>
            <w:vAlign w:val="bottom"/>
            <w:gridSpan w:val="2"/>
          </w:tcPr>
          <w:p>
            <w:pPr>
              <w:ind w:left="1420"/>
              <w:spacing w:after="0"/>
              <w:rPr>
                <w:sz w:val="20"/>
                <w:szCs w:val="20"/>
                <w:color w:val="auto"/>
              </w:rPr>
            </w:pPr>
            <w:r>
              <w:rPr>
                <w:rFonts w:ascii="Arial" w:cs="Arial" w:eastAsia="Arial" w:hAnsi="Arial"/>
                <w:sz w:val="18"/>
                <w:szCs w:val="18"/>
                <w:b w:val="1"/>
                <w:bCs w:val="1"/>
                <w:color w:val="auto"/>
              </w:rPr>
              <w:t>JPMORGAN CHASE BANK, NATIONAL</w:t>
            </w:r>
          </w:p>
        </w:tc>
        <w:tc>
          <w:tcPr>
            <w:tcW w:w="0" w:type="dxa"/>
            <w:vAlign w:val="bottom"/>
          </w:tcPr>
          <w:p>
            <w:pPr>
              <w:spacing w:after="0"/>
              <w:rPr>
                <w:sz w:val="1"/>
                <w:szCs w:val="1"/>
                <w:color w:val="auto"/>
              </w:rPr>
            </w:pPr>
          </w:p>
        </w:tc>
      </w:tr>
      <w:tr>
        <w:trPr>
          <w:trHeight w:val="234"/>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JPMorgan Chase Bank, National</w:t>
            </w:r>
          </w:p>
        </w:tc>
        <w:tc>
          <w:tcPr>
            <w:tcW w:w="7460" w:type="dxa"/>
            <w:vAlign w:val="bottom"/>
            <w:gridSpan w:val="2"/>
          </w:tcPr>
          <w:p>
            <w:pPr>
              <w:ind w:left="1420"/>
              <w:spacing w:after="0"/>
              <w:rPr>
                <w:sz w:val="20"/>
                <w:szCs w:val="20"/>
                <w:color w:val="auto"/>
              </w:rPr>
            </w:pPr>
            <w:r>
              <w:rPr>
                <w:rFonts w:ascii="Arial" w:cs="Arial" w:eastAsia="Arial" w:hAnsi="Arial"/>
                <w:sz w:val="18"/>
                <w:szCs w:val="18"/>
                <w:b w:val="1"/>
                <w:bCs w:val="1"/>
                <w:color w:val="auto"/>
              </w:rPr>
              <w:t>ASSOCIATION, TORONTO BRANCH</w:t>
            </w:r>
          </w:p>
        </w:tc>
        <w:tc>
          <w:tcPr>
            <w:tcW w:w="0" w:type="dxa"/>
            <w:vAlign w:val="bottom"/>
          </w:tcPr>
          <w:p>
            <w:pPr>
              <w:spacing w:after="0"/>
              <w:rPr>
                <w:sz w:val="1"/>
                <w:szCs w:val="1"/>
                <w:color w:val="auto"/>
              </w:rPr>
            </w:pPr>
          </w:p>
        </w:tc>
      </w:tr>
      <w:tr>
        <w:trPr>
          <w:trHeight w:val="198"/>
        </w:trPr>
        <w:tc>
          <w:tcPr>
            <w:tcW w:w="396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Association, Toronto Branch</w:t>
            </w:r>
          </w:p>
        </w:tc>
        <w:tc>
          <w:tcPr>
            <w:tcW w:w="23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200 Bay Street</w:t>
            </w:r>
          </w:p>
        </w:tc>
        <w:tc>
          <w:tcPr>
            <w:tcW w:w="2300" w:type="dxa"/>
            <w:vAlign w:val="bottom"/>
          </w:tcPr>
          <w:p>
            <w:pPr>
              <w:ind w:left="14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Chan</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Royal Bank Plaza, South Tower</w:t>
            </w:r>
          </w:p>
        </w:tc>
        <w:tc>
          <w:tcPr>
            <w:tcW w:w="2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Christine Chan</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Suite 1800</w:t>
            </w:r>
          </w:p>
        </w:tc>
        <w:tc>
          <w:tcPr>
            <w:tcW w:w="23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Toronto, ON M5J 2J2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Ms. Christine Chan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Facsimile: (416) 981-9138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New York, NY</w:t>
      </w:r>
      <w:r>
        <w:rPr>
          <w:sz w:val="20"/>
          <w:szCs w:val="20"/>
          <w:color w:val="auto"/>
        </w:rPr>
        <w:tab/>
      </w:r>
      <w:r>
        <w:rPr>
          <w:rFonts w:ascii="Arial" w:cs="Arial" w:eastAsia="Arial" w:hAnsi="Arial"/>
          <w:sz w:val="16"/>
          <w:szCs w:val="16"/>
          <w:color w:val="auto"/>
        </w:rPr>
        <w:t>10017-2014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Mr. Robert Sacks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Facsimile: (212) 270-6637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 S13 -</w:t>
            </w:r>
          </w:p>
        </w:tc>
      </w:tr>
      <w:tr>
        <w:trPr>
          <w:trHeight w:val="324"/>
        </w:trPr>
        <w:tc>
          <w:tcPr>
            <w:tcW w:w="1016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w:t>
            </w: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Address For Notice</w:t>
            </w:r>
          </w:p>
        </w:tc>
        <w:tc>
          <w:tcPr>
            <w:tcW w:w="6600" w:type="dxa"/>
            <w:vAlign w:val="bottom"/>
            <w:gridSpan w:val="3"/>
          </w:tcPr>
          <w:p>
            <w:pPr>
              <w:ind w:left="1260"/>
              <w:spacing w:after="0"/>
              <w:rPr>
                <w:sz w:val="20"/>
                <w:szCs w:val="20"/>
                <w:color w:val="auto"/>
              </w:rPr>
            </w:pPr>
            <w:r>
              <w:rPr>
                <w:rFonts w:ascii="Arial" w:cs="Arial" w:eastAsia="Arial" w:hAnsi="Arial"/>
                <w:sz w:val="18"/>
                <w:szCs w:val="18"/>
                <w:b w:val="1"/>
                <w:bCs w:val="1"/>
                <w:color w:val="auto"/>
              </w:rPr>
              <w:t>COMERICA BANK</w:t>
            </w:r>
          </w:p>
        </w:tc>
      </w:tr>
      <w:tr>
        <w:trPr>
          <w:trHeight w:val="418"/>
        </w:trPr>
        <w:tc>
          <w:tcPr>
            <w:tcW w:w="3560" w:type="dxa"/>
            <w:vAlign w:val="bottom"/>
          </w:tcPr>
          <w:p>
            <w:pPr>
              <w:spacing w:after="0"/>
              <w:rPr>
                <w:sz w:val="20"/>
                <w:szCs w:val="20"/>
                <w:color w:val="auto"/>
              </w:rPr>
            </w:pPr>
            <w:r>
              <w:rPr>
                <w:rFonts w:ascii="Arial" w:cs="Arial" w:eastAsia="Arial" w:hAnsi="Arial"/>
                <w:sz w:val="18"/>
                <w:szCs w:val="18"/>
                <w:b w:val="1"/>
                <w:bCs w:val="1"/>
                <w:color w:val="auto"/>
              </w:rPr>
              <w:t>Comerica Bank</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Suite 2210</w:t>
            </w:r>
          </w:p>
        </w:tc>
        <w:tc>
          <w:tcPr>
            <w:tcW w:w="1720" w:type="dxa"/>
            <w:vAlign w:val="bottom"/>
          </w:tcPr>
          <w:p>
            <w:pPr>
              <w:ind w:left="12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Rosen</w:t>
            </w: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South Tower, Royal Bank Plaza</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Robert Rosen</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200 Bay Street</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Vice-President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Toronto, ON M5J 2J2</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Attention: </w:t>
      </w:r>
      <w:r>
        <w:rPr>
          <w:rFonts w:ascii="Arial" w:cs="Arial" w:eastAsia="Arial" w:hAnsi="Arial"/>
          <w:sz w:val="18"/>
          <w:szCs w:val="18"/>
          <w:color w:val="auto"/>
        </w:rPr>
        <w:t>Mr. Robert Rosen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Facsimile: (416) 367-2460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 et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NOTICE OF ADVANCE OR PAYMENT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ind w:left="980"/>
              <w:spacing w:after="0"/>
              <w:rPr>
                <w:sz w:val="20"/>
                <w:szCs w:val="20"/>
                <w:color w:val="auto"/>
              </w:rPr>
            </w:pPr>
            <w:r>
              <w:rPr>
                <w:rFonts w:ascii="Arial" w:cs="Arial" w:eastAsia="Arial" w:hAnsi="Arial"/>
                <w:sz w:val="18"/>
                <w:szCs w:val="18"/>
                <w:i w:val="1"/>
                <w:iCs w:val="1"/>
                <w:color w:val="auto"/>
              </w:rPr>
              <w:t>[see reference in Section 5.3]</w:t>
            </w:r>
          </w:p>
        </w:tc>
        <w:tc>
          <w:tcPr>
            <w:tcW w:w="362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TO:</w:t>
            </w:r>
          </w:p>
        </w:tc>
        <w:tc>
          <w:tcPr>
            <w:tcW w:w="3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The Bank of Nova Scotia</w:t>
            </w:r>
          </w:p>
        </w:tc>
        <w:tc>
          <w:tcPr>
            <w:tcW w:w="4080" w:type="dxa"/>
            <w:vAlign w:val="bottom"/>
          </w:tcPr>
          <w:p>
            <w:pPr>
              <w:ind w:left="600"/>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The Bank of Nova Scotia</w:t>
            </w:r>
          </w:p>
        </w:tc>
        <w:tc>
          <w:tcPr>
            <w:tcW w:w="3620" w:type="dxa"/>
            <w:vAlign w:val="bottom"/>
          </w:tcPr>
          <w:p>
            <w:pPr>
              <w:ind w:left="420"/>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The Bank of Nova Scotia</w:t>
            </w:r>
          </w:p>
        </w:tc>
      </w:tr>
      <w:tr>
        <w:trPr>
          <w:trHeight w:val="216"/>
        </w:trPr>
        <w:tc>
          <w:tcPr>
            <w:tcW w:w="50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Scotia Capital</w:t>
            </w:r>
          </w:p>
        </w:tc>
        <w:tc>
          <w:tcPr>
            <w:tcW w:w="4080" w:type="dxa"/>
            <w:vAlign w:val="bottom"/>
          </w:tcPr>
          <w:p>
            <w:pPr>
              <w:ind w:left="900"/>
              <w:spacing w:after="0"/>
              <w:rPr>
                <w:sz w:val="20"/>
                <w:szCs w:val="20"/>
                <w:color w:val="auto"/>
              </w:rPr>
            </w:pPr>
            <w:r>
              <w:rPr>
                <w:rFonts w:ascii="Arial" w:cs="Arial" w:eastAsia="Arial" w:hAnsi="Arial"/>
                <w:sz w:val="18"/>
                <w:szCs w:val="18"/>
                <w:color w:val="auto"/>
              </w:rPr>
              <w:t>West Metro Commercial Banking</w:t>
            </w:r>
          </w:p>
        </w:tc>
        <w:tc>
          <w:tcPr>
            <w:tcW w:w="3620" w:type="dxa"/>
            <w:vAlign w:val="bottom"/>
          </w:tcPr>
          <w:p>
            <w:pPr>
              <w:ind w:left="720"/>
              <w:spacing w:after="0"/>
              <w:rPr>
                <w:sz w:val="20"/>
                <w:szCs w:val="20"/>
                <w:color w:val="auto"/>
              </w:rPr>
            </w:pPr>
            <w:r>
              <w:rPr>
                <w:rFonts w:ascii="Arial" w:cs="Arial" w:eastAsia="Arial" w:hAnsi="Arial"/>
                <w:sz w:val="18"/>
                <w:szCs w:val="18"/>
                <w:color w:val="auto"/>
              </w:rPr>
              <w:t>Scotia Capital</w:t>
            </w:r>
          </w:p>
        </w:tc>
      </w:tr>
      <w:tr>
        <w:trPr>
          <w:trHeight w:val="216"/>
        </w:trPr>
        <w:tc>
          <w:tcPr>
            <w:tcW w:w="50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WBO – Loan Administration &amp;</w:t>
            </w:r>
          </w:p>
        </w:tc>
        <w:tc>
          <w:tcPr>
            <w:tcW w:w="4080" w:type="dxa"/>
            <w:vAlign w:val="bottom"/>
          </w:tcPr>
          <w:p>
            <w:pPr>
              <w:ind w:left="900"/>
              <w:spacing w:after="0"/>
              <w:rPr>
                <w:sz w:val="20"/>
                <w:szCs w:val="20"/>
                <w:color w:val="auto"/>
              </w:rPr>
            </w:pPr>
            <w:r>
              <w:rPr>
                <w:rFonts w:ascii="Arial" w:cs="Arial" w:eastAsia="Arial" w:hAnsi="Arial"/>
                <w:sz w:val="18"/>
                <w:szCs w:val="18"/>
                <w:color w:val="auto"/>
              </w:rPr>
              <w:t>Centre 2 Robert Speck Parkway</w:t>
            </w:r>
          </w:p>
        </w:tc>
        <w:tc>
          <w:tcPr>
            <w:tcW w:w="3620" w:type="dxa"/>
            <w:vAlign w:val="bottom"/>
          </w:tcPr>
          <w:p>
            <w:pPr>
              <w:ind w:left="720"/>
              <w:spacing w:after="0"/>
              <w:rPr>
                <w:sz w:val="20"/>
                <w:szCs w:val="20"/>
                <w:color w:val="auto"/>
              </w:rPr>
            </w:pPr>
            <w:r>
              <w:rPr>
                <w:rFonts w:ascii="Arial" w:cs="Arial" w:eastAsia="Arial" w:hAnsi="Arial"/>
                <w:sz w:val="18"/>
                <w:szCs w:val="18"/>
                <w:color w:val="auto"/>
                <w:w w:val="90"/>
              </w:rPr>
              <w:t>Corporate Banking – Loan Syndications</w:t>
            </w:r>
          </w:p>
        </w:tc>
      </w:tr>
      <w:tr>
        <w:trPr>
          <w:trHeight w:val="216"/>
        </w:trPr>
        <w:tc>
          <w:tcPr>
            <w:tcW w:w="50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Agency Operations</w:t>
            </w:r>
          </w:p>
        </w:tc>
        <w:tc>
          <w:tcPr>
            <w:tcW w:w="4080" w:type="dxa"/>
            <w:vAlign w:val="bottom"/>
          </w:tcPr>
          <w:p>
            <w:pPr>
              <w:ind w:left="900"/>
              <w:spacing w:after="0"/>
              <w:rPr>
                <w:sz w:val="20"/>
                <w:szCs w:val="20"/>
                <w:color w:val="auto"/>
              </w:rPr>
            </w:pPr>
            <w:r>
              <w:rPr>
                <w:rFonts w:ascii="Arial" w:cs="Arial" w:eastAsia="Arial" w:hAnsi="Arial"/>
                <w:sz w:val="18"/>
                <w:szCs w:val="18"/>
                <w:color w:val="auto"/>
              </w:rPr>
              <w:t>Mississauga, ON L4Z 1H8 Attention:</w:t>
            </w:r>
          </w:p>
        </w:tc>
        <w:tc>
          <w:tcPr>
            <w:tcW w:w="3620" w:type="dxa"/>
            <w:vAlign w:val="bottom"/>
          </w:tcPr>
          <w:p>
            <w:pPr>
              <w:ind w:left="720"/>
              <w:spacing w:after="0"/>
              <w:rPr>
                <w:sz w:val="20"/>
                <w:szCs w:val="20"/>
                <w:color w:val="auto"/>
              </w:rPr>
            </w:pPr>
            <w:r>
              <w:rPr>
                <w:rFonts w:ascii="Arial" w:cs="Arial" w:eastAsia="Arial" w:hAnsi="Arial"/>
                <w:sz w:val="18"/>
                <w:szCs w:val="18"/>
                <w:color w:val="auto"/>
              </w:rPr>
              <w:t>62nd Floor, Scotia Plaza</w:t>
            </w:r>
          </w:p>
        </w:tc>
      </w:tr>
      <w:tr>
        <w:trPr>
          <w:trHeight w:val="216"/>
        </w:trPr>
        <w:tc>
          <w:tcPr>
            <w:tcW w:w="50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720 King Street West 4th Floor</w:t>
            </w:r>
          </w:p>
        </w:tc>
        <w:tc>
          <w:tcPr>
            <w:tcW w:w="4080" w:type="dxa"/>
            <w:vAlign w:val="bottom"/>
          </w:tcPr>
          <w:p>
            <w:pPr>
              <w:ind w:left="1140"/>
              <w:spacing w:after="0"/>
              <w:rPr>
                <w:sz w:val="20"/>
                <w:szCs w:val="20"/>
                <w:color w:val="auto"/>
              </w:rPr>
            </w:pPr>
            <w:r>
              <w:rPr>
                <w:rFonts w:ascii="Arial" w:cs="Arial" w:eastAsia="Arial" w:hAnsi="Arial"/>
                <w:sz w:val="18"/>
                <w:szCs w:val="18"/>
                <w:color w:val="auto"/>
              </w:rPr>
              <w:t>Unit Head Facsimile:   (905)276-</w:t>
            </w:r>
          </w:p>
        </w:tc>
        <w:tc>
          <w:tcPr>
            <w:tcW w:w="3620" w:type="dxa"/>
            <w:vAlign w:val="bottom"/>
          </w:tcPr>
          <w:p>
            <w:pPr>
              <w:ind w:left="720"/>
              <w:spacing w:after="0"/>
              <w:rPr>
                <w:sz w:val="20"/>
                <w:szCs w:val="20"/>
                <w:color w:val="auto"/>
              </w:rPr>
            </w:pPr>
            <w:r>
              <w:rPr>
                <w:rFonts w:ascii="Arial" w:cs="Arial" w:eastAsia="Arial" w:hAnsi="Arial"/>
                <w:sz w:val="18"/>
                <w:szCs w:val="18"/>
                <w:color w:val="auto"/>
              </w:rPr>
              <w:t>40 King Street West</w:t>
            </w:r>
          </w:p>
        </w:tc>
      </w:tr>
      <w:tr>
        <w:trPr>
          <w:trHeight w:val="216"/>
        </w:trPr>
        <w:tc>
          <w:tcPr>
            <w:tcW w:w="50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Wholesale Banking Operations</w:t>
            </w:r>
          </w:p>
        </w:tc>
        <w:tc>
          <w:tcPr>
            <w:tcW w:w="4080" w:type="dxa"/>
            <w:vAlign w:val="bottom"/>
          </w:tcPr>
          <w:p>
            <w:pPr>
              <w:ind w:left="900"/>
              <w:spacing w:after="0"/>
              <w:rPr>
                <w:sz w:val="20"/>
                <w:szCs w:val="20"/>
                <w:color w:val="auto"/>
              </w:rPr>
            </w:pPr>
            <w:r>
              <w:rPr>
                <w:rFonts w:ascii="Arial" w:cs="Arial" w:eastAsia="Arial" w:hAnsi="Arial"/>
                <w:sz w:val="18"/>
                <w:szCs w:val="18"/>
                <w:color w:val="auto"/>
              </w:rPr>
              <w:t>4920</w:t>
            </w:r>
          </w:p>
        </w:tc>
        <w:tc>
          <w:tcPr>
            <w:tcW w:w="3620" w:type="dxa"/>
            <w:vAlign w:val="bottom"/>
          </w:tcPr>
          <w:p>
            <w:pPr>
              <w:ind w:left="720"/>
              <w:spacing w:after="0"/>
              <w:rPr>
                <w:sz w:val="20"/>
                <w:szCs w:val="20"/>
                <w:color w:val="auto"/>
              </w:rPr>
            </w:pPr>
            <w:r>
              <w:rPr>
                <w:rFonts w:ascii="Arial" w:cs="Arial" w:eastAsia="Arial" w:hAnsi="Arial"/>
                <w:sz w:val="18"/>
                <w:szCs w:val="18"/>
                <w:color w:val="auto"/>
              </w:rPr>
              <w:t>Toronto, ON M5W 2X6</w:t>
            </w:r>
          </w:p>
        </w:tc>
      </w:tr>
      <w:tr>
        <w:trPr>
          <w:trHeight w:val="230"/>
        </w:trPr>
        <w:tc>
          <w:tcPr>
            <w:tcW w:w="50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Toronto, ON M5V 2T3</w:t>
            </w:r>
          </w:p>
        </w:tc>
        <w:tc>
          <w:tcPr>
            <w:tcW w:w="408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2100" w:type="dxa"/>
            <w:vAlign w:val="bottom"/>
          </w:tcPr>
          <w:p>
            <w:pPr>
              <w:ind w:left="120"/>
              <w:spacing w:after="0"/>
              <w:rPr>
                <w:sz w:val="20"/>
                <w:szCs w:val="20"/>
                <w:color w:val="auto"/>
              </w:rPr>
            </w:pPr>
            <w:r>
              <w:rPr>
                <w:rFonts w:ascii="Arial" w:cs="Arial" w:eastAsia="Arial" w:hAnsi="Arial"/>
                <w:sz w:val="18"/>
                <w:szCs w:val="18"/>
                <w:color w:val="auto"/>
              </w:rPr>
              <w:t>Managing Director</w:t>
            </w:r>
          </w:p>
        </w:tc>
        <w:tc>
          <w:tcPr>
            <w:tcW w:w="4080" w:type="dxa"/>
            <w:vAlign w:val="bottom"/>
          </w:tcPr>
          <w:p>
            <w:pPr>
              <w:spacing w:after="0"/>
              <w:rPr>
                <w:sz w:val="24"/>
                <w:szCs w:val="24"/>
                <w:color w:val="auto"/>
              </w:rPr>
            </w:pPr>
          </w:p>
        </w:tc>
        <w:tc>
          <w:tcPr>
            <w:tcW w:w="3620" w:type="dxa"/>
            <w:vAlign w:val="bottom"/>
          </w:tcPr>
          <w:p>
            <w:pPr>
              <w:ind w:left="720"/>
              <w:spacing w:after="0"/>
              <w:rPr>
                <w:sz w:val="20"/>
                <w:szCs w:val="20"/>
                <w:color w:val="auto"/>
              </w:rPr>
            </w:pPr>
            <w:r>
              <w:rPr>
                <w:rFonts w:ascii="Arial" w:cs="Arial" w:eastAsia="Arial" w:hAnsi="Arial"/>
                <w:sz w:val="18"/>
                <w:szCs w:val="18"/>
                <w:color w:val="auto"/>
              </w:rPr>
              <w:t>Attention:   Unit</w:t>
            </w:r>
          </w:p>
        </w:tc>
      </w:tr>
      <w:tr>
        <w:trPr>
          <w:trHeight w:val="216"/>
        </w:trPr>
        <w:tc>
          <w:tcPr>
            <w:tcW w:w="50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2100" w:type="dxa"/>
            <w:vAlign w:val="bottom"/>
          </w:tcPr>
          <w:p>
            <w:pPr>
              <w:ind w:left="120"/>
              <w:spacing w:after="0"/>
              <w:rPr>
                <w:sz w:val="20"/>
                <w:szCs w:val="20"/>
                <w:color w:val="auto"/>
              </w:rPr>
            </w:pPr>
            <w:r>
              <w:rPr>
                <w:rFonts w:ascii="Arial" w:cs="Arial" w:eastAsia="Arial" w:hAnsi="Arial"/>
                <w:sz w:val="18"/>
                <w:szCs w:val="18"/>
                <w:color w:val="auto"/>
              </w:rPr>
              <w:t>Managing Director</w:t>
            </w:r>
          </w:p>
        </w:tc>
        <w:tc>
          <w:tcPr>
            <w:tcW w:w="4080" w:type="dxa"/>
            <w:vAlign w:val="bottom"/>
          </w:tcPr>
          <w:p>
            <w:pPr>
              <w:spacing w:after="0"/>
              <w:rPr>
                <w:sz w:val="18"/>
                <w:szCs w:val="18"/>
                <w:color w:val="auto"/>
              </w:rPr>
            </w:pPr>
          </w:p>
        </w:tc>
        <w:tc>
          <w:tcPr>
            <w:tcW w:w="3620" w:type="dxa"/>
            <w:vAlign w:val="bottom"/>
          </w:tcPr>
          <w:p>
            <w:pPr>
              <w:ind w:left="720"/>
              <w:spacing w:after="0"/>
              <w:rPr>
                <w:sz w:val="20"/>
                <w:szCs w:val="20"/>
                <w:color w:val="auto"/>
              </w:rPr>
            </w:pPr>
            <w:r>
              <w:rPr>
                <w:rFonts w:ascii="Arial" w:cs="Arial" w:eastAsia="Arial" w:hAnsi="Arial"/>
                <w:sz w:val="18"/>
                <w:szCs w:val="18"/>
                <w:color w:val="auto"/>
              </w:rPr>
              <w:t>Head Facsimile:   (416) 866-3329</w:t>
            </w:r>
          </w:p>
        </w:tc>
      </w:tr>
      <w:tr>
        <w:trPr>
          <w:trHeight w:val="230"/>
        </w:trPr>
        <w:tc>
          <w:tcPr>
            <w:tcW w:w="5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Facsimile:</w:t>
            </w:r>
          </w:p>
        </w:tc>
        <w:tc>
          <w:tcPr>
            <w:tcW w:w="2100" w:type="dxa"/>
            <w:vAlign w:val="bottom"/>
          </w:tcPr>
          <w:p>
            <w:pPr>
              <w:ind w:left="140"/>
              <w:spacing w:after="0"/>
              <w:rPr>
                <w:sz w:val="20"/>
                <w:szCs w:val="20"/>
                <w:color w:val="auto"/>
              </w:rPr>
            </w:pPr>
            <w:r>
              <w:rPr>
                <w:rFonts w:ascii="Arial" w:cs="Arial" w:eastAsia="Arial" w:hAnsi="Arial"/>
                <w:sz w:val="18"/>
                <w:szCs w:val="18"/>
                <w:color w:val="auto"/>
              </w:rPr>
              <w:t>(416) 866-5991</w:t>
            </w:r>
          </w:p>
        </w:tc>
        <w:tc>
          <w:tcPr>
            <w:tcW w:w="408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refer to the credit agreement dated as of 30 November 2005 between Waste Management of Canada Corporation, as Borrower, others, as Guarantors,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Bank of Nova Scotia, as Administrative Agent and the Lenders named therein, as amended, supplemented, restated or replaced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w:t>
      </w:r>
      <w:r>
        <w:rPr>
          <w:rFonts w:ascii="Arial" w:cs="Arial" w:eastAsia="Arial" w:hAnsi="Arial"/>
          <w:sz w:val="16"/>
          <w:szCs w:val="16"/>
          <w:color w:val="auto"/>
        </w:rPr>
        <w:t>”). All terms used in this certificate and that are defined in the Credit Agreement will have the meanings defined in the Credit Agreement.</w:t>
      </w:r>
    </w:p>
    <w:p>
      <w:pPr>
        <w:spacing w:after="0" w:line="126" w:lineRule="exact"/>
        <w:rPr>
          <w:sz w:val="20"/>
          <w:szCs w:val="20"/>
          <w:color w:val="auto"/>
        </w:rPr>
      </w:pPr>
    </w:p>
    <w:p>
      <w:pPr>
        <w:ind w:left="260" w:hanging="252"/>
        <w:spacing w:after="0"/>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Request for Advance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Notice is hereby given pursuant to Section 5.3 of the Credit Agreement that the undersigned hereby irrevocably requests as follows:</w:t>
      </w:r>
    </w:p>
    <w:p>
      <w:pPr>
        <w:spacing w:after="0" w:line="225" w:lineRule="exact"/>
        <w:rPr>
          <w:rFonts w:ascii="Arial" w:cs="Arial" w:eastAsia="Arial" w:hAnsi="Arial"/>
          <w:sz w:val="18"/>
          <w:szCs w:val="18"/>
          <w:color w:val="auto"/>
        </w:rPr>
      </w:pPr>
    </w:p>
    <w:p>
      <w:pPr>
        <w:ind w:left="820" w:hanging="339"/>
        <w:spacing w:after="0"/>
        <w:tabs>
          <w:tab w:leader="none" w:pos="8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that an Advance be made under the Credit;</w:t>
      </w:r>
    </w:p>
    <w:p>
      <w:pPr>
        <w:spacing w:after="0" w:line="225" w:lineRule="exact"/>
        <w:rPr>
          <w:rFonts w:ascii="Arial" w:cs="Arial" w:eastAsia="Arial" w:hAnsi="Arial"/>
          <w:sz w:val="18"/>
          <w:szCs w:val="18"/>
          <w:color w:val="auto"/>
        </w:rPr>
      </w:pPr>
    </w:p>
    <w:p>
      <w:pPr>
        <w:ind w:left="820" w:hanging="339"/>
        <w:spacing w:after="0"/>
        <w:tabs>
          <w:tab w:leader="none" w:pos="8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the requested Advance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ectPr>
          <w:pgSz w:w="11900" w:h="16838" w:orient="portrait"/>
          <w:cols w:equalWidth="0" w:num="1">
            <w:col w:w="11420"/>
          </w:cols>
          <w:pgMar w:left="240" w:top="959" w:right="239" w:bottom="1440" w:gutter="0" w:footer="0" w:header="0"/>
        </w:sectPr>
      </w:pP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initial Advance under the Credit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10480" w:space="720"/>
            <w:col w:w="220"/>
          </w:cols>
          <w:pgMar w:left="240" w:top="959" w:right="239" w:bottom="1440"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increase in an Advance under the Credit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10480" w:space="720"/>
            <w:col w:w="220"/>
          </w:cols>
          <w:pgMar w:left="240" w:top="959" w:right="239" w:bottom="1440"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rollover of an existing Advance under the Credit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10480" w:space="720"/>
            <w:col w:w="220"/>
          </w:cols>
          <w:pgMar w:left="240" w:top="959" w:right="239" w:bottom="1440"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conversion of an existing Advance to another type of Advance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10480" w:space="720"/>
            <w:col w:w="220"/>
          </w:cols>
          <w:pgMar w:left="240" w:top="959" w:right="239" w:bottom="1440" w:gutter="0" w:footer="0" w:header="0"/>
          <w:type w:val="continuous"/>
        </w:sectPr>
      </w:pPr>
    </w:p>
    <w:p>
      <w:pPr>
        <w:spacing w:after="0" w:line="48" w:lineRule="exact"/>
        <w:rPr>
          <w:sz w:val="20"/>
          <w:szCs w:val="20"/>
          <w:color w:val="auto"/>
        </w:rPr>
      </w:pPr>
    </w:p>
    <w:p>
      <w:pPr>
        <w:ind w:left="820" w:hanging="339"/>
        <w:spacing w:after="0"/>
        <w:tabs>
          <w:tab w:leader="none" w:pos="8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Drawdown Date shall be __________________;</w:t>
      </w:r>
    </w:p>
    <w:p>
      <w:pPr>
        <w:spacing w:after="0" w:line="225" w:lineRule="exact"/>
        <w:rPr>
          <w:rFonts w:ascii="Arial" w:cs="Arial" w:eastAsia="Arial" w:hAnsi="Arial"/>
          <w:sz w:val="18"/>
          <w:szCs w:val="18"/>
          <w:color w:val="auto"/>
        </w:rPr>
      </w:pPr>
    </w:p>
    <w:p>
      <w:pPr>
        <w:ind w:left="820" w:hanging="339"/>
        <w:spacing w:after="0"/>
        <w:tabs>
          <w:tab w:leader="none" w:pos="8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Advance shall be in the form of </w:t>
      </w:r>
      <w:r>
        <w:rPr>
          <w:rFonts w:ascii="Arial" w:cs="Arial" w:eastAsia="Arial" w:hAnsi="Arial"/>
          <w:sz w:val="18"/>
          <w:szCs w:val="18"/>
          <w:i w:val="1"/>
          <w:iCs w:val="1"/>
          <w:color w:val="auto"/>
        </w:rPr>
        <w:t>[check one or more and complete details]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ind w:left="1320"/>
              <w:spacing w:after="0"/>
              <w:rPr>
                <w:sz w:val="20"/>
                <w:szCs w:val="20"/>
                <w:color w:val="auto"/>
              </w:rPr>
            </w:pPr>
            <w:r>
              <w:rPr>
                <w:rFonts w:ascii="Arial" w:cs="Arial" w:eastAsia="Arial" w:hAnsi="Arial"/>
                <w:sz w:val="18"/>
                <w:szCs w:val="18"/>
                <w:color w:val="auto"/>
              </w:rPr>
              <w:t>Prime Rate Advance</w:t>
            </w:r>
          </w:p>
        </w:tc>
        <w:tc>
          <w:tcPr>
            <w:tcW w:w="7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90"/>
        </w:trPr>
        <w:tc>
          <w:tcPr>
            <w:tcW w:w="4120" w:type="dxa"/>
            <w:vAlign w:val="bottom"/>
            <w:gridSpan w:val="2"/>
          </w:tcPr>
          <w:p>
            <w:pPr>
              <w:ind w:left="1540"/>
              <w:spacing w:after="0" w:line="190" w:lineRule="exact"/>
              <w:rPr>
                <w:sz w:val="20"/>
                <w:szCs w:val="20"/>
                <w:color w:val="auto"/>
              </w:rPr>
            </w:pPr>
            <w:r>
              <w:rPr>
                <w:rFonts w:ascii="Arial" w:cs="Arial" w:eastAsia="Arial" w:hAnsi="Arial"/>
                <w:sz w:val="18"/>
                <w:szCs w:val="18"/>
                <w:color w:val="auto"/>
              </w:rPr>
              <w:t>Amount: $</w:t>
            </w:r>
          </w:p>
        </w:tc>
        <w:tc>
          <w:tcPr>
            <w:tcW w:w="7300" w:type="dxa"/>
            <w:vAlign w:val="bottom"/>
          </w:tcPr>
          <w:p>
            <w:pPr>
              <w:spacing w:after="0"/>
              <w:rPr>
                <w:sz w:val="16"/>
                <w:szCs w:val="16"/>
                <w:color w:val="auto"/>
              </w:rPr>
            </w:pPr>
          </w:p>
        </w:tc>
      </w:tr>
      <w:tr>
        <w:trPr>
          <w:trHeight w:val="652"/>
        </w:trPr>
        <w:tc>
          <w:tcPr>
            <w:tcW w:w="2320" w:type="dxa"/>
            <w:vAlign w:val="bottom"/>
            <w:tcBorders>
              <w:bottom w:val="single" w:sz="8" w:color="808080"/>
            </w:tcBorders>
          </w:tcPr>
          <w:p>
            <w:pPr>
              <w:spacing w:after="0"/>
              <w:rPr>
                <w:sz w:val="24"/>
                <w:szCs w:val="24"/>
                <w:color w:val="auto"/>
              </w:rPr>
            </w:pPr>
          </w:p>
        </w:tc>
        <w:tc>
          <w:tcPr>
            <w:tcW w:w="1800" w:type="dxa"/>
            <w:vAlign w:val="bottom"/>
            <w:tcBorders>
              <w:top w:val="single" w:sz="8" w:color="auto"/>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type w:val="continuous"/>
        </w:sectPr>
      </w:pPr>
    </w:p>
    <w:bookmarkStart w:id="234" w:name="page235"/>
    <w:bookmarkEnd w:id="234"/>
    <w:tbl>
      <w:tblPr>
        <w:tblLayout w:type="fixed"/>
        <w:tblInd w:w="48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320" w:type="dxa"/>
            <w:vAlign w:val="bottom"/>
            <w:gridSpan w:val="5"/>
          </w:tcPr>
          <w:p>
            <w:pPr>
              <w:jc w:val="right"/>
              <w:ind w:right="5200"/>
              <w:spacing w:after="0"/>
              <w:rPr>
                <w:sz w:val="20"/>
                <w:szCs w:val="20"/>
                <w:color w:val="auto"/>
              </w:rPr>
            </w:pPr>
            <w:r>
              <w:rPr>
                <w:rFonts w:ascii="Arial" w:cs="Arial" w:eastAsia="Arial" w:hAnsi="Arial"/>
                <w:sz w:val="18"/>
                <w:szCs w:val="18"/>
                <w:color w:val="auto"/>
              </w:rPr>
              <w:t>- A2 -</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Banker’s Acceptances</w:t>
            </w:r>
          </w:p>
        </w:tc>
        <w:tc>
          <w:tcPr>
            <w:tcW w:w="7320" w:type="dxa"/>
            <w:vAlign w:val="bottom"/>
            <w:gridSpan w:val="5"/>
          </w:tcPr>
          <w:p>
            <w:pPr>
              <w:jc w:val="right"/>
              <w:spacing w:after="0"/>
              <w:rPr>
                <w:sz w:val="20"/>
                <w:szCs w:val="20"/>
                <w:color w:val="auto"/>
              </w:rPr>
            </w:pPr>
            <w:r>
              <w:rPr>
                <w:rFonts w:ascii="Arial" w:cs="Arial" w:eastAsia="Arial" w:hAnsi="Arial"/>
                <w:sz w:val="18"/>
                <w:szCs w:val="18"/>
                <w:color w:val="auto"/>
              </w:rPr>
              <w:t>( )</w:t>
            </w:r>
          </w:p>
        </w:tc>
      </w:tr>
      <w:tr>
        <w:trPr>
          <w:trHeight w:val="190"/>
        </w:trPr>
        <w:tc>
          <w:tcPr>
            <w:tcW w:w="3320" w:type="dxa"/>
            <w:vAlign w:val="bottom"/>
          </w:tcPr>
          <w:p>
            <w:pPr>
              <w:ind w:left="500"/>
              <w:spacing w:after="0" w:line="190" w:lineRule="exact"/>
              <w:rPr>
                <w:sz w:val="20"/>
                <w:szCs w:val="20"/>
                <w:color w:val="auto"/>
              </w:rPr>
            </w:pPr>
            <w:r>
              <w:rPr>
                <w:rFonts w:ascii="Arial" w:cs="Arial" w:eastAsia="Arial" w:hAnsi="Arial"/>
                <w:sz w:val="18"/>
                <w:szCs w:val="18"/>
                <w:color w:val="auto"/>
              </w:rPr>
              <w:t>Face Amount:</w:t>
            </w:r>
          </w:p>
        </w:tc>
        <w:tc>
          <w:tcPr>
            <w:tcW w:w="4280" w:type="dxa"/>
            <w:vAlign w:val="bottom"/>
            <w:gridSpan w:val="3"/>
          </w:tcPr>
          <w:p>
            <w:pPr>
              <w:jc w:val="right"/>
              <w:ind w:right="1700"/>
              <w:spacing w:after="0" w:line="19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6"/>
        </w:trPr>
        <w:tc>
          <w:tcPr>
            <w:tcW w:w="3320" w:type="dxa"/>
            <w:vAlign w:val="bottom"/>
          </w:tcPr>
          <w:p>
            <w:pPr>
              <w:ind w:left="500"/>
              <w:spacing w:after="0" w:line="196" w:lineRule="exact"/>
              <w:rPr>
                <w:sz w:val="20"/>
                <w:szCs w:val="20"/>
                <w:color w:val="auto"/>
              </w:rPr>
            </w:pPr>
            <w:r>
              <w:rPr>
                <w:rFonts w:ascii="Arial" w:cs="Arial" w:eastAsia="Arial" w:hAnsi="Arial"/>
                <w:sz w:val="18"/>
                <w:szCs w:val="18"/>
                <w:color w:val="auto"/>
              </w:rPr>
              <w:t>Term:</w:t>
            </w:r>
          </w:p>
        </w:tc>
        <w:tc>
          <w:tcPr>
            <w:tcW w:w="2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940" w:type="dxa"/>
            <w:vAlign w:val="bottom"/>
          </w:tcPr>
          <w:p>
            <w:pPr>
              <w:spacing w:after="0"/>
              <w:rPr>
                <w:sz w:val="17"/>
                <w:szCs w:val="17"/>
                <w:color w:val="auto"/>
              </w:rPr>
            </w:pPr>
          </w:p>
        </w:tc>
      </w:tr>
    </w:tbl>
    <w:p>
      <w:pPr>
        <w:spacing w:after="0" w:line="121" w:lineRule="exact"/>
        <w:rPr>
          <w:sz w:val="20"/>
          <w:szCs w:val="20"/>
          <w:color w:val="auto"/>
        </w:rPr>
      </w:pPr>
    </w:p>
    <w:p>
      <w:pPr>
        <w:ind w:left="660" w:hanging="436"/>
        <w:spacing w:after="0"/>
        <w:tabs>
          <w:tab w:leader="none" w:pos="6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the proceeds of the Advance shall be deposited in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specify Designated Account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undersigned hereby confirms as follows:</w:t>
      </w:r>
    </w:p>
    <w:p>
      <w:pPr>
        <w:spacing w:after="0" w:line="117" w:lineRule="exact"/>
        <w:rPr>
          <w:rFonts w:ascii="Arial" w:cs="Arial" w:eastAsia="Arial" w:hAnsi="Arial"/>
          <w:sz w:val="18"/>
          <w:szCs w:val="18"/>
          <w:color w:val="auto"/>
        </w:rPr>
      </w:pPr>
    </w:p>
    <w:p>
      <w:pPr>
        <w:ind w:left="660" w:right="100" w:hanging="436"/>
        <w:spacing w:after="0" w:line="259" w:lineRule="auto"/>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representations and warranties made in Section 6.1 of the Credit Agreement, other than those expressly stated to be made as of a specific date or otherwise expressly modified pursuant to the provisions of Section 6.2 of the Credit Agreement, are true and correct on and as of the date hereof with the same force and effect as if such representations and warranties had been made on and as of the date hereof, but subject to the same qualifications as are contained in Section 6.2 of the Credit Agreement;</w:t>
      </w:r>
    </w:p>
    <w:p>
      <w:pPr>
        <w:spacing w:after="0" w:line="92" w:lineRule="exact"/>
        <w:rPr>
          <w:rFonts w:ascii="Arial" w:cs="Arial" w:eastAsia="Arial" w:hAnsi="Arial"/>
          <w:sz w:val="18"/>
          <w:szCs w:val="18"/>
          <w:color w:val="auto"/>
        </w:rPr>
      </w:pPr>
    </w:p>
    <w:p>
      <w:pPr>
        <w:ind w:left="660" w:right="440" w:hanging="436"/>
        <w:spacing w:after="0" w:line="277" w:lineRule="auto"/>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 Event of Default or Pending Event of Default has occurred and is continuing on the date hereof or will result from the Advance(s) requested herein;</w:t>
      </w:r>
    </w:p>
    <w:p>
      <w:pPr>
        <w:spacing w:after="0" w:line="75" w:lineRule="exact"/>
        <w:rPr>
          <w:rFonts w:ascii="Arial" w:cs="Arial" w:eastAsia="Arial" w:hAnsi="Arial"/>
          <w:sz w:val="18"/>
          <w:szCs w:val="18"/>
          <w:color w:val="auto"/>
        </w:rPr>
      </w:pPr>
    </w:p>
    <w:p>
      <w:pPr>
        <w:ind w:left="660" w:right="240" w:hanging="436"/>
        <w:spacing w:after="0" w:line="264" w:lineRule="auto"/>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after due inquiry, there is no reasonable expectation that the Borrower will not be in compliance with all covenants contained in Section 7.1 of the Credit Agreement at the end of its current fiscal quarter and was not in compliance with those covenants at the end of its immediately preceding fiscal quarter if it has not yet delivered its Compliance Certificate for that quarter;</w:t>
      </w:r>
    </w:p>
    <w:p>
      <w:pPr>
        <w:spacing w:after="0" w:line="86" w:lineRule="exact"/>
        <w:rPr>
          <w:rFonts w:ascii="Arial" w:cs="Arial" w:eastAsia="Arial" w:hAnsi="Arial"/>
          <w:sz w:val="18"/>
          <w:szCs w:val="18"/>
          <w:color w:val="auto"/>
        </w:rPr>
      </w:pPr>
    </w:p>
    <w:p>
      <w:pPr>
        <w:ind w:left="660" w:right="620" w:hanging="436"/>
        <w:spacing w:after="0" w:line="277" w:lineRule="auto"/>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undersigned will immediately notify you if it becomes aware of the occurrence of any event which would mean that the statements in the immediately preceding paragraphs (a), (b) and (c) would not be true if made on the Drawdown Date; and</w:t>
      </w:r>
    </w:p>
    <w:p>
      <w:pPr>
        <w:spacing w:after="0" w:line="71" w:lineRule="exact"/>
        <w:rPr>
          <w:rFonts w:ascii="Arial" w:cs="Arial" w:eastAsia="Arial" w:hAnsi="Arial"/>
          <w:sz w:val="18"/>
          <w:szCs w:val="18"/>
          <w:color w:val="auto"/>
        </w:rPr>
      </w:pPr>
    </w:p>
    <w:p>
      <w:pPr>
        <w:ind w:left="660" w:hanging="436"/>
        <w:spacing w:after="0"/>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other conditions precedent set out in Section 4.2 [</w:t>
      </w:r>
      <w:r>
        <w:rPr>
          <w:rFonts w:ascii="Arial" w:cs="Arial" w:eastAsia="Arial" w:hAnsi="Arial"/>
          <w:sz w:val="18"/>
          <w:szCs w:val="18"/>
          <w:b w:val="1"/>
          <w:bCs w:val="1"/>
          <w:color w:val="auto"/>
        </w:rPr>
        <w:t>and Section 4.1 as applicable</w:t>
      </w:r>
      <w:r>
        <w:rPr>
          <w:rFonts w:ascii="Arial" w:cs="Arial" w:eastAsia="Arial" w:hAnsi="Arial"/>
          <w:sz w:val="18"/>
          <w:szCs w:val="18"/>
          <w:color w:val="auto"/>
        </w:rPr>
        <w:t>] of the Credit Agreement have been fulfilled.</w:t>
      </w:r>
    </w:p>
    <w:p>
      <w:pPr>
        <w:spacing w:after="0" w:line="121" w:lineRule="exact"/>
        <w:rPr>
          <w:rFonts w:ascii="Arial" w:cs="Arial" w:eastAsia="Arial" w:hAnsi="Arial"/>
          <w:sz w:val="18"/>
          <w:szCs w:val="18"/>
          <w:color w:val="auto"/>
        </w:rPr>
      </w:pPr>
    </w:p>
    <w:p>
      <w:pPr>
        <w:ind w:left="260" w:hanging="252"/>
        <w:spacing w:after="0"/>
        <w:tabs>
          <w:tab w:leader="none" w:pos="2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Notice of Payment</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Pursuant to Section 5.3 of the Credit Agreement, the undersigned hereby irrevocably notifies you of the following:</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that a payment will be made under the Credit;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the payment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ind w:left="720"/>
              <w:spacing w:after="0"/>
              <w:rPr>
                <w:sz w:val="20"/>
                <w:szCs w:val="20"/>
                <w:color w:val="auto"/>
              </w:rPr>
            </w:pPr>
            <w:r>
              <w:rPr>
                <w:rFonts w:ascii="Arial" w:cs="Arial" w:eastAsia="Arial" w:hAnsi="Arial"/>
                <w:sz w:val="18"/>
                <w:szCs w:val="18"/>
                <w:color w:val="auto"/>
              </w:rPr>
              <w:t>reduction in Advances under the Credit</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 )</w:t>
            </w:r>
          </w:p>
        </w:tc>
      </w:tr>
      <w:tr>
        <w:trPr>
          <w:trHeight w:val="432"/>
        </w:trPr>
        <w:tc>
          <w:tcPr>
            <w:tcW w:w="9580" w:type="dxa"/>
            <w:vAlign w:val="bottom"/>
          </w:tcPr>
          <w:p>
            <w:pPr>
              <w:ind w:left="720"/>
              <w:spacing w:after="0"/>
              <w:rPr>
                <w:sz w:val="20"/>
                <w:szCs w:val="20"/>
                <w:color w:val="auto"/>
              </w:rPr>
            </w:pPr>
            <w:r>
              <w:rPr>
                <w:rFonts w:ascii="Arial" w:cs="Arial" w:eastAsia="Arial" w:hAnsi="Arial"/>
                <w:sz w:val="18"/>
                <w:szCs w:val="18"/>
                <w:color w:val="auto"/>
              </w:rPr>
              <w:t>payment of existing Advances which will be rolled over as the same type of Advance under the Credit</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 )</w:t>
            </w:r>
          </w:p>
        </w:tc>
      </w:tr>
      <w:tr>
        <w:trPr>
          <w:trHeight w:val="432"/>
        </w:trPr>
        <w:tc>
          <w:tcPr>
            <w:tcW w:w="9580" w:type="dxa"/>
            <w:vAlign w:val="bottom"/>
          </w:tcPr>
          <w:p>
            <w:pPr>
              <w:ind w:left="720"/>
              <w:spacing w:after="0"/>
              <w:rPr>
                <w:sz w:val="20"/>
                <w:szCs w:val="20"/>
                <w:color w:val="auto"/>
              </w:rPr>
            </w:pPr>
            <w:r>
              <w:rPr>
                <w:rFonts w:ascii="Arial" w:cs="Arial" w:eastAsia="Arial" w:hAnsi="Arial"/>
                <w:sz w:val="18"/>
                <w:szCs w:val="18"/>
                <w:color w:val="auto"/>
              </w:rPr>
              <w:t>payment of existing Advances which will be converted to</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 )</w:t>
            </w:r>
          </w:p>
        </w:tc>
      </w:tr>
      <w:tr>
        <w:trPr>
          <w:trHeight w:val="632"/>
        </w:trPr>
        <w:tc>
          <w:tcPr>
            <w:tcW w:w="9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color w:val="auto"/>
        </w:rPr>
        <w:t>- A3 -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another type of Advance under the Credit</w:t>
      </w:r>
    </w:p>
    <w:p>
      <w:pPr>
        <w:spacing w:after="0" w:line="140"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payment date shall be __________________</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Advance to be paid shall be in the form of [check one or more and complete details]:</w:t>
      </w:r>
    </w:p>
    <w:p>
      <w:pPr>
        <w:sectPr>
          <w:pgSz w:w="11900" w:h="16838" w:orient="portrait"/>
          <w:cols w:equalWidth="0" w:num="1">
            <w:col w:w="11420"/>
          </w:cols>
          <w:pgMar w:left="240" w:top="936" w:right="2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Prime Rate Advance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0640" w:space="720"/>
            <w:col w:w="60"/>
          </w:cols>
          <w:pgMar w:left="240" w:top="936" w:right="23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211" w:lineRule="exact"/>
        <w:rPr>
          <w:sz w:val="20"/>
          <w:szCs w:val="20"/>
          <w:color w:val="auto"/>
        </w:rPr>
      </w:pPr>
    </w:p>
    <w:p>
      <w:pPr>
        <w:sectPr>
          <w:pgSz w:w="11900" w:h="16838" w:orient="portrait"/>
          <w:cols w:equalWidth="0" w:num="2">
            <w:col w:w="5860" w:space="720"/>
            <w:col w:w="4840"/>
          </w:cols>
          <w:pgMar w:left="240" w:top="936"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Banker’s Acceptances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0640" w:space="720"/>
            <w:col w:w="60"/>
          </w:cols>
          <w:pgMar w:left="240" w:top="936" w:right="23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Face Amount:</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11" w:lineRule="exact"/>
        <w:rPr>
          <w:sz w:val="20"/>
          <w:szCs w:val="20"/>
          <w:color w:val="auto"/>
        </w:rPr>
      </w:pPr>
    </w:p>
    <w:p>
      <w:pPr>
        <w:sectPr>
          <w:pgSz w:w="11900" w:h="16838" w:orient="portrait"/>
          <w:cols w:equalWidth="0" w:num="2">
            <w:col w:w="5860" w:space="720"/>
            <w:col w:w="4840"/>
          </w:cols>
          <w:pgMar w:left="240" w:top="936"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___________________________.</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WASTE MANAGEMENT OF CANADA</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14605</wp:posOffset>
            </wp:positionV>
            <wp:extent cx="28727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14605</wp:posOffset>
            </wp:positionV>
            <wp:extent cx="28727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references in Sections 4.2 and 7.3(1)(c)]</w:t>
      </w:r>
    </w:p>
    <w:p>
      <w:pPr>
        <w:sectPr>
          <w:pgSz w:w="11900" w:h="16838" w:orient="portrait"/>
          <w:cols w:equalWidth="0" w:num="1">
            <w:col w:w="11420"/>
          </w:cols>
          <w:pgMar w:left="240" w:top="958"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LENDERS </w:t>
      </w:r>
      <w:r>
        <w:rPr>
          <w:rFonts w:ascii="Arial" w:cs="Arial" w:eastAsia="Arial" w:hAnsi="Arial"/>
          <w:sz w:val="16"/>
          <w:szCs w:val="16"/>
          <w:color w:val="auto"/>
        </w:rPr>
        <w:t>(as defined in the Credit Agreement referred to below)</w:t>
      </w:r>
    </w:p>
    <w:p>
      <w:pPr>
        <w:spacing w:after="0" w:line="139" w:lineRule="exact"/>
        <w:rPr>
          <w:sz w:val="20"/>
          <w:szCs w:val="20"/>
          <w:color w:val="auto"/>
        </w:rPr>
      </w:pPr>
    </w:p>
    <w:p>
      <w:pPr>
        <w:sectPr>
          <w:pgSz w:w="11900" w:h="16838" w:orient="portrait"/>
          <w:cols w:equalWidth="0" w:num="2">
            <w:col w:w="320" w:space="540"/>
            <w:col w:w="10560"/>
          </w:cols>
          <w:pgMar w:left="240" w:top="95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BANK OF NOVA SCOTIA</w:t>
      </w:r>
      <w:r>
        <w:rPr>
          <w:rFonts w:ascii="Arial" w:cs="Arial" w:eastAsia="Arial" w:hAnsi="Arial"/>
          <w:sz w:val="17"/>
          <w:szCs w:val="17"/>
          <w:color w:val="auto"/>
        </w:rPr>
        <w:t>, as Agent</w:t>
      </w:r>
    </w:p>
    <w:p>
      <w:pPr>
        <w:spacing w:after="0" w:line="132" w:lineRule="exact"/>
        <w:rPr>
          <w:sz w:val="20"/>
          <w:szCs w:val="20"/>
          <w:color w:val="auto"/>
        </w:rPr>
      </w:pPr>
    </w:p>
    <w:p>
      <w:pPr>
        <w:sectPr>
          <w:pgSz w:w="11900" w:h="16838" w:orient="portrait"/>
          <w:cols w:equalWidth="0" w:num="2">
            <w:col w:w="760" w:space="540"/>
            <w:col w:w="10120"/>
          </w:cols>
          <w:pgMar w:left="240" w:top="958" w:right="239" w:bottom="1440" w:gutter="0" w:footer="0" w:header="0"/>
          <w:type w:val="continuous"/>
        </w:sectPr>
      </w:pPr>
    </w:p>
    <w:p>
      <w:pPr>
        <w:ind w:right="240" w:firstLine="447"/>
        <w:spacing w:after="0" w:line="259" w:lineRule="auto"/>
        <w:rPr>
          <w:sz w:val="20"/>
          <w:szCs w:val="20"/>
          <w:color w:val="auto"/>
        </w:rPr>
      </w:pPr>
      <w:r>
        <w:rPr>
          <w:rFonts w:ascii="Arial" w:cs="Arial" w:eastAsia="Arial" w:hAnsi="Arial"/>
          <w:sz w:val="18"/>
          <w:szCs w:val="18"/>
          <w:color w:val="auto"/>
        </w:rPr>
        <w:t>We refer to Sections 4.2 and 7.3(1)(c) of the credit agreement dated as of 30 November 2005 between Waste Management of Canada Corporation, as Borrower, Waste Management, Inc. and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that are defined in the Credit Agreement will have the meanings defined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certify that:</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I, ___, [Chief Financial Officer] [Chief Accounting Officer] [Corporate Treasurer] of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certify that no Pending Event of Default or Event of Default exists and that the Obligors are in compliance with Sections 7.1, 7.2 and 7.4 of the Credit Agreement, [as of the end of the quarter ended ___]. Computations to evidence compliance with the financial covenants are detailed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Interest Coverage Ratio</w:t>
            </w: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7840" w:type="dxa"/>
            <w:vAlign w:val="bottom"/>
          </w:tcPr>
          <w:p>
            <w:pPr>
              <w:spacing w:after="0"/>
              <w:rPr>
                <w:sz w:val="20"/>
                <w:szCs w:val="20"/>
                <w:color w:val="auto"/>
              </w:rPr>
            </w:pPr>
            <w:r>
              <w:rPr>
                <w:rFonts w:ascii="Arial" w:cs="Arial" w:eastAsia="Arial" w:hAnsi="Arial"/>
                <w:sz w:val="18"/>
                <w:szCs w:val="18"/>
                <w:color w:val="auto"/>
              </w:rPr>
              <w:t>Consolidated Net Income (or Deficit) Plus (without duplication):</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7840" w:type="dxa"/>
            <w:vAlign w:val="bottom"/>
          </w:tcPr>
          <w:p>
            <w:pPr>
              <w:ind w:left="220"/>
              <w:spacing w:after="0" w:line="190" w:lineRule="exact"/>
              <w:rPr>
                <w:sz w:val="20"/>
                <w:szCs w:val="20"/>
                <w:color w:val="auto"/>
              </w:rPr>
            </w:pPr>
            <w:r>
              <w:rPr>
                <w:rFonts w:ascii="Arial" w:cs="Arial" w:eastAsia="Arial" w:hAnsi="Arial"/>
                <w:sz w:val="18"/>
                <w:szCs w:val="18"/>
                <w:color w:val="auto"/>
              </w:rPr>
              <w:t>interest expense</w:t>
            </w: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Pr>
          <w:p>
            <w:pPr>
              <w:jc w:val="center"/>
              <w:spacing w:after="0" w:line="190" w:lineRule="exact"/>
              <w:rPr>
                <w:sz w:val="20"/>
                <w:szCs w:val="20"/>
                <w:color w:val="auto"/>
              </w:rPr>
            </w:pPr>
            <w:r>
              <w:rPr>
                <w:rFonts w:ascii="Arial" w:cs="Arial" w:eastAsia="Arial" w:hAnsi="Arial"/>
                <w:sz w:val="18"/>
                <w:szCs w:val="18"/>
                <w:color w:val="auto"/>
              </w:rPr>
              <w:t>(i)</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equity in losses (earnings) of</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(ii)</w:t>
            </w:r>
          </w:p>
        </w:tc>
      </w:tr>
      <w:tr>
        <w:trPr>
          <w:trHeight w:val="196"/>
        </w:trPr>
        <w:tc>
          <w:tcPr>
            <w:tcW w:w="7840" w:type="dxa"/>
            <w:vAlign w:val="bottom"/>
          </w:tcPr>
          <w:p>
            <w:pPr>
              <w:ind w:left="420"/>
              <w:spacing w:after="0" w:line="196" w:lineRule="exact"/>
              <w:rPr>
                <w:sz w:val="20"/>
                <w:szCs w:val="20"/>
                <w:color w:val="auto"/>
              </w:rPr>
            </w:pPr>
            <w:r>
              <w:rPr>
                <w:rFonts w:ascii="Arial" w:cs="Arial" w:eastAsia="Arial" w:hAnsi="Arial"/>
                <w:sz w:val="18"/>
                <w:szCs w:val="18"/>
                <w:color w:val="auto"/>
              </w:rPr>
              <w:t>unconsolidated entities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income tax expense</w:t>
            </w:r>
          </w:p>
        </w:tc>
        <w:tc>
          <w:tcPr>
            <w:tcW w:w="2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(iv)</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non-cash writedowns or writeoffs of assets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5"/>
              </w:rPr>
              <w:t>(v)</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Minus non-cash extraordinary gains on the sale of assets</w:t>
            </w:r>
          </w:p>
        </w:tc>
        <w:tc>
          <w:tcPr>
            <w:tcW w:w="2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(vi)</w:t>
            </w:r>
          </w:p>
        </w:tc>
      </w:tr>
      <w:tr>
        <w:trPr>
          <w:trHeight w:val="412"/>
        </w:trPr>
        <w:tc>
          <w:tcPr>
            <w:tcW w:w="7840" w:type="dxa"/>
            <w:vAlign w:val="bottom"/>
          </w:tcPr>
          <w:p>
            <w:pPr>
              <w:spacing w:after="0"/>
              <w:rPr>
                <w:sz w:val="20"/>
                <w:szCs w:val="20"/>
                <w:color w:val="auto"/>
              </w:rPr>
            </w:pPr>
            <w:r>
              <w:rPr>
                <w:rFonts w:ascii="Arial" w:cs="Arial" w:eastAsia="Arial" w:hAnsi="Arial"/>
                <w:sz w:val="18"/>
                <w:szCs w:val="18"/>
                <w:color w:val="auto"/>
              </w:rPr>
              <w:t>EBIT (sum of (i) through (v))</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r>
      <w:tr>
        <w:trPr>
          <w:trHeight w:val="412"/>
        </w:trPr>
        <w:tc>
          <w:tcPr>
            <w:tcW w:w="7840" w:type="dxa"/>
            <w:vAlign w:val="bottom"/>
          </w:tcPr>
          <w:p>
            <w:pPr>
              <w:spacing w:after="0"/>
              <w:rPr>
                <w:sz w:val="20"/>
                <w:szCs w:val="20"/>
                <w:color w:val="auto"/>
              </w:rPr>
            </w:pPr>
            <w:r>
              <w:rPr>
                <w:rFonts w:ascii="Arial" w:cs="Arial" w:eastAsia="Arial" w:hAnsi="Arial"/>
                <w:sz w:val="18"/>
                <w:szCs w:val="18"/>
                <w:color w:val="auto"/>
              </w:rPr>
              <w:t>Consolidated Net Income of Acquired Businesses Plus (without duplication):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interest expense</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(ii)</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equity in losses (earnings) of</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840" w:type="dxa"/>
            <w:vAlign w:val="bottom"/>
          </w:tcPr>
          <w:p>
            <w:pPr>
              <w:ind w:left="420"/>
              <w:spacing w:after="0" w:line="196" w:lineRule="exact"/>
              <w:rPr>
                <w:sz w:val="20"/>
                <w:szCs w:val="20"/>
                <w:color w:val="auto"/>
              </w:rPr>
            </w:pPr>
            <w:r>
              <w:rPr>
                <w:rFonts w:ascii="Arial" w:cs="Arial" w:eastAsia="Arial" w:hAnsi="Arial"/>
                <w:sz w:val="18"/>
                <w:szCs w:val="18"/>
                <w:color w:val="auto"/>
              </w:rPr>
              <w:t>unconsolidated entities</w:t>
            </w:r>
          </w:p>
        </w:tc>
        <w:tc>
          <w:tcPr>
            <w:tcW w:w="2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(iv)</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income tax expense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5"/>
              </w:rPr>
              <w:t>(v)</w:t>
            </w:r>
          </w:p>
        </w:tc>
      </w:tr>
      <w:tr>
        <w:trPr>
          <w:trHeight w:val="196"/>
        </w:trPr>
        <w:tc>
          <w:tcPr>
            <w:tcW w:w="7840" w:type="dxa"/>
            <w:vAlign w:val="bottom"/>
          </w:tcPr>
          <w:p>
            <w:pPr>
              <w:ind w:left="220"/>
              <w:spacing w:after="0" w:line="196" w:lineRule="exact"/>
              <w:rPr>
                <w:sz w:val="20"/>
                <w:szCs w:val="20"/>
                <w:color w:val="auto"/>
              </w:rPr>
            </w:pPr>
            <w:r>
              <w:rPr>
                <w:rFonts w:ascii="Arial" w:cs="Arial" w:eastAsia="Arial" w:hAnsi="Arial"/>
                <w:sz w:val="18"/>
                <w:szCs w:val="18"/>
                <w:color w:val="auto"/>
              </w:rPr>
              <w:t>non-cash writedowns or write-offs of assets</w:t>
            </w:r>
          </w:p>
        </w:tc>
        <w:tc>
          <w:tcPr>
            <w:tcW w:w="2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(vi)</w:t>
            </w:r>
          </w:p>
        </w:tc>
      </w:tr>
      <w:tr>
        <w:trPr>
          <w:trHeight w:val="237"/>
        </w:trPr>
        <w:tc>
          <w:tcPr>
            <w:tcW w:w="7840" w:type="dxa"/>
            <w:vAlign w:val="bottom"/>
          </w:tcPr>
          <w:p>
            <w:pPr>
              <w:ind w:left="220"/>
              <w:spacing w:after="0"/>
              <w:rPr>
                <w:sz w:val="20"/>
                <w:szCs w:val="20"/>
                <w:color w:val="auto"/>
              </w:rPr>
            </w:pPr>
            <w:r>
              <w:rPr>
                <w:rFonts w:ascii="Arial" w:cs="Arial" w:eastAsia="Arial" w:hAnsi="Arial"/>
                <w:sz w:val="18"/>
                <w:szCs w:val="18"/>
                <w:color w:val="auto"/>
              </w:rPr>
              <w:t>non-recurring extraordinary charges</w:t>
            </w:r>
          </w:p>
        </w:tc>
        <w:tc>
          <w:tcPr>
            <w:tcW w:w="2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32"/>
        </w:trPr>
        <w:tc>
          <w:tcPr>
            <w:tcW w:w="78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237" w:name="page238"/>
    <w:bookmarkEnd w:id="237"/>
    <w:tbl>
      <w:tblPr>
        <w:tblLayout w:type="fixed"/>
        <w:tblInd w:w="0" w:type="dxa"/>
        <w:tblCellMar>
          <w:top w:w="0" w:type="dxa"/>
          <w:left w:w="0" w:type="dxa"/>
          <w:bottom w:w="0" w:type="dxa"/>
          <w:right w:w="0" w:type="dxa"/>
        </w:tblCellMar>
      </w:tblPr>
      <w:tr>
        <w:trPr>
          <w:trHeight w:val="230"/>
        </w:trPr>
        <w:tc>
          <w:tcPr>
            <w:tcW w:w="9360" w:type="dxa"/>
            <w:vAlign w:val="bottom"/>
          </w:tcPr>
          <w:p>
            <w:pPr>
              <w:ind w:left="5500"/>
              <w:spacing w:after="0"/>
              <w:rPr>
                <w:sz w:val="20"/>
                <w:szCs w:val="20"/>
                <w:color w:val="auto"/>
              </w:rPr>
            </w:pPr>
            <w:r>
              <w:rPr>
                <w:rFonts w:ascii="Arial" w:cs="Arial" w:eastAsia="Arial" w:hAnsi="Arial"/>
                <w:sz w:val="18"/>
                <w:szCs w:val="18"/>
                <w:color w:val="auto"/>
              </w:rPr>
              <w:t>- B2 -</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9360" w:type="dxa"/>
            <w:vAlign w:val="bottom"/>
          </w:tcPr>
          <w:p>
            <w:pPr>
              <w:spacing w:after="0"/>
              <w:rPr>
                <w:sz w:val="20"/>
                <w:szCs w:val="20"/>
                <w:color w:val="auto"/>
              </w:rPr>
            </w:pPr>
            <w:r>
              <w:rPr>
                <w:rFonts w:ascii="Arial" w:cs="Arial" w:eastAsia="Arial" w:hAnsi="Arial"/>
                <w:sz w:val="18"/>
                <w:szCs w:val="18"/>
                <w:color w:val="auto"/>
              </w:rPr>
              <w:t>EBIT of Acquired Businesses (sum of (i) through (vi)</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(b)</w:t>
            </w:r>
          </w:p>
        </w:tc>
      </w:tr>
      <w:tr>
        <w:trPr>
          <w:trHeight w:val="412"/>
        </w:trPr>
        <w:tc>
          <w:tcPr>
            <w:tcW w:w="9360" w:type="dxa"/>
            <w:vAlign w:val="bottom"/>
          </w:tcPr>
          <w:p>
            <w:pPr>
              <w:spacing w:after="0"/>
              <w:rPr>
                <w:sz w:val="20"/>
                <w:szCs w:val="20"/>
                <w:color w:val="auto"/>
              </w:rPr>
            </w:pPr>
            <w:r>
              <w:rPr>
                <w:rFonts w:ascii="Arial" w:cs="Arial" w:eastAsia="Arial" w:hAnsi="Arial"/>
                <w:sz w:val="18"/>
                <w:szCs w:val="18"/>
                <w:color w:val="auto"/>
              </w:rPr>
              <w:t>Sum of (a) plus (b)</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w w:val="95"/>
              </w:rPr>
              <w:t>(c)</w:t>
            </w:r>
          </w:p>
        </w:tc>
      </w:tr>
      <w:tr>
        <w:trPr>
          <w:trHeight w:val="412"/>
        </w:trPr>
        <w:tc>
          <w:tcPr>
            <w:tcW w:w="9360" w:type="dxa"/>
            <w:vAlign w:val="bottom"/>
          </w:tcPr>
          <w:p>
            <w:pPr>
              <w:spacing w:after="0"/>
              <w:rPr>
                <w:sz w:val="20"/>
                <w:szCs w:val="20"/>
                <w:color w:val="auto"/>
              </w:rPr>
            </w:pPr>
            <w:r>
              <w:rPr>
                <w:rFonts w:ascii="Arial" w:cs="Arial" w:eastAsia="Arial" w:hAnsi="Arial"/>
                <w:sz w:val="18"/>
                <w:szCs w:val="18"/>
                <w:color w:val="auto"/>
              </w:rPr>
              <w:t>Consolidated Total Interest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(d)</w:t>
            </w:r>
          </w:p>
        </w:tc>
      </w:tr>
      <w:tr>
        <w:trPr>
          <w:trHeight w:val="453"/>
        </w:trPr>
        <w:tc>
          <w:tcPr>
            <w:tcW w:w="9360" w:type="dxa"/>
            <w:vAlign w:val="bottom"/>
          </w:tcPr>
          <w:p>
            <w:pPr>
              <w:spacing w:after="0"/>
              <w:rPr>
                <w:sz w:val="20"/>
                <w:szCs w:val="20"/>
                <w:color w:val="auto"/>
              </w:rPr>
            </w:pPr>
            <w:r>
              <w:rPr>
                <w:rFonts w:ascii="Arial" w:cs="Arial" w:eastAsia="Arial" w:hAnsi="Arial"/>
                <w:sz w:val="18"/>
                <w:szCs w:val="18"/>
                <w:color w:val="auto"/>
              </w:rPr>
              <w:t>Ratio of (c) to (d)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___:____</w:t>
            </w:r>
          </w:p>
        </w:tc>
      </w:tr>
      <w:tr>
        <w:trPr>
          <w:trHeight w:val="432"/>
        </w:trPr>
        <w:tc>
          <w:tcPr>
            <w:tcW w:w="9360" w:type="dxa"/>
            <w:vAlign w:val="bottom"/>
          </w:tcPr>
          <w:p>
            <w:pPr>
              <w:spacing w:after="0"/>
              <w:rPr>
                <w:sz w:val="20"/>
                <w:szCs w:val="20"/>
                <w:color w:val="auto"/>
              </w:rPr>
            </w:pPr>
            <w:r>
              <w:rPr>
                <w:rFonts w:ascii="Arial" w:cs="Arial" w:eastAsia="Arial" w:hAnsi="Arial"/>
                <w:sz w:val="18"/>
                <w:szCs w:val="18"/>
                <w:color w:val="auto"/>
              </w:rPr>
              <w:t>Minimum ratio</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2.75:1</w:t>
            </w:r>
          </w:p>
        </w:tc>
      </w:tr>
      <w:tr>
        <w:trPr>
          <w:trHeight w:val="432"/>
        </w:trPr>
        <w:tc>
          <w:tcPr>
            <w:tcW w:w="9360" w:type="dxa"/>
            <w:vAlign w:val="bottom"/>
          </w:tcPr>
          <w:p>
            <w:pPr>
              <w:spacing w:after="0"/>
              <w:rPr>
                <w:sz w:val="20"/>
                <w:szCs w:val="20"/>
                <w:color w:val="auto"/>
              </w:rPr>
            </w:pPr>
            <w:r>
              <w:rPr>
                <w:rFonts w:ascii="Arial" w:cs="Arial" w:eastAsia="Arial" w:hAnsi="Arial"/>
                <w:sz w:val="18"/>
                <w:szCs w:val="18"/>
                <w:b w:val="1"/>
                <w:bCs w:val="1"/>
                <w:color w:val="auto"/>
              </w:rPr>
              <w:t>§9.2 Total Debt to EBITDA</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2"/>
        </w:trPr>
        <w:tc>
          <w:tcPr>
            <w:tcW w:w="9360" w:type="dxa"/>
            <w:vAlign w:val="bottom"/>
          </w:tcPr>
          <w:p>
            <w:pPr>
              <w:spacing w:after="0"/>
              <w:rPr>
                <w:sz w:val="20"/>
                <w:szCs w:val="20"/>
                <w:color w:val="auto"/>
              </w:rPr>
            </w:pPr>
            <w:r>
              <w:rPr>
                <w:rFonts w:ascii="Arial" w:cs="Arial" w:eastAsia="Arial" w:hAnsi="Arial"/>
                <w:sz w:val="18"/>
                <w:szCs w:val="18"/>
                <w:b w:val="1"/>
                <w:bCs w:val="1"/>
                <w:color w:val="auto"/>
              </w:rPr>
              <w:t xml:space="preserve">EBIT </w:t>
            </w:r>
            <w:r>
              <w:rPr>
                <w:rFonts w:ascii="Arial" w:cs="Arial" w:eastAsia="Arial" w:hAnsi="Arial"/>
                <w:sz w:val="18"/>
                <w:szCs w:val="18"/>
                <w:color w:val="auto"/>
              </w:rPr>
              <w:t>(from §9.1 item (c) above)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(i)</w:t>
            </w:r>
          </w:p>
        </w:tc>
      </w:tr>
      <w:tr>
        <w:trPr>
          <w:trHeight w:val="438"/>
        </w:trPr>
        <w:tc>
          <w:tcPr>
            <w:tcW w:w="9360" w:type="dxa"/>
            <w:vAlign w:val="bottom"/>
          </w:tcPr>
          <w:p>
            <w:pPr>
              <w:spacing w:after="0"/>
              <w:rPr>
                <w:sz w:val="20"/>
                <w:szCs w:val="20"/>
                <w:color w:val="auto"/>
              </w:rPr>
            </w:pPr>
            <w:r>
              <w:rPr>
                <w:rFonts w:ascii="Arial" w:cs="Arial" w:eastAsia="Arial" w:hAnsi="Arial"/>
                <w:sz w:val="18"/>
                <w:szCs w:val="18"/>
                <w:color w:val="auto"/>
              </w:rPr>
              <w:t>Plus: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9360" w:type="dxa"/>
            <w:vAlign w:val="bottom"/>
          </w:tcPr>
          <w:p>
            <w:pPr>
              <w:ind w:left="220"/>
              <w:spacing w:after="0" w:line="190" w:lineRule="exact"/>
              <w:rPr>
                <w:sz w:val="20"/>
                <w:szCs w:val="20"/>
                <w:color w:val="auto"/>
              </w:rPr>
            </w:pPr>
            <w:r>
              <w:rPr>
                <w:rFonts w:ascii="Arial" w:cs="Arial" w:eastAsia="Arial" w:hAnsi="Arial"/>
                <w:sz w:val="18"/>
                <w:szCs w:val="18"/>
                <w:color w:val="auto"/>
              </w:rPr>
              <w:t>Depreciation expense</w:t>
            </w:r>
          </w:p>
        </w:tc>
        <w:tc>
          <w:tcPr>
            <w:tcW w:w="860" w:type="dxa"/>
            <w:vAlign w:val="bottom"/>
            <w:gridSpan w:val="4"/>
          </w:tcPr>
          <w:p>
            <w:pPr>
              <w:ind w:left="78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gridSpan w:val="3"/>
          </w:tcPr>
          <w:p>
            <w:pPr>
              <w:jc w:val="center"/>
              <w:ind w:right="80"/>
              <w:spacing w:after="0" w:line="190" w:lineRule="exact"/>
              <w:rPr>
                <w:sz w:val="20"/>
                <w:szCs w:val="20"/>
                <w:color w:val="auto"/>
              </w:rPr>
            </w:pPr>
            <w:r>
              <w:rPr>
                <w:rFonts w:ascii="Arial" w:cs="Arial" w:eastAsia="Arial" w:hAnsi="Arial"/>
                <w:sz w:val="18"/>
                <w:szCs w:val="18"/>
                <w:color w:val="auto"/>
              </w:rPr>
              <w:t>(ii)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Amortization expense</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gridSpan w:val="3"/>
          </w:tcPr>
          <w:p>
            <w:pPr>
              <w:jc w:val="center"/>
              <w:ind w:right="60"/>
              <w:spacing w:after="0" w:line="196" w:lineRule="exact"/>
              <w:rPr>
                <w:sz w:val="20"/>
                <w:szCs w:val="20"/>
                <w:color w:val="auto"/>
              </w:rPr>
            </w:pPr>
            <w:r>
              <w:rPr>
                <w:rFonts w:ascii="Arial" w:cs="Arial" w:eastAsia="Arial" w:hAnsi="Arial"/>
                <w:sz w:val="18"/>
                <w:szCs w:val="18"/>
                <w:color w:val="auto"/>
                <w:w w:val="99"/>
              </w:rPr>
              <w:t>(iii)</w:t>
            </w:r>
          </w:p>
        </w:tc>
      </w:tr>
      <w:tr>
        <w:trPr>
          <w:trHeight w:val="412"/>
        </w:trPr>
        <w:tc>
          <w:tcPr>
            <w:tcW w:w="9360" w:type="dxa"/>
            <w:vAlign w:val="bottom"/>
          </w:tcPr>
          <w:p>
            <w:pPr>
              <w:ind w:left="220"/>
              <w:spacing w:after="0"/>
              <w:rPr>
                <w:sz w:val="20"/>
                <w:szCs w:val="20"/>
                <w:color w:val="auto"/>
              </w:rPr>
            </w:pPr>
            <w:r>
              <w:rPr>
                <w:rFonts w:ascii="Arial" w:cs="Arial" w:eastAsia="Arial" w:hAnsi="Arial"/>
                <w:sz w:val="18"/>
                <w:szCs w:val="18"/>
                <w:color w:val="auto"/>
              </w:rPr>
              <w:t>EBITDA (sum of (i) through (iii))</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(iv)</w:t>
            </w:r>
          </w:p>
        </w:tc>
      </w:tr>
      <w:tr>
        <w:trPr>
          <w:trHeight w:val="438"/>
        </w:trPr>
        <w:tc>
          <w:tcPr>
            <w:tcW w:w="9360" w:type="dxa"/>
            <w:vAlign w:val="bottom"/>
          </w:tcPr>
          <w:p>
            <w:pPr>
              <w:spacing w:after="0"/>
              <w:rPr>
                <w:sz w:val="20"/>
                <w:szCs w:val="20"/>
                <w:color w:val="auto"/>
              </w:rPr>
            </w:pPr>
            <w:r>
              <w:rPr>
                <w:rFonts w:ascii="Arial" w:cs="Arial" w:eastAsia="Arial" w:hAnsi="Arial"/>
                <w:sz w:val="18"/>
                <w:szCs w:val="18"/>
                <w:color w:val="auto"/>
              </w:rPr>
              <w:t>The sum of the following (calculated on a consolidated basis for Waste Management Inc. and its Subsidiaries):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9360" w:type="dxa"/>
            <w:vAlign w:val="bottom"/>
          </w:tcPr>
          <w:p>
            <w:pPr>
              <w:ind w:left="220"/>
              <w:spacing w:after="0" w:line="190" w:lineRule="exact"/>
              <w:rPr>
                <w:sz w:val="20"/>
                <w:szCs w:val="20"/>
                <w:color w:val="auto"/>
              </w:rPr>
            </w:pPr>
            <w:r>
              <w:rPr>
                <w:rFonts w:ascii="Arial" w:cs="Arial" w:eastAsia="Arial" w:hAnsi="Arial"/>
                <w:sz w:val="18"/>
                <w:szCs w:val="18"/>
                <w:color w:val="auto"/>
              </w:rPr>
              <w:t>Indebtedness for borrowed money</w:t>
            </w:r>
          </w:p>
        </w:tc>
        <w:tc>
          <w:tcPr>
            <w:tcW w:w="940" w:type="dxa"/>
            <w:vAlign w:val="bottom"/>
            <w:gridSpan w:val="5"/>
          </w:tcPr>
          <w:p>
            <w:pPr>
              <w:ind w:left="780"/>
              <w:spacing w:after="0" w:line="190"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3"/>
          </w:tcPr>
          <w:p>
            <w:pPr>
              <w:jc w:val="center"/>
              <w:ind w:right="80"/>
              <w:spacing w:after="0" w:line="190" w:lineRule="exact"/>
              <w:rPr>
                <w:sz w:val="20"/>
                <w:szCs w:val="20"/>
                <w:color w:val="auto"/>
              </w:rPr>
            </w:pPr>
            <w:r>
              <w:rPr>
                <w:rFonts w:ascii="Arial" w:cs="Arial" w:eastAsia="Arial" w:hAnsi="Arial"/>
                <w:sz w:val="18"/>
                <w:szCs w:val="18"/>
                <w:color w:val="auto"/>
              </w:rPr>
              <w:t>(v)</w:t>
            </w:r>
          </w:p>
        </w:tc>
      </w:tr>
      <w:tr>
        <w:trPr>
          <w:trHeight w:val="20"/>
        </w:trPr>
        <w:tc>
          <w:tcPr>
            <w:tcW w:w="9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Obligations for deferred purchase price of property or services (other than trade payables)</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gridSpan w:val="3"/>
          </w:tcPr>
          <w:p>
            <w:pPr>
              <w:jc w:val="center"/>
              <w:ind w:right="60"/>
              <w:spacing w:after="0" w:line="196" w:lineRule="exact"/>
              <w:rPr>
                <w:sz w:val="20"/>
                <w:szCs w:val="20"/>
                <w:color w:val="auto"/>
              </w:rPr>
            </w:pPr>
            <w:r>
              <w:rPr>
                <w:rFonts w:ascii="Arial" w:cs="Arial" w:eastAsia="Arial" w:hAnsi="Arial"/>
                <w:sz w:val="18"/>
                <w:szCs w:val="18"/>
                <w:color w:val="auto"/>
                <w:w w:val="95"/>
              </w:rPr>
              <w:t>(vi)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Obligations evidenced by debt instruments</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gridSpan w:val="4"/>
          </w:tcPr>
          <w:p>
            <w:pPr>
              <w:jc w:val="center"/>
              <w:ind w:right="40"/>
              <w:spacing w:after="0" w:line="196" w:lineRule="exact"/>
              <w:rPr>
                <w:sz w:val="20"/>
                <w:szCs w:val="20"/>
                <w:color w:val="auto"/>
              </w:rPr>
            </w:pPr>
            <w:r>
              <w:rPr>
                <w:rFonts w:ascii="Arial" w:cs="Arial" w:eastAsia="Arial" w:hAnsi="Arial"/>
                <w:sz w:val="18"/>
                <w:szCs w:val="18"/>
                <w:color w:val="auto"/>
              </w:rPr>
              <w:t>(vii)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Obligations under conditional sales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gridSpan w:val="5"/>
          </w:tcPr>
          <w:p>
            <w:pPr>
              <w:jc w:val="center"/>
              <w:spacing w:after="0" w:line="196" w:lineRule="exact"/>
              <w:rPr>
                <w:sz w:val="20"/>
                <w:szCs w:val="20"/>
                <w:color w:val="auto"/>
              </w:rPr>
            </w:pPr>
            <w:r>
              <w:rPr>
                <w:rFonts w:ascii="Arial" w:cs="Arial" w:eastAsia="Arial" w:hAnsi="Arial"/>
                <w:sz w:val="18"/>
                <w:szCs w:val="18"/>
                <w:color w:val="auto"/>
              </w:rPr>
              <w:t>(viii)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Obligations, liabilities and indebtedness under Capitalized Leases</w:t>
            </w:r>
          </w:p>
        </w:tc>
        <w:tc>
          <w:tcPr>
            <w:tcW w:w="8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center"/>
              <w:ind w:right="60"/>
              <w:spacing w:after="0" w:line="196" w:lineRule="exact"/>
              <w:rPr>
                <w:sz w:val="20"/>
                <w:szCs w:val="20"/>
                <w:color w:val="auto"/>
              </w:rPr>
            </w:pPr>
            <w:r>
              <w:rPr>
                <w:rFonts w:ascii="Arial" w:cs="Arial" w:eastAsia="Arial" w:hAnsi="Arial"/>
                <w:sz w:val="18"/>
                <w:szCs w:val="18"/>
                <w:color w:val="auto"/>
                <w:w w:val="95"/>
              </w:rPr>
              <w:t>(ix)</w:t>
            </w:r>
          </w:p>
        </w:tc>
      </w:tr>
      <w:tr>
        <w:trPr>
          <w:trHeight w:val="20"/>
        </w:trPr>
        <w:tc>
          <w:tcPr>
            <w:tcW w:w="9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Obligations, liabilities and indebtedness under bonding arrangements</w:t>
            </w:r>
          </w:p>
        </w:tc>
        <w:tc>
          <w:tcPr>
            <w:tcW w:w="940" w:type="dxa"/>
            <w:vAlign w:val="bottom"/>
            <w:gridSpan w:val="5"/>
          </w:tcPr>
          <w:p>
            <w:pPr>
              <w:ind w:left="78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center"/>
              <w:ind w:right="80"/>
              <w:spacing w:after="0" w:line="196" w:lineRule="exact"/>
              <w:rPr>
                <w:sz w:val="20"/>
                <w:szCs w:val="20"/>
                <w:color w:val="auto"/>
              </w:rPr>
            </w:pPr>
            <w:r>
              <w:rPr>
                <w:rFonts w:ascii="Arial" w:cs="Arial" w:eastAsia="Arial" w:hAnsi="Arial"/>
                <w:sz w:val="18"/>
                <w:szCs w:val="18"/>
                <w:color w:val="auto"/>
              </w:rPr>
              <w:t>(x)</w:t>
            </w:r>
          </w:p>
        </w:tc>
      </w:tr>
      <w:tr>
        <w:trPr>
          <w:trHeight w:val="20"/>
        </w:trPr>
        <w:tc>
          <w:tcPr>
            <w:tcW w:w="9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w w:val="95"/>
              </w:rPr>
              <w:t>(to the extent that a surety has been called upon to make payment on a bond) Guaranties of the Indebtedness of others</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gridSpan w:val="3"/>
          </w:tcPr>
          <w:p>
            <w:pPr>
              <w:jc w:val="center"/>
              <w:ind w:right="60"/>
              <w:spacing w:after="0" w:line="196" w:lineRule="exact"/>
              <w:rPr>
                <w:sz w:val="20"/>
                <w:szCs w:val="20"/>
                <w:color w:val="auto"/>
              </w:rPr>
            </w:pPr>
            <w:r>
              <w:rPr>
                <w:rFonts w:ascii="Arial" w:cs="Arial" w:eastAsia="Arial" w:hAnsi="Arial"/>
                <w:sz w:val="18"/>
                <w:szCs w:val="18"/>
                <w:color w:val="auto"/>
                <w:w w:val="95"/>
              </w:rPr>
              <w:t>(xi)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Indebtedness secured by liens or encumbrances on property</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gridSpan w:val="4"/>
          </w:tcPr>
          <w:p>
            <w:pPr>
              <w:jc w:val="center"/>
              <w:ind w:right="40"/>
              <w:spacing w:after="0" w:line="196" w:lineRule="exact"/>
              <w:rPr>
                <w:sz w:val="20"/>
                <w:szCs w:val="20"/>
                <w:color w:val="auto"/>
              </w:rPr>
            </w:pPr>
            <w:r>
              <w:rPr>
                <w:rFonts w:ascii="Arial" w:cs="Arial" w:eastAsia="Arial" w:hAnsi="Arial"/>
                <w:sz w:val="18"/>
                <w:szCs w:val="18"/>
                <w:color w:val="auto"/>
              </w:rPr>
              <w:t>(xii)</w:t>
            </w:r>
          </w:p>
        </w:tc>
      </w:tr>
      <w:tr>
        <w:trPr>
          <w:trHeight w:val="196"/>
        </w:trPr>
        <w:tc>
          <w:tcPr>
            <w:tcW w:w="9360" w:type="dxa"/>
            <w:vAlign w:val="bottom"/>
          </w:tcPr>
          <w:p>
            <w:pPr>
              <w:ind w:left="220"/>
              <w:spacing w:after="0" w:line="196" w:lineRule="exact"/>
              <w:rPr>
                <w:sz w:val="20"/>
                <w:szCs w:val="20"/>
                <w:color w:val="auto"/>
              </w:rPr>
            </w:pPr>
            <w:r>
              <w:rPr>
                <w:rFonts w:ascii="Arial" w:cs="Arial" w:eastAsia="Arial" w:hAnsi="Arial"/>
                <w:sz w:val="18"/>
                <w:szCs w:val="18"/>
                <w:color w:val="auto"/>
              </w:rPr>
              <w:t>Reimbursement obligations with respect to letters of credit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gridSpan w:val="5"/>
          </w:tcPr>
          <w:p>
            <w:pPr>
              <w:jc w:val="center"/>
              <w:spacing w:after="0" w:line="196" w:lineRule="exact"/>
              <w:rPr>
                <w:sz w:val="20"/>
                <w:szCs w:val="20"/>
                <w:color w:val="auto"/>
              </w:rPr>
            </w:pPr>
            <w:r>
              <w:rPr>
                <w:rFonts w:ascii="Arial" w:cs="Arial" w:eastAsia="Arial" w:hAnsi="Arial"/>
                <w:sz w:val="18"/>
                <w:szCs w:val="18"/>
                <w:color w:val="auto"/>
              </w:rPr>
              <w:t>(xiii)</w:t>
            </w:r>
          </w:p>
        </w:tc>
      </w:tr>
      <w:tr>
        <w:trPr>
          <w:trHeight w:val="412"/>
        </w:trPr>
        <w:tc>
          <w:tcPr>
            <w:tcW w:w="9360" w:type="dxa"/>
            <w:vAlign w:val="bottom"/>
          </w:tcPr>
          <w:p>
            <w:pPr>
              <w:spacing w:after="0"/>
              <w:rPr>
                <w:sz w:val="20"/>
                <w:szCs w:val="20"/>
                <w:color w:val="auto"/>
              </w:rPr>
            </w:pPr>
            <w:r>
              <w:rPr>
                <w:rFonts w:ascii="Arial" w:cs="Arial" w:eastAsia="Arial" w:hAnsi="Arial"/>
                <w:sz w:val="18"/>
                <w:szCs w:val="18"/>
                <w:color w:val="auto"/>
              </w:rPr>
              <w:t>Total Debt (sum of v — xiv)</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gridSpan w:val="5"/>
          </w:tcPr>
          <w:p>
            <w:pPr>
              <w:jc w:val="center"/>
              <w:ind w:right="20"/>
              <w:spacing w:after="0"/>
              <w:rPr>
                <w:sz w:val="20"/>
                <w:szCs w:val="20"/>
                <w:color w:val="auto"/>
              </w:rPr>
            </w:pPr>
            <w:r>
              <w:rPr>
                <w:rFonts w:ascii="Arial" w:cs="Arial" w:eastAsia="Arial" w:hAnsi="Arial"/>
                <w:sz w:val="18"/>
                <w:szCs w:val="18"/>
                <w:color w:val="auto"/>
                <w:w w:val="99"/>
              </w:rPr>
              <w:t>(xiv)</w:t>
            </w:r>
          </w:p>
        </w:tc>
      </w:tr>
      <w:tr>
        <w:trPr>
          <w:trHeight w:val="453"/>
        </w:trPr>
        <w:tc>
          <w:tcPr>
            <w:tcW w:w="9360" w:type="dxa"/>
            <w:vAlign w:val="bottom"/>
          </w:tcPr>
          <w:p>
            <w:pPr>
              <w:spacing w:after="0"/>
              <w:rPr>
                <w:sz w:val="20"/>
                <w:szCs w:val="20"/>
                <w:color w:val="auto"/>
              </w:rPr>
            </w:pPr>
            <w:r>
              <w:rPr>
                <w:rFonts w:ascii="Arial" w:cs="Arial" w:eastAsia="Arial" w:hAnsi="Arial"/>
                <w:sz w:val="18"/>
                <w:szCs w:val="18"/>
                <w:color w:val="auto"/>
              </w:rPr>
              <w:t>Ratio of (xv) to (iv)</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___ : ___</w:t>
            </w:r>
          </w:p>
        </w:tc>
      </w:tr>
      <w:tr>
        <w:trPr>
          <w:trHeight w:val="432"/>
        </w:trPr>
        <w:tc>
          <w:tcPr>
            <w:tcW w:w="9360" w:type="dxa"/>
            <w:vAlign w:val="bottom"/>
          </w:tcPr>
          <w:p>
            <w:pPr>
              <w:ind w:left="220"/>
              <w:spacing w:after="0"/>
              <w:rPr>
                <w:sz w:val="20"/>
                <w:szCs w:val="20"/>
                <w:color w:val="auto"/>
              </w:rPr>
            </w:pPr>
            <w:r>
              <w:rPr>
                <w:rFonts w:ascii="Arial" w:cs="Arial" w:eastAsia="Arial" w:hAnsi="Arial"/>
                <w:sz w:val="18"/>
                <w:szCs w:val="18"/>
                <w:color w:val="auto"/>
              </w:rPr>
              <w:t>Maximum ratio:</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3.50:1.00</w:t>
            </w:r>
          </w:p>
        </w:tc>
      </w:tr>
      <w:tr>
        <w:trPr>
          <w:trHeight w:val="432"/>
        </w:trPr>
        <w:tc>
          <w:tcPr>
            <w:tcW w:w="9360" w:type="dxa"/>
            <w:vAlign w:val="bottom"/>
          </w:tcPr>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___________________________________________.</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32"/>
        </w:trPr>
        <w:tc>
          <w:tcPr>
            <w:tcW w:w="93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8"/>
          <w:szCs w:val="18"/>
          <w:color w:val="auto"/>
        </w:rPr>
        <w:t>- B-3</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28987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WASTE MANAGEMENT OF CANADA</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239" w:name="page240"/>
    <w:bookmarkEnd w:id="239"/>
    <w:p>
      <w:pPr>
        <w:jc w:val="center"/>
        <w:ind w:right="-59"/>
        <w:spacing w:after="0"/>
        <w:rPr>
          <w:sz w:val="20"/>
          <w:szCs w:val="20"/>
          <w:color w:val="auto"/>
        </w:rPr>
      </w:pPr>
      <w:r>
        <w:rPr>
          <w:rFonts w:ascii="Arial" w:cs="Arial" w:eastAsia="Arial" w:hAnsi="Arial"/>
          <w:sz w:val="18"/>
          <w:szCs w:val="18"/>
          <w:b w:val="1"/>
          <w:bCs w:val="1"/>
          <w:color w:val="auto"/>
        </w:rPr>
        <w:t>SCHEDULE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ASSIGNMENT AGREEMENT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references in Sections 1.1.9 and 10.2]</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undersigned refer to the credit agreement dated as of 30 November 2005 between Waste Management of Canada Corporation, as Borrower, Waste Management, Inc. and Waste Management Holdings, Inc.,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Assignment Agreement that are defined in the Credit Agreement will have the meanings defined in the Credit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value received, the “Assignor” and the “Assignee” named below hereby agree as follows:</w:t>
      </w:r>
    </w:p>
    <w:p>
      <w:pPr>
        <w:spacing w:after="0" w:line="117" w:lineRule="exact"/>
        <w:rPr>
          <w:sz w:val="20"/>
          <w:szCs w:val="20"/>
          <w:color w:val="auto"/>
        </w:rPr>
      </w:pPr>
    </w:p>
    <w:p>
      <w:pPr>
        <w:ind w:left="260" w:right="60" w:hanging="252"/>
        <w:spacing w:after="0" w:line="264" w:lineRule="auto"/>
        <w:tabs>
          <w:tab w:leader="none" w:pos="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Assignor hereby sells and assigns, without recourse, to the Assignee, and the Assignee hereby purchases and assumes from the Assignor, the Proportionate Share specified on Appendix 1 in and to the Assignor’s rights and obligations under the Credit Agreement, the Security and all other Credit Documents.</w:t>
      </w:r>
    </w:p>
    <w:p>
      <w:pPr>
        <w:spacing w:after="0" w:line="73" w:lineRule="exact"/>
        <w:rPr>
          <w:rFonts w:ascii="Arial" w:cs="Arial" w:eastAsia="Arial" w:hAnsi="Arial"/>
          <w:sz w:val="18"/>
          <w:szCs w:val="18"/>
          <w:color w:val="auto"/>
        </w:rPr>
      </w:pPr>
    </w:p>
    <w:p>
      <w:pPr>
        <w:ind w:left="260" w:right="20" w:hanging="252"/>
        <w:spacing w:after="0" w:line="293" w:lineRule="auto"/>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Assignor (a) represents and warrants that it is the legal and beneficial owner of the interest being assigned by it hereunder, that such interest is free and clear of any lien or security interest and that it is entitled to enter into this Assignment Agreement, (b) makes no representation or warranty, other than as provided in this Assignment Agreement and assumes no responsibility with respect to any statements, warranties or representations made in or in connection with the Credit Agreement or the execution, legality, validity, enforceability, genuineness, sufficiency or value of the Credit Agreement or any other Credit Document, and (c) makes no representation or warranty and assumes no responsibility with respect to the financial condition of any Obligor or the performance or observance by any Obligor of any of the obligations under the Credit Agreement or any other Credit Document.</w:t>
      </w:r>
    </w:p>
    <w:p>
      <w:pPr>
        <w:spacing w:after="0" w:line="56" w:lineRule="exact"/>
        <w:rPr>
          <w:rFonts w:ascii="Arial" w:cs="Arial" w:eastAsia="Arial" w:hAnsi="Arial"/>
          <w:sz w:val="16"/>
          <w:szCs w:val="16"/>
          <w:color w:val="auto"/>
        </w:rPr>
      </w:pPr>
    </w:p>
    <w:p>
      <w:pPr>
        <w:ind w:left="260" w:hanging="252"/>
        <w:spacing w:after="0"/>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Assignee, for the benefit of the Borrower, the Guarantors, the other Obligors, the Agent and all Lenders from time to time, including the Assignor,</w:t>
      </w:r>
    </w:p>
    <w:p>
      <w:pPr>
        <w:spacing w:after="0" w:line="46" w:lineRule="exact"/>
        <w:rPr>
          <w:rFonts w:ascii="Arial" w:cs="Arial" w:eastAsia="Arial" w:hAnsi="Arial"/>
          <w:sz w:val="16"/>
          <w:szCs w:val="16"/>
          <w:color w:val="auto"/>
        </w:rPr>
      </w:pPr>
    </w:p>
    <w:p>
      <w:pPr>
        <w:ind w:left="260" w:right="100" w:hanging="9"/>
        <w:spacing w:after="0" w:line="281" w:lineRule="auto"/>
        <w:tabs>
          <w:tab w:leader="none" w:pos="50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acknowledges receipt of any upfront fee payable by the Assignor, (b) confirms that it has received a copy of the Credit Agreement, together with such other documents and information as it has deemed appropriate to make its own credit analysis and decision to enter into this Assignment Agreement,</w:t>
      </w:r>
    </w:p>
    <w:p>
      <w:pPr>
        <w:spacing w:after="0" w:line="1" w:lineRule="exact"/>
        <w:rPr>
          <w:rFonts w:ascii="Arial" w:cs="Arial" w:eastAsia="Arial" w:hAnsi="Arial"/>
          <w:sz w:val="16"/>
          <w:szCs w:val="16"/>
          <w:color w:val="auto"/>
        </w:rPr>
      </w:pPr>
    </w:p>
    <w:p>
      <w:pPr>
        <w:ind w:left="260" w:hanging="9"/>
        <w:spacing w:after="0" w:line="270" w:lineRule="auto"/>
        <w:tabs>
          <w:tab w:leader="none" w:pos="505"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(d) appoints and authorizes the Agent to take such action on its behalf and to exercise such powers and discretion under the Credit Agreement as are delegated to the Agent by the terms thereof, together with such powers and discretion as are reasonably incidental thereto, (e) ratifies and adopts the powers of attorney and related powers given to the Agent and the Collateral Agent under the Credit Agreement, (f) agrees that it will perform in accordance with their terms all of the obligations that by the terms of the Credit Agreement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240" w:name="page241"/>
    <w:bookmarkEnd w:id="240"/>
    <w:p>
      <w:pPr>
        <w:jc w:val="center"/>
        <w:ind w:right="-11"/>
        <w:spacing w:after="0"/>
        <w:rPr>
          <w:sz w:val="20"/>
          <w:szCs w:val="20"/>
          <w:color w:val="auto"/>
        </w:rPr>
      </w:pPr>
      <w:r>
        <w:rPr>
          <w:rFonts w:ascii="Arial" w:cs="Arial" w:eastAsia="Arial" w:hAnsi="Arial"/>
          <w:sz w:val="18"/>
          <w:szCs w:val="18"/>
          <w:color w:val="auto"/>
        </w:rPr>
        <w:t>- C2 -</w:t>
      </w:r>
    </w:p>
    <w:p>
      <w:pPr>
        <w:spacing w:after="0" w:line="117" w:lineRule="exact"/>
        <w:rPr>
          <w:sz w:val="20"/>
          <w:szCs w:val="20"/>
          <w:color w:val="auto"/>
        </w:rPr>
      </w:pPr>
    </w:p>
    <w:p>
      <w:pPr>
        <w:ind w:left="232" w:right="200"/>
        <w:spacing w:after="0" w:line="277" w:lineRule="auto"/>
        <w:rPr>
          <w:sz w:val="20"/>
          <w:szCs w:val="20"/>
          <w:color w:val="auto"/>
        </w:rPr>
      </w:pPr>
      <w:r>
        <w:rPr>
          <w:rFonts w:ascii="Arial" w:cs="Arial" w:eastAsia="Arial" w:hAnsi="Arial"/>
          <w:sz w:val="18"/>
          <w:szCs w:val="18"/>
          <w:color w:val="auto"/>
        </w:rPr>
        <w:t>required to be performed by it as a Lender, (g) agrees to be bound by the terms of all Intercreditor Agreements, and (h) specifies as its address for notice and payments its office at the address set forth on Appendix 1 hereto.</w:t>
      </w:r>
    </w:p>
    <w:p>
      <w:pPr>
        <w:spacing w:after="0" w:line="62" w:lineRule="exact"/>
        <w:rPr>
          <w:sz w:val="20"/>
          <w:szCs w:val="20"/>
          <w:color w:val="auto"/>
        </w:rPr>
      </w:pPr>
    </w:p>
    <w:p>
      <w:pPr>
        <w:ind w:left="252" w:hanging="252"/>
        <w:spacing w:after="0" w:line="253" w:lineRule="auto"/>
        <w:tabs>
          <w:tab w:leader="none" w:pos="25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Following the execution of this Assignment Agreement, it shall immediately be delivered to the Agent, together with the processing and recording fee specified in Section 10.2 of the Credit Agreement if applicable, for approval and recording by the Agent, the Issuing Lender and the Borrower, if applicable. The Assignee’s agreement to become a Lender, as constituted by this Assignment Agreement, is irrevocable, unless the Assignee is not approved by the Agent, the Issuing Lender or the Borrower, if applicable. The Assignee shall become a Lender, and shall be bound by the obligations and entitled to the benefits in the Credit Agreement, immediately upon this Assignment Agreement being approved and recorded by the Agent, the Issuing Lender and the Borrower, if applicable (the “</w:t>
      </w:r>
      <w:r>
        <w:rPr>
          <w:rFonts w:ascii="Arial" w:cs="Arial" w:eastAsia="Arial" w:hAnsi="Arial"/>
          <w:sz w:val="18"/>
          <w:szCs w:val="18"/>
          <w:b w:val="1"/>
          <w:bCs w:val="1"/>
          <w:color w:val="auto"/>
        </w:rPr>
        <w:t>Effective Date</w:t>
      </w:r>
      <w:r>
        <w:rPr>
          <w:rFonts w:ascii="Arial" w:cs="Arial" w:eastAsia="Arial" w:hAnsi="Arial"/>
          <w:sz w:val="18"/>
          <w:szCs w:val="18"/>
          <w:color w:val="auto"/>
        </w:rPr>
        <w:t>”). On the Effective Date, the Assignee (a) shall pay the Assignor an amount equal to the Assignee’s Proportionate Share of Prime Rate Advances made by the Assignor as of the Effective Date, and (b) shall become entitled to receive standby fees in accordance with the Credit Agreement in respect of its Proportionate Share of the aggregate amount of the Credit that has not been advanced by the Lenders.</w:t>
      </w:r>
    </w:p>
    <w:p>
      <w:pPr>
        <w:spacing w:after="0" w:line="89" w:lineRule="exact"/>
        <w:rPr>
          <w:rFonts w:ascii="Arial" w:cs="Arial" w:eastAsia="Arial" w:hAnsi="Arial"/>
          <w:sz w:val="18"/>
          <w:szCs w:val="18"/>
          <w:color w:val="auto"/>
        </w:rPr>
      </w:pPr>
    </w:p>
    <w:p>
      <w:pPr>
        <w:ind w:left="252" w:hanging="252"/>
        <w:spacing w:after="0" w:line="273" w:lineRule="auto"/>
        <w:tabs>
          <w:tab w:leader="none" w:pos="25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Advances made by the Assignee to the Borrower are for any reason less than the Assignee’s Proportionate Share of the aggregate Advances made by all Lenders under the Credit Agreement, the Assignee shall, on demand, indemnify the Assignor in respect of the principal amount of the corresponding Advances made by the Assignor in excess of the Assignor’s Proportionate Share. The Advances by the Assignor in respect of which the Assignee is bound to indemnify the Assignor are set out on Appendix 2 to this Assignment Agreement. The Assignor shall pay the Assignee indemnity fees during the period in which the Assignee is obliged to indemnify the Assignor. The fee shall be in the amount specified on Appendix 2 and shall be payable on the Effective Date in respect of Advances by way of Banker’s Acceptances.</w:t>
      </w:r>
    </w:p>
    <w:p>
      <w:pPr>
        <w:spacing w:after="0" w:line="70" w:lineRule="exact"/>
        <w:rPr>
          <w:rFonts w:ascii="Arial" w:cs="Arial" w:eastAsia="Arial" w:hAnsi="Arial"/>
          <w:sz w:val="17"/>
          <w:szCs w:val="17"/>
          <w:color w:val="auto"/>
        </w:rPr>
      </w:pPr>
    </w:p>
    <w:p>
      <w:pPr>
        <w:ind w:left="252" w:hanging="252"/>
        <w:spacing w:after="0"/>
        <w:tabs>
          <w:tab w:leader="none" w:pos="25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This Assignment Agreement shall be governed by, and construed in accordance with the laws of the Province of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60" w:right="25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color w:val="auto"/>
        </w:rPr>
        <w:t>- C3 -</w:t>
      </w:r>
    </w:p>
    <w:p>
      <w:pPr>
        <w:spacing w:after="0" w:line="117" w:lineRule="exact"/>
        <w:rPr>
          <w:sz w:val="20"/>
          <w:szCs w:val="20"/>
          <w:color w:val="auto"/>
        </w:rPr>
      </w:pPr>
    </w:p>
    <w:p>
      <w:pPr>
        <w:ind w:left="260" w:right="140" w:hanging="252"/>
        <w:spacing w:after="0" w:line="312" w:lineRule="auto"/>
        <w:tabs>
          <w:tab w:leader="none" w:pos="2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This Assignment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Assignment Agreement by telecopier shall be effective as delivery of a manually executed counterpart of this Assignment Agreement.</w:t>
      </w:r>
    </w:p>
    <w:p>
      <w:pPr>
        <w:spacing w:after="0" w:line="35"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Assignor and the Assignee have caused this Assignment Agreement to be executed by their duly authorized officers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dates specified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Assignor:</w:t>
            </w:r>
          </w:p>
        </w:tc>
        <w:tc>
          <w:tcPr>
            <w:tcW w:w="4960" w:type="dxa"/>
            <w:vAlign w:val="bottom"/>
            <w:tcBorders>
              <w:bottom w:val="single" w:sz="8" w:color="auto"/>
            </w:tcBorders>
            <w:gridSpan w:val="3"/>
          </w:tcPr>
          <w:p>
            <w:pPr>
              <w:spacing w:after="0"/>
              <w:rPr>
                <w:sz w:val="20"/>
                <w:szCs w:val="20"/>
                <w:color w:val="auto"/>
              </w:rPr>
            </w:pPr>
          </w:p>
        </w:tc>
      </w:tr>
      <w:tr>
        <w:trPr>
          <w:trHeight w:val="439"/>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40" w:type="dxa"/>
            <w:vAlign w:val="bottom"/>
            <w:gridSpan w:val="5"/>
          </w:tcPr>
          <w:p>
            <w:pPr>
              <w:ind w:left="20"/>
              <w:spacing w:after="0"/>
              <w:rPr>
                <w:sz w:val="20"/>
                <w:szCs w:val="20"/>
                <w:color w:val="auto"/>
              </w:rPr>
            </w:pPr>
            <w:r>
              <w:rPr>
                <w:rFonts w:ascii="Arial" w:cs="Arial" w:eastAsia="Arial" w:hAnsi="Arial"/>
                <w:sz w:val="18"/>
                <w:szCs w:val="18"/>
                <w:color w:val="auto"/>
              </w:rPr>
              <w:t>By:</w:t>
            </w:r>
          </w:p>
        </w:tc>
      </w:tr>
      <w:tr>
        <w:trPr>
          <w:trHeight w:val="209"/>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4"/>
          </w:tcPr>
          <w:p>
            <w:pPr>
              <w:ind w:left="760"/>
              <w:spacing w:after="0"/>
              <w:rPr>
                <w:sz w:val="20"/>
                <w:szCs w:val="20"/>
                <w:color w:val="auto"/>
              </w:rPr>
            </w:pPr>
            <w:r>
              <w:rPr>
                <w:rFonts w:ascii="Arial" w:cs="Arial" w:eastAsia="Arial" w:hAnsi="Arial"/>
                <w:sz w:val="18"/>
                <w:szCs w:val="18"/>
                <w:color w:val="auto"/>
              </w:rPr>
              <w:t>Title:</w:t>
            </w:r>
          </w:p>
        </w:tc>
      </w:tr>
      <w:tr>
        <w:trPr>
          <w:trHeight w:val="432"/>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960" w:type="dxa"/>
            <w:vAlign w:val="bottom"/>
            <w:tcBorders>
              <w:bottom w:val="single" w:sz="8" w:color="auto"/>
            </w:tcBorders>
            <w:gridSpan w:val="3"/>
          </w:tcPr>
          <w:p>
            <w:pPr>
              <w:spacing w:after="0"/>
              <w:rPr>
                <w:sz w:val="24"/>
                <w:szCs w:val="24"/>
                <w:color w:val="auto"/>
              </w:rPr>
            </w:pPr>
          </w:p>
        </w:tc>
      </w:tr>
      <w:tr>
        <w:trPr>
          <w:trHeight w:val="439"/>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Assignee:</w:t>
            </w:r>
          </w:p>
        </w:tc>
        <w:tc>
          <w:tcPr>
            <w:tcW w:w="4960" w:type="dxa"/>
            <w:vAlign w:val="bottom"/>
            <w:tcBorders>
              <w:bottom w:val="single" w:sz="8" w:color="auto"/>
            </w:tcBorders>
            <w:gridSpan w:val="3"/>
          </w:tcPr>
          <w:p>
            <w:pPr>
              <w:spacing w:after="0"/>
              <w:rPr>
                <w:sz w:val="24"/>
                <w:szCs w:val="24"/>
                <w:color w:val="auto"/>
              </w:rPr>
            </w:pPr>
          </w:p>
        </w:tc>
      </w:tr>
      <w:tr>
        <w:trPr>
          <w:trHeight w:val="439"/>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40" w:type="dxa"/>
            <w:vAlign w:val="bottom"/>
            <w:gridSpan w:val="5"/>
          </w:tcPr>
          <w:p>
            <w:pPr>
              <w:ind w:left="20"/>
              <w:spacing w:after="0"/>
              <w:rPr>
                <w:sz w:val="20"/>
                <w:szCs w:val="20"/>
                <w:color w:val="auto"/>
              </w:rPr>
            </w:pPr>
            <w:r>
              <w:rPr>
                <w:rFonts w:ascii="Arial" w:cs="Arial" w:eastAsia="Arial" w:hAnsi="Arial"/>
                <w:sz w:val="18"/>
                <w:szCs w:val="18"/>
                <w:color w:val="auto"/>
              </w:rPr>
              <w:t>By:</w:t>
            </w:r>
          </w:p>
        </w:tc>
      </w:tr>
      <w:tr>
        <w:trPr>
          <w:trHeight w:val="209"/>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4"/>
          </w:tcPr>
          <w:p>
            <w:pPr>
              <w:ind w:left="760"/>
              <w:spacing w:after="0"/>
              <w:rPr>
                <w:sz w:val="20"/>
                <w:szCs w:val="20"/>
                <w:color w:val="auto"/>
              </w:rPr>
            </w:pPr>
            <w:r>
              <w:rPr>
                <w:rFonts w:ascii="Arial" w:cs="Arial" w:eastAsia="Arial" w:hAnsi="Arial"/>
                <w:sz w:val="18"/>
                <w:szCs w:val="18"/>
                <w:color w:val="auto"/>
              </w:rPr>
              <w:t>Title:</w:t>
            </w:r>
          </w:p>
        </w:tc>
      </w:tr>
      <w:tr>
        <w:trPr>
          <w:trHeight w:val="432"/>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960" w:type="dxa"/>
            <w:vAlign w:val="bottom"/>
            <w:tcBorders>
              <w:bottom w:val="single" w:sz="8" w:color="auto"/>
            </w:tcBorders>
            <w:gridSpan w:val="3"/>
          </w:tcPr>
          <w:p>
            <w:pPr>
              <w:spacing w:after="0"/>
              <w:rPr>
                <w:sz w:val="24"/>
                <w:szCs w:val="24"/>
                <w:color w:val="auto"/>
              </w:rPr>
            </w:pPr>
          </w:p>
        </w:tc>
      </w:tr>
      <w:tr>
        <w:trPr>
          <w:trHeight w:val="439"/>
        </w:trPr>
        <w:tc>
          <w:tcPr>
            <w:tcW w:w="1320" w:type="dxa"/>
            <w:vAlign w:val="bottom"/>
            <w:gridSpan w:val="2"/>
          </w:tcPr>
          <w:p>
            <w:pPr>
              <w:spacing w:after="0"/>
              <w:rPr>
                <w:sz w:val="20"/>
                <w:szCs w:val="20"/>
                <w:color w:val="auto"/>
              </w:rPr>
            </w:pPr>
            <w:r>
              <w:rPr>
                <w:rFonts w:ascii="Arial" w:cs="Arial" w:eastAsia="Arial" w:hAnsi="Arial"/>
                <w:sz w:val="18"/>
                <w:szCs w:val="18"/>
                <w:color w:val="auto"/>
              </w:rPr>
              <w:t>Approved on</w:t>
            </w:r>
          </w:p>
        </w:tc>
        <w:tc>
          <w:tcPr>
            <w:tcW w:w="4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gridSpan w:val="3"/>
          </w:tcPr>
          <w:p>
            <w:pPr>
              <w:ind w:left="280"/>
              <w:spacing w:after="0"/>
              <w:rPr>
                <w:sz w:val="20"/>
                <w:szCs w:val="20"/>
                <w:color w:val="auto"/>
              </w:rPr>
            </w:pPr>
            <w:r>
              <w:rPr>
                <w:rFonts w:ascii="Arial" w:cs="Arial" w:eastAsia="Arial" w:hAnsi="Arial"/>
                <w:sz w:val="18"/>
                <w:szCs w:val="18"/>
                <w:i w:val="1"/>
                <w:iCs w:val="1"/>
                <w:color w:val="auto"/>
              </w:rPr>
              <w:t xml:space="preserve">[If applicable] </w:t>
            </w:r>
            <w:r>
              <w:rPr>
                <w:rFonts w:ascii="Arial" w:cs="Arial" w:eastAsia="Arial" w:hAnsi="Arial"/>
                <w:sz w:val="18"/>
                <w:szCs w:val="18"/>
                <w:color w:val="auto"/>
              </w:rPr>
              <w:t>Approved on</w:t>
            </w:r>
          </w:p>
        </w:tc>
        <w:tc>
          <w:tcPr>
            <w:tcW w:w="2800" w:type="dxa"/>
            <w:vAlign w:val="bottom"/>
            <w:tcBorders>
              <w:bottom w:val="single" w:sz="8" w:color="auto"/>
            </w:tcBorders>
          </w:tcPr>
          <w:p>
            <w:pPr>
              <w:spacing w:after="0"/>
              <w:rPr>
                <w:sz w:val="24"/>
                <w:szCs w:val="24"/>
                <w:color w:val="auto"/>
              </w:rPr>
            </w:pPr>
          </w:p>
        </w:tc>
      </w:tr>
      <w:tr>
        <w:trPr>
          <w:trHeight w:val="43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Agent</w:t>
            </w:r>
          </w:p>
        </w:tc>
        <w:tc>
          <w:tcPr>
            <w:tcW w:w="12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b w:val="1"/>
                <w:bCs w:val="1"/>
                <w:color w:val="auto"/>
              </w:rPr>
              <w:t>WASTE MANAGEMENT OF CANADA CORPORATION</w:t>
            </w: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By:</w:t>
            </w:r>
          </w:p>
        </w:tc>
      </w:tr>
      <w:tr>
        <w:trPr>
          <w:trHeight w:val="209"/>
        </w:trPr>
        <w:tc>
          <w:tcPr>
            <w:tcW w:w="760" w:type="dxa"/>
            <w:vAlign w:val="bottom"/>
          </w:tcPr>
          <w:p>
            <w:pPr>
              <w:spacing w:after="0"/>
              <w:rPr>
                <w:sz w:val="18"/>
                <w:szCs w:val="18"/>
                <w:color w:val="auto"/>
              </w:rPr>
            </w:pPr>
          </w:p>
        </w:tc>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5580" w:type="dxa"/>
            <w:vAlign w:val="bottom"/>
            <w:gridSpan w:val="3"/>
          </w:tcPr>
          <w:p>
            <w:pPr>
              <w:ind w:left="76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60" w:type="dxa"/>
            <w:vAlign w:val="bottom"/>
            <w:gridSpan w:val="3"/>
          </w:tcPr>
          <w:p>
            <w:pPr>
              <w:ind w:left="100"/>
              <w:spacing w:after="0"/>
              <w:rPr>
                <w:sz w:val="20"/>
                <w:szCs w:val="20"/>
                <w:color w:val="auto"/>
              </w:rPr>
            </w:pPr>
            <w:r>
              <w:rPr>
                <w:rFonts w:ascii="Arial" w:cs="Arial" w:eastAsia="Arial" w:hAnsi="Arial"/>
                <w:sz w:val="18"/>
                <w:szCs w:val="18"/>
                <w:color w:val="auto"/>
              </w:rPr>
              <w:t>Title:</w:t>
            </w: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By:</w:t>
            </w:r>
          </w:p>
        </w:tc>
      </w:tr>
      <w:tr>
        <w:trPr>
          <w:trHeight w:val="209"/>
        </w:trPr>
        <w:tc>
          <w:tcPr>
            <w:tcW w:w="760" w:type="dxa"/>
            <w:vAlign w:val="bottom"/>
          </w:tcPr>
          <w:p>
            <w:pPr>
              <w:spacing w:after="0"/>
              <w:rPr>
                <w:sz w:val="18"/>
                <w:szCs w:val="18"/>
                <w:color w:val="auto"/>
              </w:rPr>
            </w:pPr>
          </w:p>
        </w:tc>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5580" w:type="dxa"/>
            <w:vAlign w:val="bottom"/>
            <w:gridSpan w:val="3"/>
          </w:tcPr>
          <w:p>
            <w:pPr>
              <w:ind w:left="76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60" w:type="dxa"/>
            <w:vAlign w:val="bottom"/>
            <w:gridSpan w:val="3"/>
          </w:tcPr>
          <w:p>
            <w:pPr>
              <w:ind w:left="100"/>
              <w:spacing w:after="0"/>
              <w:rPr>
                <w:sz w:val="20"/>
                <w:szCs w:val="20"/>
                <w:color w:val="auto"/>
              </w:rPr>
            </w:pPr>
            <w:r>
              <w:rPr>
                <w:rFonts w:ascii="Arial" w:cs="Arial" w:eastAsia="Arial" w:hAnsi="Arial"/>
                <w:sz w:val="18"/>
                <w:szCs w:val="18"/>
                <w:color w:val="auto"/>
              </w:rPr>
              <w:t>Title:</w:t>
            </w:r>
          </w:p>
        </w:tc>
      </w:tr>
      <w:tr>
        <w:trPr>
          <w:trHeight w:val="632"/>
        </w:trPr>
        <w:tc>
          <w:tcPr>
            <w:tcW w:w="7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42" w:name="page243"/>
    <w:bookmarkEnd w:id="242"/>
    <w:p>
      <w:pPr>
        <w:ind w:left="5500"/>
        <w:spacing w:after="0"/>
        <w:rPr>
          <w:sz w:val="20"/>
          <w:szCs w:val="20"/>
          <w:color w:val="auto"/>
        </w:rPr>
      </w:pPr>
      <w:r>
        <w:rPr>
          <w:rFonts w:ascii="Arial" w:cs="Arial" w:eastAsia="Arial" w:hAnsi="Arial"/>
          <w:sz w:val="18"/>
          <w:szCs w:val="18"/>
          <w:color w:val="auto"/>
        </w:rPr>
        <w:t>- C4 -</w:t>
      </w:r>
    </w:p>
    <w:p>
      <w:pPr>
        <w:spacing w:after="0" w:line="225"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14605</wp:posOffset>
            </wp:positionV>
            <wp:extent cx="62604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43" w:name="page244"/>
    <w:bookmarkEnd w:id="243"/>
    <w:p>
      <w:pPr>
        <w:jc w:val="center"/>
        <w:ind w:right="-1220"/>
        <w:spacing w:after="0"/>
        <w:rPr>
          <w:sz w:val="20"/>
          <w:szCs w:val="20"/>
          <w:color w:val="auto"/>
        </w:rPr>
      </w:pPr>
      <w:r>
        <w:rPr>
          <w:rFonts w:ascii="Arial" w:cs="Arial" w:eastAsia="Arial" w:hAnsi="Arial"/>
          <w:sz w:val="18"/>
          <w:szCs w:val="18"/>
          <w:b w:val="1"/>
          <w:bCs w:val="1"/>
          <w:color w:val="auto"/>
        </w:rPr>
        <w:t>APPENDIX 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ASSIGNMENT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assigned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31299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retained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31299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Payment Details, including address of Assignee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244" w:name="page245"/>
    <w:bookmarkEnd w:id="244"/>
    <w:p>
      <w:pPr>
        <w:jc w:val="center"/>
        <w:ind w:right="-799"/>
        <w:spacing w:after="0"/>
        <w:rPr>
          <w:sz w:val="20"/>
          <w:szCs w:val="20"/>
          <w:color w:val="auto"/>
        </w:rPr>
      </w:pPr>
      <w:r>
        <w:rPr>
          <w:rFonts w:ascii="Arial" w:cs="Arial" w:eastAsia="Arial" w:hAnsi="Arial"/>
          <w:sz w:val="18"/>
          <w:szCs w:val="18"/>
          <w:b w:val="1"/>
          <w:bCs w:val="1"/>
          <w:color w:val="auto"/>
        </w:rPr>
        <w:t>APPENDIX 2</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ASSIGNMENT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Advances in respect of which the Assignee is to indemnify the Assignor, as of the Effective Date:</w:t>
      </w:r>
    </w:p>
    <w:p>
      <w:pPr>
        <w:spacing w:after="0" w:line="325" w:lineRule="exact"/>
        <w:rPr>
          <w:sz w:val="20"/>
          <w:szCs w:val="20"/>
          <w:color w:val="auto"/>
        </w:rPr>
      </w:pPr>
    </w:p>
    <w:p>
      <w:pPr>
        <w:jc w:val="right"/>
        <w:spacing w:after="0"/>
        <w:tabs>
          <w:tab w:leader="none" w:pos="5680" w:val="left"/>
          <w:tab w:leader="none" w:pos="1800" w:val="left"/>
        </w:tabs>
        <w:rPr>
          <w:sz w:val="20"/>
          <w:szCs w:val="20"/>
          <w:color w:val="auto"/>
        </w:rPr>
      </w:pPr>
      <w:r>
        <w:rPr>
          <w:rFonts w:ascii="Arial" w:cs="Arial" w:eastAsia="Arial" w:hAnsi="Arial"/>
          <w:sz w:val="14"/>
          <w:szCs w:val="14"/>
          <w:b w:val="1"/>
          <w:bCs w:val="1"/>
          <w:color w:val="auto"/>
        </w:rPr>
        <w:t>Type of Advance</w:t>
      </w:r>
      <w:r>
        <w:rPr>
          <w:sz w:val="20"/>
          <w:szCs w:val="20"/>
          <w:color w:val="auto"/>
        </w:rPr>
        <w:tab/>
      </w:r>
      <w:r>
        <w:rPr>
          <w:rFonts w:ascii="Arial" w:cs="Arial" w:eastAsia="Arial" w:hAnsi="Arial"/>
          <w:sz w:val="14"/>
          <w:szCs w:val="14"/>
          <w:b w:val="1"/>
          <w:bCs w:val="1"/>
          <w:color w:val="auto"/>
        </w:rPr>
        <w:t>Maturity Date of Advance</w:t>
      </w:r>
      <w:r>
        <w:rPr>
          <w:sz w:val="20"/>
          <w:szCs w:val="20"/>
          <w:color w:val="auto"/>
        </w:rPr>
        <w:tab/>
      </w:r>
      <w:r>
        <w:rPr>
          <w:rFonts w:ascii="Arial" w:cs="Arial" w:eastAsia="Arial" w:hAnsi="Arial"/>
          <w:sz w:val="13"/>
          <w:szCs w:val="13"/>
          <w:b w:val="1"/>
          <w:bCs w:val="1"/>
          <w:color w:val="auto"/>
        </w:rPr>
        <w:t>Principal Amount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Indemnity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59" w:right="1039"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t>SCHEDULE 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SCHEDULE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PERCENTAGES OF LENDERS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references in Section 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3540" w:type="dxa"/>
            <w:vAlign w:val="bottom"/>
          </w:tcPr>
          <w:p>
            <w:pPr>
              <w:ind w:left="2060"/>
              <w:spacing w:after="0"/>
              <w:rPr>
                <w:sz w:val="20"/>
                <w:szCs w:val="20"/>
                <w:color w:val="auto"/>
              </w:rPr>
            </w:pPr>
            <w:r>
              <w:rPr>
                <w:rFonts w:ascii="Arial" w:cs="Arial" w:eastAsia="Arial" w:hAnsi="Arial"/>
                <w:sz w:val="14"/>
                <w:szCs w:val="14"/>
                <w:b w:val="1"/>
                <w:bCs w:val="1"/>
                <w:color w:val="auto"/>
              </w:rPr>
              <w:t>Commitment</w:t>
            </w:r>
          </w:p>
        </w:tc>
        <w:tc>
          <w:tcPr>
            <w:tcW w:w="2640" w:type="dxa"/>
            <w:vAlign w:val="bottom"/>
          </w:tcPr>
          <w:p>
            <w:pPr>
              <w:jc w:val="right"/>
              <w:ind w:right="552"/>
              <w:spacing w:after="0"/>
              <w:rPr>
                <w:sz w:val="20"/>
                <w:szCs w:val="20"/>
                <w:color w:val="auto"/>
              </w:rPr>
            </w:pPr>
            <w:r>
              <w:rPr>
                <w:rFonts w:ascii="Arial" w:cs="Arial" w:eastAsia="Arial" w:hAnsi="Arial"/>
                <w:sz w:val="14"/>
                <w:szCs w:val="14"/>
                <w:b w:val="1"/>
                <w:bCs w:val="1"/>
                <w:color w:val="auto"/>
              </w:rPr>
              <w:t>Applicable 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35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Cdn. $99,000,000</w:t>
            </w:r>
          </w:p>
        </w:tc>
        <w:tc>
          <w:tcPr>
            <w:tcW w:w="26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24.146%</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BNP Paribas (Canada)</w:t>
            </w:r>
          </w:p>
        </w:tc>
        <w:tc>
          <w:tcPr>
            <w:tcW w:w="3540" w:type="dxa"/>
            <w:vAlign w:val="bottom"/>
          </w:tcPr>
          <w:p>
            <w:pPr>
              <w:ind w:left="1620"/>
              <w:spacing w:after="0"/>
              <w:rPr>
                <w:sz w:val="20"/>
                <w:szCs w:val="20"/>
                <w:color w:val="auto"/>
              </w:rPr>
            </w:pPr>
            <w:r>
              <w:rPr>
                <w:rFonts w:ascii="Arial" w:cs="Arial" w:eastAsia="Arial" w:hAnsi="Arial"/>
                <w:sz w:val="18"/>
                <w:szCs w:val="18"/>
                <w:color w:val="auto"/>
              </w:rPr>
              <w:t>Cdn. $75,000,000</w:t>
            </w:r>
          </w:p>
        </w:tc>
        <w:tc>
          <w:tcPr>
            <w:tcW w:w="2640" w:type="dxa"/>
            <w:vAlign w:val="bottom"/>
          </w:tcPr>
          <w:p>
            <w:pPr>
              <w:jc w:val="right"/>
              <w:ind w:right="892"/>
              <w:spacing w:after="0"/>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Mizuho Corporate Bank (Canada)</w:t>
            </w:r>
          </w:p>
        </w:tc>
        <w:tc>
          <w:tcPr>
            <w:tcW w:w="35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Cdn. $50,000,000</w:t>
            </w:r>
          </w:p>
        </w:tc>
        <w:tc>
          <w:tcPr>
            <w:tcW w:w="26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3540" w:type="dxa"/>
            <w:vAlign w:val="bottom"/>
          </w:tcPr>
          <w:p>
            <w:pPr>
              <w:ind w:left="1620"/>
              <w:spacing w:after="0"/>
              <w:rPr>
                <w:sz w:val="20"/>
                <w:szCs w:val="20"/>
                <w:color w:val="auto"/>
              </w:rPr>
            </w:pPr>
            <w:r>
              <w:rPr>
                <w:rFonts w:ascii="Arial" w:cs="Arial" w:eastAsia="Arial" w:hAnsi="Arial"/>
                <w:sz w:val="18"/>
                <w:szCs w:val="18"/>
                <w:color w:val="auto"/>
              </w:rPr>
              <w:t>Cdn. $50,000,000</w:t>
            </w:r>
          </w:p>
        </w:tc>
        <w:tc>
          <w:tcPr>
            <w:tcW w:w="2640" w:type="dxa"/>
            <w:vAlign w:val="bottom"/>
          </w:tcPr>
          <w:p>
            <w:pPr>
              <w:jc w:val="right"/>
              <w:ind w:right="892"/>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National Association</w:t>
            </w:r>
          </w:p>
        </w:tc>
        <w:tc>
          <w:tcPr>
            <w:tcW w:w="35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Cdn. $45,000,000</w:t>
            </w:r>
          </w:p>
        </w:tc>
        <w:tc>
          <w:tcPr>
            <w:tcW w:w="26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10.976%</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ABN AMRO Bank N.V.</w:t>
            </w:r>
          </w:p>
        </w:tc>
        <w:tc>
          <w:tcPr>
            <w:tcW w:w="3540" w:type="dxa"/>
            <w:vAlign w:val="bottom"/>
          </w:tcPr>
          <w:p>
            <w:pPr>
              <w:ind w:left="1620"/>
              <w:spacing w:after="0"/>
              <w:rPr>
                <w:sz w:val="20"/>
                <w:szCs w:val="20"/>
                <w:color w:val="auto"/>
              </w:rPr>
            </w:pPr>
            <w:r>
              <w:rPr>
                <w:rFonts w:ascii="Arial" w:cs="Arial" w:eastAsia="Arial" w:hAnsi="Arial"/>
                <w:sz w:val="18"/>
                <w:szCs w:val="18"/>
                <w:color w:val="auto"/>
              </w:rPr>
              <w:t>Cdn. $35,000,000</w:t>
            </w:r>
          </w:p>
        </w:tc>
        <w:tc>
          <w:tcPr>
            <w:tcW w:w="2640" w:type="dxa"/>
            <w:vAlign w:val="bottom"/>
          </w:tcPr>
          <w:p>
            <w:pPr>
              <w:jc w:val="right"/>
              <w:ind w:right="892"/>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 of Canada</w:t>
            </w:r>
          </w:p>
        </w:tc>
        <w:tc>
          <w:tcPr>
            <w:tcW w:w="35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Cdn. $25,000,000</w:t>
            </w:r>
          </w:p>
        </w:tc>
        <w:tc>
          <w:tcPr>
            <w:tcW w:w="26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JPMorgan Chase Bank, National Association</w:t>
            </w:r>
          </w:p>
        </w:tc>
        <w:tc>
          <w:tcPr>
            <w:tcW w:w="3540" w:type="dxa"/>
            <w:vAlign w:val="bottom"/>
          </w:tcPr>
          <w:p>
            <w:pPr>
              <w:ind w:left="1620"/>
              <w:spacing w:after="0"/>
              <w:rPr>
                <w:sz w:val="20"/>
                <w:szCs w:val="20"/>
                <w:color w:val="auto"/>
              </w:rPr>
            </w:pPr>
            <w:r>
              <w:rPr>
                <w:rFonts w:ascii="Arial" w:cs="Arial" w:eastAsia="Arial" w:hAnsi="Arial"/>
                <w:sz w:val="18"/>
                <w:szCs w:val="18"/>
                <w:color w:val="auto"/>
              </w:rPr>
              <w:t>Cdn. $20,000,000</w:t>
            </w:r>
          </w:p>
        </w:tc>
        <w:tc>
          <w:tcPr>
            <w:tcW w:w="2640" w:type="dxa"/>
            <w:vAlign w:val="bottom"/>
          </w:tcPr>
          <w:p>
            <w:pPr>
              <w:jc w:val="right"/>
              <w:ind w:right="892"/>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Comerica Bank</w:t>
            </w:r>
          </w:p>
        </w:tc>
        <w:tc>
          <w:tcPr>
            <w:tcW w:w="35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Cdn. $11,000,000</w:t>
            </w:r>
          </w:p>
        </w:tc>
        <w:tc>
          <w:tcPr>
            <w:tcW w:w="26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12.1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6"/>
              </w:rPr>
              <w:t>Years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r>
      <w:tr>
        <w:trPr>
          <w:trHeight w:val="195"/>
        </w:trPr>
        <w:tc>
          <w:tcPr>
            <w:tcW w:w="7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Income before income taxes, cumulative effect of changes in accounting principles, losses in equity</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and minority interests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Fixed charges deducted from income:</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Implicit interest in rents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7"/>
        </w:trPr>
        <w:tc>
          <w:tcPr>
            <w:tcW w:w="7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23"/>
        </w:trPr>
        <w:tc>
          <w:tcPr>
            <w:tcW w:w="7540" w:type="dxa"/>
            <w:vAlign w:val="bottom"/>
          </w:tcPr>
          <w:p>
            <w:pPr>
              <w:ind w:left="420"/>
              <w:spacing w:after="0"/>
              <w:rPr>
                <w:sz w:val="20"/>
                <w:szCs w:val="20"/>
                <w:color w:val="auto"/>
              </w:rPr>
            </w:pPr>
            <w:r>
              <w:rPr>
                <w:rFonts w:ascii="Arial" w:cs="Arial" w:eastAsia="Arial" w:hAnsi="Arial"/>
                <w:sz w:val="18"/>
                <w:szCs w:val="18"/>
                <w:color w:val="auto"/>
              </w:rPr>
              <w:t>Earnings available for fixed charges</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Capitalized interest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Total fixed charges</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3.2x</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3.5x</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3.1x</w:t>
            </w: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936" w:right="23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6860" w:type="dxa"/>
            <w:vAlign w:val="bottom"/>
          </w:tcPr>
          <w:p>
            <w:pPr>
              <w:ind w:left="592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42"/>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860" w:type="dxa"/>
            <w:vAlign w:val="bottom"/>
          </w:tcPr>
          <w:p>
            <w:pPr>
              <w:ind w:left="49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560" w:type="dxa"/>
            <w:vAlign w:val="bottom"/>
            <w:vMerge w:val="continue"/>
          </w:tcPr>
          <w:p>
            <w:pPr>
              <w:spacing w:after="0"/>
              <w:rPr>
                <w:sz w:val="13"/>
                <w:szCs w:val="13"/>
                <w:color w:val="auto"/>
              </w:rPr>
            </w:pPr>
          </w:p>
        </w:tc>
        <w:tc>
          <w:tcPr>
            <w:tcW w:w="6860" w:type="dxa"/>
            <w:vAlign w:val="bottom"/>
          </w:tcPr>
          <w:p>
            <w:pPr>
              <w:ind w:left="546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1019726 Alberta Ltd.</w:t>
            </w:r>
          </w:p>
        </w:tc>
        <w:tc>
          <w:tcPr>
            <w:tcW w:w="6860" w:type="dxa"/>
            <w:vAlign w:val="bottom"/>
          </w:tcPr>
          <w:p>
            <w:pPr>
              <w:ind w:left="4900"/>
              <w:spacing w:after="0"/>
              <w:rPr>
                <w:sz w:val="20"/>
                <w:szCs w:val="20"/>
                <w:color w:val="auto"/>
              </w:rPr>
            </w:pPr>
            <w:r>
              <w:rPr>
                <w:rFonts w:ascii="Arial" w:cs="Arial" w:eastAsia="Arial" w:hAnsi="Arial"/>
                <w:sz w:val="18"/>
                <w:szCs w:val="18"/>
                <w:color w:val="auto"/>
              </w:rPr>
              <w:t>Alberta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1329409 Ontario Inc.</w:t>
            </w:r>
          </w:p>
        </w:tc>
        <w:tc>
          <w:tcPr>
            <w:tcW w:w="6860" w:type="dxa"/>
            <w:vAlign w:val="bottom"/>
          </w:tcPr>
          <w:p>
            <w:pPr>
              <w:ind w:left="49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3368084 Canada Inc.</w:t>
            </w:r>
          </w:p>
        </w:tc>
        <w:tc>
          <w:tcPr>
            <w:tcW w:w="6860" w:type="dxa"/>
            <w:vAlign w:val="bottom"/>
          </w:tcPr>
          <w:p>
            <w:pPr>
              <w:ind w:left="49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635952 Ontario Inc.</w:t>
            </w:r>
          </w:p>
        </w:tc>
        <w:tc>
          <w:tcPr>
            <w:tcW w:w="6860" w:type="dxa"/>
            <w:vAlign w:val="bottom"/>
          </w:tcPr>
          <w:p>
            <w:pPr>
              <w:ind w:left="49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Advanced Environmental Technical Services, L.L.C.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Akron Regional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Alabama Waste Disposal Solutions, L.L.C.</w:t>
            </w:r>
          </w:p>
        </w:tc>
        <w:tc>
          <w:tcPr>
            <w:tcW w:w="6860" w:type="dxa"/>
            <w:vAlign w:val="bottom"/>
          </w:tcPr>
          <w:p>
            <w:pPr>
              <w:ind w:left="490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Alliance Sanitary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Alpharetta Transfer Station, LLC</w:t>
            </w:r>
          </w:p>
        </w:tc>
        <w:tc>
          <w:tcPr>
            <w:tcW w:w="6860" w:type="dxa"/>
            <w:vAlign w:val="bottom"/>
          </w:tcPr>
          <w:p>
            <w:pPr>
              <w:ind w:left="49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American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American RRT Fiber Supply, L.P.</w:t>
            </w:r>
          </w:p>
        </w:tc>
        <w:tc>
          <w:tcPr>
            <w:tcW w:w="6860" w:type="dxa"/>
            <w:vAlign w:val="bottom"/>
          </w:tcPr>
          <w:p>
            <w:pPr>
              <w:ind w:left="49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Anderson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Antelope Valley Recycling and Disposal Facility, Inc.</w:t>
            </w:r>
          </w:p>
        </w:tc>
        <w:tc>
          <w:tcPr>
            <w:tcW w:w="6860" w:type="dxa"/>
            <w:vAlign w:val="bottom"/>
          </w:tcPr>
          <w:p>
            <w:pPr>
              <w:ind w:left="49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Apollo Waste Industries, L.L.C.</w:t>
            </w:r>
          </w:p>
        </w:tc>
        <w:tc>
          <w:tcPr>
            <w:tcW w:w="6860" w:type="dxa"/>
            <w:vAlign w:val="bottom"/>
          </w:tcPr>
          <w:p>
            <w:pPr>
              <w:ind w:left="49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Apollo Waste Services of Georgia, L.L.C.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Arden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Atlantic Waste Disposal,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Automated Salvage Transport Co., L.L.C.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Azusa Land Reclamation, Inc.</w:t>
            </w:r>
          </w:p>
        </w:tc>
        <w:tc>
          <w:tcPr>
            <w:tcW w:w="6860" w:type="dxa"/>
            <w:vAlign w:val="bottom"/>
          </w:tcPr>
          <w:p>
            <w:pPr>
              <w:ind w:left="49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B&amp;B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Barre Landfill Gas Associates, L.P.</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Bayside of Marion, Inc.</w:t>
            </w:r>
          </w:p>
        </w:tc>
        <w:tc>
          <w:tcPr>
            <w:tcW w:w="6860" w:type="dxa"/>
            <w:vAlign w:val="bottom"/>
          </w:tcPr>
          <w:p>
            <w:pPr>
              <w:ind w:left="490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Beecher Development Company</w:t>
            </w:r>
          </w:p>
        </w:tc>
        <w:tc>
          <w:tcPr>
            <w:tcW w:w="6860" w:type="dxa"/>
            <w:vAlign w:val="bottom"/>
          </w:tcPr>
          <w:p>
            <w:pPr>
              <w:ind w:left="49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Bestan Inc.</w:t>
            </w:r>
          </w:p>
        </w:tc>
        <w:tc>
          <w:tcPr>
            <w:tcW w:w="6860" w:type="dxa"/>
            <w:vAlign w:val="bottom"/>
          </w:tcPr>
          <w:p>
            <w:pPr>
              <w:ind w:left="4900"/>
              <w:spacing w:after="0"/>
              <w:rPr>
                <w:sz w:val="20"/>
                <w:szCs w:val="20"/>
                <w:color w:val="auto"/>
              </w:rPr>
            </w:pPr>
            <w:r>
              <w:rPr>
                <w:rFonts w:ascii="Arial" w:cs="Arial" w:eastAsia="Arial" w:hAnsi="Arial"/>
                <w:sz w:val="18"/>
                <w:szCs w:val="18"/>
                <w:color w:val="auto"/>
              </w:rPr>
              <w:t>Quebec</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Big Dipper Enterprises, Inc.</w:t>
            </w:r>
          </w:p>
        </w:tc>
        <w:tc>
          <w:tcPr>
            <w:tcW w:w="6860" w:type="dxa"/>
            <w:vAlign w:val="bottom"/>
          </w:tcPr>
          <w:p>
            <w:pPr>
              <w:ind w:left="4900"/>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Bio-Energy Partners</w:t>
            </w:r>
          </w:p>
        </w:tc>
        <w:tc>
          <w:tcPr>
            <w:tcW w:w="6860" w:type="dxa"/>
            <w:vAlign w:val="bottom"/>
          </w:tcPr>
          <w:p>
            <w:pPr>
              <w:ind w:left="49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Bluegrass Containment, L.L.C.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Brazoria County Recycling Center, Inc.</w:t>
            </w:r>
          </w:p>
        </w:tc>
        <w:tc>
          <w:tcPr>
            <w:tcW w:w="6860" w:type="dxa"/>
            <w:vAlign w:val="bottom"/>
          </w:tcPr>
          <w:p>
            <w:pPr>
              <w:ind w:left="490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Burnsville Sanitary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Buttrey Development Three, LLC</w:t>
            </w:r>
          </w:p>
        </w:tc>
        <w:tc>
          <w:tcPr>
            <w:tcW w:w="6860" w:type="dxa"/>
            <w:vAlign w:val="bottom"/>
          </w:tcPr>
          <w:p>
            <w:pPr>
              <w:ind w:left="490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Buttrey Development Two, LLC</w:t>
            </w:r>
          </w:p>
        </w:tc>
        <w:tc>
          <w:tcPr>
            <w:tcW w:w="6860" w:type="dxa"/>
            <w:vAlign w:val="bottom"/>
          </w:tcPr>
          <w:p>
            <w:pPr>
              <w:ind w:left="490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C&amp;C Disposal, LLC</w:t>
            </w:r>
          </w:p>
        </w:tc>
        <w:tc>
          <w:tcPr>
            <w:tcW w:w="6860" w:type="dxa"/>
            <w:vAlign w:val="bottom"/>
          </w:tcPr>
          <w:p>
            <w:pPr>
              <w:ind w:left="49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C.I.D.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 Newco, L.L.C.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Cal Sierra Disposal</w:t>
            </w:r>
          </w:p>
        </w:tc>
        <w:tc>
          <w:tcPr>
            <w:tcW w:w="6860" w:type="dxa"/>
            <w:vAlign w:val="bottom"/>
          </w:tcPr>
          <w:p>
            <w:pPr>
              <w:ind w:left="49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California Asbestos Monofill,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Canadian Waste Services Holdings Inc.</w:t>
            </w:r>
          </w:p>
        </w:tc>
        <w:tc>
          <w:tcPr>
            <w:tcW w:w="6860" w:type="dxa"/>
            <w:vAlign w:val="bottom"/>
          </w:tcPr>
          <w:p>
            <w:pPr>
              <w:ind w:left="49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CAP/CRA, L.L.C.</w:t>
            </w:r>
          </w:p>
        </w:tc>
        <w:tc>
          <w:tcPr>
            <w:tcW w:w="6860" w:type="dxa"/>
            <w:vAlign w:val="bottom"/>
          </w:tcPr>
          <w:p>
            <w:pPr>
              <w:ind w:left="49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Capital Sanitation Company</w:t>
            </w:r>
          </w:p>
        </w:tc>
        <w:tc>
          <w:tcPr>
            <w:tcW w:w="6860" w:type="dxa"/>
            <w:vAlign w:val="bottom"/>
          </w:tcPr>
          <w:p>
            <w:pPr>
              <w:ind w:left="490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Capitol Disposal,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Alaska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Carolina Grading, Inc.</w:t>
            </w:r>
          </w:p>
        </w:tc>
        <w:tc>
          <w:tcPr>
            <w:tcW w:w="6860" w:type="dxa"/>
            <w:vAlign w:val="bottom"/>
          </w:tcPr>
          <w:p>
            <w:pPr>
              <w:ind w:left="490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Carver Transfer &amp; Processing, LLC</w:t>
            </w:r>
          </w:p>
        </w:tc>
        <w:tc>
          <w:tcPr>
            <w:tcW w:w="6860" w:type="dxa"/>
            <w:vAlign w:val="bottom"/>
          </w:tcPr>
          <w:p>
            <w:pPr>
              <w:ind w:left="490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Cedar Ridge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Central Disposal Systems, Inc.</w:t>
            </w:r>
          </w:p>
        </w:tc>
        <w:tc>
          <w:tcPr>
            <w:tcW w:w="6860" w:type="dxa"/>
            <w:vAlign w:val="bottom"/>
          </w:tcPr>
          <w:p>
            <w:pPr>
              <w:ind w:left="490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Central Missouri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Chadwick Road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Chambers Clearview Environmental Landfill, Inc.</w:t>
            </w:r>
          </w:p>
        </w:tc>
        <w:tc>
          <w:tcPr>
            <w:tcW w:w="6860" w:type="dxa"/>
            <w:vAlign w:val="bottom"/>
          </w:tcPr>
          <w:p>
            <w:pPr>
              <w:ind w:left="490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Chambers Development Company, Inc.</w:t>
            </w:r>
          </w:p>
        </w:tc>
        <w:tc>
          <w:tcPr>
            <w:tcW w:w="6860" w:type="dxa"/>
            <w:vAlign w:val="bottom"/>
          </w:tcPr>
          <w:p>
            <w:pPr>
              <w:ind w:left="49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4"/>
                <w:szCs w:val="24"/>
                <w:color w:val="auto"/>
              </w:rPr>
            </w:pPr>
          </w:p>
        </w:tc>
        <w:tc>
          <w:tcPr>
            <w:tcW w:w="6860" w:type="dxa"/>
            <w:vAlign w:val="bottom"/>
          </w:tcPr>
          <w:p>
            <w:pPr>
              <w:ind w:left="700"/>
              <w:spacing w:after="0"/>
              <w:rPr>
                <w:sz w:val="20"/>
                <w:szCs w:val="20"/>
                <w:color w:val="auto"/>
              </w:rPr>
            </w:pPr>
            <w:r>
              <w:rPr>
                <w:rFonts w:ascii="Arial" w:cs="Arial" w:eastAsia="Arial" w:hAnsi="Arial"/>
                <w:sz w:val="18"/>
                <w:szCs w:val="18"/>
                <w:color w:val="auto"/>
              </w:rPr>
              <w:t>Page 1 of 10</w:t>
            </w: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900" w:type="dxa"/>
            <w:vAlign w:val="bottom"/>
          </w:tcPr>
          <w:p>
            <w:pPr>
              <w:ind w:left="502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520" w:type="dxa"/>
            <w:vAlign w:val="bottom"/>
            <w:vMerge w:val="continue"/>
          </w:tcPr>
          <w:p>
            <w:pPr>
              <w:spacing w:after="0"/>
              <w:rPr>
                <w:sz w:val="13"/>
                <w:szCs w:val="13"/>
                <w:color w:val="auto"/>
              </w:rPr>
            </w:pPr>
          </w:p>
        </w:tc>
        <w:tc>
          <w:tcPr>
            <w:tcW w:w="6900" w:type="dxa"/>
            <w:vAlign w:val="bottom"/>
          </w:tcPr>
          <w:p>
            <w:pPr>
              <w:ind w:left="550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Chambers Development of Ohio, Inc.</w:t>
            </w:r>
          </w:p>
        </w:tc>
        <w:tc>
          <w:tcPr>
            <w:tcW w:w="6900" w:type="dxa"/>
            <w:vAlign w:val="bottom"/>
          </w:tcPr>
          <w:p>
            <w:pPr>
              <w:ind w:left="49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Chambers of Georgia,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Chambers of Mississippi, Inc.</w:t>
            </w:r>
          </w:p>
        </w:tc>
        <w:tc>
          <w:tcPr>
            <w:tcW w:w="6900" w:type="dxa"/>
            <w:vAlign w:val="bottom"/>
          </w:tcPr>
          <w:p>
            <w:pPr>
              <w:ind w:left="494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Chastang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Chemical Waste Management of Indiana, L.L.C.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Chemical Waste Management of the Northwest, Inc.</w:t>
            </w:r>
          </w:p>
        </w:tc>
        <w:tc>
          <w:tcPr>
            <w:tcW w:w="6900" w:type="dxa"/>
            <w:vAlign w:val="bottom"/>
          </w:tcPr>
          <w:p>
            <w:pPr>
              <w:ind w:left="49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Chemical Waste Management,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Chesser Island Road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City Disposal Systems,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City Environmental Services, Inc. of Waters</w:t>
            </w:r>
          </w:p>
        </w:tc>
        <w:tc>
          <w:tcPr>
            <w:tcW w:w="6900" w:type="dxa"/>
            <w:vAlign w:val="bottom"/>
          </w:tcPr>
          <w:p>
            <w:pPr>
              <w:ind w:left="49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City Environmental,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City Management Corporation</w:t>
            </w:r>
          </w:p>
        </w:tc>
        <w:tc>
          <w:tcPr>
            <w:tcW w:w="6900" w:type="dxa"/>
            <w:vAlign w:val="bottom"/>
          </w:tcPr>
          <w:p>
            <w:pPr>
              <w:ind w:left="49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Clayton-Ward Company, Inc.</w:t>
            </w:r>
          </w:p>
        </w:tc>
        <w:tc>
          <w:tcPr>
            <w:tcW w:w="6900" w:type="dxa"/>
            <w:vAlign w:val="bottom"/>
          </w:tcPr>
          <w:p>
            <w:pPr>
              <w:ind w:left="49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Cleburne Landfill Company Corp.</w:t>
            </w:r>
          </w:p>
        </w:tc>
        <w:tc>
          <w:tcPr>
            <w:tcW w:w="6900" w:type="dxa"/>
            <w:vAlign w:val="bottom"/>
          </w:tcPr>
          <w:p>
            <w:pPr>
              <w:ind w:left="494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Coast Waste Management, Inc.</w:t>
            </w:r>
          </w:p>
        </w:tc>
        <w:tc>
          <w:tcPr>
            <w:tcW w:w="6900" w:type="dxa"/>
            <w:vAlign w:val="bottom"/>
          </w:tcPr>
          <w:p>
            <w:pPr>
              <w:ind w:left="49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Colorado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Connecticut Valley Sanitary Waste Disposal,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Conservation Services, Inc.</w:t>
            </w:r>
          </w:p>
        </w:tc>
        <w:tc>
          <w:tcPr>
            <w:tcW w:w="6900" w:type="dxa"/>
            <w:vAlign w:val="bottom"/>
          </w:tcPr>
          <w:p>
            <w:pPr>
              <w:ind w:left="494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Container Recycling Alliance, L.P.</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Continental Waste Industries Arizona, Inc.</w:t>
            </w:r>
          </w:p>
        </w:tc>
        <w:tc>
          <w:tcPr>
            <w:tcW w:w="6900" w:type="dxa"/>
            <w:vAlign w:val="bottom"/>
          </w:tcPr>
          <w:p>
            <w:pPr>
              <w:ind w:left="494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Coshocton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Cougar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Countryside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Cuyahoga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CWM Chemical Services, L.L.C.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Dafter Sanitary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Dauphin Meadows, Inc.</w:t>
            </w:r>
          </w:p>
        </w:tc>
        <w:tc>
          <w:tcPr>
            <w:tcW w:w="6900" w:type="dxa"/>
            <w:vAlign w:val="bottom"/>
          </w:tcPr>
          <w:p>
            <w:pPr>
              <w:ind w:left="494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Deep Valley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Deer Track Park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Del Almo Landfill, L.L.C.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Deland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Delaware Recyclable Products,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Dickinson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Disposal Service, Incorporated</w:t>
            </w:r>
          </w:p>
        </w:tc>
        <w:tc>
          <w:tcPr>
            <w:tcW w:w="6900" w:type="dxa"/>
            <w:vAlign w:val="bottom"/>
          </w:tcPr>
          <w:p>
            <w:pPr>
              <w:ind w:left="494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E.C. Waste, Inc.</w:t>
            </w:r>
          </w:p>
        </w:tc>
        <w:tc>
          <w:tcPr>
            <w:tcW w:w="6900" w:type="dxa"/>
            <w:vAlign w:val="bottom"/>
          </w:tcPr>
          <w:p>
            <w:pPr>
              <w:ind w:left="494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Earthmovers Landfill, L.L.C.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East Liverpool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Eastern One Land Corporation</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eCycling Services, L.L.C.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 Coqui de San Juan</w:t>
            </w:r>
          </w:p>
        </w:tc>
        <w:tc>
          <w:tcPr>
            <w:tcW w:w="6900" w:type="dxa"/>
            <w:vAlign w:val="bottom"/>
          </w:tcPr>
          <w:p>
            <w:pPr>
              <w:ind w:left="494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 Coqui Landfill Company, Inc.</w:t>
            </w:r>
          </w:p>
        </w:tc>
        <w:tc>
          <w:tcPr>
            <w:tcW w:w="6900" w:type="dxa"/>
            <w:vAlign w:val="bottom"/>
          </w:tcPr>
          <w:p>
            <w:pPr>
              <w:ind w:left="494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 Coqui Waste Disposal,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ELDA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Elk River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Envirofil of Illinois, Inc.</w:t>
            </w:r>
          </w:p>
        </w:tc>
        <w:tc>
          <w:tcPr>
            <w:tcW w:w="6900" w:type="dxa"/>
            <w:vAlign w:val="bottom"/>
          </w:tcPr>
          <w:p>
            <w:pPr>
              <w:ind w:left="49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Evergreen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Evergreen Recycling and Disposal Facility, Inc.</w:t>
            </w:r>
          </w:p>
        </w:tc>
        <w:tc>
          <w:tcPr>
            <w:tcW w:w="6900" w:type="dxa"/>
            <w:vAlign w:val="bottom"/>
          </w:tcPr>
          <w:p>
            <w:pPr>
              <w:ind w:left="49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Farmer’s Landfill, Inc.</w:t>
            </w:r>
          </w:p>
        </w:tc>
        <w:tc>
          <w:tcPr>
            <w:tcW w:w="6900" w:type="dxa"/>
            <w:vAlign w:val="bottom"/>
          </w:tcPr>
          <w:p>
            <w:pPr>
              <w:ind w:left="49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405"/>
        </w:trPr>
        <w:tc>
          <w:tcPr>
            <w:tcW w:w="4520" w:type="dxa"/>
            <w:vAlign w:val="bottom"/>
          </w:tcPr>
          <w:p>
            <w:pPr>
              <w:spacing w:after="0"/>
              <w:rPr>
                <w:sz w:val="24"/>
                <w:szCs w:val="24"/>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Page 2 of 10</w:t>
            </w:r>
          </w:p>
        </w:tc>
        <w:tc>
          <w:tcPr>
            <w:tcW w:w="0" w:type="dxa"/>
            <w:vAlign w:val="bottom"/>
          </w:tcPr>
          <w:p>
            <w:pPr>
              <w:spacing w:after="0"/>
              <w:rPr>
                <w:sz w:val="1"/>
                <w:szCs w:val="1"/>
                <w:color w:val="auto"/>
              </w:rPr>
            </w:pPr>
          </w:p>
        </w:tc>
      </w:tr>
      <w:tr>
        <w:trPr>
          <w:trHeight w:val="226"/>
        </w:trPr>
        <w:tc>
          <w:tcPr>
            <w:tcW w:w="4520" w:type="dxa"/>
            <w:vAlign w:val="bottom"/>
            <w:tcBorders>
              <w:bottom w:val="single" w:sz="8" w:color="808080"/>
            </w:tcBorders>
          </w:tcPr>
          <w:p>
            <w:pPr>
              <w:spacing w:after="0"/>
              <w:rPr>
                <w:sz w:val="19"/>
                <w:szCs w:val="19"/>
                <w:color w:val="auto"/>
              </w:rPr>
            </w:pPr>
          </w:p>
        </w:tc>
        <w:tc>
          <w:tcPr>
            <w:tcW w:w="6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260" w:type="dxa"/>
            <w:vAlign w:val="bottom"/>
          </w:tcPr>
          <w:p>
            <w:pPr>
              <w:ind w:left="53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7260" w:type="dxa"/>
            <w:vAlign w:val="bottom"/>
          </w:tcPr>
          <w:p>
            <w:pPr>
              <w:ind w:left="586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Feather River Disposal,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Fernley Disposal,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Front Range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G.I. Industries</w:t>
            </w:r>
          </w:p>
        </w:tc>
        <w:tc>
          <w:tcPr>
            <w:tcW w:w="7260" w:type="dxa"/>
            <w:vAlign w:val="bottom"/>
          </w:tcPr>
          <w:p>
            <w:pPr>
              <w:ind w:left="530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GA Landfills,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Gallia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Garnet of Maryland,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Gateway Transfer Station, LLC</w:t>
            </w:r>
          </w:p>
        </w:tc>
        <w:tc>
          <w:tcPr>
            <w:tcW w:w="7260" w:type="dxa"/>
            <w:vAlign w:val="bottom"/>
          </w:tcPr>
          <w:p>
            <w:pPr>
              <w:ind w:left="53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Georgia Waste Systems, Inc.</w:t>
            </w:r>
          </w:p>
        </w:tc>
        <w:tc>
          <w:tcPr>
            <w:tcW w:w="7260" w:type="dxa"/>
            <w:vAlign w:val="bottom"/>
          </w:tcPr>
          <w:p>
            <w:pPr>
              <w:ind w:left="53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Gestion Des Rebuts D.M.P. Inc.</w:t>
            </w:r>
          </w:p>
        </w:tc>
        <w:tc>
          <w:tcPr>
            <w:tcW w:w="7260" w:type="dxa"/>
            <w:vAlign w:val="bottom"/>
          </w:tcPr>
          <w:p>
            <w:pPr>
              <w:ind w:left="5300"/>
              <w:spacing w:after="0"/>
              <w:rPr>
                <w:sz w:val="20"/>
                <w:szCs w:val="20"/>
                <w:color w:val="auto"/>
              </w:rPr>
            </w:pPr>
            <w:r>
              <w:rPr>
                <w:rFonts w:ascii="Arial" w:cs="Arial" w:eastAsia="Arial" w:hAnsi="Arial"/>
                <w:sz w:val="18"/>
                <w:szCs w:val="18"/>
                <w:color w:val="auto"/>
              </w:rPr>
              <w:t>Quebec</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Giordano Recycling,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Glen’s Sanitary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Grand Central Sanitary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Greeley Holding Company, LLC</w:t>
            </w:r>
          </w:p>
        </w:tc>
        <w:tc>
          <w:tcPr>
            <w:tcW w:w="7260" w:type="dxa"/>
            <w:vAlign w:val="bottom"/>
          </w:tcPr>
          <w:p>
            <w:pPr>
              <w:ind w:left="530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Guadalupe Mines Mutual Water Company</w:t>
            </w:r>
          </w:p>
        </w:tc>
        <w:tc>
          <w:tcPr>
            <w:tcW w:w="7260" w:type="dxa"/>
            <w:vAlign w:val="bottom"/>
          </w:tcPr>
          <w:p>
            <w:pPr>
              <w:ind w:left="53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Guadalupe Rubbish Disposal Co., Inc.</w:t>
            </w:r>
          </w:p>
        </w:tc>
        <w:tc>
          <w:tcPr>
            <w:tcW w:w="7260" w:type="dxa"/>
            <w:vAlign w:val="bottom"/>
          </w:tcPr>
          <w:p>
            <w:pPr>
              <w:ind w:left="53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Guam Resource Recovery Partners, L.P.</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Ham Lake Haulers,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Harris Sanitation, Inc.</w:t>
            </w:r>
          </w:p>
        </w:tc>
        <w:tc>
          <w:tcPr>
            <w:tcW w:w="7260" w:type="dxa"/>
            <w:vAlign w:val="bottom"/>
          </w:tcPr>
          <w:p>
            <w:pPr>
              <w:ind w:left="530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Harwood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Hillsboro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Holyoke Sanitary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 Landfills,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Independent Sanitation Company</w:t>
            </w:r>
          </w:p>
        </w:tc>
        <w:tc>
          <w:tcPr>
            <w:tcW w:w="7260" w:type="dxa"/>
            <w:vAlign w:val="bottom"/>
          </w:tcPr>
          <w:p>
            <w:pPr>
              <w:ind w:left="530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Jahner Sanitation, Inc.</w:t>
            </w:r>
          </w:p>
        </w:tc>
        <w:tc>
          <w:tcPr>
            <w:tcW w:w="7260" w:type="dxa"/>
            <w:vAlign w:val="bottom"/>
          </w:tcPr>
          <w:p>
            <w:pPr>
              <w:ind w:left="5300"/>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Jay County Landfill,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Jones Sanitation,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Junker Sanitation Services,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 and W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Kahle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Keene Road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Kelly Run Sanitation, Inc.</w:t>
            </w:r>
          </w:p>
        </w:tc>
        <w:tc>
          <w:tcPr>
            <w:tcW w:w="7260" w:type="dxa"/>
            <w:vAlign w:val="bottom"/>
          </w:tcPr>
          <w:p>
            <w:pPr>
              <w:ind w:left="53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Key Disposal Ltd.</w:t>
            </w:r>
          </w:p>
        </w:tc>
        <w:tc>
          <w:tcPr>
            <w:tcW w:w="7260" w:type="dxa"/>
            <w:vAlign w:val="bottom"/>
          </w:tcPr>
          <w:p>
            <w:pPr>
              <w:ind w:left="530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King George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L&amp;M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Land Reclamation Company,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Landfill of Pine Ridge, Inc.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Landfill Services of Charleston, Inc.</w:t>
            </w:r>
          </w:p>
        </w:tc>
        <w:tc>
          <w:tcPr>
            <w:tcW w:w="7260" w:type="dxa"/>
            <w:vAlign w:val="bottom"/>
          </w:tcPr>
          <w:p>
            <w:pPr>
              <w:ind w:left="530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Laurel Highlands Landfill, Inc.</w:t>
            </w:r>
          </w:p>
        </w:tc>
        <w:tc>
          <w:tcPr>
            <w:tcW w:w="7260" w:type="dxa"/>
            <w:vAlign w:val="bottom"/>
          </w:tcPr>
          <w:p>
            <w:pPr>
              <w:ind w:left="53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Laurel Ridge Landfill,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LCS Services, Inc.</w:t>
            </w:r>
          </w:p>
        </w:tc>
        <w:tc>
          <w:tcPr>
            <w:tcW w:w="7260" w:type="dxa"/>
            <w:vAlign w:val="bottom"/>
          </w:tcPr>
          <w:p>
            <w:pPr>
              <w:ind w:left="530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LFG Production, L.P.</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Liberty Landfill, L.L.C.</w:t>
            </w:r>
          </w:p>
        </w:tc>
        <w:tc>
          <w:tcPr>
            <w:tcW w:w="7260" w:type="dxa"/>
            <w:vAlign w:val="bottom"/>
          </w:tcPr>
          <w:p>
            <w:pPr>
              <w:ind w:left="53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Liberty Lane West Owners’ Association</w:t>
            </w:r>
          </w:p>
        </w:tc>
        <w:tc>
          <w:tcPr>
            <w:tcW w:w="7260" w:type="dxa"/>
            <w:vAlign w:val="bottom"/>
          </w:tcPr>
          <w:p>
            <w:pPr>
              <w:ind w:left="5300"/>
              <w:spacing w:after="0"/>
              <w:rPr>
                <w:sz w:val="20"/>
                <w:szCs w:val="20"/>
                <w:color w:val="auto"/>
              </w:rPr>
            </w:pPr>
            <w:r>
              <w:rPr>
                <w:rFonts w:ascii="Arial" w:cs="Arial" w:eastAsia="Arial" w:hAnsi="Arial"/>
                <w:sz w:val="18"/>
                <w:szCs w:val="18"/>
                <w:color w:val="auto"/>
              </w:rPr>
              <w:t>New Hampshire</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Liquid Waste Management, Inc.</w:t>
            </w:r>
          </w:p>
        </w:tc>
        <w:tc>
          <w:tcPr>
            <w:tcW w:w="7260" w:type="dxa"/>
            <w:vAlign w:val="bottom"/>
          </w:tcPr>
          <w:p>
            <w:pPr>
              <w:ind w:left="530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405"/>
        </w:trPr>
        <w:tc>
          <w:tcPr>
            <w:tcW w:w="4160" w:type="dxa"/>
            <w:vAlign w:val="bottom"/>
          </w:tcPr>
          <w:p>
            <w:pPr>
              <w:spacing w:after="0"/>
              <w:rPr>
                <w:sz w:val="24"/>
                <w:szCs w:val="24"/>
                <w:color w:val="auto"/>
              </w:rPr>
            </w:pPr>
          </w:p>
        </w:tc>
        <w:tc>
          <w:tcPr>
            <w:tcW w:w="7260" w:type="dxa"/>
            <w:vAlign w:val="bottom"/>
          </w:tcPr>
          <w:p>
            <w:pPr>
              <w:ind w:left="1100"/>
              <w:spacing w:after="0"/>
              <w:rPr>
                <w:sz w:val="20"/>
                <w:szCs w:val="20"/>
                <w:color w:val="auto"/>
              </w:rPr>
            </w:pPr>
            <w:r>
              <w:rPr>
                <w:rFonts w:ascii="Arial" w:cs="Arial" w:eastAsia="Arial" w:hAnsi="Arial"/>
                <w:sz w:val="18"/>
                <w:szCs w:val="18"/>
                <w:color w:val="auto"/>
              </w:rPr>
              <w:t>Page 3 of 10</w:t>
            </w:r>
          </w:p>
        </w:tc>
        <w:tc>
          <w:tcPr>
            <w:tcW w:w="0" w:type="dxa"/>
            <w:vAlign w:val="bottom"/>
          </w:tcPr>
          <w:p>
            <w:pPr>
              <w:spacing w:after="0"/>
              <w:rPr>
                <w:sz w:val="1"/>
                <w:szCs w:val="1"/>
                <w:color w:val="auto"/>
              </w:rPr>
            </w:pPr>
          </w:p>
        </w:tc>
      </w:tr>
      <w:tr>
        <w:trPr>
          <w:trHeight w:val="226"/>
        </w:trPr>
        <w:tc>
          <w:tcPr>
            <w:tcW w:w="416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940" w:type="dxa"/>
            <w:vAlign w:val="bottom"/>
          </w:tcPr>
          <w:p>
            <w:pPr>
              <w:ind w:left="506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480" w:type="dxa"/>
            <w:vAlign w:val="bottom"/>
            <w:vMerge w:val="continue"/>
          </w:tcPr>
          <w:p>
            <w:pPr>
              <w:spacing w:after="0"/>
              <w:rPr>
                <w:sz w:val="13"/>
                <w:szCs w:val="13"/>
                <w:color w:val="auto"/>
              </w:rPr>
            </w:pPr>
          </w:p>
        </w:tc>
        <w:tc>
          <w:tcPr>
            <w:tcW w:w="6940" w:type="dxa"/>
            <w:vAlign w:val="bottom"/>
          </w:tcPr>
          <w:p>
            <w:pPr>
              <w:ind w:left="554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Longmont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M.S.T.S. Limited Partnership</w:t>
            </w:r>
          </w:p>
        </w:tc>
        <w:tc>
          <w:tcPr>
            <w:tcW w:w="694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M.S.T.S.,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Mahoning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Marangi Bros.,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Mass Gravel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Mc Ginnes Industrial Maintenance Corporation</w:t>
            </w:r>
          </w:p>
        </w:tc>
        <w:tc>
          <w:tcPr>
            <w:tcW w:w="6940" w:type="dxa"/>
            <w:vAlign w:val="bottom"/>
          </w:tcPr>
          <w:p>
            <w:pPr>
              <w:ind w:left="49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McDaniel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McGill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Meadowfill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Michigan Environs,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Midwest One Land Corporation</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Minneapolis Refuse, Incorporated</w:t>
            </w:r>
          </w:p>
        </w:tc>
        <w:tc>
          <w:tcPr>
            <w:tcW w:w="694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Modern-Mallard Energy,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Modesto Garbage Co.,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Moor Refuse,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Mountain Indemnity Insurance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Mountain Indemnity International Limited</w:t>
            </w:r>
          </w:p>
        </w:tc>
        <w:tc>
          <w:tcPr>
            <w:tcW w:w="6940" w:type="dxa"/>
            <w:vAlign w:val="bottom"/>
          </w:tcPr>
          <w:p>
            <w:pPr>
              <w:ind w:left="49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Mountainview Landfill, Inc. (MD)</w:t>
            </w:r>
          </w:p>
        </w:tc>
        <w:tc>
          <w:tcPr>
            <w:tcW w:w="6940" w:type="dxa"/>
            <w:vAlign w:val="bottom"/>
          </w:tcPr>
          <w:p>
            <w:pPr>
              <w:ind w:left="49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Mountainview Landfill, Inc. (UT)</w:t>
            </w:r>
          </w:p>
        </w:tc>
        <w:tc>
          <w:tcPr>
            <w:tcW w:w="6940" w:type="dxa"/>
            <w:vAlign w:val="bottom"/>
          </w:tcPr>
          <w:p>
            <w:pPr>
              <w:ind w:left="498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Nassau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National Guaranty Insurance Company of Vermont</w:t>
            </w:r>
          </w:p>
        </w:tc>
        <w:tc>
          <w:tcPr>
            <w:tcW w:w="6940" w:type="dxa"/>
            <w:vAlign w:val="bottom"/>
          </w:tcPr>
          <w:p>
            <w:pPr>
              <w:ind w:left="4980"/>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England CR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Milford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Orleans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NH/VT Energy Recovery Corporation</w:t>
            </w:r>
          </w:p>
        </w:tc>
        <w:tc>
          <w:tcPr>
            <w:tcW w:w="6940" w:type="dxa"/>
            <w:vAlign w:val="bottom"/>
          </w:tcPr>
          <w:p>
            <w:pPr>
              <w:ind w:left="4980"/>
              <w:spacing w:after="0"/>
              <w:rPr>
                <w:sz w:val="20"/>
                <w:szCs w:val="20"/>
                <w:color w:val="auto"/>
              </w:rPr>
            </w:pPr>
            <w:r>
              <w:rPr>
                <w:rFonts w:ascii="Arial" w:cs="Arial" w:eastAsia="Arial" w:hAnsi="Arial"/>
                <w:sz w:val="18"/>
                <w:szCs w:val="18"/>
                <w:color w:val="auto"/>
              </w:rPr>
              <w:t>New Hampshire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North America One Land Company,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Northwestern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Novak Sanitation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Nu-Way Live Oak Reclamation,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Oakridge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Oakwood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Okeechobee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Orange County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Ozark Ridge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Arkansas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 &amp; R Environmental Industries,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Pacific Waste Management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Palo Alto Sanitation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Paper Recycling International,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Pappy,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Peltz H.C., LLC</w:t>
            </w:r>
          </w:p>
        </w:tc>
        <w:tc>
          <w:tcPr>
            <w:tcW w:w="6940" w:type="dxa"/>
            <w:vAlign w:val="bottom"/>
          </w:tcPr>
          <w:p>
            <w:pPr>
              <w:ind w:left="4980"/>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Pen-Rob,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Pennwood Crossing,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Penuelas Valley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People’s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Peterson Demolition,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Phoenix Resources,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Pine Grove Gas Development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Pine Grove Landfill, Inc. (DE)</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4"/>
                <w:szCs w:val="24"/>
                <w:color w:val="auto"/>
              </w:rPr>
            </w:pPr>
          </w:p>
        </w:tc>
        <w:tc>
          <w:tcPr>
            <w:tcW w:w="6940" w:type="dxa"/>
            <w:vAlign w:val="bottom"/>
          </w:tcPr>
          <w:p>
            <w:pPr>
              <w:ind w:left="780"/>
              <w:spacing w:after="0"/>
              <w:rPr>
                <w:sz w:val="20"/>
                <w:szCs w:val="20"/>
                <w:color w:val="auto"/>
              </w:rPr>
            </w:pPr>
            <w:r>
              <w:rPr>
                <w:rFonts w:ascii="Arial" w:cs="Arial" w:eastAsia="Arial" w:hAnsi="Arial"/>
                <w:sz w:val="18"/>
                <w:szCs w:val="18"/>
                <w:color w:val="auto"/>
              </w:rPr>
              <w:t>Page 4 of 10</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140" w:type="dxa"/>
            <w:vAlign w:val="bottom"/>
          </w:tcPr>
          <w:p>
            <w:pPr>
              <w:ind w:left="526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280" w:type="dxa"/>
            <w:vAlign w:val="bottom"/>
            <w:vMerge w:val="continue"/>
          </w:tcPr>
          <w:p>
            <w:pPr>
              <w:spacing w:after="0"/>
              <w:rPr>
                <w:sz w:val="13"/>
                <w:szCs w:val="13"/>
                <w:color w:val="auto"/>
              </w:rPr>
            </w:pPr>
          </w:p>
        </w:tc>
        <w:tc>
          <w:tcPr>
            <w:tcW w:w="7140" w:type="dxa"/>
            <w:vAlign w:val="bottom"/>
          </w:tcPr>
          <w:p>
            <w:pPr>
              <w:ind w:left="574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Pine Grove Landfill, Inc. (PA)</w:t>
            </w:r>
          </w:p>
        </w:tc>
        <w:tc>
          <w:tcPr>
            <w:tcW w:w="7140" w:type="dxa"/>
            <w:vAlign w:val="bottom"/>
          </w:tcPr>
          <w:p>
            <w:pPr>
              <w:ind w:left="51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Pine Ridge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Pine Tree Acres,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Plantation Oaks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PPP Corporation</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Prairie Bluff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Pulaski Grading, L.L.C.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Pullman-Hoffman, Inc.</w:t>
            </w:r>
          </w:p>
        </w:tc>
        <w:tc>
          <w:tcPr>
            <w:tcW w:w="7140" w:type="dxa"/>
            <w:vAlign w:val="bottom"/>
          </w:tcPr>
          <w:p>
            <w:pPr>
              <w:ind w:left="51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Quail Hollow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 &amp; B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RAA Colorado, L.L.C.</w:t>
            </w:r>
          </w:p>
        </w:tc>
        <w:tc>
          <w:tcPr>
            <w:tcW w:w="7140" w:type="dxa"/>
            <w:vAlign w:val="bottom"/>
          </w:tcPr>
          <w:p>
            <w:pPr>
              <w:ind w:left="518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RAA Trucking, LLC</w:t>
            </w:r>
          </w:p>
        </w:tc>
        <w:tc>
          <w:tcPr>
            <w:tcW w:w="7140" w:type="dxa"/>
            <w:vAlign w:val="bottom"/>
          </w:tcPr>
          <w:p>
            <w:pPr>
              <w:ind w:left="5180"/>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Rail Cycle North Ltd.</w:t>
            </w:r>
          </w:p>
        </w:tc>
        <w:tc>
          <w:tcPr>
            <w:tcW w:w="7140" w:type="dxa"/>
            <w:vAlign w:val="bottom"/>
          </w:tcPr>
          <w:p>
            <w:pPr>
              <w:ind w:left="518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RCI Hudson, Inc.</w:t>
            </w:r>
          </w:p>
        </w:tc>
        <w:tc>
          <w:tcPr>
            <w:tcW w:w="7140" w:type="dxa"/>
            <w:vAlign w:val="bottom"/>
          </w:tcPr>
          <w:p>
            <w:pPr>
              <w:ind w:left="51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RE-CY-CO, Inc.</w:t>
            </w:r>
          </w:p>
        </w:tc>
        <w:tc>
          <w:tcPr>
            <w:tcW w:w="7140" w:type="dxa"/>
            <w:vAlign w:val="bottom"/>
          </w:tcPr>
          <w:p>
            <w:pPr>
              <w:ind w:left="51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RECO Ventures, L.P.</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Recycle America Co., L.L.C.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Recycle America Holdings,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Redwood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Refuse Services,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Refuse, Inc.</w:t>
            </w:r>
          </w:p>
        </w:tc>
        <w:tc>
          <w:tcPr>
            <w:tcW w:w="7140" w:type="dxa"/>
            <w:vAlign w:val="bottom"/>
          </w:tcPr>
          <w:p>
            <w:pPr>
              <w:ind w:left="51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REI Holdings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Reliable Landfill, L.L.C.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Remote Landfill Services,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Reno Disposal Co.</w:t>
            </w:r>
          </w:p>
        </w:tc>
        <w:tc>
          <w:tcPr>
            <w:tcW w:w="7140" w:type="dxa"/>
            <w:vAlign w:val="bottom"/>
          </w:tcPr>
          <w:p>
            <w:pPr>
              <w:ind w:left="51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Resco Holdings L.L.C.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Resource Control Composting, Inc.</w:t>
            </w:r>
          </w:p>
        </w:tc>
        <w:tc>
          <w:tcPr>
            <w:tcW w:w="7140" w:type="dxa"/>
            <w:vAlign w:val="bottom"/>
          </w:tcPr>
          <w:p>
            <w:pPr>
              <w:ind w:left="51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Resource Control,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Reuter Recycling of Florida, Inc.</w:t>
            </w:r>
          </w:p>
        </w:tc>
        <w:tc>
          <w:tcPr>
            <w:tcW w:w="7140" w:type="dxa"/>
            <w:vAlign w:val="bottom"/>
          </w:tcPr>
          <w:p>
            <w:pPr>
              <w:ind w:left="51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Richland County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Ridge Generating Station Limited Partnership</w:t>
            </w:r>
          </w:p>
        </w:tc>
        <w:tc>
          <w:tcPr>
            <w:tcW w:w="7140" w:type="dxa"/>
            <w:vAlign w:val="bottom"/>
          </w:tcPr>
          <w:p>
            <w:pPr>
              <w:ind w:left="51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Riegel Ridge, LLC</w:t>
            </w:r>
          </w:p>
        </w:tc>
        <w:tc>
          <w:tcPr>
            <w:tcW w:w="7140" w:type="dxa"/>
            <w:vAlign w:val="bottom"/>
          </w:tcPr>
          <w:p>
            <w:pPr>
              <w:ind w:left="518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Riverbend Landfill Co.</w:t>
            </w:r>
          </w:p>
        </w:tc>
        <w:tc>
          <w:tcPr>
            <w:tcW w:w="7140" w:type="dxa"/>
            <w:vAlign w:val="bottom"/>
          </w:tcPr>
          <w:p>
            <w:pPr>
              <w:ind w:left="51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Rolling Meadows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RRT Design &amp; Construction Corp.</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RRT Empire of Monroe County, Inc.</w:t>
            </w:r>
          </w:p>
        </w:tc>
        <w:tc>
          <w:tcPr>
            <w:tcW w:w="7140" w:type="dxa"/>
            <w:vAlign w:val="bottom"/>
          </w:tcPr>
          <w:p>
            <w:pPr>
              <w:ind w:left="51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RTS Landfill,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Rust Engineering &amp; Construction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Rust International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 &amp; J Landfill Limited Partnership</w:t>
            </w:r>
          </w:p>
        </w:tc>
        <w:tc>
          <w:tcPr>
            <w:tcW w:w="7140" w:type="dxa"/>
            <w:vAlign w:val="bottom"/>
          </w:tcPr>
          <w:p>
            <w:pPr>
              <w:ind w:left="51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 &amp; S Grading, Inc.</w:t>
            </w:r>
          </w:p>
        </w:tc>
        <w:tc>
          <w:tcPr>
            <w:tcW w:w="7140" w:type="dxa"/>
            <w:vAlign w:val="bottom"/>
          </w:tcPr>
          <w:p>
            <w:pPr>
              <w:ind w:left="518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 V. Farming Corp.</w:t>
            </w:r>
          </w:p>
        </w:tc>
        <w:tc>
          <w:tcPr>
            <w:tcW w:w="7140" w:type="dxa"/>
            <w:vAlign w:val="bottom"/>
          </w:tcPr>
          <w:p>
            <w:pPr>
              <w:ind w:left="51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Sanifill de Mexico (US),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Sanifill of San Juan, Inc.</w:t>
            </w:r>
          </w:p>
        </w:tc>
        <w:tc>
          <w:tcPr>
            <w:tcW w:w="7140" w:type="dxa"/>
            <w:vAlign w:val="bottom"/>
          </w:tcPr>
          <w:p>
            <w:pPr>
              <w:ind w:left="518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Sanifill Power Corporation</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SC Holdings, Inc.</w:t>
            </w:r>
          </w:p>
        </w:tc>
        <w:tc>
          <w:tcPr>
            <w:tcW w:w="7140" w:type="dxa"/>
            <w:vAlign w:val="bottom"/>
          </w:tcPr>
          <w:p>
            <w:pPr>
              <w:ind w:left="51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SES Bridgeport L.L.C.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SES Connecticut Inc.</w:t>
            </w:r>
          </w:p>
        </w:tc>
        <w:tc>
          <w:tcPr>
            <w:tcW w:w="7140" w:type="dxa"/>
            <w:vAlign w:val="bottom"/>
          </w:tcPr>
          <w:p>
            <w:pPr>
              <w:ind w:left="5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280" w:type="dxa"/>
            <w:vAlign w:val="bottom"/>
          </w:tcPr>
          <w:p>
            <w:pPr>
              <w:spacing w:after="0"/>
              <w:rPr>
                <w:sz w:val="24"/>
                <w:szCs w:val="24"/>
                <w:color w:val="auto"/>
              </w:rPr>
            </w:pPr>
          </w:p>
        </w:tc>
        <w:tc>
          <w:tcPr>
            <w:tcW w:w="7140" w:type="dxa"/>
            <w:vAlign w:val="bottom"/>
          </w:tcPr>
          <w:p>
            <w:pPr>
              <w:ind w:left="980"/>
              <w:spacing w:after="0"/>
              <w:rPr>
                <w:sz w:val="20"/>
                <w:szCs w:val="20"/>
                <w:color w:val="auto"/>
              </w:rPr>
            </w:pPr>
            <w:r>
              <w:rPr>
                <w:rFonts w:ascii="Arial" w:cs="Arial" w:eastAsia="Arial" w:hAnsi="Arial"/>
                <w:sz w:val="18"/>
                <w:szCs w:val="18"/>
                <w:color w:val="auto"/>
              </w:rPr>
              <w:t>Page 5 of 10</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940" w:type="dxa"/>
            <w:vAlign w:val="bottom"/>
          </w:tcPr>
          <w:p>
            <w:pPr>
              <w:ind w:left="506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480" w:type="dxa"/>
            <w:vAlign w:val="bottom"/>
            <w:vMerge w:val="continue"/>
          </w:tcPr>
          <w:p>
            <w:pPr>
              <w:spacing w:after="0"/>
              <w:rPr>
                <w:sz w:val="13"/>
                <w:szCs w:val="13"/>
                <w:color w:val="auto"/>
              </w:rPr>
            </w:pPr>
          </w:p>
        </w:tc>
        <w:tc>
          <w:tcPr>
            <w:tcW w:w="6940" w:type="dxa"/>
            <w:vAlign w:val="bottom"/>
          </w:tcPr>
          <w:p>
            <w:pPr>
              <w:ind w:left="554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Shade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Sierra Estrella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Smyrna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Southern Alleghenies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Southern One Land Corporation</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Southern Plains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Southern Waste Services,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Spruce Ridge,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Stony Hollow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Storey County Sanitation,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Suburban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Texarkana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 Peltz Group of Ohio LLC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 Peltz Group, LLC</w:t>
            </w:r>
          </w:p>
        </w:tc>
        <w:tc>
          <w:tcPr>
            <w:tcW w:w="6940" w:type="dxa"/>
            <w:vAlign w:val="bottom"/>
          </w:tcPr>
          <w:p>
            <w:pPr>
              <w:ind w:left="4980"/>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 Waste Management Charitable Foundation</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 Woodlands of Van Buren,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TNT Sands,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Trail Ridge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Transamerican Waste Central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Transamerican Waste Industries Southeast,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Trash Hunters,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Tri-County Sanitary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TX Newco,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United Waste Systems Leasing,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United Waste Systems of Gardner,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South Hills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Valley Facility,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Geneva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Industrial Services,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Landfill Operations and Transfer, Inc.</w:t>
            </w:r>
          </w:p>
        </w:tc>
        <w:tc>
          <w:tcPr>
            <w:tcW w:w="6940" w:type="dxa"/>
            <w:vAlign w:val="bottom"/>
          </w:tcPr>
          <w:p>
            <w:pPr>
              <w:ind w:left="49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of California,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of New York City,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of Pennsylvania,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of Texas Landfills,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of Virginia Landfills,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San Antonio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Services North Carolina Landfills,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Services of Nevada,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 Services of NYC,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 Waste-Management Resources,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USA-Crinc,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UWS Barre,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Valley Garbage and Rubbish Company,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Vern’s Refuse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Vickery Environmental,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Voyageur Disposal Processing,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Warner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Warner Hill Development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4"/>
                <w:szCs w:val="24"/>
                <w:color w:val="auto"/>
              </w:rPr>
            </w:pPr>
          </w:p>
        </w:tc>
        <w:tc>
          <w:tcPr>
            <w:tcW w:w="6940" w:type="dxa"/>
            <w:vAlign w:val="bottom"/>
          </w:tcPr>
          <w:p>
            <w:pPr>
              <w:ind w:left="780"/>
              <w:spacing w:after="0"/>
              <w:rPr>
                <w:sz w:val="20"/>
                <w:szCs w:val="20"/>
                <w:color w:val="auto"/>
              </w:rPr>
            </w:pPr>
            <w:r>
              <w:rPr>
                <w:rFonts w:ascii="Arial" w:cs="Arial" w:eastAsia="Arial" w:hAnsi="Arial"/>
                <w:sz w:val="18"/>
                <w:szCs w:val="18"/>
                <w:color w:val="auto"/>
              </w:rPr>
              <w:t>Page 6 of 10</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240" w:type="dxa"/>
            <w:vAlign w:val="bottom"/>
          </w:tcPr>
          <w:p>
            <w:pPr>
              <w:ind w:left="436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5180" w:type="dxa"/>
            <w:vAlign w:val="bottom"/>
            <w:vMerge w:val="continue"/>
          </w:tcPr>
          <w:p>
            <w:pPr>
              <w:spacing w:after="0"/>
              <w:rPr>
                <w:sz w:val="13"/>
                <w:szCs w:val="13"/>
                <w:color w:val="auto"/>
              </w:rPr>
            </w:pPr>
          </w:p>
        </w:tc>
        <w:tc>
          <w:tcPr>
            <w:tcW w:w="6240" w:type="dxa"/>
            <w:vAlign w:val="bottom"/>
          </w:tcPr>
          <w:p>
            <w:pPr>
              <w:ind w:left="484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Away Group, Inc.</w:t>
            </w:r>
          </w:p>
        </w:tc>
        <w:tc>
          <w:tcPr>
            <w:tcW w:w="6240" w:type="dxa"/>
            <w:vAlign w:val="bottom"/>
          </w:tcPr>
          <w:p>
            <w:pPr>
              <w:ind w:left="428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Arizona Landfills,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Buckeye,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Canadian Finance LP</w:t>
            </w:r>
          </w:p>
        </w:tc>
        <w:tc>
          <w:tcPr>
            <w:tcW w:w="6240" w:type="dxa"/>
            <w:vAlign w:val="bottom"/>
          </w:tcPr>
          <w:p>
            <w:pPr>
              <w:ind w:left="4280"/>
              <w:spacing w:after="0"/>
              <w:rPr>
                <w:sz w:val="20"/>
                <w:szCs w:val="20"/>
                <w:color w:val="auto"/>
              </w:rPr>
            </w:pPr>
            <w:r>
              <w:rPr>
                <w:rFonts w:ascii="Arial" w:cs="Arial" w:eastAsia="Arial" w:hAnsi="Arial"/>
                <w:sz w:val="18"/>
                <w:szCs w:val="18"/>
                <w:color w:val="auto"/>
              </w:rPr>
              <w:t>Quebec</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Collection and Recycling,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Colorado,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Maine, Inc.</w:t>
            </w:r>
          </w:p>
        </w:tc>
        <w:tc>
          <w:tcPr>
            <w:tcW w:w="6240" w:type="dxa"/>
            <w:vAlign w:val="bottom"/>
          </w:tcPr>
          <w:p>
            <w:pPr>
              <w:ind w:left="4280"/>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Maryland, Inc.</w:t>
            </w:r>
          </w:p>
        </w:tc>
        <w:tc>
          <w:tcPr>
            <w:tcW w:w="6240" w:type="dxa"/>
            <w:vAlign w:val="bottom"/>
          </w:tcPr>
          <w:p>
            <w:pPr>
              <w:ind w:left="42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Oregon,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Disposal Services of Virginia,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Financing Corporation</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Inc. of Florida</w:t>
            </w:r>
          </w:p>
        </w:tc>
        <w:tc>
          <w:tcPr>
            <w:tcW w:w="6240" w:type="dxa"/>
            <w:vAlign w:val="bottom"/>
          </w:tcPr>
          <w:p>
            <w:pPr>
              <w:ind w:left="42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Indycoke,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International,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Municipal Services of California,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National Services,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New England Environmental Transport,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Alameda County,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Alaska,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Arizona,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Arkansas,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California,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Canada Corporation</w:t>
            </w:r>
          </w:p>
        </w:tc>
        <w:tc>
          <w:tcPr>
            <w:tcW w:w="6240" w:type="dxa"/>
            <w:vAlign w:val="bottom"/>
          </w:tcPr>
          <w:p>
            <w:pPr>
              <w:ind w:left="428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Carolinas,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Colorado, Inc.</w:t>
            </w:r>
          </w:p>
        </w:tc>
        <w:tc>
          <w:tcPr>
            <w:tcW w:w="6240" w:type="dxa"/>
            <w:vAlign w:val="bottom"/>
          </w:tcPr>
          <w:p>
            <w:pPr>
              <w:ind w:left="428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Connecticut,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Delaware,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2"/>
              </w:rPr>
              <w:t>Waste Management of Five Oaks Recycling and Disposal Facility,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Georgia,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Hawaii,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Idaho, Inc.</w:t>
            </w:r>
          </w:p>
        </w:tc>
        <w:tc>
          <w:tcPr>
            <w:tcW w:w="6240" w:type="dxa"/>
            <w:vAlign w:val="bottom"/>
          </w:tcPr>
          <w:p>
            <w:pPr>
              <w:ind w:left="428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Illinois Holdings,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Illinois,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Indiana Holdings One,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Indiana Holdings Two,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Indiana,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Iowa, Inc.</w:t>
            </w:r>
          </w:p>
        </w:tc>
        <w:tc>
          <w:tcPr>
            <w:tcW w:w="6240" w:type="dxa"/>
            <w:vAlign w:val="bottom"/>
          </w:tcPr>
          <w:p>
            <w:pPr>
              <w:ind w:left="428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Kansas,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Kentucky Holdings,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Kentucky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Leon County, Inc.</w:t>
            </w:r>
          </w:p>
        </w:tc>
        <w:tc>
          <w:tcPr>
            <w:tcW w:w="6240" w:type="dxa"/>
            <w:vAlign w:val="bottom"/>
          </w:tcPr>
          <w:p>
            <w:pPr>
              <w:ind w:left="42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Louisiana Holdings One, Inc.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Louisiana, L.L.C.</w:t>
            </w:r>
          </w:p>
        </w:tc>
        <w:tc>
          <w:tcPr>
            <w:tcW w:w="6240" w:type="dxa"/>
            <w:vAlign w:val="bottom"/>
          </w:tcPr>
          <w:p>
            <w:pPr>
              <w:ind w:left="42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Waste Management of Maine, Inc.</w:t>
            </w:r>
          </w:p>
        </w:tc>
        <w:tc>
          <w:tcPr>
            <w:tcW w:w="6240" w:type="dxa"/>
            <w:vAlign w:val="bottom"/>
          </w:tcPr>
          <w:p>
            <w:pPr>
              <w:ind w:left="4280"/>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Waste Management of Maryland, Inc.</w:t>
            </w:r>
          </w:p>
        </w:tc>
        <w:tc>
          <w:tcPr>
            <w:tcW w:w="6240" w:type="dxa"/>
            <w:vAlign w:val="bottom"/>
          </w:tcPr>
          <w:p>
            <w:pPr>
              <w:ind w:left="42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405"/>
        </w:trPr>
        <w:tc>
          <w:tcPr>
            <w:tcW w:w="5180" w:type="dxa"/>
            <w:vAlign w:val="bottom"/>
          </w:tcPr>
          <w:p>
            <w:pPr>
              <w:spacing w:after="0"/>
              <w:rPr>
                <w:sz w:val="24"/>
                <w:szCs w:val="24"/>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Page 7 of 10</w:t>
            </w:r>
          </w:p>
        </w:tc>
        <w:tc>
          <w:tcPr>
            <w:tcW w:w="0" w:type="dxa"/>
            <w:vAlign w:val="bottom"/>
          </w:tcPr>
          <w:p>
            <w:pPr>
              <w:spacing w:after="0"/>
              <w:rPr>
                <w:sz w:val="1"/>
                <w:szCs w:val="1"/>
                <w:color w:val="auto"/>
              </w:rPr>
            </w:pPr>
          </w:p>
        </w:tc>
      </w:tr>
      <w:tr>
        <w:trPr>
          <w:trHeight w:val="226"/>
        </w:trPr>
        <w:tc>
          <w:tcPr>
            <w:tcW w:w="5180" w:type="dxa"/>
            <w:vAlign w:val="bottom"/>
            <w:tcBorders>
              <w:bottom w:val="single" w:sz="8" w:color="808080"/>
            </w:tcBorders>
          </w:tcPr>
          <w:p>
            <w:pPr>
              <w:spacing w:after="0"/>
              <w:rPr>
                <w:sz w:val="19"/>
                <w:szCs w:val="19"/>
                <w:color w:val="auto"/>
              </w:rPr>
            </w:pPr>
          </w:p>
        </w:tc>
        <w:tc>
          <w:tcPr>
            <w:tcW w:w="6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200" w:type="dxa"/>
            <w:vAlign w:val="bottom"/>
          </w:tcPr>
          <w:p>
            <w:pPr>
              <w:ind w:left="432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6200" w:type="dxa"/>
            <w:vAlign w:val="bottom"/>
          </w:tcPr>
          <w:p>
            <w:pPr>
              <w:ind w:left="480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Massachusetts,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Metro Atlanta,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Michigan, Inc.</w:t>
            </w:r>
          </w:p>
        </w:tc>
        <w:tc>
          <w:tcPr>
            <w:tcW w:w="6200" w:type="dxa"/>
            <w:vAlign w:val="bottom"/>
          </w:tcPr>
          <w:p>
            <w:pPr>
              <w:ind w:left="42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Minnesota,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Mississippi, Inc.</w:t>
            </w:r>
          </w:p>
        </w:tc>
        <w:tc>
          <w:tcPr>
            <w:tcW w:w="6200" w:type="dxa"/>
            <w:vAlign w:val="bottom"/>
          </w:tcPr>
          <w:p>
            <w:pPr>
              <w:ind w:left="424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Missouri,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Montana,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Nebraska,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Nevada,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New Hampshire, Inc.</w:t>
            </w:r>
          </w:p>
        </w:tc>
        <w:tc>
          <w:tcPr>
            <w:tcW w:w="6200" w:type="dxa"/>
            <w:vAlign w:val="bottom"/>
          </w:tcPr>
          <w:p>
            <w:pPr>
              <w:ind w:left="42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New Jersey,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New Mexico, Inc.</w:t>
            </w:r>
          </w:p>
        </w:tc>
        <w:tc>
          <w:tcPr>
            <w:tcW w:w="6200" w:type="dxa"/>
            <w:vAlign w:val="bottom"/>
          </w:tcPr>
          <w:p>
            <w:pPr>
              <w:ind w:left="4240"/>
              <w:spacing w:after="0"/>
              <w:rPr>
                <w:sz w:val="20"/>
                <w:szCs w:val="20"/>
                <w:color w:val="auto"/>
              </w:rPr>
            </w:pPr>
            <w:r>
              <w:rPr>
                <w:rFonts w:ascii="Arial" w:cs="Arial" w:eastAsia="Arial" w:hAnsi="Arial"/>
                <w:sz w:val="18"/>
                <w:szCs w:val="18"/>
                <w:color w:val="auto"/>
              </w:rPr>
              <w:t>New Mexico</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New York,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North Dakota,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Ohio, Inc.</w:t>
            </w:r>
          </w:p>
        </w:tc>
        <w:tc>
          <w:tcPr>
            <w:tcW w:w="6200" w:type="dxa"/>
            <w:vAlign w:val="bottom"/>
          </w:tcPr>
          <w:p>
            <w:pPr>
              <w:ind w:left="42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Oklahoma,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Oregon, Inc.</w:t>
            </w:r>
          </w:p>
        </w:tc>
        <w:tc>
          <w:tcPr>
            <w:tcW w:w="6200" w:type="dxa"/>
            <w:vAlign w:val="bottom"/>
          </w:tcPr>
          <w:p>
            <w:pPr>
              <w:ind w:left="424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Pennsylvania Gas Recovery,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Pennsylvania,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Plainfield,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Rhode Island,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South Carolina,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South Dakota,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Texas Holdings,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Texas,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Texas, L.P.</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Tunica Landfill, Inc.</w:t>
            </w:r>
          </w:p>
        </w:tc>
        <w:tc>
          <w:tcPr>
            <w:tcW w:w="6200" w:type="dxa"/>
            <w:vAlign w:val="bottom"/>
          </w:tcPr>
          <w:p>
            <w:pPr>
              <w:ind w:left="424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Utah, Inc.</w:t>
            </w:r>
          </w:p>
        </w:tc>
        <w:tc>
          <w:tcPr>
            <w:tcW w:w="6200" w:type="dxa"/>
            <w:vAlign w:val="bottom"/>
          </w:tcPr>
          <w:p>
            <w:pPr>
              <w:ind w:left="424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Virginia,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Washington,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West Virginia,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Wisconsin, Inc.</w:t>
            </w:r>
          </w:p>
        </w:tc>
        <w:tc>
          <w:tcPr>
            <w:tcW w:w="6200" w:type="dxa"/>
            <w:vAlign w:val="bottom"/>
          </w:tcPr>
          <w:p>
            <w:pPr>
              <w:ind w:left="4240"/>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of Wyoming,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Paper Stock Company,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Partners,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Plastic Products,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Quebec Holdings,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1"/>
              </w:rPr>
              <w:t>Waste Management Recycling and Disposal Services of California, Inc.</w:t>
            </w:r>
          </w:p>
        </w:tc>
        <w:tc>
          <w:tcPr>
            <w:tcW w:w="6200" w:type="dxa"/>
            <w:vAlign w:val="bottom"/>
          </w:tcPr>
          <w:p>
            <w:pPr>
              <w:ind w:left="42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Recycling of New Jersey,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Security,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Service Center, L.P.</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Technology Center,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Management, Inc. of Tennessee</w:t>
            </w:r>
          </w:p>
        </w:tc>
        <w:tc>
          <w:tcPr>
            <w:tcW w:w="6200" w:type="dxa"/>
            <w:vAlign w:val="bottom"/>
          </w:tcPr>
          <w:p>
            <w:pPr>
              <w:ind w:left="424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Resources of Tennessee, Inc.</w:t>
            </w:r>
          </w:p>
        </w:tc>
        <w:tc>
          <w:tcPr>
            <w:tcW w:w="6200" w:type="dxa"/>
            <w:vAlign w:val="bottom"/>
          </w:tcPr>
          <w:p>
            <w:pPr>
              <w:ind w:left="424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Services of Kentucky,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to Energy Holdings, Inc.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Waste to Energy I,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Waste to Energy II, LLC</w:t>
            </w:r>
          </w:p>
        </w:tc>
        <w:tc>
          <w:tcPr>
            <w:tcW w:w="6200" w:type="dxa"/>
            <w:vAlign w:val="bottom"/>
          </w:tcPr>
          <w:p>
            <w:pPr>
              <w:ind w:left="4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52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Page 8 of 10</w:t>
            </w:r>
          </w:p>
        </w:tc>
        <w:tc>
          <w:tcPr>
            <w:tcW w:w="0" w:type="dxa"/>
            <w:vAlign w:val="bottom"/>
          </w:tcPr>
          <w:p>
            <w:pPr>
              <w:spacing w:after="0"/>
              <w:rPr>
                <w:sz w:val="1"/>
                <w:szCs w:val="1"/>
                <w:color w:val="auto"/>
              </w:rPr>
            </w:pPr>
          </w:p>
        </w:tc>
      </w:tr>
      <w:tr>
        <w:trPr>
          <w:trHeight w:val="226"/>
        </w:trPr>
        <w:tc>
          <w:tcPr>
            <w:tcW w:w="522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100" w:type="dxa"/>
            <w:vAlign w:val="bottom"/>
          </w:tcPr>
          <w:p>
            <w:pPr>
              <w:ind w:left="522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57"/>
        </w:trPr>
        <w:tc>
          <w:tcPr>
            <w:tcW w:w="4320" w:type="dxa"/>
            <w:vAlign w:val="bottom"/>
            <w:vMerge w:val="continue"/>
          </w:tcPr>
          <w:p>
            <w:pPr>
              <w:spacing w:after="0"/>
              <w:rPr>
                <w:sz w:val="13"/>
                <w:szCs w:val="13"/>
                <w:color w:val="auto"/>
              </w:rPr>
            </w:pPr>
          </w:p>
        </w:tc>
        <w:tc>
          <w:tcPr>
            <w:tcW w:w="7100" w:type="dxa"/>
            <w:vAlign w:val="bottom"/>
          </w:tcPr>
          <w:p>
            <w:pPr>
              <w:ind w:left="570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Wastech Inc.</w:t>
            </w:r>
          </w:p>
        </w:tc>
        <w:tc>
          <w:tcPr>
            <w:tcW w:w="7100" w:type="dxa"/>
            <w:vAlign w:val="bottom"/>
          </w:tcPr>
          <w:p>
            <w:pPr>
              <w:ind w:left="51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WESI Baltimore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WESI Capital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WESI Peekskill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WESI Westchester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Westchester Resco Associates, L.P.</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Western One Land Corporation</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Western Waste Industries</w:t>
            </w:r>
          </w:p>
        </w:tc>
        <w:tc>
          <w:tcPr>
            <w:tcW w:w="7100" w:type="dxa"/>
            <w:vAlign w:val="bottom"/>
          </w:tcPr>
          <w:p>
            <w:pPr>
              <w:ind w:left="51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Western Waste of Texas, L.L.C.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Baltimore L.L.C.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Baltimore, L.P.</w:t>
            </w:r>
          </w:p>
        </w:tc>
        <w:tc>
          <w:tcPr>
            <w:tcW w:w="7100" w:type="dxa"/>
            <w:vAlign w:val="bottom"/>
          </w:tcPr>
          <w:p>
            <w:pPr>
              <w:ind w:left="514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Bridgeport, L.P.</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Cedar Creek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Claremont Company, L.P.</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Concord Company, L.P.</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Concord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Connecticut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Culm Services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Environmental Systems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Falls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Frackville Energy Company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Frackville Properties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Fuel Services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Gloucester Company, L.P.</w:t>
            </w:r>
          </w:p>
        </w:tc>
        <w:tc>
          <w:tcPr>
            <w:tcW w:w="7100" w:type="dxa"/>
            <w:vAlign w:val="bottom"/>
          </w:tcPr>
          <w:p>
            <w:pPr>
              <w:ind w:left="514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Gloucester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Guam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Hudson Energy Company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Hudson Falls L.L.C.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Land Resources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Lassen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Lisbon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Martell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McKay Bay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Millbury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New Hampshire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New Jersey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NHC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North Andover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North Broward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North Shore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Norwalk Energy Company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Penacook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Pinellas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Putnam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Ridge Energy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Saugus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 Shasta Energy Company Inc.</w:t>
            </w:r>
          </w:p>
        </w:tc>
        <w:tc>
          <w:tcPr>
            <w:tcW w:w="7100" w:type="dxa"/>
            <w:vAlign w:val="bottom"/>
          </w:tcPr>
          <w:p>
            <w:pPr>
              <w:ind w:left="51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Wheelabrator Sherman Energy Company, G.P.</w:t>
            </w:r>
          </w:p>
        </w:tc>
        <w:tc>
          <w:tcPr>
            <w:tcW w:w="7100" w:type="dxa"/>
            <w:vAlign w:val="bottom"/>
          </w:tcPr>
          <w:p>
            <w:pPr>
              <w:ind w:left="5140"/>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4"/>
                <w:szCs w:val="24"/>
                <w:color w:val="auto"/>
              </w:rPr>
            </w:pPr>
          </w:p>
        </w:tc>
        <w:tc>
          <w:tcPr>
            <w:tcW w:w="7100" w:type="dxa"/>
            <w:vAlign w:val="bottom"/>
          </w:tcPr>
          <w:p>
            <w:pPr>
              <w:ind w:left="940"/>
              <w:spacing w:after="0"/>
              <w:rPr>
                <w:sz w:val="20"/>
                <w:szCs w:val="20"/>
                <w:color w:val="auto"/>
              </w:rPr>
            </w:pPr>
            <w:r>
              <w:rPr>
                <w:rFonts w:ascii="Arial" w:cs="Arial" w:eastAsia="Arial" w:hAnsi="Arial"/>
                <w:sz w:val="18"/>
                <w:szCs w:val="18"/>
                <w:color w:val="auto"/>
              </w:rPr>
              <w:t>Page 9 of 10</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800" w:type="dxa"/>
            <w:vAlign w:val="bottom"/>
          </w:tcPr>
          <w:p>
            <w:pPr>
              <w:ind w:left="5000"/>
              <w:spacing w:after="0"/>
              <w:rPr>
                <w:sz w:val="20"/>
                <w:szCs w:val="20"/>
                <w:color w:val="auto"/>
              </w:rPr>
            </w:pPr>
            <w:r>
              <w:rPr>
                <w:rFonts w:ascii="Arial" w:cs="Arial" w:eastAsia="Arial" w:hAnsi="Arial"/>
                <w:sz w:val="14"/>
                <w:szCs w:val="14"/>
                <w:b w:val="1"/>
                <w:bCs w:val="1"/>
                <w:color w:val="auto"/>
                <w:w w:val="93"/>
              </w:rPr>
              <w:t>Jurisdiction of Incorporation</w:t>
            </w:r>
          </w:p>
        </w:tc>
        <w:tc>
          <w:tcPr>
            <w:tcW w:w="0" w:type="dxa"/>
            <w:vAlign w:val="bottom"/>
          </w:tcPr>
          <w:p>
            <w:pPr>
              <w:spacing w:after="0"/>
              <w:rPr>
                <w:sz w:val="1"/>
                <w:szCs w:val="1"/>
                <w:color w:val="auto"/>
              </w:rPr>
            </w:pPr>
          </w:p>
        </w:tc>
      </w:tr>
      <w:tr>
        <w:trPr>
          <w:trHeight w:val="157"/>
        </w:trPr>
        <w:tc>
          <w:tcPr>
            <w:tcW w:w="4540" w:type="dxa"/>
            <w:vAlign w:val="bottom"/>
            <w:vMerge w:val="continue"/>
          </w:tcPr>
          <w:p>
            <w:pPr>
              <w:spacing w:after="0"/>
              <w:rPr>
                <w:sz w:val="13"/>
                <w:szCs w:val="13"/>
                <w:color w:val="auto"/>
              </w:rPr>
            </w:pPr>
          </w:p>
        </w:tc>
        <w:tc>
          <w:tcPr>
            <w:tcW w:w="6800" w:type="dxa"/>
            <w:vAlign w:val="bottom"/>
          </w:tcPr>
          <w:p>
            <w:pPr>
              <w:ind w:left="5480"/>
              <w:spacing w:after="0" w:line="157" w:lineRule="exact"/>
              <w:rPr>
                <w:sz w:val="20"/>
                <w:szCs w:val="20"/>
                <w:color w:val="auto"/>
              </w:rPr>
            </w:pPr>
            <w:r>
              <w:rPr>
                <w:rFonts w:ascii="Arial" w:cs="Arial" w:eastAsia="Arial" w:hAnsi="Arial"/>
                <w:sz w:val="14"/>
                <w:szCs w:val="14"/>
                <w:b w:val="1"/>
                <w:bCs w:val="1"/>
                <w:color w:val="auto"/>
              </w:rPr>
              <w:t>or Formation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Sherman Station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Sherman Station One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South Broward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Spokane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Technologies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Technologies International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Wheelabrator Westchester, L.P.</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White Lake Landfill, Inc.</w:t>
            </w:r>
          </w:p>
        </w:tc>
        <w:tc>
          <w:tcPr>
            <w:tcW w:w="680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Williams Landfill,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Willow Oak Landfill, LLC</w:t>
            </w:r>
          </w:p>
        </w:tc>
        <w:tc>
          <w:tcPr>
            <w:tcW w:w="6800" w:type="dxa"/>
            <w:vAlign w:val="bottom"/>
          </w:tcPr>
          <w:p>
            <w:pPr>
              <w:ind w:left="49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Arizona Operations,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Corporate Services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Energy Solutions,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Healthcare Solutions,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Hurricane Katrina Employee Support Fund,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Illinois Renewable Energy,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International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Landfills of Georgia,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Landfills of Ohio,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Landfills of Tennessee,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Leasing of Arizona,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Leasing of Texas, L.P.</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Partnership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Quebec Inc.</w:t>
            </w:r>
          </w:p>
        </w:tc>
        <w:tc>
          <w:tcPr>
            <w:tcW w:w="6800" w:type="dxa"/>
            <w:vAlign w:val="bottom"/>
          </w:tcPr>
          <w:p>
            <w:pPr>
              <w:ind w:left="49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RA Canada Inc.</w:t>
            </w:r>
          </w:p>
        </w:tc>
        <w:tc>
          <w:tcPr>
            <w:tcW w:w="6800" w:type="dxa"/>
            <w:vAlign w:val="bottom"/>
          </w:tcPr>
          <w:p>
            <w:pPr>
              <w:ind w:left="492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Recycle America,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Renewable Energy,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Resources,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Safety Services,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Security Services,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Service Center,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 Tontitown Landfill, LLC</w:t>
            </w:r>
          </w:p>
        </w:tc>
        <w:tc>
          <w:tcPr>
            <w:tcW w:w="6800" w:type="dxa"/>
            <w:vAlign w:val="bottom"/>
          </w:tcPr>
          <w:p>
            <w:pPr>
              <w:ind w:left="4920"/>
              <w:spacing w:after="0"/>
              <w:rPr>
                <w:sz w:val="20"/>
                <w:szCs w:val="20"/>
                <w:color w:val="auto"/>
              </w:rPr>
            </w:pPr>
            <w:r>
              <w:rPr>
                <w:rFonts w:ascii="Arial" w:cs="Arial" w:eastAsia="Arial" w:hAnsi="Arial"/>
                <w:sz w:val="18"/>
                <w:szCs w:val="18"/>
                <w:color w:val="auto"/>
              </w:rPr>
              <w:t>Arkansas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WMI Mexico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WMNA Container Recycling,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WMSALSA, Inc.</w:t>
            </w:r>
          </w:p>
        </w:tc>
        <w:tc>
          <w:tcPr>
            <w:tcW w:w="6800" w:type="dxa"/>
            <w:vAlign w:val="bottom"/>
          </w:tcPr>
          <w:p>
            <w:pPr>
              <w:ind w:left="49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WMST Illinois, L.L.C.</w:t>
            </w:r>
          </w:p>
        </w:tc>
        <w:tc>
          <w:tcPr>
            <w:tcW w:w="680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WTI Air Pollution Control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WTI Financial L.L.C.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WTI International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WTI Rust Holdings Inc.</w:t>
            </w:r>
          </w:p>
        </w:tc>
        <w:tc>
          <w:tcPr>
            <w:tcW w:w="680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540" w:type="dxa"/>
            <w:vAlign w:val="bottom"/>
          </w:tcPr>
          <w:p>
            <w:pPr>
              <w:spacing w:after="0"/>
              <w:rPr>
                <w:sz w:val="24"/>
                <w:szCs w:val="24"/>
                <w:color w:val="auto"/>
              </w:rPr>
            </w:pPr>
          </w:p>
        </w:tc>
        <w:tc>
          <w:tcPr>
            <w:tcW w:w="6800" w:type="dxa"/>
            <w:vAlign w:val="bottom"/>
          </w:tcPr>
          <w:p>
            <w:pPr>
              <w:ind w:left="680"/>
              <w:spacing w:after="0"/>
              <w:rPr>
                <w:sz w:val="20"/>
                <w:szCs w:val="20"/>
                <w:color w:val="auto"/>
              </w:rPr>
            </w:pPr>
            <w:r>
              <w:rPr>
                <w:rFonts w:ascii="Arial" w:cs="Arial" w:eastAsia="Arial" w:hAnsi="Arial"/>
                <w:sz w:val="18"/>
                <w:szCs w:val="18"/>
                <w:color w:val="auto"/>
              </w:rPr>
              <w:t>Page 10 of 10</w:t>
            </w:r>
          </w:p>
        </w:tc>
        <w:tc>
          <w:tcPr>
            <w:tcW w:w="0" w:type="dxa"/>
            <w:vAlign w:val="bottom"/>
          </w:tcPr>
          <w:p>
            <w:pPr>
              <w:spacing w:after="0"/>
              <w:rPr>
                <w:sz w:val="1"/>
                <w:szCs w:val="1"/>
                <w:color w:val="auto"/>
              </w:rPr>
            </w:pPr>
          </w:p>
        </w:tc>
      </w:tr>
    </w:tbl>
    <w:p>
      <w:pPr>
        <w:sectPr>
          <w:pgSz w:w="11900" w:h="16838" w:orient="portrait"/>
          <w:cols w:equalWidth="0" w:num="1">
            <w:col w:w="11340"/>
          </w:cols>
          <w:pgMar w:left="240" w:top="1131" w:right="31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ind w:right="3400" w:firstLine="3408"/>
        <w:spacing w:after="0" w:line="40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360" w:right="380" w:hanging="10"/>
        <w:spacing w:after="0" w:line="342" w:lineRule="auto"/>
        <w:tabs>
          <w:tab w:leader="none" w:pos="61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Registration Statement (Form S-8 No. 333-45062) of Waste Management, Inc. pertaining to the issuance of common stock shares pursuant to the Waste Management Retirement Savings Plan and the Waste Management Retirement Savings Plan for Bargaining Unit Employees,</w:t>
      </w:r>
    </w:p>
    <w:p>
      <w:pPr>
        <w:spacing w:after="0" w:line="15" w:lineRule="exact"/>
        <w:rPr>
          <w:rFonts w:ascii="Arial" w:cs="Arial" w:eastAsia="Arial" w:hAnsi="Arial"/>
          <w:sz w:val="16"/>
          <w:szCs w:val="16"/>
          <w:color w:val="auto"/>
        </w:rPr>
      </w:pPr>
    </w:p>
    <w:p>
      <w:pPr>
        <w:ind w:left="360" w:right="300" w:hanging="10"/>
        <w:spacing w:after="0" w:line="277" w:lineRule="auto"/>
        <w:tabs>
          <w:tab w:leader="none" w:pos="6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333-110293) of Waste Management, Inc. pertaining to the issuance of common stock shares pursuant to the 2003 Waste Management, Inc. Directors’ Deferred Compensation Plan,</w:t>
      </w:r>
    </w:p>
    <w:p>
      <w:pPr>
        <w:spacing w:after="0" w:line="62" w:lineRule="exact"/>
        <w:rPr>
          <w:rFonts w:ascii="Arial" w:cs="Arial" w:eastAsia="Arial" w:hAnsi="Arial"/>
          <w:sz w:val="18"/>
          <w:szCs w:val="18"/>
          <w:color w:val="auto"/>
        </w:rPr>
      </w:pPr>
    </w:p>
    <w:p>
      <w:pPr>
        <w:ind w:left="360" w:right="280" w:hanging="10"/>
        <w:spacing w:after="0" w:line="277" w:lineRule="auto"/>
        <w:tabs>
          <w:tab w:leader="none" w:pos="6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333-106223) of Waste Management, Inc. pertaining to the issuance of common stock shares pursuant to the Waste Management, Inc. Employee Stock Purchase Plan,</w:t>
      </w:r>
    </w:p>
    <w:p>
      <w:pPr>
        <w:spacing w:after="0" w:line="62" w:lineRule="exact"/>
        <w:rPr>
          <w:rFonts w:ascii="Arial" w:cs="Arial" w:eastAsia="Arial" w:hAnsi="Arial"/>
          <w:sz w:val="18"/>
          <w:szCs w:val="18"/>
          <w:color w:val="auto"/>
        </w:rPr>
      </w:pPr>
    </w:p>
    <w:p>
      <w:pPr>
        <w:ind w:left="360" w:right="200" w:hanging="10"/>
        <w:spacing w:after="0" w:line="255" w:lineRule="auto"/>
        <w:tabs>
          <w:tab w:leader="none" w:pos="6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333-45066) of Waste Management, Inc. pertaining to the issuance of common stock shares pursuant to the WMI 2000 Stock Incentive Plan, WMI 2000 Broad-Based Stock Plan, WMI 1993 Stock Incentive Plan, WMI 1996 Stock Option Plan for Non-Employee Directors, Sanifill, Inc. 1994 Long-Term Incentive Plan, Waste Management Holdings, Inc. 1997 Equity Incentive Plan, Waste Management Holdings, Inc. 1992 Stock Option Plan, Waste Management Holdings, Inc. 1992 Stock Option Plan for Non-Employee Directors, Wheelabrator Technologies Inc. 1992 Stock Option Plan, Eastern Environmental Services, Inc. 1997 Stock Option Plan and Eastern Environmental Services, Inc. Amended and Restated 1996 Stock Option Plan.</w:t>
      </w:r>
    </w:p>
    <w:p>
      <w:pPr>
        <w:spacing w:after="0" w:line="85" w:lineRule="exact"/>
        <w:rPr>
          <w:rFonts w:ascii="Arial" w:cs="Arial" w:eastAsia="Arial" w:hAnsi="Arial"/>
          <w:sz w:val="18"/>
          <w:szCs w:val="18"/>
          <w:color w:val="auto"/>
        </w:rPr>
      </w:pPr>
    </w:p>
    <w:p>
      <w:pPr>
        <w:ind w:left="360" w:right="300" w:hanging="10"/>
        <w:spacing w:after="0" w:line="277" w:lineRule="auto"/>
        <w:tabs>
          <w:tab w:leader="none" w:pos="6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333-115932) of Waste Management, Inc. pertaining to the issuance of common stock shares pursuant to the 2004 Stock Incentive Plan,</w:t>
      </w:r>
    </w:p>
    <w:p>
      <w:pPr>
        <w:spacing w:after="0" w:line="62" w:lineRule="exact"/>
        <w:rPr>
          <w:rFonts w:ascii="Arial" w:cs="Arial" w:eastAsia="Arial" w:hAnsi="Arial"/>
          <w:sz w:val="18"/>
          <w:szCs w:val="18"/>
          <w:color w:val="auto"/>
        </w:rPr>
      </w:pPr>
    </w:p>
    <w:p>
      <w:pPr>
        <w:ind w:left="600" w:hanging="250"/>
        <w:spacing w:after="0"/>
        <w:tabs>
          <w:tab w:leader="none" w:pos="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S-3 Nos. 333-80063 and 333-97697) of Waste Management, Inc.,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S-4 No. 333-32805) of Waste Management, Inc.</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of our report dated February 20, 2006, with respect to the consolidated financial statements of Waste Management, Inc., our report dated February 20, 2006, with respect to Waste Management, Inc. management’s assessment of the effectiveness of internal control over financial reporting and the effectiveness of internal control over financial reporting of Waste Management, Inc., included herein, and our report with respect to the financial statement schedules of Waste Management, Inc. included in this Annual Report (Form 10-K) of Waste Management, Inc.</w:t>
      </w:r>
    </w:p>
    <w:p>
      <w:pPr>
        <w:spacing w:after="0" w:line="17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2006</w:t>
      </w:r>
    </w:p>
    <w:p>
      <w:pPr>
        <w:sectPr>
          <w:pgSz w:w="11900" w:h="16838" w:orient="portrait"/>
          <w:cols w:equalWidth="0" w:num="1">
            <w:col w:w="11420"/>
          </w:cols>
          <w:pgMar w:left="240" w:top="936"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660" w:hanging="436"/>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(f))for the registrant and have:</w:t>
      </w:r>
    </w:p>
    <w:p>
      <w:pPr>
        <w:spacing w:after="0" w:line="102"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2006</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6"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117" w:lineRule="exact"/>
        <w:rPr>
          <w:sz w:val="20"/>
          <w:szCs w:val="20"/>
          <w:color w:val="auto"/>
        </w:rPr>
      </w:pPr>
    </w:p>
    <w:p>
      <w:pPr>
        <w:ind w:left="660" w:hanging="436"/>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 for the registrant and have:</w:t>
      </w:r>
    </w:p>
    <w:p>
      <w:pPr>
        <w:spacing w:after="0" w:line="102"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2006</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93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2005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1697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ectPr>
          <w:pgSz w:w="11900" w:h="16838" w:orient="portrait"/>
          <w:cols w:equalWidth="0" w:num="1">
            <w:col w:w="11420"/>
          </w:cols>
          <w:pgMar w:left="240" w:top="936"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2005 as filed with the Securities and Exchange Commission on the date hereof (the “Report”), I, Robert G. Simpson, Chief Financial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1697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o"/>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1)"/>
      <w:numFmt w:val="lowerLetter"/>
      <w:start w:val="1"/>
    </w:lvl>
  </w:abstractNum>
  <w:abstractNum w:abstractNumId="5">
    <w:nsid w:val="5092CA79"/>
    <w:multiLevelType w:val="hybridMultilevel"/>
    <w:lvl w:ilvl="0">
      <w:lvlJc w:val="left"/>
      <w:lvlText w:val="(%1)"/>
      <w:numFmt w:val="lowerLetter"/>
      <w:start w:val="1"/>
    </w:lvl>
  </w:abstractNum>
  <w:abstractNum w:abstractNumId="6">
    <w:nsid w:val="1D545C4D"/>
    <w:multiLevelType w:val="hybridMultilevel"/>
    <w:lvl w:ilvl="0">
      <w:lvlJc w:val="left"/>
      <w:lvlText w:val="(%1)"/>
      <w:numFmt w:val="lowerLetter"/>
      <w:start w:val="1"/>
    </w:lvl>
  </w:abstractNum>
  <w:abstractNum w:abstractNumId="7">
    <w:nsid w:val="59ADEA3D"/>
    <w:multiLevelType w:val="hybridMultilevel"/>
    <w:lvl w:ilvl="0">
      <w:lvlJc w:val="left"/>
      <w:lvlText w:val="(%1)"/>
      <w:numFmt w:val="lowerRoman"/>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1)"/>
      <w:numFmt w:val="lowerLetter"/>
      <w:start w:val="1"/>
    </w:lvl>
  </w:abstractNum>
  <w:abstractNum w:abstractNumId="13">
    <w:nsid w:val="1CA0C5FA"/>
    <w:multiLevelType w:val="hybridMultilevel"/>
    <w:lvl w:ilvl="0">
      <w:lvlJc w:val="left"/>
      <w:lvlText w:val="(%1)"/>
      <w:numFmt w:val="lowerLetter"/>
      <w:start w:val="1"/>
    </w:lvl>
  </w:abstractNum>
  <w:abstractNum w:abstractNumId="14">
    <w:nsid w:val="53584BCB"/>
    <w:multiLevelType w:val="hybridMultilevel"/>
    <w:lvl w:ilvl="0">
      <w:lvlJc w:val="left"/>
      <w:lvlText w:val="(%1)"/>
      <w:numFmt w:val="lowerLetter"/>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1)"/>
      <w:numFmt w:val="lowerRoman"/>
      <w:start w:val="5"/>
    </w:lvl>
  </w:abstractNum>
  <w:abstractNum w:abstractNumId="22">
    <w:nsid w:val="4BD8591A"/>
    <w:multiLevelType w:val="hybridMultilevel"/>
    <w:lvl w:ilvl="0">
      <w:lvlJc w:val="left"/>
      <w:lvlText w:val="(%1)"/>
      <w:numFmt w:val="lowerRoman"/>
      <w:start w:val="4"/>
    </w:lvl>
  </w:abstractNum>
  <w:abstractNum w:abstractNumId="23">
    <w:nsid w:val="78DF6A55"/>
    <w:multiLevelType w:val="hybridMultilevel"/>
    <w:lvl w:ilvl="0">
      <w:lvlJc w:val="left"/>
      <w:lvlText w:val="(%1)"/>
      <w:numFmt w:val="lowerRoman"/>
      <w:start w:val="3"/>
    </w:lvl>
  </w:abstractNum>
  <w:abstractNum w:abstractNumId="24">
    <w:nsid w:val="39B7AAA2"/>
    <w:multiLevelType w:val="hybridMultilevel"/>
    <w:lvl w:ilvl="0">
      <w:lvlJc w:val="left"/>
      <w:lvlText w:val="(%1)"/>
      <w:numFmt w:val="lowerRoman"/>
      <w:start w:val="4"/>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1)"/>
      <w:numFmt w:val="lowerRoman"/>
      <w:start w:val="4"/>
    </w:lvl>
  </w:abstractNum>
  <w:abstractNum w:abstractNumId="30">
    <w:nsid w:val="4C9B0904"/>
    <w:multiLevelType w:val="hybridMultilevel"/>
    <w:lvl w:ilvl="0">
      <w:lvlJc w:val="left"/>
      <w:lvlText w:val="(%1)"/>
      <w:numFmt w:val="lowerLetter"/>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1)"/>
      <w:numFmt w:val="lowerLetter"/>
      <w:start w:val="1"/>
    </w:lvl>
  </w:abstractNum>
  <w:abstractNum w:abstractNumId="33">
    <w:nsid w:val="5675FF36"/>
    <w:multiLevelType w:val="hybridMultilevel"/>
    <w:lvl w:ilvl="0">
      <w:lvlJc w:val="left"/>
      <w:lvlText w:val="%1."/>
      <w:numFmt w:val="decimal"/>
      <w:start w:val="1"/>
    </w:lvl>
  </w:abstractNum>
  <w:abstractNum w:abstractNumId="34">
    <w:nsid w:val="3DD15094"/>
    <w:multiLevelType w:val="hybridMultilevel"/>
    <w:lvl w:ilvl="0">
      <w:lvlJc w:val="left"/>
      <w:lvlText w:val="%1."/>
      <w:numFmt w:val="decimal"/>
      <w:start w:val="2"/>
    </w:lvl>
  </w:abstractNum>
  <w:abstractNum w:abstractNumId="35">
    <w:nsid w:val="3DB012B3"/>
    <w:multiLevelType w:val="hybridMultilevel"/>
    <w:lvl w:ilvl="0">
      <w:lvlJc w:val="left"/>
      <w:lvlText w:val="%1."/>
      <w:numFmt w:val="decimal"/>
      <w:start w:val="3"/>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1)"/>
      <w:numFmt w:val="lowerRoman"/>
      <w:start w:val="1"/>
    </w:lvl>
  </w:abstractNum>
  <w:abstractNum w:abstractNumId="39">
    <w:nsid w:val="4F97E3E4"/>
    <w:multiLevelType w:val="hybridMultilevel"/>
    <w:lvl w:ilvl="0">
      <w:lvlJc w:val="left"/>
      <w:lvlText w:val="(%1)"/>
      <w:numFmt w:val="lowerRoman"/>
      <w:start w:val="3"/>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lvl w:ilvl="1">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1."/>
      <w:numFmt w:val="decimal"/>
      <w:start w:val="4"/>
    </w:lvl>
  </w:abstractNum>
  <w:abstractNum w:abstractNumId="46">
    <w:nsid w:val="17A1B582"/>
    <w:multiLevelType w:val="hybridMultilevel"/>
    <w:lvl w:ilvl="0">
      <w:lvlJc w:val="left"/>
      <w:lvlText w:val="(%1)"/>
      <w:numFmt w:val="lowerLetter"/>
      <w:start w:val="1"/>
    </w:lvl>
  </w:abstractNum>
  <w:abstractNum w:abstractNumId="47">
    <w:nsid w:val="4DF72E4E"/>
    <w:multiLevelType w:val="hybridMultilevel"/>
    <w:lvl w:ilvl="0">
      <w:lvlJc w:val="left"/>
      <w:lvlText w:val="%1."/>
      <w:numFmt w:val="decimal"/>
      <w:start w:val="6"/>
    </w:lvl>
  </w:abstractNum>
  <w:abstractNum w:abstractNumId="48">
    <w:nsid w:val="5046B5A9"/>
    <w:multiLevelType w:val="hybridMultilevel"/>
    <w:lvl w:ilvl="0">
      <w:lvlJc w:val="left"/>
      <w:lvlText w:val="(%1)"/>
      <w:numFmt w:val="lowerLetter"/>
      <w:start w:val="1"/>
    </w:lvl>
  </w:abstractNum>
  <w:abstractNum w:abstractNumId="49">
    <w:nsid w:val="5D888A08"/>
    <w:multiLevelType w:val="hybridMultilevel"/>
    <w:lvl w:ilvl="0">
      <w:lvlJc w:val="left"/>
      <w:lvlText w:val="(%1)"/>
      <w:numFmt w:val="lowerLetter"/>
      <w:start w:val="1"/>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decimal"/>
      <w:start w:val="8"/>
    </w:lvl>
  </w:abstractNum>
  <w:abstractNum w:abstractNumId="52">
    <w:nsid w:val="19E21BB2"/>
    <w:multiLevelType w:val="hybridMultilevel"/>
    <w:lvl w:ilvl="0">
      <w:lvlJc w:val="left"/>
      <w:lvlText w:val="(%1)"/>
      <w:numFmt w:val="lowerLetter"/>
      <w:start w:val="1"/>
    </w:lvl>
  </w:abstractNum>
  <w:abstractNum w:abstractNumId="53">
    <w:nsid w:val="75E0858A"/>
    <w:multiLevelType w:val="hybridMultilevel"/>
    <w:lvl w:ilvl="0">
      <w:lvlJc w:val="left"/>
      <w:lvlText w:val="%1."/>
      <w:numFmt w:val="decimal"/>
      <w:start w:val="9"/>
    </w:lvl>
  </w:abstractNum>
  <w:abstractNum w:abstractNumId="54">
    <w:nsid w:val="57A61A29"/>
    <w:multiLevelType w:val="hybridMultilevel"/>
    <w:lvl w:ilvl="0">
      <w:lvlJc w:val="left"/>
      <w:lvlText w:val="%1."/>
      <w:numFmt w:val="decimal"/>
      <w:start w:val="10"/>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
      <w:numFmt w:val="bullet"/>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1."/>
      <w:numFmt w:val="decimal"/>
      <w:start w:val="11"/>
    </w:lvl>
  </w:abstractNum>
  <w:abstractNum w:abstractNumId="60">
    <w:nsid w:val="704E1DD5"/>
    <w:multiLevelType w:val="hybridMultilevel"/>
    <w:lvl w:ilvl="0">
      <w:lvlJc w:val="left"/>
      <w:lvlText w:val="%1."/>
      <w:numFmt w:val="decimal"/>
      <w:start w:val="12"/>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decimal"/>
      <w:start w:val="15"/>
    </w:lvl>
  </w:abstractNum>
  <w:abstractNum w:abstractNumId="63">
    <w:nsid w:val="E3E47A8"/>
    <w:multiLevelType w:val="hybridMultilevel"/>
    <w:lvl w:ilvl="0">
      <w:lvlJc w:val="left"/>
      <w:lvlText w:val="%1."/>
      <w:numFmt w:val="decimal"/>
      <w:start w:val="16"/>
    </w:lvl>
  </w:abstractNum>
  <w:abstractNum w:abstractNumId="64">
    <w:nsid w:val="2E48F044"/>
    <w:multiLevelType w:val="hybridMultilevel"/>
    <w:lvl w:ilvl="0">
      <w:lvlJc w:val="left"/>
      <w:lvlText w:val="%1."/>
      <w:numFmt w:val="decimal"/>
      <w:start w:val="17"/>
    </w:lvl>
  </w:abstractNum>
  <w:abstractNum w:abstractNumId="65">
    <w:nsid w:val="49D0FEAC"/>
    <w:multiLevelType w:val="hybridMultilevel"/>
    <w:lvl w:ilvl="0">
      <w:lvlJc w:val="left"/>
      <w:lvlText w:val="%1."/>
      <w:numFmt w:val="decimal"/>
      <w:start w:val="18"/>
    </w:lvl>
  </w:abstractNum>
  <w:abstractNum w:abstractNumId="66">
    <w:nsid w:val="4BEE5A5B"/>
    <w:multiLevelType w:val="hybridMultilevel"/>
    <w:lvl w:ilvl="0">
      <w:lvlJc w:val="left"/>
      <w:lvlText w:val="%1."/>
      <w:numFmt w:val="decimal"/>
      <w:start w:val="19"/>
    </w:lvl>
  </w:abstractNum>
  <w:abstractNum w:abstractNumId="67">
    <w:nsid w:val="5551B9F3"/>
    <w:multiLevelType w:val="hybridMultilevel"/>
    <w:lvl w:ilvl="0">
      <w:lvlJc w:val="left"/>
      <w:lvlText w:val="%1."/>
      <w:numFmt w:val="decimal"/>
      <w:start w:val="20"/>
    </w:lvl>
  </w:abstractNum>
  <w:abstractNum w:abstractNumId="68">
    <w:nsid w:val="24F6AB8E"/>
    <w:multiLevelType w:val="hybridMultilevel"/>
    <w:lvl w:ilvl="0">
      <w:lvlJc w:val="left"/>
      <w:lvlText w:val="(%1)"/>
      <w:numFmt w:val="lowerLetter"/>
      <w:start w:val="1"/>
    </w:lvl>
  </w:abstractNum>
  <w:abstractNum w:abstractNumId="69">
    <w:nsid w:val="634C574C"/>
    <w:multiLevelType w:val="hybridMultilevel"/>
    <w:lvl w:ilvl="0">
      <w:lvlJc w:val="left"/>
      <w:lvlText w:val="(%1)"/>
      <w:numFmt w:val="lowerLetter"/>
      <w:start w:val="6"/>
    </w:lvl>
  </w:abstractNum>
  <w:abstractNum w:abstractNumId="70">
    <w:nsid w:val="24E99DD7"/>
    <w:multiLevelType w:val="hybridMultilevel"/>
    <w:lvl w:ilvl="0">
      <w:lvlJc w:val="left"/>
      <w:lvlText w:val="(%1)"/>
      <w:numFmt w:val="lowerLetter"/>
      <w:start w:val="7"/>
    </w:lvl>
  </w:abstractNum>
  <w:abstractNum w:abstractNumId="71">
    <w:nsid w:val="2A31B62D"/>
    <w:multiLevelType w:val="hybridMultilevel"/>
    <w:lvl w:ilvl="0">
      <w:lvlJc w:val="left"/>
      <w:lvlText w:val="(%1)"/>
      <w:numFmt w:val="lowerLetter"/>
      <w:start w:val="1"/>
    </w:lvl>
  </w:abstractNum>
  <w:abstractNum w:abstractNumId="72">
    <w:nsid w:val="1849C29B"/>
    <w:multiLevelType w:val="hybridMultilevel"/>
    <w:lvl w:ilvl="0">
      <w:lvlJc w:val="left"/>
      <w:lvlText w:val="%1."/>
      <w:numFmt w:val="decimal"/>
      <w:start w:val="21"/>
    </w:lvl>
  </w:abstractNum>
  <w:abstractNum w:abstractNumId="73">
    <w:nsid w:val="7DFF9D09"/>
    <w:multiLevelType w:val="hybridMultilevel"/>
    <w:lvl w:ilvl="0">
      <w:lvlJc w:val="left"/>
      <w:lvlText w:val="(%1)"/>
      <w:numFmt w:val="lowerLetter"/>
      <w:start w:val="1"/>
    </w:lvl>
  </w:abstractNum>
  <w:abstractNum w:abstractNumId="74">
    <w:nsid w:val="754342"/>
    <w:multiLevelType w:val="hybridMultilevel"/>
    <w:lvl w:ilvl="0">
      <w:lvlJc w:val="left"/>
      <w:lvlText w:val="%1."/>
      <w:numFmt w:val="decimal"/>
      <w:start w:val="22"/>
    </w:lvl>
  </w:abstractNum>
  <w:abstractNum w:abstractNumId="75">
    <w:nsid w:val="69E7F3E5"/>
    <w:multiLevelType w:val="hybridMultilevel"/>
    <w:lvl w:ilvl="0">
      <w:lvlJc w:val="left"/>
      <w:lvlText w:val="%1."/>
      <w:numFmt w:val="decimal"/>
      <w:start w:val="23"/>
    </w:lvl>
  </w:abstractNum>
  <w:abstractNum w:abstractNumId="76">
    <w:nsid w:val="2A6DE806"/>
    <w:multiLevelType w:val="hybridMultilevel"/>
    <w:lvl w:ilvl="0">
      <w:lvlJc w:val="left"/>
      <w:lvlText w:val="(%1)"/>
      <w:numFmt w:val="lowerRoman"/>
      <w:start w:val="1"/>
    </w:lvl>
  </w:abstractNum>
  <w:abstractNum w:abstractNumId="77">
    <w:nsid w:val="1816F8C4"/>
    <w:multiLevelType w:val="hybridMultilevel"/>
    <w:lvl w:ilvl="0">
      <w:lvlJc w:val="left"/>
      <w:lvlText w:val="(%1)"/>
      <w:numFmt w:val="upperLetter"/>
      <w:start w:val="1"/>
    </w:lvl>
  </w:abstractNum>
  <w:abstractNum w:abstractNumId="78">
    <w:nsid w:val="37DF2233"/>
    <w:multiLevelType w:val="hybridMultilevel"/>
    <w:lvl w:ilvl="0">
      <w:lvlJc w:val="left"/>
      <w:lvlText w:val="%1."/>
      <w:numFmt w:val="decimal"/>
      <w:start w:val="1"/>
    </w:lvl>
    <w:lvl w:ilvl="1">
      <w:lvlJc w:val="left"/>
      <w:lvlText w:val="(%2)"/>
      <w:numFmt w:val="lowerLetter"/>
      <w:start w:val="1"/>
    </w:lvl>
  </w:abstractNum>
  <w:abstractNum w:abstractNumId="79">
    <w:nsid w:val="7AB49DAF"/>
    <w:multiLevelType w:val="hybridMultilevel"/>
    <w:lvl w:ilvl="0">
      <w:lvlJc w:val="left"/>
      <w:lvlText w:val="(%1)"/>
      <w:numFmt w:val="lowerLetter"/>
      <w:start w:val="2"/>
    </w:lvl>
    <w:lvl w:ilvl="1">
      <w:lvlJc w:val="left"/>
      <w:lvlText w:val="(%2)"/>
      <w:numFmt w:val="lowerLetter"/>
      <w:start w:val="9"/>
    </w:lvl>
  </w:abstractNum>
  <w:abstractNum w:abstractNumId="80">
    <w:nsid w:val="759F82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81">
    <w:nsid w:val="61E74EA3"/>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82">
    <w:nsid w:val="597B4D8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3">
    <w:nsid w:val="F819E7F"/>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84">
    <w:nsid w:val="57C7D42D"/>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85">
    <w:nsid w:val="312167AD"/>
    <w:multiLevelType w:val="hybridMultilevel"/>
    <w:lvl w:ilvl="0">
      <w:lvlJc w:val="left"/>
      <w:lvlText w:val="%1."/>
      <w:numFmt w:val="decimal"/>
      <w:start w:val="7"/>
    </w:lvl>
  </w:abstractNum>
  <w:abstractNum w:abstractNumId="86">
    <w:nsid w:val="631B64D4"/>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87">
    <w:nsid w:val="78B5E776"/>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abstractNum>
  <w:abstractNum w:abstractNumId="88">
    <w:nsid w:val="75486E47"/>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89">
    <w:nsid w:val="6E534CDE"/>
    <w:multiLevelType w:val="hybridMultilevel"/>
    <w:lvl w:ilvl="0">
      <w:lvlJc w:val="left"/>
      <w:lvlText w:val="(%1)"/>
      <w:numFmt w:val="lowerRoman"/>
      <w:start w:val="4"/>
    </w:lvl>
  </w:abstractNum>
  <w:abstractNum w:abstractNumId="90">
    <w:nsid w:val="1A0DDE32"/>
    <w:multiLevelType w:val="hybridMultilevel"/>
    <w:lvl w:ilvl="0">
      <w:lvlJc w:val="left"/>
      <w:lvlText w:val="(%1)"/>
      <w:numFmt w:val="upperLetter"/>
      <w:start w:val="1"/>
    </w:lvl>
    <w:lvl w:ilvl="1">
      <w:lvlJc w:val="left"/>
      <w:lvlText w:val="(%2)"/>
      <w:numFmt w:val="upperLetter"/>
      <w:start w:val="3"/>
    </w:lvl>
  </w:abstractNum>
  <w:abstractNum w:abstractNumId="91">
    <w:nsid w:val="65968C1C"/>
    <w:multiLevelType w:val="hybridMultilevel"/>
    <w:lvl w:ilvl="0">
      <w:lvlJc w:val="left"/>
      <w:lvlText w:val="(%1)"/>
      <w:numFmt w:val="lowerLetter"/>
      <w:start w:val="4"/>
    </w:lvl>
  </w:abstractNum>
  <w:abstractNum w:abstractNumId="92">
    <w:nsid w:val="46263DEC"/>
    <w:multiLevelType w:val="hybridMultilevel"/>
    <w:lvl w:ilvl="0">
      <w:lvlJc w:val="left"/>
      <w:lvlText w:val="%1."/>
      <w:numFmt w:val="decimal"/>
      <w:start w:val="17"/>
    </w:lvl>
    <w:lvl w:ilvl="1">
      <w:lvlJc w:val="left"/>
      <w:lvlText w:val="(%2)"/>
      <w:numFmt w:val="lowerLetter"/>
      <w:start w:val="1"/>
    </w:lvl>
  </w:abstractNum>
  <w:abstractNum w:abstractNumId="93">
    <w:nsid w:val="260D8C4A"/>
    <w:multiLevelType w:val="hybridMultilevel"/>
    <w:lvl w:ilvl="0">
      <w:lvlJc w:val="left"/>
      <w:lvlText w:val="%1."/>
      <w:numFmt w:val="decimal"/>
      <w:start w:val="1"/>
    </w:lvl>
    <w:lvl w:ilvl="1">
      <w:lvlJc w:val="left"/>
      <w:lvlText w:val="(%2)"/>
      <w:numFmt w:val="lowerLetter"/>
      <w:start w:val="1"/>
    </w:lvl>
  </w:abstractNum>
  <w:abstractNum w:abstractNumId="94">
    <w:nsid w:val="73D4D3C4"/>
    <w:multiLevelType w:val="hybridMultilevel"/>
    <w:lvl w:ilvl="0">
      <w:lvlJc w:val="left"/>
      <w:lvlText w:val="%1."/>
      <w:numFmt w:val="decimal"/>
      <w:start w:val="3"/>
    </w:lvl>
    <w:lvl w:ilvl="1">
      <w:lvlJc w:val="left"/>
      <w:lvlText w:val="(%2)"/>
      <w:numFmt w:val="lowerLetter"/>
      <w:start w:val="1"/>
    </w:lvl>
  </w:abstractNum>
  <w:abstractNum w:abstractNumId="95">
    <w:nsid w:val="746F2E30"/>
    <w:multiLevelType w:val="hybridMultilevel"/>
    <w:lvl w:ilvl="0">
      <w:lvlJc w:val="left"/>
      <w:lvlText w:val="(%1)"/>
      <w:numFmt w:val="lowerLetter"/>
      <w:start w:val="2"/>
    </w:lvl>
  </w:abstractNum>
  <w:abstractNum w:abstractNumId="96">
    <w:nsid w:val="6FDE8AF6"/>
    <w:multiLevelType w:val="hybridMultilevel"/>
    <w:lvl w:ilvl="0">
      <w:lvlJc w:val="left"/>
      <w:lvlText w:val="(%1)"/>
      <w:numFmt w:val="lowerLetter"/>
      <w:start w:val="4"/>
    </w:lvl>
  </w:abstractNum>
  <w:abstractNum w:abstractNumId="97">
    <w:nsid w:val="3FC32E20"/>
    <w:multiLevelType w:val="hybridMultilevel"/>
    <w:lvl w:ilvl="0">
      <w:lvlJc w:val="left"/>
      <w:lvlText w:val="%1."/>
      <w:numFmt w:val="decimal"/>
      <w:start w:val="4"/>
    </w:lvl>
  </w:abstractNum>
  <w:abstractNum w:abstractNumId="98">
    <w:nsid w:val="49C0E823"/>
    <w:multiLevelType w:val="hybridMultilevel"/>
    <w:lvl w:ilvl="0">
      <w:lvlJc w:val="left"/>
      <w:lvlText w:val="(%1)"/>
      <w:numFmt w:val="lowerLetter"/>
      <w:start w:val="1"/>
    </w:lvl>
    <w:lvl w:ilvl="1">
      <w:lvlJc w:val="left"/>
      <w:lvlText w:val="(%2)"/>
      <w:numFmt w:val="lowerLetter"/>
      <w:start w:val="9"/>
    </w:lvl>
  </w:abstractNum>
  <w:abstractNum w:abstractNumId="99">
    <w:nsid w:val="14D53685"/>
    <w:multiLevelType w:val="hybridMultilevel"/>
    <w:lvl w:ilvl="0">
      <w:lvlJc w:val="left"/>
      <w:lvlText w:val="(%1)"/>
      <w:numFmt w:val="lowerRoman"/>
      <w:start w:val="2"/>
    </w:lvl>
  </w:abstractNum>
  <w:abstractNum w:abstractNumId="100">
    <w:nsid w:val="230F856C"/>
    <w:multiLevelType w:val="hybridMultilevel"/>
    <w:lvl w:ilvl="0">
      <w:lvlJc w:val="left"/>
      <w:lvlText w:val="%1."/>
      <w:numFmt w:val="decimal"/>
      <w:start w:val="9"/>
    </w:lvl>
    <w:lvl w:ilvl="1">
      <w:lvlJc w:val="left"/>
      <w:lvlText w:val="(%2)"/>
      <w:numFmt w:val="lowerLetter"/>
      <w:start w:val="1"/>
    </w:lvl>
  </w:abstractNum>
  <w:abstractNum w:abstractNumId="101">
    <w:nsid w:val="6EAA85F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02">
    <w:nsid w:val="3F06ECB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03">
    <w:nsid w:val="3B594807"/>
    <w:multiLevelType w:val="hybridMultilevel"/>
    <w:lvl w:ilvl="0">
      <w:lvlJc w:val="left"/>
      <w:lvlText w:val="%1."/>
      <w:numFmt w:val="decimal"/>
      <w:start w:val="13"/>
    </w:lvl>
    <w:lvl w:ilvl="1">
      <w:lvlJc w:val="left"/>
      <w:lvlText w:val="(%2)"/>
      <w:numFmt w:val="lowerLetter"/>
      <w:start w:val="1"/>
    </w:lvl>
  </w:abstractNum>
  <w:abstractNum w:abstractNumId="104">
    <w:nsid w:val="6CAA2304"/>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105">
    <w:nsid w:val="3F7C2FF4"/>
    <w:multiLevelType w:val="hybridMultilevel"/>
    <w:lvl w:ilvl="0">
      <w:lvlJc w:val="left"/>
      <w:lvlText w:val="%1."/>
      <w:numFmt w:val="decimal"/>
      <w:start w:val="19"/>
    </w:lvl>
    <w:lvl w:ilvl="1">
      <w:lvlJc w:val="left"/>
      <w:lvlText w:val="%2"/>
      <w:numFmt w:val="decimal"/>
      <w:start w:val="1"/>
    </w:lvl>
    <w:lvl w:ilvl="2">
      <w:lvlJc w:val="left"/>
      <w:lvlText w:val="(%3)"/>
      <w:numFmt w:val="lowerLetter"/>
      <w:start w:val="1"/>
    </w:lvl>
  </w:abstractNum>
  <w:abstractNum w:abstractNumId="106">
    <w:nsid w:val="25413BEC"/>
    <w:multiLevelType w:val="hybridMultilevel"/>
    <w:lvl w:ilvl="0">
      <w:lvlJc w:val="left"/>
      <w:lvlText w:val="(%1)"/>
      <w:numFmt w:val="lowerLetter"/>
      <w:start w:val="3"/>
    </w:lvl>
    <w:lvl w:ilvl="1">
      <w:lvlJc w:val="left"/>
      <w:lvlText w:val="(%2)"/>
      <w:numFmt w:val="lowerRoman"/>
      <w:start w:val="1"/>
    </w:lvl>
  </w:abstractNum>
  <w:abstractNum w:abstractNumId="107">
    <w:nsid w:val="17180B0B"/>
    <w:multiLevelType w:val="hybridMultilevel"/>
    <w:lvl w:ilvl="0">
      <w:lvlJc w:val="left"/>
      <w:lvlText w:val="(%1)"/>
      <w:numFmt w:val="upperLetter"/>
      <w:start w:val="1"/>
    </w:lvl>
  </w:abstractNum>
  <w:abstractNum w:abstractNumId="108">
    <w:nsid w:val="579328B9"/>
    <w:multiLevelType w:val="hybridMultilevel"/>
    <w:lvl w:ilvl="0">
      <w:lvlJc w:val="left"/>
      <w:lvlText w:val="(%1)"/>
      <w:numFmt w:val="lowerLetter"/>
      <w:start w:val="4"/>
    </w:lvl>
  </w:abstractNum>
  <w:abstractNum w:abstractNumId="109">
    <w:nsid w:val="5D205E20"/>
    <w:multiLevelType w:val="hybridMultilevel"/>
    <w:lvl w:ilvl="0">
      <w:lvlJc w:val="left"/>
      <w:lvlText w:val="(%1)"/>
      <w:numFmt w:val="lowerLetter"/>
      <w:start w:val="7"/>
    </w:lvl>
  </w:abstractNum>
  <w:abstractNum w:abstractNumId="110">
    <w:nsid w:val="11CCA8BA"/>
    <w:multiLevelType w:val="hybridMultilevel"/>
    <w:lvl w:ilvl="0">
      <w:lvlJc w:val="left"/>
      <w:lvlText w:val="%1"/>
      <w:numFmt w:val="decimal"/>
      <w:start w:val="1"/>
    </w:lvl>
    <w:lvl w:ilvl="1">
      <w:lvlJc w:val="left"/>
      <w:lvlText w:val="(%2)"/>
      <w:numFmt w:val="lowerLetter"/>
      <w:start w:val="14"/>
    </w:lvl>
  </w:abstractNum>
  <w:abstractNum w:abstractNumId="111">
    <w:nsid w:val="4D32AB86"/>
    <w:multiLevelType w:val="hybridMultilevel"/>
    <w:lvl w:ilvl="0">
      <w:lvlJc w:val="left"/>
      <w:lvlText w:val="%1."/>
      <w:numFmt w:val="decimal"/>
      <w:start w:val="23"/>
    </w:lvl>
    <w:lvl w:ilvl="1">
      <w:lvlJc w:val="left"/>
      <w:lvlText w:val="(%2)"/>
      <w:numFmt w:val="lowerLetter"/>
      <w:start w:val="1"/>
    </w:lvl>
  </w:abstractNum>
  <w:abstractNum w:abstractNumId="112">
    <w:nsid w:val="3F07ACC3"/>
    <w:multiLevelType w:val="hybridMultilevel"/>
    <w:lvl w:ilvl="0">
      <w:lvlJc w:val="left"/>
      <w:lvlText w:val="%1"/>
      <w:numFmt w:val="decimal"/>
      <w:start w:val="1"/>
    </w:lvl>
    <w:lvl w:ilvl="1">
      <w:lvlJc w:val="left"/>
      <w:lvlText w:val="(%2)"/>
      <w:numFmt w:val="lowerLetter"/>
      <w:start w:val="3"/>
    </w:lvl>
  </w:abstractNum>
  <w:abstractNum w:abstractNumId="113">
    <w:nsid w:val="6B47F63E"/>
    <w:multiLevelType w:val="hybridMultilevel"/>
    <w:lvl w:ilvl="0">
      <w:lvlJc w:val="left"/>
      <w:lvlText w:val="%1."/>
      <w:numFmt w:val="decimal"/>
      <w:start w:val="24"/>
    </w:lvl>
    <w:lvl w:ilvl="1">
      <w:lvlJc w:val="left"/>
      <w:lvlText w:val="%2"/>
      <w:numFmt w:val="lowerLetter"/>
      <w:start w:val="1"/>
    </w:lvl>
  </w:abstractNum>
  <w:abstractNum w:abstractNumId="114">
    <w:nsid w:val="5CB44A05"/>
    <w:multiLevelType w:val="hybridMultilevel"/>
    <w:lvl w:ilvl="0">
      <w:lvlJc w:val="left"/>
      <w:lvlText w:val="(%1)"/>
      <w:numFmt w:val="lowerRoman"/>
      <w:start w:val="2"/>
    </w:lvl>
  </w:abstractNum>
  <w:abstractNum w:abstractNumId="115">
    <w:nsid w:val="16CF80F1"/>
    <w:multiLevelType w:val="hybridMultilevel"/>
    <w:lvl w:ilvl="0">
      <w:lvlJc w:val="left"/>
      <w:lvlText w:val="(%1)"/>
      <w:numFmt w:val="lowerLetter"/>
      <w:start w:val="1"/>
    </w:lvl>
  </w:abstractNum>
  <w:abstractNum w:abstractNumId="116">
    <w:nsid w:val="1C695DEC"/>
    <w:multiLevelType w:val="hybridMultilevel"/>
    <w:lvl w:ilvl="0">
      <w:lvlJc w:val="left"/>
      <w:lvlText w:val="(%1)"/>
      <w:numFmt w:val="lowerLetter"/>
      <w:start w:val="1"/>
    </w:lvl>
  </w:abstractNum>
  <w:abstractNum w:abstractNumId="117">
    <w:nsid w:val="3FCFAED9"/>
    <w:multiLevelType w:val="hybridMultilevel"/>
    <w:lvl w:ilvl="0">
      <w:lvlJc w:val="left"/>
      <w:lvlText w:val="(%1)"/>
      <w:numFmt w:val="lowerLetter"/>
      <w:start w:val="2"/>
    </w:lvl>
  </w:abstractNum>
  <w:abstractNum w:abstractNumId="118">
    <w:nsid w:val="F856867"/>
    <w:multiLevelType w:val="hybridMultilevel"/>
    <w:lvl w:ilvl="0">
      <w:lvlJc w:val="left"/>
      <w:lvlText w:val="(%1)"/>
      <w:numFmt w:val="lowerLetter"/>
      <w:start w:val="8"/>
    </w:lvl>
  </w:abstractNum>
  <w:abstractNum w:abstractNumId="119">
    <w:nsid w:val="11B1CC33"/>
    <w:multiLevelType w:val="hybridMultilevel"/>
    <w:lvl w:ilvl="0">
      <w:lvlJc w:val="left"/>
      <w:lvlText w:val="(%1)"/>
      <w:numFmt w:val="lowerLetter"/>
      <w:start w:val="1"/>
    </w:lvl>
  </w:abstractNum>
  <w:abstractNum w:abstractNumId="120">
    <w:nsid w:val="2E22FBB7"/>
    <w:multiLevelType w:val="hybridMultilevel"/>
    <w:lvl w:ilvl="0">
      <w:lvlJc w:val="left"/>
      <w:lvlText w:val="(%1)"/>
      <w:numFmt w:val="lowerLetter"/>
      <w:start w:val="2"/>
    </w:lvl>
  </w:abstractNum>
  <w:abstractNum w:abstractNumId="121">
    <w:nsid w:val="29934699"/>
    <w:multiLevelType w:val="hybridMultilevel"/>
    <w:lvl w:ilvl="0">
      <w:lvlJc w:val="left"/>
      <w:lvlText w:val="(%1)"/>
      <w:numFmt w:val="lowerLetter"/>
      <w:start w:val="1"/>
    </w:lvl>
    <w:lvl w:ilvl="1">
      <w:lvlJc w:val="left"/>
      <w:lvlText w:val="(%2)"/>
      <w:numFmt w:val="lowerRoman"/>
      <w:start w:val="1"/>
    </w:lvl>
  </w:abstractNum>
  <w:abstractNum w:abstractNumId="122">
    <w:nsid w:val="77485850"/>
    <w:multiLevelType w:val="hybridMultilevel"/>
    <w:lvl w:ilvl="0">
      <w:lvlJc w:val="left"/>
      <w:lvlText w:val="(%1)"/>
      <w:numFmt w:val="decimal"/>
      <w:start w:val="1"/>
    </w:lvl>
  </w:abstractNum>
  <w:abstractNum w:abstractNumId="123">
    <w:nsid w:val="744939A3"/>
    <w:multiLevelType w:val="hybridMultilevel"/>
    <w:lvl w:ilvl="0">
      <w:lvlJc w:val="left"/>
      <w:lvlText w:val="(%1)"/>
      <w:numFmt w:val="decimal"/>
      <w:start w:val="2"/>
    </w:lvl>
  </w:abstractNum>
  <w:abstractNum w:abstractNumId="124">
    <w:nsid w:val="4FA0D2E3"/>
    <w:multiLevelType w:val="hybridMultilevel"/>
    <w:lvl w:ilvl="0">
      <w:lvlJc w:val="left"/>
      <w:lvlText w:val="(%1)"/>
      <w:numFmt w:val="decimal"/>
      <w:start w:val="1"/>
    </w:lvl>
    <w:lvl w:ilvl="1">
      <w:lvlJc w:val="left"/>
      <w:lvlText w:val="(%2)"/>
      <w:numFmt w:val="lowerLetter"/>
      <w:start w:val="1"/>
    </w:lvl>
  </w:abstractNum>
  <w:abstractNum w:abstractNumId="125">
    <w:nsid w:val="6B1D2C14"/>
    <w:multiLevelType w:val="hybridMultilevel"/>
    <w:lvl w:ilvl="0">
      <w:lvlJc w:val="left"/>
      <w:lvlText w:val="(%1)"/>
      <w:numFmt w:val="decimal"/>
      <w:start w:val="3"/>
    </w:lvl>
    <w:lvl w:ilvl="1">
      <w:lvlJc w:val="left"/>
      <w:lvlText w:val="(%2)"/>
      <w:numFmt w:val="lowerLetter"/>
      <w:start w:val="1"/>
    </w:lvl>
  </w:abstractNum>
  <w:abstractNum w:abstractNumId="126">
    <w:nsid w:val="68B867D3"/>
    <w:multiLevelType w:val="hybridMultilevel"/>
    <w:lvl w:ilvl="0">
      <w:lvlJc w:val="left"/>
      <w:lvlText w:val="(%1)"/>
      <w:numFmt w:val="lowerLetter"/>
      <w:start w:val="1"/>
    </w:lvl>
  </w:abstractNum>
  <w:abstractNum w:abstractNumId="127">
    <w:nsid w:val="3F7F5DD9"/>
    <w:multiLevelType w:val="hybridMultilevel"/>
    <w:lvl w:ilvl="0">
      <w:lvlJc w:val="left"/>
      <w:lvlText w:val="(%1)"/>
      <w:numFmt w:val="decimal"/>
      <w:start w:val="1"/>
    </w:lvl>
  </w:abstractNum>
  <w:abstractNum w:abstractNumId="128">
    <w:nsid w:val="2AE05A34"/>
    <w:multiLevelType w:val="hybridMultilevel"/>
    <w:lvl w:ilvl="0">
      <w:lvlJc w:val="left"/>
      <w:lvlText w:val="(%1)"/>
      <w:numFmt w:val="decimal"/>
      <w:start w:val="1"/>
    </w:lvl>
  </w:abstractNum>
  <w:abstractNum w:abstractNumId="129">
    <w:nsid w:val="32794FF7"/>
    <w:multiLevelType w:val="hybridMultilevel"/>
    <w:lvl w:ilvl="0">
      <w:lvlJc w:val="left"/>
      <w:lvlText w:val="(%1)"/>
      <w:numFmt w:val="decimal"/>
      <w:start w:val="1"/>
    </w:lvl>
  </w:abstractNum>
  <w:abstractNum w:abstractNumId="130">
    <w:nsid w:val="5454945E"/>
    <w:multiLevelType w:val="hybridMultilevel"/>
    <w:lvl w:ilvl="0">
      <w:lvlJc w:val="left"/>
      <w:lvlText w:val="(%1)"/>
      <w:numFmt w:val="lowerLetter"/>
      <w:start w:val="1"/>
    </w:lvl>
  </w:abstractNum>
  <w:abstractNum w:abstractNumId="131">
    <w:nsid w:val="4DEFDFA0"/>
    <w:multiLevelType w:val="hybridMultilevel"/>
    <w:lvl w:ilvl="0">
      <w:lvlJc w:val="left"/>
      <w:lvlText w:val="(%1)"/>
      <w:numFmt w:val="decimal"/>
      <w:start w:val="1"/>
    </w:lvl>
  </w:abstractNum>
  <w:abstractNum w:abstractNumId="132">
    <w:nsid w:val="2123D5F2"/>
    <w:multiLevelType w:val="hybridMultilevel"/>
    <w:lvl w:ilvl="0">
      <w:lvlJc w:val="left"/>
      <w:lvlText w:val="(%1)"/>
      <w:numFmt w:val="decimal"/>
      <w:start w:val="1"/>
    </w:lvl>
  </w:abstractNum>
  <w:abstractNum w:abstractNumId="133">
    <w:nsid w:val="135B8110"/>
    <w:multiLevelType w:val="hybridMultilevel"/>
    <w:lvl w:ilvl="0">
      <w:lvlJc w:val="left"/>
      <w:lvlText w:val="(%1)"/>
      <w:numFmt w:val="decimal"/>
      <w:start w:val="1"/>
    </w:lvl>
  </w:abstractNum>
  <w:abstractNum w:abstractNumId="134">
    <w:nsid w:val="94927A8"/>
    <w:multiLevelType w:val="hybridMultilevel"/>
    <w:lvl w:ilvl="0">
      <w:lvlJc w:val="left"/>
      <w:lvlText w:val="(%1)"/>
      <w:numFmt w:val="decimal"/>
      <w:start w:val="2"/>
    </w:lvl>
  </w:abstractNum>
  <w:abstractNum w:abstractNumId="135">
    <w:nsid w:val="DCDF8F6"/>
    <w:multiLevelType w:val="hybridMultilevel"/>
    <w:lvl w:ilvl="0">
      <w:lvlJc w:val="left"/>
      <w:lvlText w:val="(%1)"/>
      <w:numFmt w:val="decimal"/>
      <w:start w:val="1"/>
    </w:lvl>
  </w:abstractNum>
  <w:abstractNum w:abstractNumId="136">
    <w:nsid w:val="52D7B105"/>
    <w:multiLevelType w:val="hybridMultilevel"/>
    <w:lvl w:ilvl="0">
      <w:lvlJc w:val="left"/>
      <w:lvlText w:val="(%1)"/>
      <w:numFmt w:val="lowerLetter"/>
      <w:start w:val="1"/>
    </w:lvl>
  </w:abstractNum>
  <w:abstractNum w:abstractNumId="137">
    <w:nsid w:val="2E8A6394"/>
    <w:multiLevelType w:val="hybridMultilevel"/>
    <w:lvl w:ilvl="0">
      <w:lvlJc w:val="left"/>
      <w:lvlText w:val="(%1)"/>
      <w:numFmt w:val="lowerLetter"/>
      <w:start w:val="1"/>
    </w:lvl>
  </w:abstractNum>
  <w:abstractNum w:abstractNumId="138">
    <w:nsid w:val="24E60401"/>
    <w:multiLevelType w:val="hybridMultilevel"/>
    <w:lvl w:ilvl="0">
      <w:lvlJc w:val="left"/>
      <w:lvlText w:val="(%1)"/>
      <w:numFmt w:val="decimal"/>
      <w:start w:val="1"/>
    </w:lvl>
    <w:lvl w:ilvl="1">
      <w:lvlJc w:val="left"/>
      <w:lvlText w:val="(%2)"/>
      <w:numFmt w:val="lowerLetter"/>
      <w:start w:val="1"/>
    </w:lvl>
  </w:abstractNum>
  <w:abstractNum w:abstractNumId="139">
    <w:nsid w:val="2A6AD9BE"/>
    <w:multiLevelType w:val="hybridMultilevel"/>
    <w:lvl w:ilvl="0">
      <w:lvlJc w:val="left"/>
      <w:lvlText w:val="%1"/>
      <w:numFmt w:val="decimal"/>
      <w:start w:val="1"/>
    </w:lvl>
    <w:lvl w:ilvl="1">
      <w:lvlJc w:val="left"/>
      <w:lvlText w:val="(%2)"/>
      <w:numFmt w:val="lowerLetter"/>
      <w:start w:val="3"/>
    </w:lvl>
  </w:abstractNum>
  <w:abstractNum w:abstractNumId="140">
    <w:nsid w:val="BAAC1B4"/>
    <w:multiLevelType w:val="hybridMultilevel"/>
    <w:lvl w:ilvl="0">
      <w:lvlJc w:val="left"/>
      <w:lvlText w:val="(%1)"/>
      <w:numFmt w:val="decimal"/>
      <w:start w:val="2"/>
    </w:lvl>
    <w:lvl w:ilvl="1">
      <w:lvlJc w:val="left"/>
      <w:lvlText w:val="%2"/>
      <w:numFmt w:val="lowerLetter"/>
      <w:start w:val="1"/>
    </w:lvl>
  </w:abstractNum>
  <w:abstractNum w:abstractNumId="141">
    <w:nsid w:val="36B2ACBC"/>
    <w:multiLevelType w:val="hybridMultilevel"/>
    <w:lvl w:ilvl="0">
      <w:lvlJc w:val="left"/>
      <w:lvlText w:val="(%1)"/>
      <w:numFmt w:val="decimal"/>
      <w:start w:val="1"/>
    </w:lvl>
    <w:lvl w:ilvl="1">
      <w:lvlJc w:val="left"/>
      <w:lvlText w:val="(%2)"/>
      <w:numFmt w:val="lowerLetter"/>
      <w:start w:val="1"/>
    </w:lvl>
  </w:abstractNum>
  <w:abstractNum w:abstractNumId="142">
    <w:nsid w:val="779D8544"/>
    <w:multiLevelType w:val="hybridMultilevel"/>
    <w:lvl w:ilvl="0">
      <w:lvlJc w:val="left"/>
      <w:lvlText w:val="(%1)"/>
      <w:numFmt w:val="decimal"/>
      <w:start w:val="3"/>
    </w:lvl>
    <w:lvl w:ilvl="1">
      <w:lvlJc w:val="left"/>
      <w:lvlText w:val="(%2)"/>
      <w:numFmt w:val="lowerLetter"/>
      <w:start w:val="1"/>
    </w:lvl>
  </w:abstractNum>
  <w:abstractNum w:abstractNumId="143">
    <w:nsid w:val="4AB26E78"/>
    <w:multiLevelType w:val="hybridMultilevel"/>
    <w:lvl w:ilvl="0">
      <w:lvlJc w:val="left"/>
      <w:lvlText w:val="(%1)"/>
      <w:numFmt w:val="decimal"/>
      <w:start w:val="5"/>
    </w:lvl>
  </w:abstractNum>
  <w:abstractNum w:abstractNumId="144">
    <w:nsid w:val="21FAA2FA"/>
    <w:multiLevelType w:val="hybridMultilevel"/>
    <w:lvl w:ilvl="0">
      <w:lvlJc w:val="left"/>
      <w:lvlText w:val="(%1)"/>
      <w:numFmt w:val="decimal"/>
      <w:start w:val="11"/>
    </w:lvl>
  </w:abstractNum>
  <w:abstractNum w:abstractNumId="145">
    <w:nsid w:val="5451CF49"/>
    <w:multiLevelType w:val="hybridMultilevel"/>
    <w:lvl w:ilvl="0">
      <w:lvlJc w:val="left"/>
      <w:lvlText w:val="(%1)"/>
      <w:numFmt w:val="decimal"/>
      <w:start w:val="12"/>
    </w:lvl>
  </w:abstractNum>
  <w:abstractNum w:abstractNumId="146">
    <w:nsid w:val="6181EF69"/>
    <w:multiLevelType w:val="hybridMultilevel"/>
    <w:lvl w:ilvl="0">
      <w:lvlJc w:val="left"/>
      <w:lvlText w:val="(%1)"/>
      <w:numFmt w:val="decimal"/>
      <w:start w:val="13"/>
    </w:lvl>
  </w:abstractNum>
  <w:abstractNum w:abstractNumId="147">
    <w:nsid w:val="3E6400E6"/>
    <w:multiLevelType w:val="hybridMultilevel"/>
    <w:lvl w:ilvl="0">
      <w:lvlJc w:val="left"/>
      <w:lvlText w:val="(%1)"/>
      <w:numFmt w:val="decimal"/>
      <w:start w:val="14"/>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decimal"/>
      <w:start w:val="15"/>
    </w:lvl>
  </w:abstractNum>
  <w:abstractNum w:abstractNumId="150">
    <w:nsid w:val="5015CD1A"/>
    <w:multiLevelType w:val="hybridMultilevel"/>
    <w:lvl w:ilvl="0">
      <w:lvlJc w:val="left"/>
      <w:lvlText w:val="(%1)"/>
      <w:numFmt w:val="decimal"/>
      <w:start w:val="16"/>
    </w:lvl>
  </w:abstractNum>
  <w:abstractNum w:abstractNumId="151">
    <w:nsid w:val="424479DA"/>
    <w:multiLevelType w:val="hybridMultilevel"/>
    <w:lvl w:ilvl="0">
      <w:lvlJc w:val="left"/>
      <w:lvlText w:val="(%1)"/>
      <w:numFmt w:val="lowerLetter"/>
      <w:start w:val="1"/>
    </w:lvl>
  </w:abstractNum>
  <w:abstractNum w:abstractNumId="152">
    <w:nsid w:val="1A9A9E69"/>
    <w:multiLevelType w:val="hybridMultilevel"/>
    <w:lvl w:ilvl="0">
      <w:lvlJc w:val="left"/>
      <w:lvlText w:val="(%1)"/>
      <w:numFmt w:val="lowerLetter"/>
      <w:start w:val="2"/>
    </w:lvl>
  </w:abstractNum>
  <w:abstractNum w:abstractNumId="153">
    <w:nsid w:val="475E256A"/>
    <w:multiLevelType w:val="hybridMultilevel"/>
    <w:lvl w:ilvl="0">
      <w:lvlJc w:val="left"/>
      <w:lvlText w:val="(%1)"/>
      <w:numFmt w:val="decimal"/>
      <w:start w:val="1"/>
    </w:lvl>
  </w:abstractNum>
  <w:abstractNum w:abstractNumId="154">
    <w:nsid w:val="368DB37E"/>
    <w:multiLevelType w:val="hybridMultilevel"/>
    <w:lvl w:ilvl="0">
      <w:lvlJc w:val="left"/>
      <w:lvlText w:val="(%1)"/>
      <w:numFmt w:val="decimal"/>
      <w:start w:val="5"/>
    </w:lvl>
  </w:abstractNum>
  <w:abstractNum w:abstractNumId="155">
    <w:nsid w:val="6A3B714C"/>
    <w:multiLevelType w:val="hybridMultilevel"/>
    <w:lvl w:ilvl="0">
      <w:lvlJc w:val="left"/>
      <w:lvlText w:val="(%1)"/>
      <w:numFmt w:val="decimal"/>
      <w:start w:val="9"/>
    </w:lvl>
  </w:abstractNum>
  <w:abstractNum w:abstractNumId="156">
    <w:nsid w:val="327B517E"/>
    <w:multiLevelType w:val="hybridMultilevel"/>
    <w:lvl w:ilvl="0">
      <w:lvlJc w:val="left"/>
      <w:lvlText w:val="(%1)"/>
      <w:numFmt w:val="decimal"/>
      <w:start w:val="11"/>
    </w:lvl>
    <w:lvl w:ilvl="1">
      <w:lvlJc w:val="left"/>
      <w:lvlText w:val="(%2)"/>
      <w:numFmt w:val="lowerLetter"/>
      <w:start w:val="1"/>
    </w:lvl>
  </w:abstractNum>
  <w:abstractNum w:abstractNumId="157">
    <w:nsid w:val="1F461B51"/>
    <w:multiLevelType w:val="hybridMultilevel"/>
    <w:lvl w:ilvl="0">
      <w:lvlJc w:val="left"/>
      <w:lvlText w:val="(%1)"/>
      <w:numFmt w:val="decimal"/>
      <w:start w:val="14"/>
    </w:lvl>
  </w:abstractNum>
  <w:abstractNum w:abstractNumId="158">
    <w:nsid w:val="29BACF25"/>
    <w:multiLevelType w:val="hybridMultilevel"/>
    <w:lvl w:ilvl="0">
      <w:lvlJc w:val="left"/>
      <w:lvlText w:val="(%1)"/>
      <w:numFmt w:val="decimal"/>
      <w:start w:val="1"/>
    </w:lvl>
    <w:lvl w:ilvl="1">
      <w:lvlJc w:val="left"/>
      <w:lvlText w:val="(%2)"/>
      <w:numFmt w:val="lowerLetter"/>
      <w:start w:val="1"/>
    </w:lvl>
  </w:abstractNum>
  <w:abstractNum w:abstractNumId="159">
    <w:nsid w:val="5D5BABB3"/>
    <w:multiLevelType w:val="hybridMultilevel"/>
    <w:lvl w:ilvl="0">
      <w:lvlJc w:val="left"/>
      <w:lvlText w:val="(%1)"/>
      <w:numFmt w:val="lowerLetter"/>
      <w:start w:val="2"/>
    </w:lvl>
  </w:abstractNum>
  <w:abstractNum w:abstractNumId="160">
    <w:nsid w:val="51BF6B48"/>
    <w:multiLevelType w:val="hybridMultilevel"/>
    <w:lvl w:ilvl="0">
      <w:lvlJc w:val="left"/>
      <w:lvlText w:val="(%1)"/>
      <w:numFmt w:val="decimal"/>
      <w:start w:val="1"/>
    </w:lvl>
    <w:lvl w:ilvl="1">
      <w:lvlJc w:val="left"/>
      <w:lvlText w:val="(%2)"/>
      <w:numFmt w:val="lowerLetter"/>
      <w:start w:val="1"/>
    </w:lvl>
  </w:abstractNum>
  <w:abstractNum w:abstractNumId="161">
    <w:nsid w:val="7E0F6384"/>
    <w:multiLevelType w:val="hybridMultilevel"/>
    <w:lvl w:ilvl="0">
      <w:lvlJc w:val="left"/>
      <w:lvlText w:val="%1"/>
      <w:numFmt w:val="decimal"/>
      <w:start w:val="1"/>
    </w:lvl>
    <w:lvl w:ilvl="1">
      <w:lvlJc w:val="left"/>
      <w:lvlText w:val="(%2)"/>
      <w:numFmt w:val="lowerLetter"/>
      <w:start w:val="2"/>
    </w:lvl>
  </w:abstractNum>
  <w:abstractNum w:abstractNumId="162">
    <w:nsid w:val="2B4B8B53"/>
    <w:multiLevelType w:val="hybridMultilevel"/>
    <w:lvl w:ilvl="0">
      <w:lvlJc w:val="left"/>
      <w:lvlText w:val="(%1)"/>
      <w:numFmt w:val="decimal"/>
      <w:start w:val="3"/>
    </w:lvl>
    <w:lvl w:ilvl="1">
      <w:lvlJc w:val="left"/>
      <w:lvlText w:val="(%2)"/>
      <w:numFmt w:val="lowerLetter"/>
      <w:start w:val="1"/>
    </w:lvl>
  </w:abstractNum>
  <w:abstractNum w:abstractNumId="163">
    <w:nsid w:val="72E3413A"/>
    <w:multiLevelType w:val="hybridMultilevel"/>
    <w:lvl w:ilvl="0">
      <w:lvlJc w:val="left"/>
      <w:lvlText w:val="(%1)"/>
      <w:numFmt w:val="lowerLetter"/>
      <w:start w:val="1"/>
    </w:lvl>
  </w:abstractNum>
  <w:abstractNum w:abstractNumId="164">
    <w:nsid w:val="116AE494"/>
    <w:multiLevelType w:val="hybridMultilevel"/>
    <w:lvl w:ilvl="0">
      <w:lvlJc w:val="left"/>
      <w:lvlText w:val="(%1)"/>
      <w:numFmt w:val="lowerLetter"/>
      <w:start w:val="8"/>
    </w:lvl>
  </w:abstractNum>
  <w:abstractNum w:abstractNumId="165">
    <w:nsid w:val="3494B2FB"/>
    <w:multiLevelType w:val="hybridMultilevel"/>
    <w:lvl w:ilvl="0">
      <w:lvlJc w:val="left"/>
      <w:lvlText w:val="(%1)"/>
      <w:numFmt w:val="decimal"/>
      <w:start w:val="1"/>
    </w:lvl>
  </w:abstractNum>
  <w:abstractNum w:abstractNumId="166">
    <w:nsid w:val="B13A31"/>
    <w:multiLevelType w:val="hybridMultilevel"/>
    <w:lvl w:ilvl="0">
      <w:lvlJc w:val="left"/>
      <w:lvlText w:val="(%1)"/>
      <w:numFmt w:val="decimal"/>
      <w:start w:val="2"/>
    </w:lvl>
  </w:abstractNum>
  <w:abstractNum w:abstractNumId="167">
    <w:nsid w:val="64429599"/>
    <w:multiLevelType w:val="hybridMultilevel"/>
    <w:lvl w:ilvl="0">
      <w:lvlJc w:val="left"/>
      <w:lvlText w:val="(%1)"/>
      <w:numFmt w:val="decimal"/>
      <w:start w:val="1"/>
    </w:lvl>
  </w:abstractNum>
  <w:abstractNum w:abstractNumId="168">
    <w:nsid w:val="631F1690"/>
    <w:multiLevelType w:val="hybridMultilevel"/>
    <w:lvl w:ilvl="0">
      <w:lvlJc w:val="left"/>
      <w:lvlText w:val="(%1)"/>
      <w:numFmt w:val="decimal"/>
      <w:start w:val="1"/>
    </w:lvl>
  </w:abstractNum>
  <w:abstractNum w:abstractNumId="169">
    <w:nsid w:val="25973E32"/>
    <w:multiLevelType w:val="hybridMultilevel"/>
    <w:lvl w:ilvl="0">
      <w:lvlJc w:val="left"/>
      <w:lvlText w:val="(%1)"/>
      <w:numFmt w:val="decimal"/>
      <w:start w:val="1"/>
    </w:lvl>
    <w:lvl w:ilvl="1">
      <w:lvlJc w:val="left"/>
      <w:lvlText w:val="(%2)"/>
      <w:numFmt w:val="lowerLetter"/>
      <w:start w:val="1"/>
    </w:lvl>
  </w:abstractNum>
  <w:abstractNum w:abstractNumId="170">
    <w:nsid w:val="EAD6F57"/>
    <w:multiLevelType w:val="hybridMultilevel"/>
    <w:lvl w:ilvl="0">
      <w:lvlJc w:val="left"/>
      <w:lvlText w:val="(%1)"/>
      <w:numFmt w:val="decimal"/>
      <w:start w:val="1"/>
    </w:lvl>
    <w:lvl w:ilvl="1">
      <w:lvlJc w:val="left"/>
      <w:lvlText w:val="(%2)"/>
      <w:numFmt w:val="lowerLetter"/>
      <w:start w:val="1"/>
    </w:lvl>
  </w:abstractNum>
  <w:abstractNum w:abstractNumId="171">
    <w:nsid w:val="6EC9D844"/>
    <w:multiLevelType w:val="hybridMultilevel"/>
    <w:lvl w:ilvl="0">
      <w:lvlJc w:val="left"/>
      <w:lvlText w:val="%1"/>
      <w:numFmt w:val="decimal"/>
      <w:start w:val="1"/>
    </w:lvl>
    <w:lvl w:ilvl="1">
      <w:lvlJc w:val="left"/>
      <w:lvlText w:val="(%2)"/>
      <w:numFmt w:val="lowerLetter"/>
      <w:start w:val="3"/>
    </w:lvl>
  </w:abstractNum>
  <w:abstractNum w:abstractNumId="172">
    <w:nsid w:val="5C49EAEE"/>
    <w:multiLevelType w:val="hybridMultilevel"/>
    <w:lvl w:ilvl="0">
      <w:lvlJc w:val="left"/>
      <w:lvlText w:val="(%1)"/>
      <w:numFmt w:val="decimal"/>
      <w:start w:val="2"/>
    </w:lvl>
    <w:lvl w:ilvl="1">
      <w:lvlJc w:val="left"/>
      <w:lvlText w:val="%2"/>
      <w:numFmt w:val="lowerLetter"/>
      <w:start w:val="1"/>
    </w:lvl>
  </w:abstractNum>
  <w:abstractNum w:abstractNumId="173">
    <w:nsid w:val="64AF49B"/>
    <w:multiLevelType w:val="hybridMultilevel"/>
    <w:lvl w:ilvl="0">
      <w:lvlJc w:val="left"/>
      <w:lvlText w:val="(%1)"/>
      <w:numFmt w:val="decimal"/>
      <w:start w:val="1"/>
    </w:lvl>
    <w:lvl w:ilvl="1">
      <w:lvlJc w:val="left"/>
      <w:lvlText w:val="(%2)"/>
      <w:numFmt w:val="lowerLetter"/>
      <w:start w:val="1"/>
    </w:lvl>
  </w:abstractNum>
  <w:abstractNum w:abstractNumId="174">
    <w:nsid w:val="397C46BC"/>
    <w:multiLevelType w:val="hybridMultilevel"/>
    <w:lvl w:ilvl="0">
      <w:lvlJc w:val="left"/>
      <w:lvlText w:val="%1"/>
      <w:numFmt w:val="decimal"/>
      <w:start w:val="1"/>
    </w:lvl>
    <w:lvl w:ilvl="1">
      <w:lvlJc w:val="left"/>
      <w:lvlText w:val="(%2)"/>
      <w:numFmt w:val="lowerLetter"/>
      <w:start w:val="7"/>
    </w:lvl>
  </w:abstractNum>
  <w:abstractNum w:abstractNumId="175">
    <w:nsid w:val="7E448DE9"/>
    <w:multiLevelType w:val="hybridMultilevel"/>
    <w:lvl w:ilvl="0">
      <w:lvlJc w:val="left"/>
      <w:lvlText w:val="(%1)"/>
      <w:numFmt w:val="decimal"/>
      <w:start w:val="2"/>
    </w:lvl>
    <w:lvl w:ilvl="1">
      <w:lvlJc w:val="left"/>
      <w:lvlText w:val="(%2)"/>
      <w:numFmt w:val="lowerLetter"/>
      <w:start w:val="1"/>
    </w:lvl>
  </w:abstractNum>
  <w:abstractNum w:abstractNumId="176">
    <w:nsid w:val="5A9CC3E5"/>
    <w:multiLevelType w:val="hybridMultilevel"/>
    <w:lvl w:ilvl="0">
      <w:lvlJc w:val="left"/>
      <w:lvlText w:val="(%1)"/>
      <w:numFmt w:val="lowerLetter"/>
      <w:start w:val="2"/>
    </w:lvl>
  </w:abstractNum>
  <w:abstractNum w:abstractNumId="177">
    <w:nsid w:val="1AFE3625"/>
    <w:multiLevelType w:val="hybridMultilevel"/>
    <w:lvl w:ilvl="0">
      <w:lvlJc w:val="left"/>
      <w:lvlText w:val="(%1)"/>
      <w:numFmt w:val="decimal"/>
      <w:start w:val="4"/>
    </w:lvl>
    <w:lvl w:ilvl="1">
      <w:lvlJc w:val="left"/>
      <w:lvlText w:val="(%2)"/>
      <w:numFmt w:val="lowerLetter"/>
      <w:start w:val="1"/>
    </w:lvl>
  </w:abstractNum>
  <w:abstractNum w:abstractNumId="178">
    <w:nsid w:val="3CA88ECF"/>
    <w:multiLevelType w:val="hybridMultilevel"/>
    <w:lvl w:ilvl="0">
      <w:lvlJc w:val="left"/>
      <w:lvlText w:val="(%1)"/>
      <w:numFmt w:val="decimal"/>
      <w:start w:val="1"/>
    </w:lvl>
  </w:abstractNum>
  <w:abstractNum w:abstractNumId="179">
    <w:nsid w:val="6EBE4208"/>
    <w:multiLevelType w:val="hybridMultilevel"/>
    <w:lvl w:ilvl="0">
      <w:lvlJc w:val="left"/>
      <w:lvlText w:val="(%1)"/>
      <w:numFmt w:val="decimal"/>
      <w:start w:val="1"/>
    </w:lvl>
  </w:abstractNum>
  <w:abstractNum w:abstractNumId="180">
    <w:nsid w:val="C058DF5"/>
    <w:multiLevelType w:val="hybridMultilevel"/>
    <w:lvl w:ilvl="0">
      <w:lvlJc w:val="left"/>
      <w:lvlText w:val="(%1)"/>
      <w:numFmt w:val="decimal"/>
      <w:start w:val="3"/>
    </w:lvl>
  </w:abstractNum>
  <w:abstractNum w:abstractNumId="181">
    <w:nsid w:val="CBE5BE9"/>
    <w:multiLevelType w:val="hybridMultilevel"/>
    <w:lvl w:ilvl="0">
      <w:lvlJc w:val="left"/>
      <w:lvlText w:val="(%1)"/>
      <w:numFmt w:val="decimal"/>
      <w:start w:val="1"/>
    </w:lvl>
  </w:abstractNum>
  <w:abstractNum w:abstractNumId="182">
    <w:nsid w:val="3102BBE2"/>
    <w:multiLevelType w:val="hybridMultilevel"/>
    <w:lvl w:ilvl="0">
      <w:lvlJc w:val="left"/>
      <w:lvlText w:val="(%1)"/>
      <w:numFmt w:val="decimal"/>
      <w:start w:val="1"/>
    </w:lvl>
    <w:lvl w:ilvl="1">
      <w:lvlJc w:val="left"/>
      <w:lvlText w:val="(%2)"/>
      <w:numFmt w:val="lowerLetter"/>
      <w:start w:val="1"/>
    </w:lvl>
  </w:abstractNum>
  <w:abstractNum w:abstractNumId="183">
    <w:nsid w:val="26A02C5E"/>
    <w:multiLevelType w:val="hybridMultilevel"/>
    <w:lvl w:ilvl="0">
      <w:lvlJc w:val="left"/>
      <w:lvlText w:val="(%1)"/>
      <w:numFmt w:val="decimal"/>
      <w:start w:val="1"/>
    </w:lvl>
    <w:lvl w:ilvl="1">
      <w:lvlJc w:val="left"/>
      <w:lvlText w:val="(%2)"/>
      <w:numFmt w:val="lowerLetter"/>
      <w:start w:val="1"/>
    </w:lvl>
  </w:abstractNum>
  <w:abstractNum w:abstractNumId="184">
    <w:nsid w:val="541C8153"/>
    <w:multiLevelType w:val="hybridMultilevel"/>
    <w:lvl w:ilvl="0">
      <w:lvlJc w:val="left"/>
      <w:lvlText w:val="(%1)"/>
      <w:numFmt w:val="decimal"/>
      <w:start w:val="1"/>
    </w:lvl>
  </w:abstractNum>
  <w:abstractNum w:abstractNumId="185">
    <w:nsid w:val="67906F60"/>
    <w:multiLevelType w:val="hybridMultilevel"/>
    <w:lvl w:ilvl="0">
      <w:lvlJc w:val="left"/>
      <w:lvlText w:val="(%1)"/>
      <w:numFmt w:val="decimal"/>
      <w:start w:val="1"/>
    </w:lvl>
  </w:abstractNum>
  <w:abstractNum w:abstractNumId="186">
    <w:nsid w:val="10DB9DAA"/>
    <w:multiLevelType w:val="hybridMultilevel"/>
    <w:lvl w:ilvl="0">
      <w:lvlJc w:val="left"/>
      <w:lvlText w:val="(%1)"/>
      <w:numFmt w:val="decimal"/>
      <w:start w:val="1"/>
    </w:lvl>
  </w:abstractNum>
  <w:abstractNum w:abstractNumId="187">
    <w:nsid w:val="697D2D2"/>
    <w:multiLevelType w:val="hybridMultilevel"/>
    <w:lvl w:ilvl="0">
      <w:lvlJc w:val="left"/>
      <w:lvlText w:val="(%1)"/>
      <w:numFmt w:val="decimal"/>
      <w:start w:val="2"/>
    </w:lvl>
  </w:abstractNum>
  <w:abstractNum w:abstractNumId="188">
    <w:nsid w:val="6D68AB2"/>
    <w:multiLevelType w:val="hybridMultilevel"/>
    <w:lvl w:ilvl="0">
      <w:lvlJc w:val="left"/>
      <w:lvlText w:val="(%1)"/>
      <w:numFmt w:val="decimal"/>
      <w:start w:val="1"/>
    </w:lvl>
    <w:lvl w:ilvl="1">
      <w:lvlJc w:val="left"/>
      <w:lvlText w:val="(%2)"/>
      <w:numFmt w:val="lowerLetter"/>
      <w:start w:val="1"/>
    </w:lvl>
  </w:abstractNum>
  <w:abstractNum w:abstractNumId="189">
    <w:nsid w:val="3A966CD0"/>
    <w:multiLevelType w:val="hybridMultilevel"/>
    <w:lvl w:ilvl="0">
      <w:lvlJc w:val="left"/>
      <w:lvlText w:val="(%1)"/>
      <w:numFmt w:val="lowerLetter"/>
      <w:start w:val="2"/>
    </w:lvl>
  </w:abstractNum>
  <w:abstractNum w:abstractNumId="190">
    <w:nsid w:val="63F37E85"/>
    <w:multiLevelType w:val="hybridMultilevel"/>
    <w:lvl w:ilvl="0">
      <w:lvlJc w:val="left"/>
      <w:lvlText w:val="(%1)"/>
      <w:numFmt w:val="decimal"/>
      <w:start w:val="2"/>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decimal"/>
      <w:start w:val="1"/>
    </w:lvl>
  </w:abstractNum>
  <w:abstractNum w:abstractNumId="193">
    <w:nsid w:val="F3F09D8"/>
    <w:multiLevelType w:val="hybridMultilevel"/>
    <w:lvl w:ilvl="0">
      <w:lvlJc w:val="left"/>
      <w:lvlText w:val="%1."/>
      <w:numFmt w:val="decimal"/>
      <w:start w:val="1"/>
    </w:lvl>
    <w:lvl w:ilvl="1">
      <w:lvlJc w:val="left"/>
      <w:lvlText w:val="(%2)"/>
      <w:numFmt w:val="lowerLetter"/>
      <w:start w:val="1"/>
    </w:lvl>
  </w:abstractNum>
  <w:abstractNum w:abstractNumId="194">
    <w:nsid w:val="4B793735"/>
    <w:multiLevelType w:val="hybridMultilevel"/>
    <w:lvl w:ilvl="0">
      <w:lvlJc w:val="left"/>
      <w:lvlText w:val="(%1)"/>
      <w:numFmt w:val="lowerLetter"/>
      <w:start w:val="3"/>
    </w:lvl>
  </w:abstractNum>
  <w:abstractNum w:abstractNumId="195">
    <w:nsid w:val="4A10B4E8"/>
    <w:multiLevelType w:val="hybridMultilevel"/>
    <w:lvl w:ilvl="0">
      <w:lvlJc w:val="left"/>
      <w:lvlText w:val="%1"/>
      <w:numFmt w:val="decimal"/>
      <w:start w:val="1"/>
    </w:lvl>
    <w:lvl w:ilvl="1">
      <w:lvlJc w:val="left"/>
      <w:lvlText w:val="(%2)"/>
      <w:numFmt w:val="lowerLetter"/>
      <w:start w:val="5"/>
    </w:lvl>
  </w:abstractNum>
  <w:abstractNum w:abstractNumId="196">
    <w:nsid w:val="43D3BCD4"/>
    <w:multiLevelType w:val="hybridMultilevel"/>
    <w:lvl w:ilvl="0">
      <w:lvlJc w:val="left"/>
      <w:lvlText w:val="%1."/>
      <w:numFmt w:val="decimal"/>
      <w:start w:val="2"/>
    </w:lvl>
    <w:lvl w:ilvl="1">
      <w:lvlJc w:val="left"/>
      <w:lvlText w:val="(%2)"/>
      <w:numFmt w:val="lowerLetter"/>
      <w:start w:val="1"/>
    </w:lvl>
  </w:abstractNum>
  <w:abstractNum w:abstractNumId="197">
    <w:nsid w:val="4C2A7166"/>
    <w:multiLevelType w:val="hybridMultilevel"/>
    <w:lvl w:ilvl="0">
      <w:lvlJc w:val="left"/>
      <w:lvlText w:val="(%1)"/>
      <w:numFmt w:val="lowerLetter"/>
      <w:start w:val="3"/>
    </w:lvl>
  </w:abstractNum>
  <w:abstractNum w:abstractNumId="198">
    <w:nsid w:val="2E534A82"/>
    <w:multiLevelType w:val="hybridMultilevel"/>
    <w:lvl w:ilvl="0">
      <w:lvlJc w:val="left"/>
      <w:lvlText w:val="%1."/>
      <w:numFmt w:val="decimal"/>
      <w:start w:val="1"/>
    </w:lvl>
    <w:lvl w:ilvl="1">
      <w:lvlJc w:val="left"/>
      <w:lvlText w:val="(%2)"/>
      <w:numFmt w:val="lowerLetter"/>
      <w:start w:val="1"/>
    </w:lvl>
  </w:abstractNum>
  <w:abstractNum w:abstractNumId="199">
    <w:nsid w:val="26F2D364"/>
    <w:multiLevelType w:val="hybridMultilevel"/>
    <w:lvl w:ilvl="0">
      <w:lvlJc w:val="left"/>
      <w:lvlText w:val="%1"/>
      <w:numFmt w:val="decimal"/>
      <w:start w:val="1"/>
    </w:lvl>
    <w:lvl w:ilvl="1">
      <w:lvlJc w:val="left"/>
      <w:lvlText w:val="(%2)"/>
      <w:numFmt w:val="lowerLetter"/>
      <w:start w:val="3"/>
    </w:lvl>
  </w:abstractNum>
  <w:abstractNum w:abstractNumId="200">
    <w:nsid w:val="71C1AF98"/>
    <w:multiLevelType w:val="hybridMultilevel"/>
    <w:lvl w:ilvl="0">
      <w:lvlJc w:val="left"/>
      <w:lvlText w:val="%1."/>
      <w:numFmt w:val="decimal"/>
      <w:start w:val="4"/>
    </w:lvl>
  </w:abstractNum>
  <w:abstractNum w:abstractNumId="201">
    <w:nsid w:val="3D00B9D9"/>
    <w:multiLevelType w:val="hybridMultilevel"/>
    <w:lvl w:ilvl="0">
      <w:lvlJc w:val="left"/>
      <w:lvlText w:val="%1."/>
      <w:numFmt w:val="decimal"/>
      <w:start w:val="7"/>
    </w:lvl>
  </w:abstractNum>
  <w:abstractNum w:abstractNumId="202">
    <w:nsid w:val="15BCABA8"/>
    <w:multiLevelType w:val="hybridMultilevel"/>
    <w:lvl w:ilvl="0">
      <w:lvlJc w:val="left"/>
      <w:lvlText w:val="(%1)"/>
      <w:numFmt w:val="decimal"/>
      <w:start w:val="1"/>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2019-12-20T04:08:47Z</dcterms:created>
  <dcterms:modified xsi:type="dcterms:W3CDTF">2019-12-20T04:08:47Z</dcterms:modified>
</cp:coreProperties>
</file>