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Mr. Carrasco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8, 2026, Mr. Rafael E. Carrasco, Senior Vice President, Enterprise Strategy and President, WM Healthcare Solutions of Waste Management, Inc. (the “Company”), provided notice of his decision to retire as of July 17, 2026. The Company is grateful to Mr. Carrasco for his 10 years of dedicated service to the Company in a range of operational leadership roles, including his recent leadership over the Stericycle, Inc. acquisition and the successful integration and development of the Company’s healthcare solutions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Promotion of Ms. Hemmer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2026, the Company announced that its Board of Directors (the “Board”) has promoted Ms. Tara J. Hemmer to the position of Executive Vice President and Chief Operating Officer, reporting to President John J. Morris, Jr. Mr. Morris voluntarily resigned from the position of Chief Operating Officer. Ms. Hemmer, age 53, has served as the Company’s Senior Vice President and Chief Sustainability Officer since 2021. Ms. Hemmer does not have any interest in transactions required to be disclosed pursuant to Item 404(a) of Regulation S-K.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Ms. Hemmer’s promotion, her annual base salary has been increased to $850,000, and her target annual cash incentive will be 105% of her base salary in effect at year end. Additionally, the Management Development and Compensation Committee of the Board approved an award of restricted stock units (“RSUs”) under the Company’s 2023 Stock Incentive Plan with a grant date of May 20, 2026 and a value of $575,000. The number of RSUs granted will be calculated by dividing such value by the average of the high and low price of the Company’s common stock over the 30 trading days preceding the grant date. Key terms of the RSUs are described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760" w:type="dxa"/>
            <w:vAlign w:val="bottom"/>
          </w:tcPr>
          <w:p>
            <w:pPr>
              <w:spacing w:after="0"/>
              <w:rPr>
                <w:sz w:val="17"/>
                <w:szCs w:val="17"/>
                <w:color w:val="auto"/>
              </w:rPr>
            </w:pPr>
          </w:p>
        </w:tc>
        <w:tc>
          <w:tcPr>
            <w:tcW w:w="8040" w:type="dxa"/>
            <w:vAlign w:val="bottom"/>
          </w:tcPr>
          <w:p>
            <w:pPr>
              <w:spacing w:after="0"/>
              <w:rPr>
                <w:sz w:val="17"/>
                <w:szCs w:val="17"/>
                <w:color w:val="auto"/>
              </w:rPr>
            </w:pPr>
          </w:p>
        </w:tc>
      </w:tr>
      <w:tr>
        <w:trPr>
          <w:trHeight w:val="4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“Vesting Dates”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 on the first anniversary of grant</w:t>
            </w:r>
          </w:p>
        </w:tc>
      </w:tr>
      <w:tr>
        <w:trPr>
          <w:trHeight w:val="216"/>
        </w:trPr>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 on the second anniversary of grant</w:t>
            </w:r>
          </w:p>
        </w:tc>
      </w:tr>
      <w:tr>
        <w:trPr>
          <w:trHeight w:val="216"/>
        </w:trPr>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 on the third anniversary of grant</w:t>
            </w:r>
          </w:p>
        </w:tc>
      </w:tr>
      <w:tr>
        <w:trPr>
          <w:trHeight w:val="234"/>
        </w:trPr>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RSU will be converted into one share of Company common stock upon vesting.</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Equivalents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will accrue and be paid in cash upon any payout of RSUs.</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8040" w:type="dxa"/>
            <w:vAlign w:val="bottom"/>
          </w:tcPr>
          <w:p>
            <w:pPr>
              <w:spacing w:after="0"/>
              <w:rPr>
                <w:sz w:val="24"/>
                <w:szCs w:val="24"/>
                <w:color w:val="auto"/>
              </w:rPr>
            </w:pPr>
          </w:p>
        </w:tc>
      </w:tr>
      <w:tr>
        <w:trPr>
          <w:trHeight w:val="432"/>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Death or Disability</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date of such death or disability.</w:t>
            </w:r>
          </w:p>
        </w:tc>
      </w:tr>
      <w:tr>
        <w:trPr>
          <w:trHeight w:val="41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Retirement (as defined in the award</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 Retirement occurs after January 1, 2027, all RSUs will vest and be issued and paid following the normal</w:t>
            </w:r>
          </w:p>
        </w:tc>
      </w:tr>
      <w:tr>
        <w:trPr>
          <w:trHeight w:val="216"/>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Dates. (The earliest date that Ms. Hemmer will potentially be eligible for Retirement is October</w:t>
            </w:r>
          </w:p>
        </w:tc>
      </w:tr>
      <w:tr>
        <w:trPr>
          <w:trHeight w:val="234"/>
        </w:trPr>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r>
      <w:tr>
        <w:trPr>
          <w:trHeight w:val="41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without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equal to the total number of unvested RSUs, prorated based on the portion of the entire three-year</w:t>
            </w:r>
          </w:p>
        </w:tc>
      </w:tr>
      <w:tr>
        <w:trPr>
          <w:trHeight w:val="216"/>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Cause</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period that the employee was employed, will vest and be issued and paid following the normal</w:t>
            </w:r>
          </w:p>
        </w:tc>
      </w:tr>
      <w:tr>
        <w:trPr>
          <w:trHeight w:val="234"/>
        </w:trPr>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Dates.</w:t>
            </w:r>
          </w:p>
        </w:tc>
      </w:tr>
      <w:tr>
        <w:trPr>
          <w:trHeight w:val="41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Resignation; Involuntary</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unvested RSUs are forfeited.</w:t>
            </w:r>
          </w:p>
        </w:tc>
      </w:tr>
      <w:tr>
        <w:trPr>
          <w:trHeight w:val="23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Termination for Cause</w:t>
            </w:r>
          </w:p>
        </w:tc>
        <w:tc>
          <w:tcPr>
            <w:tcW w:w="8040" w:type="dxa"/>
            <w:vAlign w:val="bottom"/>
          </w:tcPr>
          <w:p>
            <w:pPr>
              <w:spacing w:after="0"/>
              <w:rPr>
                <w:sz w:val="20"/>
                <w:szCs w:val="20"/>
                <w:color w:val="auto"/>
              </w:rPr>
            </w:pPr>
          </w:p>
        </w:tc>
      </w:tr>
      <w:tr>
        <w:trPr>
          <w:trHeight w:val="41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without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normal Vesting Dates.</w:t>
            </w:r>
          </w:p>
        </w:tc>
      </w:tr>
      <w:tr>
        <w:trPr>
          <w:trHeight w:val="234"/>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Cause following a Change in Control</w:t>
            </w:r>
          </w:p>
        </w:tc>
        <w:tc>
          <w:tcPr>
            <w:tcW w:w="8040" w:type="dxa"/>
            <w:vAlign w:val="bottom"/>
          </w:tcPr>
          <w:p>
            <w:pPr>
              <w:spacing w:after="0"/>
              <w:rPr>
                <w:sz w:val="20"/>
                <w:szCs w:val="20"/>
                <w:color w:val="auto"/>
              </w:rPr>
            </w:pPr>
          </w:p>
        </w:tc>
      </w:tr>
      <w:tr>
        <w:trPr>
          <w:trHeight w:val="648"/>
        </w:trPr>
        <w:tc>
          <w:tcPr>
            <w:tcW w:w="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RSU award agreement that is Exhibit 10.1 to this report and incorporated herein by reference. A copy of the press release announcing the developments disclosed in this Form 8-K is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8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tcBorders>
          </w:tcPr>
          <w:p>
            <w:pPr>
              <w:spacing w:after="0"/>
              <w:rPr>
                <w:rFonts w:ascii="Times New Roman" w:cs="Times New Roman" w:eastAsia="Times New Roman" w:hAnsi="Times New Roman"/>
                <w:sz w:val="18"/>
                <w:szCs w:val="18"/>
                <w:color w:val="0000EE"/>
                <w:w w:val="95"/>
              </w:rPr>
            </w:pPr>
            <w:hyperlink r:id="rId1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2026 Long Term Incentive Compensation RSU Award Agreement (incorporated by reference to Exhibit 10.4 to Form 10-Q for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quarter ended March 31, 2026).</w:t>
              </w:r>
            </w:hyperlink>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13, 2026.</w:t>
            </w:r>
          </w:p>
        </w:tc>
        <w:tc>
          <w:tcPr>
            <w:tcW w:w="7580" w:type="dxa"/>
            <w:vAlign w:val="bottom"/>
            <w:gridSpan w:val="4"/>
          </w:tcPr>
          <w:p>
            <w:pPr>
              <w:spacing w:after="0"/>
              <w:rPr>
                <w:sz w:val="24"/>
                <w:szCs w:val="24"/>
                <w:color w:val="auto"/>
              </w:rPr>
            </w:pPr>
          </w:p>
        </w:tc>
      </w:tr>
    </w:tbl>
    <w:p>
      <w:pPr>
        <w:spacing w:after="0" w:line="225"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WM Names Tara Hemmer Chief Operating Officer</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Rafa Carrasco Retiring from WM</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 May 13, 2026 </w:t>
      </w:r>
      <w:r>
        <w:rPr>
          <w:rFonts w:ascii="Times New Roman" w:cs="Times New Roman" w:eastAsia="Times New Roman" w:hAnsi="Times New Roman"/>
          <w:sz w:val="18"/>
          <w:szCs w:val="18"/>
          <w:color w:val="auto"/>
        </w:rPr>
        <w:t>— WM (NYSE: WM) announced that its Board of Directors has appointed Tara Hemmer to the position of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Operating Officer (COO), reporting to John Morris, the company’s President, who had also been serving as COO.</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Hemmer will assume responsibility for the company’s operating platform, in addition to continuing to lead the Sustainability businesses, including Recycling, Renewable Energy, and Advisory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"Tara is an outstanding leader with a proven track record of delivering strong results over her 27-year tenure with WM. As I've worked closely with her throughout that time, I have witnessed firsthand Tara's commitment to enhancing shareholder value and growing the WM business through operational excellence," said John Morris, WM’s President. "Over the last five years, she has successfully led WM's Sustainability growth strategy – expanding our asset network to include the addition of 14 new RNG sites and 37 recycling facilities with state-of-the-art technology. There is no one more well-prepared than Tara to lead and evolve WM's operations for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 honored to be named as WM's Chief Operating Officer and continue to build on the company’s reputation as an operational and environmental innovator. I'm looking forward to accelerating WM's Operations transformation focused on deploying next-generation technology that will advance the modernization of our operating model – delivering increased productivity and valuable solutions for our customers while also delivering results for shareholders," said Hemmer. "Most importantly, I'm proud to have the opportunity to lead such an exceptional Operations organization, including our over 47,000 frontline employees.”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Hemmer joined WM in 1999 and has progressed through various leadership roles, including Senior Vice President of Field Operations, Senior Vice President of Operations, Safety and Environmental Compliance, Vice President of Disposal Operations, Area Vice President for the Greater Mid-Atlantic Area and, most recently, Chief Sustainability Officer. She graduated from Cornell University with a Bachelor of Science in Civil and Environmental Engineering.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announced that Rafael Carrasco, WM’s Senior Vice President of Enterprise Strategy and President of the WM Healthcare Solutions business, will be retiring from WM in July. “I want to thank Rafa for his 10 years with the company in a range of operational leadership roles,” said Jim Fish, WM CEO. “His leadership over the Stericycle business and a successful integration have set the WM medical waste and Shred-it businesses up with a strong foundation for future growth. We wish Rafa well in his next chapter.” With Rafa’s retirement, the WM Healthcare Solutions business will report directly to John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also provides collection and disposal services of regulated medical waste and secure information destruction services in the U.S., Canada and Western Europe.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media@wm.com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s://www.sec.gov/Archives/edgar/data/823768/000110465926051283/wm-20260331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2026-05-13T08:10:22Z</dcterms:created>
  <dcterms:modified xsi:type="dcterms:W3CDTF">2026-05-13T08:10:22Z</dcterms:modified>
</cp:coreProperties>
</file>