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39" w:lineRule="exact"/>
        <w:rPr>
          <w:sz w:val="24"/>
          <w:szCs w:val="24"/>
          <w:color w:val="auto"/>
        </w:rPr>
      </w:pPr>
    </w:p>
    <w:p>
      <w:pPr>
        <w:ind w:left="1120" w:hanging="666"/>
        <w:spacing w:after="0"/>
        <w:tabs>
          <w:tab w:leader="none" w:pos="11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15(d) OF THE SECURITIES EXCHANGE ACT OF 1934</w:t>
      </w:r>
    </w:p>
    <w:p>
      <w:pPr>
        <w:spacing w:after="0" w:line="1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11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1120" w:right="40" w:hanging="666"/>
        <w:spacing w:after="0" w:line="262" w:lineRule="auto"/>
        <w:tabs>
          <w:tab w:leader="none" w:pos="11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51" w:lineRule="exact"/>
        <w:rPr>
          <w:sz w:val="24"/>
          <w:szCs w:val="24"/>
          <w:color w:val="auto"/>
        </w:rPr>
      </w:pPr>
    </w:p>
    <w:p>
      <w:pPr>
        <w:ind w:left="1140"/>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2207260</wp:posOffset>
            </wp:positionH>
            <wp:positionV relativeFrom="paragraph">
              <wp:posOffset>-5080</wp:posOffset>
            </wp:positionV>
            <wp:extent cx="126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21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WASTE MANAGEMENT RETIREMENT SAVINGS PLAN</w:t>
      </w:r>
    </w:p>
    <w:p>
      <w:pPr>
        <w:spacing w:after="0" w:line="23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1001 Fannin Street</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40"/>
          </w:cols>
          <w:pgMar w:left="240" w:top="583"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WASTE MANAGEMENT RETIREMENT SAVINGS PLAN</w:t>
            </w:r>
          </w:p>
        </w:tc>
        <w:tc>
          <w:tcPr>
            <w:tcW w:w="19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8"/>
              </w:rPr>
              <w:t>INDEX TO FINANCIAL STATEMENTS AND SUPPLEMENTAL SCHEDULE</w:t>
            </w: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9"/>
        </w:trPr>
        <w:tc>
          <w:tcPr>
            <w:tcW w:w="992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Report of Independent Registered Public Accounting Firm</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3"/>
        </w:trPr>
        <w:tc>
          <w:tcPr>
            <w:tcW w:w="4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5700" w:type="dxa"/>
            <w:vAlign w:val="bottom"/>
            <w:gridSpan w:val="6"/>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9740" w:type="dxa"/>
            <w:vAlign w:val="bottom"/>
            <w:gridSpan w:val="1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Statements of Net Assets Available for Benefits as of December 31, 2016 and 2015</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740" w:type="dxa"/>
            <w:vAlign w:val="bottom"/>
            <w:gridSpan w:val="1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 of Changes in Net Assets Available for Benefits for the Year Ended December 31, 2016</w:t>
              </w:r>
            </w:hyperlink>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70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Financial Statements</w:t>
              </w:r>
            </w:hyperlink>
          </w:p>
        </w:tc>
        <w:tc>
          <w:tcPr>
            <w:tcW w:w="266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53"/>
        </w:trPr>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44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9740" w:type="dxa"/>
            <w:vAlign w:val="bottom"/>
            <w:gridSpan w:val="10"/>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Schedule H, Line 4(i) - Schedule of Assets (Held at End of Year)</w:t>
              </w:r>
            </w:hyperlink>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60"/>
          </w:cols>
          <w:pgMar w:left="240" w:top="257"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Waste Management Retirement Savings Plan (the Plan) as of December 31, 2016 and 2015, and the related statement of changes in net assets available for benefits for the year ended December 31, 2016. These financial statements are the responsibility of Plan management. Our responsibility is to express an opinion on these financial statements based on our audits.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the Plan as of December 31, 2016 and 2015, and the changes in net assets available for benefits for the year ended December 31, 2016, in conformity with accounting principles generally accepted in the United States of America.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of assets (held at end of year) as of December 31, 2016 has been subjected to audit procedures performed in conjunction with the audit of the Plan’s financial statements. The supplementary information is presented for the purpose of additional analysis and is not a required part of the financial statements but includes supplementary information required by the Department of Labor’s Rules and Regulations for Reporting and Disclosure under the Employee Retirement Income Security Act of 1974. The supplementary information is the responsibility of Plan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supplementary information in the accompanying schedule is fairly stated in all material respects in relation to the financial statements as a whole.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2017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2016 and 2015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1,686,421,961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1,537,122,613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309,967,987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291,037,209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1,996,389,948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1,828,159,822</w:t>
            </w:r>
          </w:p>
        </w:tc>
        <w:tc>
          <w:tcPr>
            <w:tcW w:w="0" w:type="dxa"/>
            <w:vAlign w:val="bottom"/>
          </w:tcPr>
          <w:p>
            <w:pPr>
              <w:spacing w:after="0"/>
              <w:rPr>
                <w:sz w:val="1"/>
                <w:szCs w:val="1"/>
                <w:color w:val="auto"/>
              </w:rPr>
            </w:pPr>
          </w:p>
        </w:tc>
      </w:tr>
      <w:tr>
        <w:trPr>
          <w:trHeight w:val="331"/>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contributions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66,123,832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63,966,643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 pending</w:t>
            </w: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26,312</w:t>
            </w: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receivables</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69,795,599</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67,170,433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2,066,185,547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1,895,330,255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4" w:name="page5"/>
    <w:bookmarkEnd w:id="4"/>
    <w:p>
      <w:pPr>
        <w:jc w:val="center"/>
        <w:ind w:left="2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Retirement Savings Plan</w:t>
      </w:r>
    </w:p>
    <w:p>
      <w:pPr>
        <w:spacing w:after="0" w:line="225"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Year Ended December 31,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Contributions:</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Employer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Rollover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appreciation in Plan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Dividends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FROM NET ASSETS AVAILABLE FOR BENEFITS: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Benefits paid to participants</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Beginning of year</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7"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171"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0" w:hanging="49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98,068,646</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58,114,316</w:t>
      </w:r>
    </w:p>
    <w:p>
      <w:pPr>
        <w:spacing w:after="0" w:line="9"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6,482,044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162,665,006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153,124,797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20,675,014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2,678,472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525,037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8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339,668,326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1,701,851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167,111,183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31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168,813,034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170,855,292</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1,895,330,255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831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6" w:lineRule="exact"/>
        <w:rPr>
          <w:sz w:val="20"/>
          <w:szCs w:val="20"/>
          <w:color w:val="auto"/>
        </w:rPr>
      </w:pPr>
    </w:p>
    <w:p>
      <w:pPr>
        <w:ind w:left="280" w:hanging="278"/>
        <w:spacing w:after="0"/>
        <w:tabs>
          <w:tab w:leader="none" w:pos="280"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2,066,185,547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831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ectPr>
          <w:pgSz w:w="11900" w:h="16838" w:orient="portrait"/>
          <w:cols w:equalWidth="0" w:num="2">
            <w:col w:w="9320" w:space="720"/>
            <w:col w:w="1320"/>
          </w:cols>
          <w:pgMar w:left="240" w:top="270"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Retirement Savings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 defined contribution plan sponsored by Waste Management, Inc. (the “Company” or “WM”),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(the “Trust Agreement”) and Merrill Lynch, Pierce, Fenner &amp; Smith Incorporated (“BAML”) serves as the Plan’s third-party recordkeeper.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(as defined by the Plan) are eligible to participate in the Plan following completion of a 90-day period of service (as defined by the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Individuals who are ineligible to participate in the Plan consist of (a) leased employees; (b) employees whose employment is governed by a collective bargaining agreement that does not provide for participation in the Plan for such individual; (c) 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are permitted to contribute from one percent to 50 percent of their pre-tax base compensation, other than annual incentive plan compensation, as defined by the Plan, and 80 percent of their annual incentive plan bonus not to exceed certain limits as described in the plan document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each participant whose employment is not governed by a collective bargaining agreement, Waste Management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With respect to each participant whose employment relationship is covered by a collective bargaining agreement, the amount of contributions by Waste Management, if any, is provided for in the applicable collective bargaining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Options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offers participants diversified investment options. During 2016, the Plan offered (a) 12 common collective trust funds (including nine target retirement-date funds); (b) five mutual funds; (c) a WM common stock fund (which is an Employee Stock Ownership Plan); (d) a stable value fund, which includes direct investments in fully benefit-responsive contracts and investments in common collective trust funds, managed by Galliard Capital Management (“Galliard”) and (e) a self-directed brokerage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immediately vested in their Employee Contributions, Rollover Contributions and Employer Contributions, plus earnings thereon.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 common stock may be taken in whole shares of common stock or cash.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2016 and 2015.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self-directed brokerage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defaulting on a loan. Interest rates and repayment terms are established by the Administrative Committee. Such loans shall be repaid by payroll deduction or any other method approved by the Administrative Committee. The Administrative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6" w:right="2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requires that: (a) no more than one loan per year be taken by a participant; (b) repayments be made no less frequently than quarterly; (c)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expenses of the Plan are generally allocated among participants. Loan administration fees and certain other expenses are charged directly to the account balance of the applicable participant. In 2016, Waste Management elected to pay certain audit and legal fees of the Plan.</w:t>
      </w:r>
    </w:p>
    <w:p>
      <w:pPr>
        <w:spacing w:after="0" w:line="158" w:lineRule="exact"/>
        <w:rPr>
          <w:sz w:val="20"/>
          <w:szCs w:val="20"/>
          <w:color w:val="auto"/>
        </w:rPr>
      </w:pPr>
    </w:p>
    <w:p>
      <w:pPr>
        <w:ind w:right="872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The investment options available within the Plan include a stable value fund that invests in fully benefit-responsive synthetic guaranteed investment contracts (“Synthetic GICs”). These investments held by the stable value fund are presented at contract value in the Statements of Net Assets Available for Benefits. See Note 3 for further discussion of Synthetic GICs. Short-term investments (included in amounts reported as common collective trust funds herein) are stated at cost, which approximates fair value.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records purchases and sales of securities on a trade-date basis and dividends on the ex-dividend date. Interest income is recorded on the accrual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necessary, reclassifications are made to the prior year financial information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in Stable Value Fund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includes a stable value fund that invests in fully benefit-responsive Synthetic GICs. Synthetic GICs are comprised of (a) individual assets or investments placed in a trust and (b) wrapper contracts that guarantee that participant transactions will be executed at contract value. The investment portfolio of a Synthetic GIC, when coupled with a wrapper contract, attempts to replicate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characteristics of traditional GICs, which provide a specified rate of return for a specific period of time. Contract value represents principal, plus accrued interest less withdrawals.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crediting rates for Synthetic GICs are calculated on a quarterly basis using the contract value, market value, yield and duration of the underlying securities, but cannot be less than zero.</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certain events not initiated by the Plan participants that could limit the ability of the Plan to transact with the issuer at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fund also invests in two common collective trust funds, Wells Fargo Stable Value Fund W, which has an investment objective similar to that of the fund, and Wells Fargo/BlackRock Short Term Investment Fund S, which invests in highly liquid assets and is used for daily liquidity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 active markets for identical assets and liabilities,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inactive markets, or other inputs that are observable or can be corroborated by observable market data for substantially the full term of the assets or liabilities.</w:t>
      </w:r>
    </w:p>
    <w:p>
      <w:pPr>
        <w:spacing w:after="0" w:line="174" w:lineRule="exact"/>
        <w:rPr>
          <w:sz w:val="20"/>
          <w:szCs w:val="20"/>
          <w:color w:val="auto"/>
        </w:rPr>
      </w:pPr>
    </w:p>
    <w:p>
      <w:pPr>
        <w:jc w:val="both"/>
        <w:ind w:lef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that are generally unobservable and typically reflect the Plan’s estimate of assumptions that market participants would use in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or liability. The Plan had no Level 3 assets as of December 31, 2016 or 2015.</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by level, within the fair value hierarchy, a summary of investments of the Plan as of December 31 measured at fair value on a recurring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7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Quoted Prices in Active Markets (Level 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745,348,620</w:t>
            </w: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680,662,211</w:t>
            </w:r>
          </w:p>
        </w:tc>
      </w:tr>
      <w:tr>
        <w:trPr>
          <w:trHeight w:val="216"/>
        </w:trPr>
        <w:tc>
          <w:tcPr>
            <w:tcW w:w="920" w:type="dxa"/>
            <w:vAlign w:val="bottom"/>
          </w:tcPr>
          <w:p>
            <w:pPr>
              <w:spacing w:after="0"/>
              <w:rPr>
                <w:sz w:val="18"/>
                <w:szCs w:val="18"/>
                <w:color w:val="auto"/>
              </w:rPr>
            </w:pPr>
          </w:p>
        </w:tc>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WM common stock</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164,768,180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126,303,991</w:t>
            </w:r>
          </w:p>
        </w:tc>
      </w:tr>
      <w:tr>
        <w:trPr>
          <w:trHeight w:val="216"/>
        </w:trPr>
        <w:tc>
          <w:tcPr>
            <w:tcW w:w="920" w:type="dxa"/>
            <w:vAlign w:val="bottom"/>
          </w:tcPr>
          <w:p>
            <w:pPr>
              <w:spacing w:after="0"/>
              <w:rPr>
                <w:sz w:val="18"/>
                <w:szCs w:val="18"/>
                <w:color w:val="auto"/>
              </w:rPr>
            </w:pPr>
          </w:p>
        </w:tc>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33,385,237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32,740,354</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 Level 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943,502,037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839,706,556</w:t>
            </w:r>
          </w:p>
        </w:tc>
      </w:tr>
      <w:tr>
        <w:trPr>
          <w:trHeight w:val="331"/>
        </w:trPr>
        <w:tc>
          <w:tcPr>
            <w:tcW w:w="92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Other Observable Inputs (Level 2):</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Self-directed brokerage accounts — money fund</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9,411,704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8,495,535</w:t>
            </w:r>
          </w:p>
        </w:tc>
      </w:tr>
      <w:tr>
        <w:trPr>
          <w:trHeight w:val="216"/>
        </w:trPr>
        <w:tc>
          <w:tcPr>
            <w:tcW w:w="920" w:type="dxa"/>
            <w:vAlign w:val="bottom"/>
          </w:tcPr>
          <w:p>
            <w:pPr>
              <w:spacing w:after="0"/>
              <w:rPr>
                <w:sz w:val="18"/>
                <w:szCs w:val="18"/>
                <w:color w:val="auto"/>
              </w:rPr>
            </w:pPr>
          </w:p>
        </w:tc>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Stable Value fund — short-term investment fund</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7,028,338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6,675,684</w:t>
            </w:r>
          </w:p>
        </w:tc>
      </w:tr>
      <w:tr>
        <w:trPr>
          <w:trHeight w:val="216"/>
        </w:trPr>
        <w:tc>
          <w:tcPr>
            <w:tcW w:w="920" w:type="dxa"/>
            <w:vAlign w:val="bottom"/>
          </w:tcPr>
          <w:p>
            <w:pPr>
              <w:spacing w:after="0"/>
              <w:rPr>
                <w:sz w:val="18"/>
                <w:szCs w:val="18"/>
                <w:color w:val="auto"/>
              </w:rPr>
            </w:pPr>
          </w:p>
        </w:tc>
        <w:tc>
          <w:tcPr>
            <w:tcW w:w="7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fund</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604,929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954,768</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Subtotal Level 2</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17,044,971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16,125,987</w:t>
            </w:r>
          </w:p>
        </w:tc>
        <w:tc>
          <w:tcPr>
            <w:tcW w:w="60" w:type="dxa"/>
            <w:vAlign w:val="bottom"/>
          </w:tcPr>
          <w:p>
            <w:pPr>
              <w:spacing w:after="0"/>
              <w:rPr>
                <w:sz w:val="19"/>
                <w:szCs w:val="19"/>
                <w:color w:val="auto"/>
              </w:rPr>
            </w:pPr>
          </w:p>
        </w:tc>
      </w:tr>
      <w:tr>
        <w:trPr>
          <w:trHeight w:val="11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9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 (a):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725,874,953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681,290,070</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 Investments Measured at Net Asset Value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725,874,953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681,290,070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1,686,421,961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1,537,122,613</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jc w:val="both"/>
        <w:ind w:left="900" w:hanging="446"/>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 of financial position.</w:t>
      </w:r>
    </w:p>
    <w:p>
      <w:pPr>
        <w:spacing w:after="0" w:line="17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has received a determination letter from the Internal Revenue Service (the “IRS”) dated April 30, 2015, stating that the Plan, as amended and restated as of January 1, 2015, is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2016,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2013.</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Reconciliation of Financial Statements to Form 5500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as of December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2,066,185,547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1,895,330,255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pending distribution to participants</w:t>
            </w:r>
          </w:p>
        </w:tc>
        <w:tc>
          <w:tcPr>
            <w:tcW w:w="2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(604,379)</w:t>
            </w: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(943,198)</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2,065,581,168</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1,894,387,057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increase in net assets available for benefits per the financial statements to the Form 5500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170,855,292</w:t>
            </w:r>
          </w:p>
        </w:tc>
        <w:tc>
          <w:tcPr>
            <w:tcW w:w="80" w:type="dxa"/>
            <w:vAlign w:val="bottom"/>
            <w:shd w:val="clear" w:color="auto" w:fill="CCEEFF"/>
          </w:tcPr>
          <w:p>
            <w:pPr>
              <w:spacing w:after="0"/>
              <w:rPr>
                <w:sz w:val="18"/>
                <w:szCs w:val="18"/>
                <w:color w:val="auto"/>
              </w:rPr>
            </w:pPr>
          </w:p>
        </w:tc>
      </w:tr>
      <w:tr>
        <w:trPr>
          <w:trHeight w:val="216"/>
        </w:trPr>
        <w:tc>
          <w:tcPr>
            <w:tcW w:w="10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943,198</w:t>
            </w:r>
          </w:p>
        </w:tc>
        <w:tc>
          <w:tcPr>
            <w:tcW w:w="80" w:type="dxa"/>
            <w:vAlign w:val="bottom"/>
          </w:tcPr>
          <w:p>
            <w:pPr>
              <w:spacing w:after="0"/>
              <w:rPr>
                <w:sz w:val="18"/>
                <w:szCs w:val="18"/>
                <w:color w:val="auto"/>
              </w:rPr>
            </w:pPr>
          </w:p>
        </w:tc>
      </w:tr>
      <w:tr>
        <w:trPr>
          <w:trHeight w:val="216"/>
        </w:trPr>
        <w:tc>
          <w:tcPr>
            <w:tcW w:w="10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pending distribution to participants as of December 31, 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(604,379)</w:t>
            </w:r>
          </w:p>
        </w:tc>
      </w:tr>
      <w:tr>
        <w:trPr>
          <w:trHeight w:val="223"/>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assets available for benefits per the Form 5500</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171,194,111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Plan 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to discontinue its Plan contribution at any time and to terminate the Plan subject to the provisions of ERISA.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Bank of America serves as the trustee of the Plan and is an affiliate of BAML, which is the Plan’s third-party recordkeeper and provides securities brokerage services for the self-directed brokerage account.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Because WM is the Plan sponsor, transactions involving WM common stock also qualify as party-in-interest transactions. The Plan sponsor believes that all of these transactions are exempt from the prohibited transactions rules.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0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color w:val="auto"/>
                <w:w w:val="99"/>
              </w:rPr>
              <w:t>Waste Management Retirement Savings Plan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8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9"/>
              </w:rPr>
              <w:t>Schedule H, Line 4(i) - Schedule of Assets (Held at End of Year)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EIN: 73-1309529</w:t>
            </w:r>
          </w:p>
        </w:tc>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Plan: 001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0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color w:val="auto"/>
              </w:rPr>
              <w:t>December 31, 2016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2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Identity of Issue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210"/>
        </w:trPr>
        <w:tc>
          <w:tcPr>
            <w:tcW w:w="3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BlackRock</w:t>
            </w: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Institutional Fund – Money Fund</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604,929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Waste Management, Inc.</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164,768,180</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BlackRock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Russell 1000 Value Fund (T)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69,029,766</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 Rowe Price Trust Company</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Rowe Price Blue Chip Growth Trust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92,780,271</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JPMCB SmartRetirement Income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32,905,766</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JPMCB SmartRetirement 2015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6,972,690</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JPMCB SmartRetirement 2020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136,181,138</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JPMCB SmartRetirement 2025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28,401,424</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JPMCB SmartRetirement 2030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209,581,244</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JPMCB SmartRetirement 2035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19,448,091</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JPMCB SmartRetirement 2040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95,201,065</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JPMCB SmartRetirement 2045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13,783,498</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JPMCB SmartRetirement 2050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16,679,659</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JPMorgan Chase Bank, N.A.</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JPMCB SmartRetirement 2055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4,910,341</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Vanguard Group, Inc.</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Total Bond Market Index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120,112,455</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Vanguard Group, Inc.</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 Institutional Total Stock Market Index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328,179,772</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Vanguard Group, Inc.</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S&amp;P Small-Cap 600 Index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142,033,796</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American Funds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American Funds EuroPacific Growth Fund Class R6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121,514,095</w:t>
            </w:r>
          </w:p>
        </w:tc>
        <w:tc>
          <w:tcPr>
            <w:tcW w:w="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Dimensional Fund Advisors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33,508,502</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Galliard Capital Management, Inc.</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Stable Value Fund</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316,996,325</w:t>
            </w:r>
          </w:p>
        </w:tc>
        <w:tc>
          <w:tcPr>
            <w:tcW w:w="40" w:type="dxa"/>
            <w:vAlign w:val="bottom"/>
          </w:tcPr>
          <w:p>
            <w:pPr>
              <w:spacing w:after="0"/>
              <w:rPr>
                <w:sz w:val="18"/>
                <w:szCs w:val="18"/>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Merrill Lynch, Pierce, Fenner &amp; Smith</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Incorporated</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42,796,941</w:t>
            </w:r>
          </w:p>
        </w:tc>
        <w:tc>
          <w:tcPr>
            <w:tcW w:w="40" w:type="dxa"/>
            <w:vAlign w:val="bottom"/>
            <w:shd w:val="clear" w:color="auto" w:fill="CCEEFF"/>
          </w:tcPr>
          <w:p>
            <w:pPr>
              <w:spacing w:after="0"/>
              <w:rPr>
                <w:sz w:val="20"/>
                <w:szCs w:val="20"/>
                <w:color w:val="auto"/>
              </w:rPr>
            </w:pPr>
          </w:p>
        </w:tc>
      </w:tr>
      <w:tr>
        <w:trPr>
          <w:trHeight w:val="223"/>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1,996,389,948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maturity dates with interest rates ranging from 3.25% to 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66,123,832</w:t>
            </w:r>
          </w:p>
        </w:tc>
        <w:tc>
          <w:tcPr>
            <w:tcW w:w="4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2,062,513,780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Party-in-interest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Plan</w:t>
      </w:r>
      <w:r>
        <w:rPr>
          <w:rFonts w:ascii="Times New Roman" w:cs="Times New Roman" w:eastAsia="Times New Roman" w:hAnsi="Times New Roman"/>
          <w:sz w:val="18"/>
          <w:szCs w:val="18"/>
          <w:color w:val="auto"/>
        </w:rPr>
        <w:t>. Pursuant to the requirements of the Securities Exchange Act of 1934, the Administrative Committee has duly caused this annual report to be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its behalf by the undersigned hereunto duly authorized.</w:t>
      </w: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WASTE MANAGEMENT RETIREMENT SAVINGS PLAN</w:t>
      </w:r>
    </w:p>
    <w:p>
      <w:pPr>
        <w:spacing w:after="0" w:line="225" w:lineRule="exact"/>
        <w:rPr>
          <w:sz w:val="20"/>
          <w:szCs w:val="20"/>
          <w:color w:val="auto"/>
        </w:rPr>
      </w:pPr>
    </w:p>
    <w:p>
      <w:pPr>
        <w:spacing w:after="0"/>
        <w:tabs>
          <w:tab w:leader="none" w:pos="5220" w:val="left"/>
          <w:tab w:leader="none" w:pos="5780" w:val="left"/>
        </w:tabs>
        <w:rPr>
          <w:sz w:val="20"/>
          <w:szCs w:val="20"/>
          <w:color w:val="auto"/>
        </w:rPr>
      </w:pPr>
      <w:r>
        <w:rPr>
          <w:rFonts w:ascii="Times New Roman" w:cs="Times New Roman" w:eastAsia="Times New Roman" w:hAnsi="Times New Roman"/>
          <w:sz w:val="18"/>
          <w:szCs w:val="18"/>
          <w:color w:val="auto"/>
        </w:rPr>
        <w:t>Date: May 31,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Gordon Blasius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17145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Gordon Blasius</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Vice President, Compensation and Benefits</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Member, Administrative Committee of the Waste</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Management Employee Benefit Plans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6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4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40" w:type="dxa"/>
            <w:vAlign w:val="bottom"/>
          </w:tcPr>
          <w:p>
            <w:pPr>
              <w:spacing w:after="0"/>
              <w:rPr>
                <w:sz w:val="24"/>
                <w:szCs w:val="24"/>
                <w:color w:val="auto"/>
              </w:rPr>
            </w:pPr>
          </w:p>
        </w:tc>
      </w:tr>
      <w:tr>
        <w:trPr>
          <w:trHeight w:val="173"/>
        </w:trPr>
        <w:tc>
          <w:tcPr>
            <w:tcW w:w="5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6040" w:type="dxa"/>
            <w:vAlign w:val="bottom"/>
          </w:tcPr>
          <w:p>
            <w:pPr>
              <w:ind w:left="518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80"/>
        <w:spacing w:after="0"/>
        <w:tabs>
          <w:tab w:leader="none" w:pos="7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-119380</wp:posOffset>
            </wp:positionV>
            <wp:extent cx="6732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39"/>
          </w:cols>
          <w:pgMar w:left="320" w:top="266"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333-184156 and Post-Effective Amendment No. 1 thereto) pertaining to the Waste Management Retirement Savings Plan of our report dated May 31, 2017, with respect to the financial statements and supplemental schedule of the Waste Management Retirement Savings Plan included in this Annual Report (Form 11-K) for the year ended December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2019-12-05T15:56:51Z</dcterms:created>
  <dcterms:modified xsi:type="dcterms:W3CDTF">2019-12-05T15:56:51Z</dcterms:modified>
</cp:coreProperties>
</file>